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85ABC" w:rsidRPr="00FC459A" w14:paraId="4AF74253" w14:textId="77777777">
        <w:trPr>
          <w:trHeight w:hRule="exact" w:val="418"/>
          <w:jc w:val="center"/>
        </w:trPr>
        <w:tc>
          <w:tcPr>
            <w:tcW w:w="8721" w:type="dxa"/>
            <w:gridSpan w:val="2"/>
          </w:tcPr>
          <w:p w14:paraId="716BADCB" w14:textId="77777777" w:rsidR="00785ABC" w:rsidRPr="00FC459A" w:rsidRDefault="00FC459A">
            <w:pPr>
              <w:pStyle w:val="a3"/>
              <w:jc w:val="center"/>
              <w:rPr>
                <w:rFonts w:ascii="Tahoma" w:hAnsi="Tahoma" w:cs="Tahoma"/>
                <w:color w:val="000080"/>
                <w:rtl/>
              </w:rPr>
            </w:pPr>
            <w:r w:rsidRPr="00FC459A">
              <w:rPr>
                <w:rFonts w:ascii="Tahoma" w:hAnsi="Tahoma" w:cs="Tahoma"/>
                <w:b/>
                <w:bCs/>
                <w:color w:val="000080"/>
                <w:rtl/>
              </w:rPr>
              <w:t>בית המשפט המחוזי בחיפה</w:t>
            </w:r>
          </w:p>
        </w:tc>
      </w:tr>
      <w:tr w:rsidR="00785ABC" w:rsidRPr="00FC459A" w14:paraId="48D3EC2B" w14:textId="77777777">
        <w:trPr>
          <w:trHeight w:val="337"/>
          <w:jc w:val="center"/>
        </w:trPr>
        <w:tc>
          <w:tcPr>
            <w:tcW w:w="5054" w:type="dxa"/>
          </w:tcPr>
          <w:p w14:paraId="0AB8547B" w14:textId="77777777" w:rsidR="00785ABC" w:rsidRPr="00FC459A" w:rsidRDefault="00FC459A">
            <w:pPr>
              <w:rPr>
                <w:rFonts w:cs="FrankRuehl"/>
                <w:sz w:val="28"/>
                <w:szCs w:val="28"/>
                <w:rtl/>
              </w:rPr>
            </w:pPr>
            <w:r w:rsidRPr="00FC459A">
              <w:rPr>
                <w:rFonts w:cs="FrankRuehl"/>
                <w:sz w:val="28"/>
                <w:szCs w:val="28"/>
                <w:rtl/>
              </w:rPr>
              <w:t>ת"פ</w:t>
            </w:r>
            <w:r w:rsidRPr="00FC459A">
              <w:rPr>
                <w:rFonts w:cs="FrankRuehl" w:hint="cs"/>
                <w:sz w:val="28"/>
                <w:szCs w:val="28"/>
                <w:rtl/>
              </w:rPr>
              <w:t xml:space="preserve"> </w:t>
            </w:r>
            <w:r w:rsidRPr="00FC459A">
              <w:rPr>
                <w:rFonts w:cs="FrankRuehl"/>
                <w:sz w:val="28"/>
                <w:szCs w:val="28"/>
                <w:rtl/>
              </w:rPr>
              <w:t>40240-09-12</w:t>
            </w:r>
            <w:r w:rsidRPr="00FC459A">
              <w:rPr>
                <w:rFonts w:cs="FrankRuehl" w:hint="cs"/>
                <w:sz w:val="28"/>
                <w:szCs w:val="28"/>
                <w:rtl/>
              </w:rPr>
              <w:t xml:space="preserve"> </w:t>
            </w:r>
            <w:r w:rsidRPr="00FC459A">
              <w:rPr>
                <w:rFonts w:cs="FrankRuehl"/>
                <w:sz w:val="28"/>
                <w:szCs w:val="28"/>
                <w:rtl/>
              </w:rPr>
              <w:t>מדינת ישראל נ' גנאיים ואח'</w:t>
            </w:r>
          </w:p>
          <w:p w14:paraId="5C8D9C7E" w14:textId="77777777" w:rsidR="00785ABC" w:rsidRPr="00FC459A" w:rsidRDefault="00785ABC">
            <w:pPr>
              <w:pStyle w:val="a3"/>
              <w:rPr>
                <w:rFonts w:cs="FrankRuehl"/>
                <w:sz w:val="28"/>
                <w:szCs w:val="28"/>
                <w:rtl/>
              </w:rPr>
            </w:pPr>
          </w:p>
        </w:tc>
        <w:tc>
          <w:tcPr>
            <w:tcW w:w="3667" w:type="dxa"/>
          </w:tcPr>
          <w:p w14:paraId="3FB97540" w14:textId="77777777" w:rsidR="00785ABC" w:rsidRPr="00FC459A" w:rsidRDefault="00785ABC">
            <w:pPr>
              <w:pStyle w:val="a3"/>
              <w:jc w:val="right"/>
              <w:rPr>
                <w:rFonts w:cs="FrankRuehl"/>
                <w:sz w:val="28"/>
                <w:szCs w:val="28"/>
                <w:rtl/>
              </w:rPr>
            </w:pPr>
          </w:p>
        </w:tc>
      </w:tr>
    </w:tbl>
    <w:p w14:paraId="0518183F" w14:textId="77777777" w:rsidR="00785ABC" w:rsidRPr="00FC459A" w:rsidRDefault="00FC459A">
      <w:pPr>
        <w:pStyle w:val="a3"/>
        <w:rPr>
          <w:rtl/>
        </w:rPr>
      </w:pPr>
      <w:r w:rsidRPr="00FC459A">
        <w:rPr>
          <w:rFonts w:hint="cs"/>
          <w:rtl/>
        </w:rPr>
        <w:t xml:space="preserve"> </w:t>
      </w:r>
    </w:p>
    <w:p w14:paraId="0866EE93" w14:textId="77777777" w:rsidR="00785ABC" w:rsidRPr="00FC459A" w:rsidRDefault="00785ABC">
      <w:pPr>
        <w:spacing w:line="360" w:lineRule="auto"/>
        <w:jc w:val="both"/>
        <w:rPr>
          <w:rFonts w:ascii="David" w:hAnsi="David"/>
          <w:rtl/>
        </w:rPr>
      </w:pPr>
    </w:p>
    <w:tbl>
      <w:tblPr>
        <w:bidiVisual/>
        <w:tblW w:w="9018" w:type="dxa"/>
        <w:tblInd w:w="-28" w:type="dxa"/>
        <w:tblLook w:val="01E0" w:firstRow="1" w:lastRow="1" w:firstColumn="1" w:lastColumn="1" w:noHBand="0" w:noVBand="0"/>
      </w:tblPr>
      <w:tblGrid>
        <w:gridCol w:w="9018"/>
      </w:tblGrid>
      <w:tr w:rsidR="00785ABC" w:rsidRPr="00FC459A" w14:paraId="790B400B" w14:textId="77777777">
        <w:tc>
          <w:tcPr>
            <w:tcW w:w="9018" w:type="dxa"/>
          </w:tcPr>
          <w:p w14:paraId="6FDB2E07" w14:textId="77777777" w:rsidR="00785ABC" w:rsidRPr="00FC459A" w:rsidRDefault="00FC459A">
            <w:pPr>
              <w:pStyle w:val="a3"/>
              <w:rPr>
                <w:b/>
                <w:bCs/>
                <w:sz w:val="26"/>
                <w:szCs w:val="26"/>
              </w:rPr>
            </w:pPr>
            <w:bookmarkStart w:id="0" w:name="_GoBack"/>
            <w:bookmarkStart w:id="1" w:name="FirstAppellant"/>
            <w:bookmarkEnd w:id="0"/>
            <w:r w:rsidRPr="00FC459A">
              <w:rPr>
                <w:b/>
                <w:bCs/>
              </w:rPr>
              <w:t xml:space="preserve">  -</w:t>
            </w:r>
            <w:r w:rsidRPr="00FC459A">
              <w:rPr>
                <w:rFonts w:hint="cs"/>
                <w:b/>
                <w:bCs/>
                <w:rtl/>
              </w:rPr>
              <w:t xml:space="preserve"> 40268-09-12</w:t>
            </w:r>
          </w:p>
          <w:p w14:paraId="4681BE53" w14:textId="77777777" w:rsidR="00785ABC" w:rsidRPr="00FC459A" w:rsidRDefault="00FC459A">
            <w:pPr>
              <w:spacing w:line="360" w:lineRule="auto"/>
              <w:rPr>
                <w:b/>
                <w:bCs/>
                <w:sz w:val="26"/>
                <w:szCs w:val="26"/>
                <w:rtl/>
              </w:rPr>
            </w:pPr>
            <w:r w:rsidRPr="00FC459A">
              <w:rPr>
                <w:rFonts w:hint="cs"/>
                <w:b/>
                <w:bCs/>
                <w:sz w:val="26"/>
                <w:szCs w:val="26"/>
                <w:rtl/>
              </w:rPr>
              <w:t>בפני כב' ה</w:t>
            </w:r>
            <w:r w:rsidRPr="00FC459A">
              <w:rPr>
                <w:rFonts w:hint="cs"/>
                <w:b/>
                <w:bCs/>
                <w:rtl/>
              </w:rPr>
              <w:t>שופט אברהם אליקים</w:t>
            </w:r>
            <w:r w:rsidRPr="00FC459A">
              <w:rPr>
                <w:rStyle w:val="TimesNewRomanTimesNewRoman"/>
                <w:rFonts w:hint="cs"/>
                <w:rtl/>
              </w:rPr>
              <w:t xml:space="preserve"> </w:t>
            </w:r>
          </w:p>
          <w:p w14:paraId="7A6F52AF" w14:textId="77777777" w:rsidR="00785ABC" w:rsidRPr="00FC459A" w:rsidRDefault="00FC459A">
            <w:pPr>
              <w:rPr>
                <w:b/>
                <w:bCs/>
                <w:sz w:val="26"/>
                <w:szCs w:val="26"/>
              </w:rPr>
            </w:pPr>
            <w:r w:rsidRPr="00FC459A">
              <w:rPr>
                <w:rFonts w:hint="cs"/>
                <w:b/>
                <w:bCs/>
                <w:sz w:val="26"/>
                <w:szCs w:val="26"/>
                <w:rtl/>
              </w:rPr>
              <w:t>ה</w:t>
            </w:r>
            <w:r w:rsidRPr="00FC459A">
              <w:rPr>
                <w:rFonts w:hint="cs"/>
                <w:b/>
                <w:bCs/>
                <w:rtl/>
              </w:rPr>
              <w:t xml:space="preserve">מאשימה  </w:t>
            </w:r>
            <w:r w:rsidRPr="00FC459A">
              <w:rPr>
                <w:b/>
                <w:bCs/>
                <w:sz w:val="26"/>
                <w:szCs w:val="26"/>
              </w:rPr>
              <w:t>-</w:t>
            </w:r>
            <w:r w:rsidRPr="00FC459A">
              <w:rPr>
                <w:rFonts w:hint="cs"/>
                <w:b/>
                <w:bCs/>
                <w:rtl/>
              </w:rPr>
              <w:t>מדינת ישראל</w:t>
            </w:r>
          </w:p>
          <w:p w14:paraId="1BC4104B" w14:textId="77777777" w:rsidR="00785ABC" w:rsidRPr="00FC459A" w:rsidRDefault="00785ABC">
            <w:pPr>
              <w:jc w:val="both"/>
              <w:rPr>
                <w:rFonts w:ascii="Arial" w:hAnsi="Arial"/>
                <w:b/>
                <w:bCs/>
                <w:sz w:val="26"/>
                <w:szCs w:val="26"/>
                <w:rtl/>
              </w:rPr>
            </w:pPr>
          </w:p>
          <w:bookmarkEnd w:id="1"/>
          <w:p w14:paraId="4BB1C584" w14:textId="77777777" w:rsidR="00785ABC" w:rsidRPr="00FC459A" w:rsidRDefault="00FC459A">
            <w:pPr>
              <w:jc w:val="center"/>
              <w:rPr>
                <w:rFonts w:ascii="Arial" w:hAnsi="Arial"/>
                <w:b/>
                <w:bCs/>
                <w:sz w:val="26"/>
                <w:szCs w:val="26"/>
                <w:rtl/>
              </w:rPr>
            </w:pPr>
            <w:r w:rsidRPr="00FC459A">
              <w:rPr>
                <w:rFonts w:ascii="Arial" w:hAnsi="Arial" w:hint="cs"/>
                <w:b/>
                <w:bCs/>
                <w:sz w:val="26"/>
                <w:szCs w:val="26"/>
                <w:rtl/>
              </w:rPr>
              <w:t>נגד</w:t>
            </w:r>
          </w:p>
          <w:p w14:paraId="7DF34299" w14:textId="77777777" w:rsidR="00785ABC" w:rsidRPr="00FC459A" w:rsidRDefault="00785ABC">
            <w:pPr>
              <w:rPr>
                <w:rFonts w:ascii="Arial" w:hAnsi="Arial"/>
                <w:b/>
                <w:bCs/>
                <w:sz w:val="26"/>
                <w:szCs w:val="26"/>
              </w:rPr>
            </w:pPr>
          </w:p>
          <w:p w14:paraId="784EEC21" w14:textId="77777777" w:rsidR="00785ABC" w:rsidRPr="00FC459A" w:rsidRDefault="00FC459A">
            <w:pPr>
              <w:rPr>
                <w:b/>
                <w:bCs/>
                <w:sz w:val="26"/>
                <w:szCs w:val="26"/>
                <w:rtl/>
              </w:rPr>
            </w:pPr>
            <w:r w:rsidRPr="00FC459A">
              <w:rPr>
                <w:rFonts w:hint="cs"/>
                <w:b/>
                <w:bCs/>
                <w:sz w:val="26"/>
                <w:szCs w:val="26"/>
                <w:rtl/>
              </w:rPr>
              <w:t>ה</w:t>
            </w:r>
            <w:r w:rsidRPr="00FC459A">
              <w:rPr>
                <w:rFonts w:hint="cs"/>
                <w:b/>
                <w:bCs/>
                <w:rtl/>
              </w:rPr>
              <w:t xml:space="preserve">נאשם </w:t>
            </w:r>
            <w:r w:rsidRPr="00FC459A">
              <w:rPr>
                <w:b/>
                <w:bCs/>
                <w:sz w:val="26"/>
                <w:szCs w:val="26"/>
              </w:rPr>
              <w:t>-</w:t>
            </w:r>
            <w:r w:rsidRPr="00FC459A">
              <w:rPr>
                <w:rFonts w:hint="cs"/>
                <w:b/>
                <w:bCs/>
                <w:rtl/>
              </w:rPr>
              <w:t>1.</w:t>
            </w:r>
            <w:r w:rsidRPr="00FC459A">
              <w:rPr>
                <w:rFonts w:hint="cs"/>
                <w:b/>
                <w:bCs/>
                <w:sz w:val="26"/>
                <w:szCs w:val="26"/>
                <w:rtl/>
              </w:rPr>
              <w:t xml:space="preserve"> </w:t>
            </w:r>
            <w:r w:rsidRPr="00FC459A">
              <w:rPr>
                <w:rFonts w:hint="cs"/>
                <w:b/>
                <w:bCs/>
                <w:rtl/>
              </w:rPr>
              <w:t>בהא גנאיים</w:t>
            </w:r>
            <w:r w:rsidRPr="00FC459A">
              <w:rPr>
                <w:rFonts w:hint="cs"/>
                <w:b/>
                <w:bCs/>
                <w:sz w:val="26"/>
                <w:szCs w:val="26"/>
                <w:rtl/>
              </w:rPr>
              <w:t xml:space="preserve"> ת.ז. 308182757</w:t>
            </w:r>
          </w:p>
          <w:p w14:paraId="06C59445" w14:textId="77777777" w:rsidR="00785ABC" w:rsidRPr="00FC459A" w:rsidRDefault="00FC459A">
            <w:pPr>
              <w:rPr>
                <w:b/>
                <w:bCs/>
                <w:sz w:val="26"/>
                <w:szCs w:val="26"/>
              </w:rPr>
            </w:pPr>
            <w:r w:rsidRPr="00FC459A">
              <w:rPr>
                <w:rFonts w:hint="cs"/>
                <w:b/>
                <w:bCs/>
                <w:rtl/>
              </w:rPr>
              <w:t>2.</w:t>
            </w:r>
            <w:r w:rsidRPr="00FC459A">
              <w:rPr>
                <w:rFonts w:hint="cs"/>
                <w:b/>
                <w:bCs/>
                <w:sz w:val="26"/>
                <w:szCs w:val="26"/>
                <w:rtl/>
              </w:rPr>
              <w:t xml:space="preserve"> </w:t>
            </w:r>
            <w:r w:rsidRPr="00FC459A">
              <w:rPr>
                <w:rFonts w:hint="cs"/>
                <w:b/>
                <w:bCs/>
                <w:rtl/>
              </w:rPr>
              <w:t xml:space="preserve">מחמד חשאן (עציר) ת.ז. 061299343 - ניתן גזה"ד </w:t>
            </w:r>
          </w:p>
          <w:p w14:paraId="64D5CC4B" w14:textId="77777777" w:rsidR="00785ABC" w:rsidRPr="00FC459A" w:rsidRDefault="00785ABC">
            <w:pPr>
              <w:spacing w:line="360" w:lineRule="auto"/>
              <w:jc w:val="both"/>
              <w:rPr>
                <w:b/>
                <w:bCs/>
                <w:sz w:val="26"/>
                <w:szCs w:val="26"/>
              </w:rPr>
            </w:pPr>
          </w:p>
        </w:tc>
      </w:tr>
    </w:tbl>
    <w:p w14:paraId="3FA4EE4A" w14:textId="77777777" w:rsidR="002745CC" w:rsidRDefault="002745CC" w:rsidP="00AA3F1E">
      <w:pPr>
        <w:spacing w:after="120" w:line="240" w:lineRule="exact"/>
        <w:ind w:left="283" w:hanging="283"/>
        <w:jc w:val="both"/>
        <w:rPr>
          <w:rFonts w:ascii="FrankRuehl" w:hAnsi="FrankRuehl" w:cs="FrankRuehl" w:hint="cs"/>
          <w:rtl/>
        </w:rPr>
      </w:pPr>
      <w:bookmarkStart w:id="2" w:name="LastJudge"/>
      <w:bookmarkEnd w:id="2"/>
    </w:p>
    <w:p w14:paraId="3556764F" w14:textId="77777777" w:rsidR="002745CC" w:rsidRDefault="002745CC" w:rsidP="00AA3F1E">
      <w:pPr>
        <w:spacing w:after="120" w:line="240" w:lineRule="exact"/>
        <w:ind w:left="283" w:hanging="283"/>
        <w:jc w:val="both"/>
        <w:rPr>
          <w:rFonts w:ascii="FrankRuehl" w:hAnsi="FrankRuehl" w:cs="FrankRuehl" w:hint="cs"/>
          <w:rtl/>
        </w:rPr>
      </w:pPr>
    </w:p>
    <w:p w14:paraId="51057DFA" w14:textId="77777777" w:rsidR="00AA3F1E" w:rsidRPr="00AA3F1E" w:rsidRDefault="00AA3F1E" w:rsidP="00AA3F1E">
      <w:pPr>
        <w:spacing w:after="120" w:line="240" w:lineRule="exact"/>
        <w:ind w:left="283" w:hanging="283"/>
        <w:jc w:val="both"/>
        <w:rPr>
          <w:rFonts w:ascii="FrankRuehl" w:hAnsi="FrankRuehl" w:cs="FrankRuehl"/>
          <w:rtl/>
        </w:rPr>
      </w:pPr>
      <w:r w:rsidRPr="00AA3F1E">
        <w:rPr>
          <w:rFonts w:ascii="FrankRuehl" w:hAnsi="FrankRuehl" w:cs="FrankRuehl"/>
          <w:rtl/>
        </w:rPr>
        <w:t xml:space="preserve">חקיקה שאוזכרה: </w:t>
      </w:r>
    </w:p>
    <w:p w14:paraId="5ABED262" w14:textId="77777777" w:rsidR="00AA3F1E" w:rsidRPr="00AA3F1E" w:rsidRDefault="00AA3F1E" w:rsidP="00AA3F1E">
      <w:pPr>
        <w:spacing w:after="120" w:line="240" w:lineRule="exact"/>
        <w:ind w:left="283" w:hanging="283"/>
        <w:jc w:val="both"/>
        <w:rPr>
          <w:rFonts w:ascii="FrankRuehl" w:hAnsi="FrankRuehl" w:cs="FrankRuehl"/>
          <w:rtl/>
        </w:rPr>
      </w:pPr>
      <w:hyperlink r:id="rId7" w:history="1">
        <w:r w:rsidRPr="00AA3F1E">
          <w:rPr>
            <w:rFonts w:ascii="FrankRuehl" w:hAnsi="FrankRuehl" w:cs="FrankRuehl"/>
            <w:color w:val="0000FF"/>
            <w:u w:val="single"/>
            <w:rtl/>
          </w:rPr>
          <w:t>חוק העונשין, תשל"ז-1977</w:t>
        </w:r>
      </w:hyperlink>
      <w:r w:rsidRPr="00AA3F1E">
        <w:rPr>
          <w:rFonts w:ascii="FrankRuehl" w:hAnsi="FrankRuehl" w:cs="FrankRuehl"/>
          <w:rtl/>
        </w:rPr>
        <w:t xml:space="preserve">: סע'  </w:t>
      </w:r>
      <w:hyperlink r:id="rId8" w:history="1">
        <w:r w:rsidRPr="00AA3F1E">
          <w:rPr>
            <w:rFonts w:ascii="FrankRuehl" w:hAnsi="FrankRuehl" w:cs="FrankRuehl"/>
            <w:color w:val="0000FF"/>
            <w:u w:val="single"/>
            <w:rtl/>
          </w:rPr>
          <w:t>29</w:t>
        </w:r>
      </w:hyperlink>
      <w:r w:rsidRPr="00AA3F1E">
        <w:rPr>
          <w:rFonts w:ascii="FrankRuehl" w:hAnsi="FrankRuehl" w:cs="FrankRuehl"/>
          <w:rtl/>
        </w:rPr>
        <w:t xml:space="preserve">, </w:t>
      </w:r>
      <w:hyperlink r:id="rId9" w:history="1">
        <w:r w:rsidRPr="00AA3F1E">
          <w:rPr>
            <w:rFonts w:ascii="FrankRuehl" w:hAnsi="FrankRuehl" w:cs="FrankRuehl"/>
            <w:color w:val="0000FF"/>
            <w:u w:val="single"/>
            <w:rtl/>
          </w:rPr>
          <w:t>40ב').</w:t>
        </w:r>
      </w:hyperlink>
      <w:r w:rsidRPr="00AA3F1E">
        <w:rPr>
          <w:rFonts w:ascii="FrankRuehl" w:hAnsi="FrankRuehl" w:cs="FrankRuehl"/>
          <w:rtl/>
        </w:rPr>
        <w:t xml:space="preserve">, </w:t>
      </w:r>
      <w:hyperlink r:id="rId10" w:history="1">
        <w:r w:rsidRPr="00AA3F1E">
          <w:rPr>
            <w:rFonts w:ascii="FrankRuehl" w:hAnsi="FrankRuehl" w:cs="FrankRuehl"/>
            <w:color w:val="0000FF"/>
            <w:u w:val="single"/>
            <w:rtl/>
          </w:rPr>
          <w:t>144(א)(</w:t>
        </w:r>
      </w:hyperlink>
      <w:r w:rsidRPr="00AA3F1E">
        <w:rPr>
          <w:rFonts w:ascii="FrankRuehl" w:hAnsi="FrankRuehl" w:cs="FrankRuehl"/>
          <w:rtl/>
        </w:rPr>
        <w:t xml:space="preserve">, </w:t>
      </w:r>
      <w:hyperlink r:id="rId11" w:history="1">
        <w:r w:rsidRPr="00AA3F1E">
          <w:rPr>
            <w:rFonts w:ascii="FrankRuehl" w:hAnsi="FrankRuehl" w:cs="FrankRuehl"/>
            <w:color w:val="0000FF"/>
            <w:u w:val="single"/>
            <w:rtl/>
          </w:rPr>
          <w:t>144(ב)(</w:t>
        </w:r>
      </w:hyperlink>
      <w:r w:rsidRPr="00AA3F1E">
        <w:rPr>
          <w:rFonts w:ascii="FrankRuehl" w:hAnsi="FrankRuehl" w:cs="FrankRuehl"/>
          <w:rtl/>
        </w:rPr>
        <w:t xml:space="preserve">, </w:t>
      </w:r>
      <w:hyperlink r:id="rId12" w:history="1">
        <w:r w:rsidRPr="00AA3F1E">
          <w:rPr>
            <w:rFonts w:ascii="FrankRuehl" w:hAnsi="FrankRuehl" w:cs="FrankRuehl"/>
            <w:color w:val="0000FF"/>
            <w:u w:val="single"/>
            <w:rtl/>
          </w:rPr>
          <w:t>144(ב2)</w:t>
        </w:r>
      </w:hyperlink>
      <w:r w:rsidRPr="00AA3F1E">
        <w:rPr>
          <w:rFonts w:ascii="FrankRuehl" w:hAnsi="FrankRuehl" w:cs="FrankRuehl"/>
          <w:rtl/>
        </w:rPr>
        <w:t xml:space="preserve">, </w:t>
      </w:r>
      <w:hyperlink r:id="rId13" w:history="1">
        <w:r w:rsidRPr="00AA3F1E">
          <w:rPr>
            <w:rFonts w:ascii="FrankRuehl" w:hAnsi="FrankRuehl" w:cs="FrankRuehl"/>
            <w:color w:val="0000FF"/>
            <w:u w:val="single"/>
            <w:rtl/>
          </w:rPr>
          <w:t>144(ג</w:t>
        </w:r>
      </w:hyperlink>
      <w:r w:rsidRPr="00AA3F1E">
        <w:rPr>
          <w:rFonts w:ascii="FrankRuehl" w:hAnsi="FrankRuehl" w:cs="FrankRuehl"/>
          <w:rtl/>
        </w:rPr>
        <w:t xml:space="preserve">, </w:t>
      </w:r>
      <w:hyperlink r:id="rId14" w:history="1">
        <w:r w:rsidRPr="00AA3F1E">
          <w:rPr>
            <w:rFonts w:ascii="FrankRuehl" w:hAnsi="FrankRuehl" w:cs="FrankRuehl"/>
            <w:color w:val="0000FF"/>
            <w:u w:val="single"/>
            <w:rtl/>
          </w:rPr>
          <w:t>40יג'</w:t>
        </w:r>
      </w:hyperlink>
      <w:r w:rsidRPr="00AA3F1E">
        <w:rPr>
          <w:rFonts w:ascii="FrankRuehl" w:hAnsi="FrankRuehl" w:cs="FrankRuehl"/>
          <w:rtl/>
        </w:rPr>
        <w:t xml:space="preserve">, </w:t>
      </w:r>
      <w:hyperlink r:id="rId15" w:history="1">
        <w:r w:rsidRPr="00AA3F1E">
          <w:rPr>
            <w:rFonts w:ascii="FrankRuehl" w:hAnsi="FrankRuehl" w:cs="FrankRuehl"/>
            <w:color w:val="0000FF"/>
            <w:u w:val="single"/>
            <w:rtl/>
          </w:rPr>
          <w:t>40יג'(ב)</w:t>
        </w:r>
      </w:hyperlink>
    </w:p>
    <w:p w14:paraId="6599EF63" w14:textId="77777777" w:rsidR="00785ABC" w:rsidRPr="00FC459A" w:rsidRDefault="00785ABC">
      <w:pPr>
        <w:spacing w:line="360" w:lineRule="auto"/>
        <w:jc w:val="both"/>
        <w:rPr>
          <w:rFonts w:ascii="David" w:hAnsi="David"/>
        </w:rPr>
      </w:pPr>
    </w:p>
    <w:p w14:paraId="5D81977C" w14:textId="77777777" w:rsidR="00785ABC" w:rsidRPr="00FC459A" w:rsidRDefault="00785ABC"/>
    <w:p w14:paraId="4F9D46D0" w14:textId="77777777" w:rsidR="00785ABC" w:rsidRPr="00FC459A" w:rsidRDefault="00785AB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5ABC" w:rsidRPr="00FC459A" w14:paraId="5DF63196" w14:textId="77777777">
        <w:trPr>
          <w:trHeight w:val="355"/>
          <w:jc w:val="center"/>
        </w:trPr>
        <w:tc>
          <w:tcPr>
            <w:tcW w:w="8820" w:type="dxa"/>
            <w:tcBorders>
              <w:top w:val="nil"/>
              <w:left w:val="nil"/>
              <w:bottom w:val="nil"/>
              <w:right w:val="nil"/>
            </w:tcBorders>
          </w:tcPr>
          <w:p w14:paraId="5FB28070" w14:textId="77777777" w:rsidR="00785ABC" w:rsidRPr="00FC459A" w:rsidRDefault="00FC459A">
            <w:pPr>
              <w:jc w:val="center"/>
              <w:rPr>
                <w:rFonts w:ascii="Arial" w:hAnsi="Arial" w:cs="FrankRuehl"/>
                <w:sz w:val="32"/>
                <w:szCs w:val="32"/>
                <w:rtl/>
              </w:rPr>
            </w:pPr>
            <w:bookmarkStart w:id="3" w:name="PsakDin"/>
            <w:r w:rsidRPr="00FC459A">
              <w:rPr>
                <w:rFonts w:ascii="Arial" w:hAnsi="Arial" w:cs="FrankRuehl" w:hint="cs"/>
                <w:b/>
                <w:bCs/>
                <w:sz w:val="32"/>
                <w:szCs w:val="32"/>
                <w:rtl/>
              </w:rPr>
              <w:t>גזר דין</w:t>
            </w:r>
            <w:r w:rsidRPr="00FC459A">
              <w:rPr>
                <w:rFonts w:ascii="Arial" w:hAnsi="Arial" w:cs="FrankRuehl" w:hint="cs"/>
                <w:sz w:val="32"/>
                <w:szCs w:val="32"/>
                <w:rtl/>
              </w:rPr>
              <w:t xml:space="preserve"> </w:t>
            </w:r>
            <w:bookmarkEnd w:id="3"/>
            <w:r w:rsidRPr="00FC459A">
              <w:rPr>
                <w:rFonts w:ascii="Arial" w:hAnsi="Arial" w:cs="FrankRuehl" w:hint="cs"/>
                <w:sz w:val="32"/>
                <w:szCs w:val="32"/>
                <w:rtl/>
              </w:rPr>
              <w:t>בענין נאשם 1</w:t>
            </w:r>
          </w:p>
        </w:tc>
      </w:tr>
    </w:tbl>
    <w:p w14:paraId="48D92CB8" w14:textId="77777777" w:rsidR="00785ABC" w:rsidRPr="00FC459A" w:rsidRDefault="00785ABC">
      <w:pPr>
        <w:rPr>
          <w:rFonts w:ascii="Arial" w:hAnsi="Arial"/>
          <w:rtl/>
        </w:rPr>
      </w:pPr>
    </w:p>
    <w:p w14:paraId="4E9577E5" w14:textId="77777777" w:rsidR="00785ABC" w:rsidRPr="00FC459A" w:rsidRDefault="00785ABC">
      <w:pPr>
        <w:spacing w:line="360" w:lineRule="auto"/>
        <w:rPr>
          <w:rFonts w:ascii="Arial" w:hAnsi="Arial" w:cs="FrankRuehl"/>
          <w:sz w:val="28"/>
          <w:szCs w:val="28"/>
          <w:rtl/>
        </w:rPr>
      </w:pPr>
    </w:p>
    <w:p w14:paraId="572558FE" w14:textId="77777777" w:rsidR="00785ABC" w:rsidRPr="00FC459A" w:rsidRDefault="00FC459A">
      <w:pPr>
        <w:spacing w:line="360" w:lineRule="auto"/>
        <w:ind w:left="360" w:firstLine="360"/>
        <w:rPr>
          <w:rFonts w:cs="Miriam"/>
        </w:rPr>
      </w:pPr>
      <w:r w:rsidRPr="00FC459A">
        <w:rPr>
          <w:rFonts w:cs="Miriam"/>
          <w:rtl/>
        </w:rPr>
        <w:t>מבוא</w:t>
      </w:r>
    </w:p>
    <w:p w14:paraId="4ED3E915"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אקדים ואבהיר כי החלטתי שלא להיעתר לבקשת הסנגור ולדחות את מועד מתן גזר הדין עד לאחר שיקבל הנאשם טיפול באמצעות שירות המבחן</w:t>
      </w:r>
      <w:r w:rsidRPr="00FC459A">
        <w:rPr>
          <w:rFonts w:cs="FrankRuehl" w:hint="cs"/>
          <w:sz w:val="28"/>
          <w:szCs w:val="28"/>
          <w:rtl/>
        </w:rPr>
        <w:t xml:space="preserve">, בהתחשב בנימוקים שיפורטו להלן. </w:t>
      </w:r>
    </w:p>
    <w:p w14:paraId="32A1982E" w14:textId="77777777" w:rsidR="00785ABC" w:rsidRPr="00FC459A" w:rsidRDefault="00785ABC">
      <w:pPr>
        <w:spacing w:line="360" w:lineRule="auto"/>
        <w:ind w:left="720"/>
        <w:jc w:val="both"/>
        <w:rPr>
          <w:rFonts w:cs="FrankRuehl"/>
          <w:sz w:val="28"/>
          <w:szCs w:val="28"/>
          <w:rtl/>
        </w:rPr>
      </w:pPr>
    </w:p>
    <w:p w14:paraId="7C57F679" w14:textId="77777777" w:rsidR="00785ABC" w:rsidRPr="00FC459A" w:rsidRDefault="00FC459A">
      <w:pPr>
        <w:spacing w:line="360" w:lineRule="auto"/>
        <w:ind w:left="720"/>
        <w:jc w:val="both"/>
        <w:rPr>
          <w:rFonts w:cs="FrankRuehl"/>
          <w:sz w:val="28"/>
          <w:szCs w:val="28"/>
          <w:rtl/>
        </w:rPr>
      </w:pPr>
      <w:r w:rsidRPr="00FC459A">
        <w:rPr>
          <w:rFonts w:cs="FrankRuehl" w:hint="cs"/>
          <w:sz w:val="28"/>
          <w:szCs w:val="28"/>
          <w:rtl/>
        </w:rPr>
        <w:t>לאור חומרת העבירות והאינטרס הציבורי אין מקום לאמץ את המלצת שירות המבחן, באשר לעונש המתאים ואין הצדקה להמשיך ולדחות את סיום ההליכים בתיק זה גם לא לצורכי טיפול.</w:t>
      </w:r>
    </w:p>
    <w:p w14:paraId="55977106" w14:textId="77777777" w:rsidR="00785ABC" w:rsidRPr="00FC459A" w:rsidRDefault="00785ABC">
      <w:pPr>
        <w:spacing w:line="360" w:lineRule="auto"/>
        <w:ind w:left="720"/>
        <w:jc w:val="both"/>
        <w:rPr>
          <w:rFonts w:cs="FrankRuehl"/>
          <w:sz w:val="28"/>
          <w:szCs w:val="28"/>
        </w:rPr>
      </w:pPr>
    </w:p>
    <w:p w14:paraId="2DD7D0C4" w14:textId="77777777" w:rsidR="00785ABC" w:rsidRPr="00FC459A" w:rsidRDefault="00FC459A">
      <w:pPr>
        <w:numPr>
          <w:ilvl w:val="0"/>
          <w:numId w:val="1"/>
        </w:numPr>
        <w:spacing w:line="360" w:lineRule="auto"/>
        <w:jc w:val="both"/>
        <w:rPr>
          <w:rFonts w:cs="FrankRuehl"/>
          <w:sz w:val="28"/>
          <w:szCs w:val="28"/>
        </w:rPr>
      </w:pPr>
      <w:bookmarkStart w:id="4" w:name="ABSTRACT_START"/>
      <w:bookmarkEnd w:id="4"/>
      <w:r w:rsidRPr="00FC459A">
        <w:rPr>
          <w:rFonts w:cs="FrankRuehl"/>
          <w:sz w:val="28"/>
          <w:szCs w:val="28"/>
          <w:rtl/>
        </w:rPr>
        <w:t xml:space="preserve">הנאשם 1 (להלן-הנאשם) הורשע במסגרת הסדר טיעון (סומן א') </w:t>
      </w:r>
      <w:r w:rsidRPr="00FC459A">
        <w:rPr>
          <w:rFonts w:cs="FrankRuehl" w:hint="cs"/>
          <w:sz w:val="28"/>
          <w:szCs w:val="28"/>
          <w:rtl/>
        </w:rPr>
        <w:t xml:space="preserve">לפיו </w:t>
      </w:r>
      <w:r w:rsidRPr="00FC459A">
        <w:rPr>
          <w:rFonts w:cs="FrankRuehl"/>
          <w:sz w:val="28"/>
          <w:szCs w:val="28"/>
          <w:rtl/>
        </w:rPr>
        <w:t xml:space="preserve">תוקן כתב האישום (סומן ב'), ההסדר אינו כולל הסכמה לעניין העונש.  </w:t>
      </w:r>
    </w:p>
    <w:p w14:paraId="4B70C406" w14:textId="77777777" w:rsidR="00785ABC" w:rsidRPr="00FC459A" w:rsidRDefault="00785ABC">
      <w:pPr>
        <w:spacing w:line="360" w:lineRule="auto"/>
        <w:ind w:left="720"/>
        <w:jc w:val="both"/>
        <w:rPr>
          <w:rFonts w:cs="FrankRuehl"/>
          <w:sz w:val="28"/>
          <w:szCs w:val="28"/>
          <w:rtl/>
        </w:rPr>
      </w:pPr>
    </w:p>
    <w:p w14:paraId="401CE555" w14:textId="77777777" w:rsidR="00785ABC" w:rsidRPr="00FC459A" w:rsidRDefault="00FC459A">
      <w:pPr>
        <w:spacing w:line="360" w:lineRule="auto"/>
        <w:ind w:left="720"/>
        <w:jc w:val="both"/>
        <w:rPr>
          <w:rFonts w:cs="FrankRuehl"/>
          <w:sz w:val="28"/>
          <w:szCs w:val="28"/>
        </w:rPr>
      </w:pPr>
      <w:r w:rsidRPr="00FC459A">
        <w:rPr>
          <w:rFonts w:cs="FrankRuehl"/>
          <w:sz w:val="28"/>
          <w:szCs w:val="28"/>
          <w:rtl/>
        </w:rPr>
        <w:t>כתב האישום המקורי הוגש נגד הנאשם ונגד נאשם נוסף (להלן-חשאן) אשר הודה והורשע אף הוא במסגרת הסדר טיעון וביום 25.2.13 נדון לעונש של 45 חודשי מאסר,</w:t>
      </w:r>
      <w:r w:rsidRPr="00FC459A">
        <w:rPr>
          <w:rFonts w:cs="FrankRuehl" w:hint="cs"/>
          <w:sz w:val="28"/>
          <w:szCs w:val="28"/>
          <w:rtl/>
        </w:rPr>
        <w:t xml:space="preserve">   </w:t>
      </w:r>
      <w:r w:rsidRPr="00FC459A">
        <w:rPr>
          <w:rFonts w:cs="FrankRuehl"/>
          <w:sz w:val="28"/>
          <w:szCs w:val="28"/>
          <w:rtl/>
        </w:rPr>
        <w:t xml:space="preserve"> 12 חודשי מאסר על תנאי וקנס בשיעור של 30,000 ש"ח, ערעורו על גזר הדין נדחה ע"י בית המשפט העליון (</w:t>
      </w:r>
      <w:hyperlink r:id="rId16" w:history="1">
        <w:r w:rsidRPr="00FC459A">
          <w:rPr>
            <w:rFonts w:cs="FrankRuehl"/>
            <w:color w:val="0000FF"/>
            <w:sz w:val="28"/>
            <w:szCs w:val="28"/>
            <w:u w:val="single"/>
            <w:rtl/>
          </w:rPr>
          <w:t>ע"פ 2606/13</w:t>
        </w:r>
      </w:hyperlink>
      <w:r w:rsidRPr="00FC459A">
        <w:rPr>
          <w:rFonts w:cs="FrankRuehl"/>
          <w:sz w:val="28"/>
          <w:szCs w:val="28"/>
          <w:rtl/>
        </w:rPr>
        <w:t xml:space="preserve"> פסק דין מיום 2.2.2014).</w:t>
      </w:r>
    </w:p>
    <w:p w14:paraId="2F96CED6" w14:textId="77777777" w:rsidR="00785ABC" w:rsidRPr="00FC459A" w:rsidRDefault="00785ABC">
      <w:pPr>
        <w:spacing w:line="360" w:lineRule="auto"/>
        <w:ind w:left="720"/>
        <w:jc w:val="both"/>
        <w:rPr>
          <w:rFonts w:cs="FrankRuehl"/>
          <w:sz w:val="28"/>
          <w:szCs w:val="28"/>
          <w:rtl/>
        </w:rPr>
      </w:pPr>
    </w:p>
    <w:p w14:paraId="4789C33B" w14:textId="77777777" w:rsidR="00785ABC" w:rsidRPr="00FC459A" w:rsidRDefault="00785ABC">
      <w:pPr>
        <w:spacing w:line="360" w:lineRule="auto"/>
        <w:ind w:left="720"/>
        <w:jc w:val="both"/>
        <w:rPr>
          <w:rFonts w:cs="FrankRuehl"/>
          <w:sz w:val="28"/>
          <w:szCs w:val="28"/>
        </w:rPr>
      </w:pPr>
      <w:bookmarkStart w:id="5" w:name="ABSTRACT_END"/>
      <w:bookmarkEnd w:id="5"/>
    </w:p>
    <w:p w14:paraId="0B137FF6"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הדיון בעניינו של הנאשם נדחה מספר רב של פעמים לבקשת בא כוחו, ביום 21.10.13 הודיעו הצדדים כי הגיעו להסדר טיעון, הנאשם הופנה לשירות המבחן, והפעם נדחה הדיון לבקשת שירות המבחן, עוד יצוין כי במסגרת הסדר הטיעון עם הנאשם תוקן כתב האישום  בשנית (סומן ב'), באותו מועד כבר נגזר דינו של </w:t>
      </w:r>
      <w:r w:rsidRPr="00FC459A">
        <w:rPr>
          <w:rFonts w:cs="FrankRuehl" w:hint="cs"/>
          <w:sz w:val="28"/>
          <w:szCs w:val="28"/>
          <w:rtl/>
        </w:rPr>
        <w:t>ח</w:t>
      </w:r>
      <w:r w:rsidRPr="00FC459A">
        <w:rPr>
          <w:rFonts w:cs="FrankRuehl"/>
          <w:sz w:val="28"/>
          <w:szCs w:val="28"/>
          <w:rtl/>
        </w:rPr>
        <w:t>שאן</w:t>
      </w:r>
      <w:r w:rsidRPr="00FC459A">
        <w:rPr>
          <w:rFonts w:cs="FrankRuehl" w:hint="cs"/>
          <w:sz w:val="28"/>
          <w:szCs w:val="28"/>
          <w:rtl/>
        </w:rPr>
        <w:t xml:space="preserve">, </w:t>
      </w:r>
      <w:r w:rsidRPr="00FC459A">
        <w:rPr>
          <w:rFonts w:cs="FrankRuehl"/>
          <w:sz w:val="28"/>
          <w:szCs w:val="28"/>
          <w:rtl/>
        </w:rPr>
        <w:t>הנאשם האחר,  והוסכם כי המאשימה תצהיר כי הנאשם לא נכלל בתוכנית היעדים של הסוכן הסמוי, לא היו מידעים מודיעיניים לגביו והפנייה הראשונה לנאשם הייתה על ידי הסמוי, אשר בשיחה עם הנאשם אמר ש"אם יזדמן לו נשקים ש</w:t>
      </w:r>
      <w:r w:rsidRPr="00FC459A">
        <w:rPr>
          <w:rFonts w:cs="FrankRuehl" w:hint="cs"/>
          <w:sz w:val="28"/>
          <w:szCs w:val="28"/>
          <w:rtl/>
        </w:rPr>
        <w:t>י</w:t>
      </w:r>
      <w:r w:rsidRPr="00FC459A">
        <w:rPr>
          <w:rFonts w:cs="FrankRuehl"/>
          <w:sz w:val="28"/>
          <w:szCs w:val="28"/>
          <w:rtl/>
        </w:rPr>
        <w:t>פנה אליו".</w:t>
      </w:r>
    </w:p>
    <w:p w14:paraId="0620A576" w14:textId="77777777" w:rsidR="00785ABC" w:rsidRPr="00FC459A" w:rsidRDefault="00785ABC">
      <w:pPr>
        <w:spacing w:line="360" w:lineRule="auto"/>
        <w:ind w:left="720"/>
        <w:jc w:val="both"/>
        <w:rPr>
          <w:rFonts w:cs="FrankRuehl"/>
          <w:sz w:val="28"/>
          <w:szCs w:val="28"/>
        </w:rPr>
      </w:pPr>
    </w:p>
    <w:p w14:paraId="2D784FF9" w14:textId="77777777" w:rsidR="00785ABC" w:rsidRPr="00FC459A" w:rsidRDefault="00FC459A">
      <w:pPr>
        <w:spacing w:line="360" w:lineRule="auto"/>
        <w:ind w:left="720"/>
        <w:rPr>
          <w:rFonts w:cs="Miriam"/>
        </w:rPr>
      </w:pPr>
      <w:r w:rsidRPr="00FC459A">
        <w:rPr>
          <w:rFonts w:cs="Miriam"/>
          <w:rtl/>
        </w:rPr>
        <w:t>כתב האישום המתוקן בעניינו של הנאשם</w:t>
      </w:r>
    </w:p>
    <w:p w14:paraId="7BA0CE75" w14:textId="77777777" w:rsidR="00785ABC" w:rsidRPr="00FC459A" w:rsidRDefault="00FC459A">
      <w:pPr>
        <w:spacing w:line="360" w:lineRule="auto"/>
        <w:ind w:left="720"/>
        <w:rPr>
          <w:rFonts w:cs="FrankRuehl"/>
          <w:sz w:val="28"/>
          <w:szCs w:val="28"/>
          <w:rtl/>
        </w:rPr>
      </w:pPr>
      <w:r w:rsidRPr="00FC459A">
        <w:rPr>
          <w:rFonts w:cs="FrankRuehl"/>
          <w:sz w:val="28"/>
          <w:szCs w:val="28"/>
          <w:rtl/>
        </w:rPr>
        <w:t xml:space="preserve">לנאשם מיוחסים שני אישומים, בעבירות בנשק כהגדרתם </w:t>
      </w:r>
      <w:r w:rsidRPr="00FC459A">
        <w:rPr>
          <w:rFonts w:cs="Miriam"/>
          <w:rtl/>
        </w:rPr>
        <w:t>ב</w:t>
      </w:r>
      <w:hyperlink r:id="rId17" w:history="1">
        <w:r w:rsidRPr="00FC459A">
          <w:rPr>
            <w:rFonts w:cs="Miriam"/>
            <w:color w:val="0000FF"/>
            <w:u w:val="single"/>
            <w:rtl/>
          </w:rPr>
          <w:t>חוק העונשין</w:t>
        </w:r>
      </w:hyperlink>
      <w:r w:rsidRPr="00FC459A">
        <w:rPr>
          <w:rFonts w:cs="FrankRuehl"/>
          <w:sz w:val="28"/>
          <w:szCs w:val="28"/>
          <w:rtl/>
        </w:rPr>
        <w:t xml:space="preserve"> התשל"ז-1977 (להלן-החוק). בחלק הכללי לכתב האישום צוין כי שוטר סמוי עבד עם הנאשם בסיכת שטיפת רכבים, כי הנאשם השתמש ברכב מסוג הונדה סיוויק מ.ר. 4017217 (להלן-ההונדה) וכי חשאן נשוי לאחותו של הנאשם.</w:t>
      </w:r>
    </w:p>
    <w:p w14:paraId="631D57E3" w14:textId="77777777" w:rsidR="00785ABC" w:rsidRPr="00FC459A" w:rsidRDefault="00785ABC">
      <w:pPr>
        <w:spacing w:line="360" w:lineRule="auto"/>
        <w:ind w:left="720"/>
        <w:rPr>
          <w:rFonts w:cs="FrankRuehl"/>
          <w:sz w:val="28"/>
          <w:szCs w:val="28"/>
          <w:rtl/>
        </w:rPr>
      </w:pPr>
    </w:p>
    <w:p w14:paraId="77C18331"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אישום ראשון- </w:t>
      </w:r>
      <w:r w:rsidRPr="00FC459A">
        <w:rPr>
          <w:rFonts w:cs="FrankRuehl" w:hint="cs"/>
          <w:sz w:val="28"/>
          <w:szCs w:val="28"/>
          <w:rtl/>
        </w:rPr>
        <w:t>ה</w:t>
      </w:r>
      <w:r w:rsidRPr="00FC459A">
        <w:rPr>
          <w:rFonts w:cs="FrankRuehl"/>
          <w:sz w:val="28"/>
          <w:szCs w:val="28"/>
          <w:rtl/>
        </w:rPr>
        <w:t xml:space="preserve">שוטר </w:t>
      </w:r>
      <w:r w:rsidRPr="00FC459A">
        <w:rPr>
          <w:rFonts w:cs="FrankRuehl" w:hint="cs"/>
          <w:sz w:val="28"/>
          <w:szCs w:val="28"/>
          <w:rtl/>
        </w:rPr>
        <w:t>ה</w:t>
      </w:r>
      <w:r w:rsidRPr="00FC459A">
        <w:rPr>
          <w:rFonts w:cs="FrankRuehl"/>
          <w:sz w:val="28"/>
          <w:szCs w:val="28"/>
          <w:rtl/>
        </w:rPr>
        <w:t xml:space="preserve">סמוי </w:t>
      </w:r>
      <w:r w:rsidRPr="00FC459A">
        <w:rPr>
          <w:rFonts w:cs="FrankRuehl" w:hint="cs"/>
          <w:sz w:val="28"/>
          <w:szCs w:val="28"/>
          <w:rtl/>
        </w:rPr>
        <w:t xml:space="preserve">הנ"ל </w:t>
      </w:r>
      <w:r w:rsidRPr="00FC459A">
        <w:rPr>
          <w:rFonts w:cs="FrankRuehl"/>
          <w:sz w:val="28"/>
          <w:szCs w:val="28"/>
          <w:rtl/>
        </w:rPr>
        <w:t xml:space="preserve">נפגש עם הנאשם, שהציע למכור לסמוי שתי מחסניות של תת מקלע מסוג </w:t>
      </w:r>
      <w:r w:rsidRPr="00FC459A">
        <w:rPr>
          <w:rFonts w:cs="FrankRuehl"/>
          <w:sz w:val="20"/>
          <w:szCs w:val="20"/>
        </w:rPr>
        <w:t>M-16</w:t>
      </w:r>
      <w:r w:rsidRPr="00FC459A">
        <w:rPr>
          <w:rFonts w:cs="FrankRuehl"/>
          <w:sz w:val="28"/>
          <w:szCs w:val="28"/>
          <w:rtl/>
        </w:rPr>
        <w:t xml:space="preserve"> עם 62 כדורים, לאחר מכן שוחחו הסמוי והנאשם במקום עבודתם וסיכמו כי בתמורה למחסניות והתחמושת ישלם הסמוי 600 ש"ח ואף סיכמו על מקום מפגש לביצוע העסקה. ביום 8.4.2012 הגיע הנאשם למקום המפגש ברכב ההונדה כשלידו חשאן. הנאשם מסר לסמוי 2 מחסניות של תת מקלע</w:t>
      </w:r>
      <w:r w:rsidRPr="00FC459A">
        <w:rPr>
          <w:rFonts w:cs="FrankRuehl"/>
          <w:sz w:val="20"/>
          <w:szCs w:val="20"/>
        </w:rPr>
        <w:t xml:space="preserve"> M-16 </w:t>
      </w:r>
      <w:r w:rsidRPr="00FC459A">
        <w:rPr>
          <w:rFonts w:cs="FrankRuehl"/>
          <w:sz w:val="28"/>
          <w:szCs w:val="28"/>
          <w:rtl/>
        </w:rPr>
        <w:t xml:space="preserve"> כשבתוכן 57 כדורי תחמושת שהינם נשק, בתמורה שילם הסמוי לחשאן 600 ש"ח.</w:t>
      </w:r>
    </w:p>
    <w:p w14:paraId="55D2E5F0" w14:textId="77777777" w:rsidR="00785ABC" w:rsidRPr="00FC459A" w:rsidRDefault="00785ABC">
      <w:pPr>
        <w:spacing w:line="360" w:lineRule="auto"/>
        <w:ind w:left="720"/>
        <w:jc w:val="both"/>
        <w:rPr>
          <w:rFonts w:cs="FrankRuehl"/>
          <w:sz w:val="28"/>
          <w:szCs w:val="28"/>
          <w:rtl/>
        </w:rPr>
      </w:pPr>
    </w:p>
    <w:p w14:paraId="16CBFAD6"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אישום שני- הנאשם הודיע לסמוי כי נתבקש ע"י חשאן להציע למכור לו אקדח מסוג ברטה קצר ותחמושת.  ביום 9.6.2012 שוחחו הסמוי והנאשם, סיכמו את מחיר האקדח </w:t>
      </w:r>
      <w:r w:rsidRPr="00FC459A">
        <w:rPr>
          <w:rFonts w:cs="FrankRuehl"/>
          <w:sz w:val="28"/>
          <w:szCs w:val="28"/>
          <w:rtl/>
        </w:rPr>
        <w:lastRenderedPageBreak/>
        <w:t>והתחמושת וכי העיסקה תבוצע למחרת היום. ביום 10.6.2012, קבעו הס</w:t>
      </w:r>
      <w:r w:rsidRPr="00FC459A">
        <w:rPr>
          <w:rFonts w:cs="FrankRuehl" w:hint="cs"/>
          <w:sz w:val="28"/>
          <w:szCs w:val="28"/>
          <w:rtl/>
        </w:rPr>
        <w:t xml:space="preserve">מוי </w:t>
      </w:r>
      <w:r w:rsidRPr="00FC459A">
        <w:rPr>
          <w:rFonts w:cs="FrankRuehl"/>
          <w:sz w:val="28"/>
          <w:szCs w:val="28"/>
          <w:rtl/>
        </w:rPr>
        <w:t xml:space="preserve">והנאשם את מקום ביצוע העיסקה, הסמוי הודיע לנאשם כי ישלם רק 8,000 ש"ח ובתגובה אמר הנאשם כי הוא רק מקשר בין הסמוי לבין חשאן ואינו מרוויח כלל מהעיסקה וביקש </w:t>
      </w:r>
      <w:r w:rsidRPr="00FC459A">
        <w:rPr>
          <w:rFonts w:cs="FrankRuehl" w:hint="cs"/>
          <w:sz w:val="28"/>
          <w:szCs w:val="28"/>
          <w:rtl/>
        </w:rPr>
        <w:t>שי</w:t>
      </w:r>
      <w:r w:rsidRPr="00FC459A">
        <w:rPr>
          <w:rFonts w:cs="FrankRuehl"/>
          <w:sz w:val="28"/>
          <w:szCs w:val="28"/>
          <w:rtl/>
        </w:rPr>
        <w:t>ביא יותר מ-8,000 ש"ח. בהמשך הגיע הנאשם למקום הפגישה עם רכב ההונדה ומסר ל</w:t>
      </w:r>
      <w:r w:rsidRPr="00FC459A">
        <w:rPr>
          <w:rFonts w:cs="FrankRuehl" w:hint="cs"/>
          <w:sz w:val="28"/>
          <w:szCs w:val="28"/>
          <w:rtl/>
        </w:rPr>
        <w:t xml:space="preserve">סמוי </w:t>
      </w:r>
      <w:r w:rsidRPr="00FC459A">
        <w:rPr>
          <w:rFonts w:cs="FrankRuehl"/>
          <w:sz w:val="28"/>
          <w:szCs w:val="28"/>
          <w:rtl/>
        </w:rPr>
        <w:t xml:space="preserve">אקדח ברטה 9 מ"מ עם מחסנית ו-8 כדורים ובתמורה קיבל מהסוכן </w:t>
      </w:r>
      <w:r w:rsidRPr="00FC459A">
        <w:rPr>
          <w:rFonts w:cs="FrankRuehl" w:hint="cs"/>
          <w:sz w:val="28"/>
          <w:szCs w:val="28"/>
          <w:rtl/>
        </w:rPr>
        <w:t xml:space="preserve">הסמוי      </w:t>
      </w:r>
      <w:r w:rsidRPr="00FC459A">
        <w:rPr>
          <w:rFonts w:cs="FrankRuehl"/>
          <w:sz w:val="28"/>
          <w:szCs w:val="28"/>
          <w:rtl/>
        </w:rPr>
        <w:t>8,500 ש"ח.</w:t>
      </w:r>
    </w:p>
    <w:p w14:paraId="2A62A4A2" w14:textId="77777777" w:rsidR="00785ABC" w:rsidRPr="00FC459A" w:rsidRDefault="00785ABC">
      <w:pPr>
        <w:spacing w:line="360" w:lineRule="auto"/>
        <w:ind w:left="720"/>
        <w:jc w:val="both"/>
        <w:rPr>
          <w:rFonts w:cs="FrankRuehl"/>
          <w:sz w:val="28"/>
          <w:szCs w:val="28"/>
        </w:rPr>
      </w:pPr>
    </w:p>
    <w:p w14:paraId="255299DE"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בהתאם להודאתו הורשע הנאשם בעבירה של החזקת נשק שלא כדין-עבירה לפי סעיפים </w:t>
      </w:r>
      <w:hyperlink r:id="rId18" w:history="1">
        <w:r w:rsidR="00AA3F1E" w:rsidRPr="00AA3F1E">
          <w:rPr>
            <w:rFonts w:cs="FrankRuehl"/>
            <w:color w:val="0000FF"/>
            <w:sz w:val="28"/>
            <w:szCs w:val="28"/>
            <w:u w:val="single"/>
            <w:rtl/>
          </w:rPr>
          <w:t>144(א)(</w:t>
        </w:r>
      </w:hyperlink>
      <w:r w:rsidRPr="00FC459A">
        <w:rPr>
          <w:rFonts w:cs="FrankRuehl"/>
          <w:sz w:val="28"/>
          <w:szCs w:val="28"/>
          <w:rtl/>
        </w:rPr>
        <w:t>סיפ</w:t>
      </w:r>
      <w:r w:rsidRPr="00FC459A">
        <w:rPr>
          <w:rFonts w:cs="FrankRuehl" w:hint="cs"/>
          <w:sz w:val="28"/>
          <w:szCs w:val="28"/>
          <w:rtl/>
        </w:rPr>
        <w:t>ה</w:t>
      </w:r>
      <w:r w:rsidRPr="00FC459A">
        <w:rPr>
          <w:rFonts w:cs="FrankRuehl"/>
          <w:sz w:val="28"/>
          <w:szCs w:val="28"/>
          <w:rtl/>
        </w:rPr>
        <w:t>)+</w:t>
      </w:r>
      <w:hyperlink r:id="rId19" w:history="1">
        <w:r w:rsidR="00AA3F1E" w:rsidRPr="00AA3F1E">
          <w:rPr>
            <w:rFonts w:cs="FrankRuehl"/>
            <w:color w:val="0000FF"/>
            <w:sz w:val="28"/>
            <w:szCs w:val="28"/>
            <w:u w:val="single"/>
            <w:rtl/>
          </w:rPr>
          <w:t>144(ג</w:t>
        </w:r>
      </w:hyperlink>
      <w:r w:rsidRPr="00FC459A">
        <w:rPr>
          <w:rFonts w:cs="FrankRuehl"/>
          <w:sz w:val="28"/>
          <w:szCs w:val="28"/>
          <w:rtl/>
        </w:rPr>
        <w:t>)+</w:t>
      </w:r>
      <w:hyperlink r:id="rId20" w:history="1">
        <w:r w:rsidR="00AA3F1E" w:rsidRPr="00AA3F1E">
          <w:rPr>
            <w:rFonts w:cs="FrankRuehl"/>
            <w:color w:val="0000FF"/>
            <w:sz w:val="28"/>
            <w:szCs w:val="28"/>
            <w:u w:val="single"/>
            <w:rtl/>
          </w:rPr>
          <w:t>29</w:t>
        </w:r>
      </w:hyperlink>
      <w:r w:rsidRPr="00FC459A">
        <w:rPr>
          <w:rFonts w:cs="FrankRuehl"/>
          <w:sz w:val="28"/>
          <w:szCs w:val="28"/>
          <w:rtl/>
        </w:rPr>
        <w:t xml:space="preserve"> לחוק, עבירה  של החזקת נשק שלא כדין- עבירה לפי </w:t>
      </w:r>
      <w:hyperlink r:id="rId21" w:history="1">
        <w:r w:rsidR="00AA3F1E" w:rsidRPr="00AA3F1E">
          <w:rPr>
            <w:rFonts w:cs="FrankRuehl"/>
            <w:color w:val="0000FF"/>
            <w:sz w:val="28"/>
            <w:szCs w:val="28"/>
            <w:u w:val="single"/>
            <w:rtl/>
          </w:rPr>
          <w:t>סעיפים 144(א)</w:t>
        </w:r>
      </w:hyperlink>
      <w:r w:rsidRPr="00FC459A">
        <w:rPr>
          <w:rFonts w:cs="FrankRuehl"/>
          <w:sz w:val="28"/>
          <w:szCs w:val="28"/>
          <w:rtl/>
        </w:rPr>
        <w:t xml:space="preserve"> (רישה+סיפה)+</w:t>
      </w:r>
      <w:hyperlink r:id="rId22" w:history="1">
        <w:r w:rsidR="00AA3F1E" w:rsidRPr="00AA3F1E">
          <w:rPr>
            <w:rFonts w:cs="FrankRuehl"/>
            <w:color w:val="0000FF"/>
            <w:sz w:val="28"/>
            <w:szCs w:val="28"/>
            <w:u w:val="single"/>
            <w:rtl/>
          </w:rPr>
          <w:t>144(ג)</w:t>
        </w:r>
      </w:hyperlink>
      <w:r w:rsidRPr="00FC459A">
        <w:rPr>
          <w:rFonts w:cs="FrankRuehl"/>
          <w:sz w:val="28"/>
          <w:szCs w:val="28"/>
          <w:rtl/>
        </w:rPr>
        <w:t xml:space="preserve"> לחוק, שתי עבירות של סחר בנשק שלא כדין-עבירה לפי </w:t>
      </w:r>
      <w:hyperlink r:id="rId23" w:history="1">
        <w:r w:rsidR="00AA3F1E" w:rsidRPr="00AA3F1E">
          <w:rPr>
            <w:rStyle w:val="Hyperlink"/>
            <w:rFonts w:cs="FrankRuehl"/>
            <w:sz w:val="28"/>
            <w:szCs w:val="28"/>
            <w:rtl/>
          </w:rPr>
          <w:t>סעיפים 144(ב2)</w:t>
        </w:r>
      </w:hyperlink>
      <w:r w:rsidRPr="00FC459A">
        <w:rPr>
          <w:rFonts w:cs="FrankRuehl"/>
          <w:sz w:val="28"/>
          <w:szCs w:val="28"/>
          <w:rtl/>
        </w:rPr>
        <w:t>+</w:t>
      </w:r>
      <w:hyperlink r:id="rId24" w:history="1">
        <w:r w:rsidR="00AA3F1E" w:rsidRPr="00AA3F1E">
          <w:rPr>
            <w:rFonts w:cs="FrankRuehl"/>
            <w:color w:val="0000FF"/>
            <w:sz w:val="28"/>
            <w:szCs w:val="28"/>
            <w:u w:val="single"/>
            <w:rtl/>
          </w:rPr>
          <w:t>144(ג)+</w:t>
        </w:r>
      </w:hyperlink>
      <w:hyperlink r:id="rId25" w:history="1">
        <w:r w:rsidR="00AA3F1E" w:rsidRPr="00AA3F1E">
          <w:rPr>
            <w:rFonts w:cs="FrankRuehl"/>
            <w:color w:val="0000FF"/>
            <w:sz w:val="28"/>
            <w:szCs w:val="28"/>
            <w:u w:val="single"/>
            <w:rtl/>
          </w:rPr>
          <w:t>29</w:t>
        </w:r>
      </w:hyperlink>
      <w:r w:rsidRPr="00FC459A">
        <w:rPr>
          <w:rFonts w:cs="FrankRuehl"/>
          <w:sz w:val="28"/>
          <w:szCs w:val="28"/>
          <w:rtl/>
        </w:rPr>
        <w:t xml:space="preserve"> לחוק (העבירה השנייה לא על פי </w:t>
      </w:r>
      <w:hyperlink r:id="rId26" w:history="1">
        <w:r w:rsidR="00AA3F1E" w:rsidRPr="00AA3F1E">
          <w:rPr>
            <w:rFonts w:cs="FrankRuehl"/>
            <w:color w:val="0000FF"/>
            <w:sz w:val="28"/>
            <w:szCs w:val="28"/>
            <w:u w:val="single"/>
            <w:rtl/>
          </w:rPr>
          <w:t>סעיף 29)</w:t>
        </w:r>
      </w:hyperlink>
      <w:r w:rsidRPr="00FC459A">
        <w:rPr>
          <w:rFonts w:cs="FrankRuehl"/>
          <w:sz w:val="28"/>
          <w:szCs w:val="28"/>
          <w:rtl/>
        </w:rPr>
        <w:t xml:space="preserve">, עבירה של נשיאה והובלת נשק- עבירה לפי סעיפים </w:t>
      </w:r>
      <w:hyperlink r:id="rId27" w:history="1">
        <w:r w:rsidR="00AA3F1E" w:rsidRPr="00AA3F1E">
          <w:rPr>
            <w:rFonts w:cs="FrankRuehl"/>
            <w:color w:val="0000FF"/>
            <w:sz w:val="28"/>
            <w:szCs w:val="28"/>
            <w:u w:val="single"/>
            <w:rtl/>
          </w:rPr>
          <w:t>144(ב)(</w:t>
        </w:r>
      </w:hyperlink>
      <w:r w:rsidRPr="00FC459A">
        <w:rPr>
          <w:rFonts w:cs="FrankRuehl"/>
          <w:sz w:val="28"/>
          <w:szCs w:val="28"/>
          <w:rtl/>
        </w:rPr>
        <w:t>סיפה)+</w:t>
      </w:r>
      <w:hyperlink r:id="rId28" w:history="1">
        <w:r w:rsidR="00AA3F1E" w:rsidRPr="00AA3F1E">
          <w:rPr>
            <w:rFonts w:cs="FrankRuehl"/>
            <w:color w:val="0000FF"/>
            <w:sz w:val="28"/>
            <w:szCs w:val="28"/>
            <w:u w:val="single"/>
            <w:rtl/>
          </w:rPr>
          <w:t>144(ג)+</w:t>
        </w:r>
      </w:hyperlink>
      <w:hyperlink r:id="rId29" w:history="1">
        <w:r w:rsidR="00AA3F1E" w:rsidRPr="00AA3F1E">
          <w:rPr>
            <w:rFonts w:cs="FrankRuehl"/>
            <w:color w:val="0000FF"/>
            <w:sz w:val="28"/>
            <w:szCs w:val="28"/>
            <w:u w:val="single"/>
            <w:rtl/>
          </w:rPr>
          <w:t>29</w:t>
        </w:r>
      </w:hyperlink>
      <w:r w:rsidRPr="00FC459A">
        <w:rPr>
          <w:rFonts w:cs="FrankRuehl"/>
          <w:sz w:val="28"/>
          <w:szCs w:val="28"/>
          <w:rtl/>
        </w:rPr>
        <w:t xml:space="preserve"> לחוק ועבירה של נשיאה והובלת נשק- עבירה לפי סעיפים </w:t>
      </w:r>
      <w:hyperlink r:id="rId30" w:history="1">
        <w:r w:rsidR="00AA3F1E" w:rsidRPr="00AA3F1E">
          <w:rPr>
            <w:rFonts w:cs="FrankRuehl"/>
            <w:color w:val="0000FF"/>
            <w:sz w:val="28"/>
            <w:szCs w:val="28"/>
            <w:u w:val="single"/>
            <w:rtl/>
          </w:rPr>
          <w:t>144(ב)(</w:t>
        </w:r>
      </w:hyperlink>
      <w:r w:rsidRPr="00FC459A">
        <w:rPr>
          <w:rFonts w:cs="FrankRuehl"/>
          <w:sz w:val="28"/>
          <w:szCs w:val="28"/>
          <w:rtl/>
        </w:rPr>
        <w:t>רישה +סיפה)+</w:t>
      </w:r>
      <w:hyperlink r:id="rId31" w:history="1">
        <w:r w:rsidR="00AA3F1E" w:rsidRPr="00AA3F1E">
          <w:rPr>
            <w:rFonts w:cs="FrankRuehl"/>
            <w:color w:val="0000FF"/>
            <w:sz w:val="28"/>
            <w:szCs w:val="28"/>
            <w:u w:val="single"/>
            <w:rtl/>
          </w:rPr>
          <w:t>144(ג)</w:t>
        </w:r>
      </w:hyperlink>
      <w:r w:rsidRPr="00FC459A">
        <w:rPr>
          <w:rFonts w:cs="FrankRuehl"/>
          <w:sz w:val="28"/>
          <w:szCs w:val="28"/>
          <w:rtl/>
        </w:rPr>
        <w:t xml:space="preserve"> לחוק.</w:t>
      </w:r>
    </w:p>
    <w:p w14:paraId="6CE5AA45" w14:textId="77777777" w:rsidR="00785ABC" w:rsidRPr="00FC459A" w:rsidRDefault="00785ABC">
      <w:pPr>
        <w:spacing w:line="360" w:lineRule="auto"/>
        <w:ind w:left="720"/>
        <w:jc w:val="both"/>
        <w:rPr>
          <w:rFonts w:cs="FrankRuehl"/>
          <w:sz w:val="28"/>
          <w:szCs w:val="28"/>
          <w:rtl/>
        </w:rPr>
      </w:pPr>
    </w:p>
    <w:p w14:paraId="41C203FD" w14:textId="77777777" w:rsidR="00785ABC" w:rsidRPr="00FC459A" w:rsidRDefault="00FC459A">
      <w:pPr>
        <w:spacing w:line="360" w:lineRule="auto"/>
        <w:ind w:left="720"/>
        <w:jc w:val="both"/>
        <w:rPr>
          <w:rFonts w:cs="Miriam"/>
          <w:rtl/>
        </w:rPr>
      </w:pPr>
      <w:r w:rsidRPr="00FC459A">
        <w:rPr>
          <w:rFonts w:cs="Miriam"/>
          <w:rtl/>
        </w:rPr>
        <w:t>ראיות לעונש</w:t>
      </w:r>
    </w:p>
    <w:p w14:paraId="4B1FE28B"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לנאשם אין רישום פלילי.</w:t>
      </w:r>
    </w:p>
    <w:p w14:paraId="2142BBF9" w14:textId="77777777" w:rsidR="00785ABC" w:rsidRPr="00FC459A" w:rsidRDefault="00785ABC">
      <w:pPr>
        <w:spacing w:line="360" w:lineRule="auto"/>
        <w:ind w:left="720"/>
        <w:jc w:val="both"/>
        <w:rPr>
          <w:rFonts w:cs="FrankRuehl"/>
          <w:sz w:val="28"/>
          <w:szCs w:val="28"/>
          <w:rtl/>
        </w:rPr>
      </w:pPr>
    </w:p>
    <w:p w14:paraId="18321241"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מטעם הנאשם הוגשה חוות דעת של פסיכיאטרית, דר' לילי מץ (סומנה ס/1) אשר לפי בדיקות שערכה לנאשם התרשמה כי  לנאשם דפוסי חשיבה ודפוסי התנהגות של הפרעת אישיות תלותית לא בשלה, בנוסף למסקנות ודעות בקשר לסיבת פעולתו וכנות חרטתו.</w:t>
      </w:r>
    </w:p>
    <w:p w14:paraId="53F31670" w14:textId="77777777" w:rsidR="00785ABC" w:rsidRPr="00FC459A" w:rsidRDefault="00785ABC">
      <w:pPr>
        <w:spacing w:line="360" w:lineRule="auto"/>
        <w:ind w:left="720"/>
        <w:jc w:val="both"/>
        <w:rPr>
          <w:rFonts w:cs="FrankRuehl"/>
          <w:sz w:val="28"/>
          <w:szCs w:val="28"/>
          <w:rtl/>
        </w:rPr>
      </w:pPr>
    </w:p>
    <w:p w14:paraId="2FB0A3D3" w14:textId="77777777" w:rsidR="00785ABC" w:rsidRPr="00FC459A" w:rsidRDefault="00FC459A">
      <w:pPr>
        <w:spacing w:line="360" w:lineRule="auto"/>
        <w:ind w:left="360" w:firstLine="360"/>
        <w:jc w:val="both"/>
        <w:rPr>
          <w:rFonts w:cs="Miriam"/>
        </w:rPr>
      </w:pPr>
      <w:r w:rsidRPr="00FC459A">
        <w:rPr>
          <w:rFonts w:cs="Miriam"/>
          <w:rtl/>
        </w:rPr>
        <w:t>תסקיר שירות המבחן</w:t>
      </w:r>
    </w:p>
    <w:p w14:paraId="2689A707"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קצין המבחן למבוגרים, התרשם כי שליחת הנאשם לריצוי מאסר בפועל עלולה להביא לרגרסיה במצבו ותחשוף אותו לנורמות וערכים א-סוציאליים בתוך כתלי הכלא, במיוחד לאור מאפייני אישיותו התלותית והבלתי בשלה, לכן המליץ להעדיף את האופציה השיקומית על האופציה העונשית, להטיל על הנאשם צו מבחן למשך שנה וחצי במהלכו ישולב בתוכנית טיפולית, מאסר שירוצה בעבודות שירות וענישה מותנית.</w:t>
      </w:r>
    </w:p>
    <w:p w14:paraId="09D97510" w14:textId="77777777" w:rsidR="00785ABC" w:rsidRPr="00FC459A" w:rsidRDefault="00785ABC">
      <w:pPr>
        <w:spacing w:line="360" w:lineRule="auto"/>
        <w:ind w:left="720"/>
        <w:jc w:val="both"/>
        <w:rPr>
          <w:rFonts w:cs="FrankRuehl"/>
          <w:sz w:val="28"/>
          <w:szCs w:val="28"/>
        </w:rPr>
      </w:pPr>
    </w:p>
    <w:p w14:paraId="766C9F28" w14:textId="77777777" w:rsidR="00785ABC" w:rsidRPr="00FC459A" w:rsidRDefault="00FC459A">
      <w:pPr>
        <w:spacing w:line="360" w:lineRule="auto"/>
        <w:ind w:left="360" w:firstLine="360"/>
        <w:jc w:val="both"/>
        <w:rPr>
          <w:rFonts w:cs="Miriam"/>
        </w:rPr>
      </w:pPr>
      <w:r w:rsidRPr="00FC459A">
        <w:rPr>
          <w:rFonts w:cs="Miriam"/>
          <w:rtl/>
        </w:rPr>
        <w:t>תמצית טענות הצדדים</w:t>
      </w:r>
    </w:p>
    <w:p w14:paraId="4022B226" w14:textId="77777777" w:rsidR="00785ABC" w:rsidRPr="00FC459A" w:rsidRDefault="00FC459A">
      <w:pPr>
        <w:numPr>
          <w:ilvl w:val="0"/>
          <w:numId w:val="1"/>
        </w:numPr>
        <w:spacing w:line="360" w:lineRule="auto"/>
        <w:jc w:val="both"/>
        <w:rPr>
          <w:rFonts w:cs="FrankRuehl"/>
          <w:sz w:val="28"/>
          <w:szCs w:val="28"/>
        </w:rPr>
      </w:pPr>
      <w:bookmarkStart w:id="6" w:name="FirstLawyer"/>
      <w:r w:rsidRPr="00FC459A">
        <w:rPr>
          <w:rFonts w:cs="FrankRuehl"/>
          <w:sz w:val="28"/>
          <w:szCs w:val="28"/>
          <w:rtl/>
        </w:rPr>
        <w:t>ב"כ</w:t>
      </w:r>
      <w:bookmarkEnd w:id="6"/>
      <w:r w:rsidRPr="00FC459A">
        <w:rPr>
          <w:rFonts w:cs="FrankRuehl"/>
          <w:sz w:val="28"/>
          <w:szCs w:val="28"/>
          <w:rtl/>
        </w:rPr>
        <w:t xml:space="preserve"> המאשימה בטיעוניו בכתב (ט/1), העריך כי מתחם העונש ההולם בכל אישום עומד על 3-7 שנות מאסר בנוסף לקנס כספי כבד וביקש להטיל על הנאשם, עונש מאסר בפועל ברף העליון של המתחם, עונש של מאסר על תנאי מרתיע וקנס כבד שיגלם את הסכום שקיבל מידי הסוכן (9,100 ש"ח) וההשקעה הרבה שהשקיעה המשטרה בחקירת הפרשה. </w:t>
      </w:r>
    </w:p>
    <w:p w14:paraId="0E1935F2" w14:textId="77777777" w:rsidR="00785ABC" w:rsidRPr="00FC459A" w:rsidRDefault="00785ABC">
      <w:pPr>
        <w:spacing w:line="360" w:lineRule="auto"/>
        <w:ind w:left="720"/>
        <w:jc w:val="both"/>
        <w:rPr>
          <w:rFonts w:cs="FrankRuehl"/>
          <w:sz w:val="28"/>
          <w:szCs w:val="28"/>
        </w:rPr>
      </w:pPr>
    </w:p>
    <w:p w14:paraId="78374C18" w14:textId="77777777" w:rsidR="00785ABC" w:rsidRPr="00FC459A" w:rsidRDefault="00FC459A">
      <w:pPr>
        <w:spacing w:line="360" w:lineRule="auto"/>
        <w:ind w:left="720"/>
        <w:jc w:val="both"/>
        <w:rPr>
          <w:rFonts w:cs="FrankRuehl"/>
          <w:sz w:val="28"/>
          <w:szCs w:val="28"/>
        </w:rPr>
      </w:pPr>
      <w:r w:rsidRPr="00FC459A">
        <w:rPr>
          <w:rFonts w:cs="FrankRuehl"/>
          <w:sz w:val="28"/>
          <w:szCs w:val="28"/>
          <w:rtl/>
        </w:rPr>
        <w:t>בטיעוניו שם דגש על חומרת המעשים ועל העובדה כי המעשים המתוארים באישום הראשון היו פרי תכנונו, יוזמתו וביצועו של הנאשם שהיה הרוח החיה מאחורי אישום זה. לתמיכה בטיעוניו ניתח פסקי דין שונים המתארים את מדיניות הענישה הנוהגת בגין עבירות אלו, לעני</w:t>
      </w:r>
      <w:r w:rsidRPr="00FC459A">
        <w:rPr>
          <w:rFonts w:cs="FrankRuehl" w:hint="cs"/>
          <w:sz w:val="28"/>
          <w:szCs w:val="28"/>
          <w:rtl/>
        </w:rPr>
        <w:t>י</w:t>
      </w:r>
      <w:r w:rsidRPr="00FC459A">
        <w:rPr>
          <w:rFonts w:cs="FrankRuehl"/>
          <w:sz w:val="28"/>
          <w:szCs w:val="28"/>
          <w:rtl/>
        </w:rPr>
        <w:t>ן טענת הנאשם בדבר חלקו של הסוכן הסמוי, הבהיר ב"כ המאשימה כי רק הפניה הראשונית ה</w:t>
      </w:r>
      <w:r w:rsidRPr="00FC459A">
        <w:rPr>
          <w:rFonts w:cs="FrankRuehl" w:hint="cs"/>
          <w:sz w:val="28"/>
          <w:szCs w:val="28"/>
          <w:rtl/>
        </w:rPr>
        <w:t>י</w:t>
      </w:r>
      <w:r w:rsidRPr="00FC459A">
        <w:rPr>
          <w:rFonts w:cs="FrankRuehl"/>
          <w:sz w:val="28"/>
          <w:szCs w:val="28"/>
          <w:rtl/>
        </w:rPr>
        <w:t xml:space="preserve">יתה מצידו של הסוכן ויש לראות כי הנאשם יזם את העיסקה המתוארת באישום השני ולמעשה לא מדובר במעידה חד פעמית, אלא מעורבות פלילית שנמשכה יותר מחודשיים. </w:t>
      </w:r>
      <w:r w:rsidRPr="00FC459A">
        <w:rPr>
          <w:rFonts w:cs="FrankRuehl" w:hint="cs"/>
          <w:sz w:val="28"/>
          <w:szCs w:val="28"/>
          <w:rtl/>
        </w:rPr>
        <w:t>ב</w:t>
      </w:r>
      <w:r w:rsidRPr="00FC459A">
        <w:rPr>
          <w:rFonts w:cs="FrankRuehl"/>
          <w:sz w:val="28"/>
          <w:szCs w:val="28"/>
          <w:rtl/>
        </w:rPr>
        <w:t xml:space="preserve">פסקי דין </w:t>
      </w:r>
      <w:r w:rsidRPr="00FC459A">
        <w:rPr>
          <w:rFonts w:cs="FrankRuehl" w:hint="cs"/>
          <w:sz w:val="28"/>
          <w:szCs w:val="28"/>
          <w:rtl/>
        </w:rPr>
        <w:t>ה</w:t>
      </w:r>
      <w:r w:rsidRPr="00FC459A">
        <w:rPr>
          <w:rFonts w:cs="FrankRuehl"/>
          <w:sz w:val="28"/>
          <w:szCs w:val="28"/>
          <w:rtl/>
        </w:rPr>
        <w:t xml:space="preserve">שונים </w:t>
      </w:r>
      <w:r w:rsidRPr="00FC459A">
        <w:rPr>
          <w:rFonts w:cs="FrankRuehl" w:hint="cs"/>
          <w:sz w:val="28"/>
          <w:szCs w:val="28"/>
          <w:rtl/>
        </w:rPr>
        <w:t xml:space="preserve">אליהם הפנה </w:t>
      </w:r>
      <w:r w:rsidRPr="00FC459A">
        <w:rPr>
          <w:rFonts w:cs="FrankRuehl"/>
          <w:sz w:val="28"/>
          <w:szCs w:val="28"/>
          <w:rtl/>
        </w:rPr>
        <w:t>הוטלו עונשים בגין עבירת סחר בנשק</w:t>
      </w:r>
      <w:r w:rsidRPr="00FC459A">
        <w:rPr>
          <w:rFonts w:cs="FrankRuehl" w:hint="cs"/>
          <w:sz w:val="28"/>
          <w:szCs w:val="28"/>
          <w:rtl/>
        </w:rPr>
        <w:t xml:space="preserve"> </w:t>
      </w:r>
      <w:r w:rsidRPr="00FC459A">
        <w:rPr>
          <w:rFonts w:cs="FrankRuehl"/>
          <w:sz w:val="28"/>
          <w:szCs w:val="28"/>
          <w:rtl/>
        </w:rPr>
        <w:t>של</w:t>
      </w:r>
      <w:r w:rsidRPr="00FC459A">
        <w:rPr>
          <w:rFonts w:cs="FrankRuehl" w:hint="cs"/>
          <w:sz w:val="28"/>
          <w:szCs w:val="28"/>
          <w:rtl/>
        </w:rPr>
        <w:t xml:space="preserve">: </w:t>
      </w:r>
      <w:r w:rsidRPr="00FC459A">
        <w:rPr>
          <w:rFonts w:cs="FrankRuehl"/>
          <w:sz w:val="28"/>
          <w:szCs w:val="28"/>
          <w:rtl/>
        </w:rPr>
        <w:t>3, 4 שנות מאסר ו-50, 54 ו-45 חודשי מאסר ועונשים דומים נוספים.</w:t>
      </w:r>
    </w:p>
    <w:p w14:paraId="7C6F23FC" w14:textId="77777777" w:rsidR="00785ABC" w:rsidRPr="00FC459A" w:rsidRDefault="00785ABC">
      <w:pPr>
        <w:spacing w:line="360" w:lineRule="auto"/>
        <w:ind w:left="720"/>
        <w:jc w:val="both"/>
        <w:rPr>
          <w:rFonts w:cs="FrankRuehl"/>
          <w:sz w:val="28"/>
          <w:szCs w:val="28"/>
        </w:rPr>
      </w:pPr>
    </w:p>
    <w:p w14:paraId="4EC470B5" w14:textId="77777777" w:rsidR="00785ABC" w:rsidRPr="00FC459A" w:rsidRDefault="00FC459A">
      <w:pPr>
        <w:numPr>
          <w:ilvl w:val="0"/>
          <w:numId w:val="1"/>
        </w:numPr>
        <w:spacing w:line="360" w:lineRule="auto"/>
        <w:jc w:val="both"/>
        <w:rPr>
          <w:rFonts w:cs="FrankRuehl"/>
          <w:sz w:val="28"/>
          <w:szCs w:val="28"/>
        </w:rPr>
      </w:pPr>
      <w:r w:rsidRPr="00FC459A">
        <w:rPr>
          <w:rFonts w:cs="FrankRuehl"/>
          <w:sz w:val="28"/>
          <w:szCs w:val="28"/>
          <w:rtl/>
        </w:rPr>
        <w:t>ב"כ הנאשם ביקש לדחות את מתן גזר הדין עד קבלת דיווח ראשוני משירות המבחן לגבי השתלבותו של הנאשם בהליך טיפולי ששירות המבחן המליץ עליו</w:t>
      </w:r>
      <w:r w:rsidRPr="00FC459A">
        <w:rPr>
          <w:rFonts w:cs="FrankRuehl" w:hint="cs"/>
          <w:sz w:val="28"/>
          <w:szCs w:val="28"/>
          <w:rtl/>
        </w:rPr>
        <w:t xml:space="preserve"> כפי שנעשה ע"י כב' השופט מ' גלעד בתיק אחר, תיק 36272-01-13 (במהלך הטיעון הציג הסנגור את ההחלטה וכתב האישום, בהמשך גם את תסקיר שירות המבחן מאותו תיק)</w:t>
      </w:r>
      <w:r w:rsidRPr="00FC459A">
        <w:rPr>
          <w:rFonts w:cs="FrankRuehl"/>
          <w:sz w:val="28"/>
          <w:szCs w:val="28"/>
          <w:rtl/>
        </w:rPr>
        <w:t xml:space="preserve">.  לחלופין הזכיר כי לעולם הענישה היא אינדיווידואלית ולכן ביקש לשקול אפשרות של הטלת עונש מאסר בעבודות שירות או מאסר מינימאלי שייקח בחשבון גם את החודשיים שהנאשם היה עצור בתיק זה. </w:t>
      </w:r>
    </w:p>
    <w:p w14:paraId="6124BAD3" w14:textId="77777777" w:rsidR="00785ABC" w:rsidRPr="00FC459A" w:rsidRDefault="00785ABC">
      <w:pPr>
        <w:spacing w:line="360" w:lineRule="auto"/>
        <w:ind w:left="720"/>
        <w:jc w:val="both"/>
        <w:rPr>
          <w:rFonts w:cs="FrankRuehl"/>
          <w:sz w:val="28"/>
          <w:szCs w:val="28"/>
          <w:rtl/>
        </w:rPr>
      </w:pPr>
    </w:p>
    <w:p w14:paraId="59202025"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לדעתו יש להטיל על הנאשם קנס, אך בעת קביעת גובהו ומועד תחילת התשלום, יש למנוע סיכול יתר רכיבי הענישה. </w:t>
      </w:r>
    </w:p>
    <w:p w14:paraId="407E1012"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דגש מיוחד שם הסנגור על חוות דעת המומחית דר' מץ שלא נסתרה ואשר הוגשה בהסכמה ללא חקירה ועל תסקיר שירות המבחן. לטענתו בהתאם לעובדות כתב האישום המתוקן, לא ניתן לטעון כטענת המאשימה כי הנאשם היה דומיננטי יותר </w:t>
      </w:r>
      <w:r w:rsidRPr="00FC459A">
        <w:rPr>
          <w:rFonts w:cs="FrankRuehl" w:hint="cs"/>
          <w:sz w:val="28"/>
          <w:szCs w:val="28"/>
          <w:rtl/>
        </w:rPr>
        <w:t xml:space="preserve">מחשאן, </w:t>
      </w:r>
      <w:r w:rsidRPr="00FC459A">
        <w:rPr>
          <w:rFonts w:cs="FrankRuehl"/>
          <w:sz w:val="28"/>
          <w:szCs w:val="28"/>
          <w:rtl/>
        </w:rPr>
        <w:t>לטענתו שני הנאשמים היו דומיננט</w:t>
      </w:r>
      <w:r w:rsidRPr="00FC459A">
        <w:rPr>
          <w:rFonts w:cs="FrankRuehl" w:hint="cs"/>
          <w:sz w:val="28"/>
          <w:szCs w:val="28"/>
          <w:rtl/>
        </w:rPr>
        <w:t>י</w:t>
      </w:r>
      <w:r w:rsidRPr="00FC459A">
        <w:rPr>
          <w:rFonts w:cs="FrankRuehl"/>
          <w:sz w:val="28"/>
          <w:szCs w:val="28"/>
          <w:rtl/>
        </w:rPr>
        <w:t>ים באותה מידה, אך בהתאם להסדר הטיעון, יש להתחשב בשלושת הצהרות המאשימה כפי שפורטו בהסדר</w:t>
      </w:r>
      <w:r w:rsidRPr="00FC459A">
        <w:rPr>
          <w:rFonts w:cs="FrankRuehl" w:hint="cs"/>
          <w:sz w:val="28"/>
          <w:szCs w:val="28"/>
          <w:rtl/>
        </w:rPr>
        <w:t xml:space="preserve">.  </w:t>
      </w:r>
      <w:r w:rsidRPr="00FC459A">
        <w:rPr>
          <w:rFonts w:cs="FrankRuehl"/>
          <w:sz w:val="28"/>
          <w:szCs w:val="28"/>
          <w:rtl/>
        </w:rPr>
        <w:t xml:space="preserve">בשל כך </w:t>
      </w:r>
      <w:r w:rsidRPr="00FC459A">
        <w:rPr>
          <w:rFonts w:cs="FrankRuehl" w:hint="cs"/>
          <w:sz w:val="28"/>
          <w:szCs w:val="28"/>
          <w:rtl/>
        </w:rPr>
        <w:t>ו</w:t>
      </w:r>
      <w:r w:rsidRPr="00FC459A">
        <w:rPr>
          <w:rFonts w:cs="FrankRuehl"/>
          <w:sz w:val="28"/>
          <w:szCs w:val="28"/>
          <w:rtl/>
        </w:rPr>
        <w:t xml:space="preserve">בהתאם להלכות שנקבעו ע"י בית המשפט העליון יש להקל בעונשו של הנאשם. </w:t>
      </w:r>
    </w:p>
    <w:p w14:paraId="3F3B5A35" w14:textId="77777777" w:rsidR="00785ABC" w:rsidRPr="00FC459A" w:rsidRDefault="00FC459A">
      <w:pPr>
        <w:spacing w:line="360" w:lineRule="auto"/>
        <w:ind w:left="720"/>
        <w:jc w:val="both"/>
        <w:rPr>
          <w:rFonts w:cs="FrankRuehl"/>
          <w:sz w:val="28"/>
          <w:szCs w:val="28"/>
        </w:rPr>
      </w:pPr>
      <w:r w:rsidRPr="00FC459A">
        <w:rPr>
          <w:rFonts w:cs="FrankRuehl"/>
          <w:sz w:val="28"/>
          <w:szCs w:val="28"/>
          <w:rtl/>
        </w:rPr>
        <w:t>לתמיכה בטיעוניו לעני</w:t>
      </w:r>
      <w:r w:rsidRPr="00FC459A">
        <w:rPr>
          <w:rFonts w:cs="FrankRuehl" w:hint="cs"/>
          <w:sz w:val="28"/>
          <w:szCs w:val="28"/>
          <w:rtl/>
        </w:rPr>
        <w:t>י</w:t>
      </w:r>
      <w:r w:rsidRPr="00FC459A">
        <w:rPr>
          <w:rFonts w:cs="FrankRuehl"/>
          <w:sz w:val="28"/>
          <w:szCs w:val="28"/>
          <w:rtl/>
        </w:rPr>
        <w:t>ן רמת הענישה הפנה לפסקי דין שונים, בהם נעשו אבחנות בין נאשמים ובחלקם הוטלו עונשים של 10 חודשים (בשל מניעה ספציפית להסתפק בעבודות שירות</w:t>
      </w:r>
      <w:r w:rsidRPr="00FC459A">
        <w:rPr>
          <w:rFonts w:cs="FrankRuehl" w:hint="cs"/>
          <w:sz w:val="28"/>
          <w:szCs w:val="28"/>
          <w:rtl/>
        </w:rPr>
        <w:t>)</w:t>
      </w:r>
      <w:r w:rsidRPr="00FC459A">
        <w:rPr>
          <w:rFonts w:cs="FrankRuehl"/>
          <w:sz w:val="28"/>
          <w:szCs w:val="28"/>
          <w:rtl/>
        </w:rPr>
        <w:t xml:space="preserve"> ובמקרה זה יש לטענתו להתחשב בגילו הצעיר של הנאשם כבן 19, ללא עבר פלילי ושעלול לה</w:t>
      </w:r>
      <w:r w:rsidRPr="00FC459A">
        <w:rPr>
          <w:rFonts w:cs="FrankRuehl" w:hint="cs"/>
          <w:sz w:val="28"/>
          <w:szCs w:val="28"/>
          <w:rtl/>
        </w:rPr>
        <w:t>י</w:t>
      </w:r>
      <w:r w:rsidRPr="00FC459A">
        <w:rPr>
          <w:rFonts w:cs="FrankRuehl"/>
          <w:sz w:val="28"/>
          <w:szCs w:val="28"/>
          <w:rtl/>
        </w:rPr>
        <w:t>נזק בהתאם לתסקיר שירות המבחן אם יוטל עליו עונש של מאסר שלא בדרך של עבודות שירות.</w:t>
      </w:r>
    </w:p>
    <w:p w14:paraId="63006AA9" w14:textId="77777777" w:rsidR="00785ABC" w:rsidRPr="00FC459A" w:rsidRDefault="00785ABC">
      <w:pPr>
        <w:spacing w:line="360" w:lineRule="auto"/>
        <w:ind w:left="720"/>
        <w:jc w:val="both"/>
        <w:rPr>
          <w:rFonts w:cs="FrankRuehl"/>
          <w:sz w:val="28"/>
          <w:szCs w:val="28"/>
        </w:rPr>
      </w:pPr>
    </w:p>
    <w:p w14:paraId="2208B335" w14:textId="77777777" w:rsidR="00785ABC" w:rsidRPr="00FC459A" w:rsidRDefault="00FC459A">
      <w:pPr>
        <w:numPr>
          <w:ilvl w:val="0"/>
          <w:numId w:val="1"/>
        </w:numPr>
        <w:spacing w:line="360" w:lineRule="auto"/>
        <w:jc w:val="both"/>
        <w:rPr>
          <w:rFonts w:cs="FrankRuehl"/>
          <w:sz w:val="28"/>
          <w:szCs w:val="28"/>
        </w:rPr>
      </w:pPr>
      <w:r w:rsidRPr="00FC459A">
        <w:rPr>
          <w:rFonts w:cs="FrankRuehl"/>
          <w:sz w:val="28"/>
          <w:szCs w:val="28"/>
          <w:rtl/>
        </w:rPr>
        <w:t>בתום הטיעונים הביע הנאשם צער על מעשיו, ביקש סליחה והבטי</w:t>
      </w:r>
      <w:r w:rsidRPr="00FC459A">
        <w:rPr>
          <w:rFonts w:cs="FrankRuehl" w:hint="cs"/>
          <w:sz w:val="28"/>
          <w:szCs w:val="28"/>
          <w:rtl/>
        </w:rPr>
        <w:t>ח</w:t>
      </w:r>
      <w:r w:rsidRPr="00FC459A">
        <w:rPr>
          <w:rFonts w:cs="FrankRuehl"/>
          <w:sz w:val="28"/>
          <w:szCs w:val="28"/>
          <w:rtl/>
        </w:rPr>
        <w:t xml:space="preserve"> כי לא יעבור עבירות בעתיד.</w:t>
      </w:r>
    </w:p>
    <w:p w14:paraId="42CFBB9D" w14:textId="77777777" w:rsidR="00785ABC" w:rsidRPr="00FC459A" w:rsidRDefault="00785ABC">
      <w:pPr>
        <w:spacing w:line="360" w:lineRule="auto"/>
        <w:ind w:left="360" w:firstLine="360"/>
        <w:rPr>
          <w:rFonts w:cs="FrankRuehl"/>
          <w:sz w:val="28"/>
          <w:szCs w:val="28"/>
          <w:rtl/>
        </w:rPr>
      </w:pPr>
    </w:p>
    <w:p w14:paraId="365D5B30" w14:textId="77777777" w:rsidR="00785ABC" w:rsidRPr="00FC459A" w:rsidRDefault="00FC459A">
      <w:pPr>
        <w:spacing w:line="360" w:lineRule="auto"/>
        <w:ind w:left="360" w:firstLine="360"/>
        <w:rPr>
          <w:rFonts w:cs="Miriam"/>
        </w:rPr>
      </w:pPr>
      <w:r w:rsidRPr="00FC459A">
        <w:rPr>
          <w:rFonts w:cs="Miriam"/>
          <w:rtl/>
        </w:rPr>
        <w:t>דיון</w:t>
      </w:r>
    </w:p>
    <w:p w14:paraId="36802285"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במקרה זה חל תיקון 113 לחוק שקבע כי "העיקרון המנחה בענישה הוא קיומו של יחס הולם בין חומרת מעשה העבירה בנסיבותיו ומידת אשמו של הנאשם ובין סוג ומידת העונש המוטל עליו" (</w:t>
      </w:r>
      <w:hyperlink r:id="rId32" w:history="1">
        <w:r w:rsidR="00AA3F1E" w:rsidRPr="00AA3F1E">
          <w:rPr>
            <w:rFonts w:cs="FrankRuehl"/>
            <w:color w:val="0000FF"/>
            <w:sz w:val="28"/>
            <w:szCs w:val="28"/>
            <w:u w:val="single"/>
            <w:rtl/>
          </w:rPr>
          <w:t>סעיף 40ב').</w:t>
        </w:r>
      </w:hyperlink>
      <w:r w:rsidRPr="00FC459A">
        <w:rPr>
          <w:rFonts w:cs="FrankRuehl"/>
          <w:sz w:val="28"/>
          <w:szCs w:val="28"/>
          <w:rtl/>
        </w:rPr>
        <w:t xml:space="preserve"> </w:t>
      </w:r>
    </w:p>
    <w:p w14:paraId="6CB9193D" w14:textId="77777777" w:rsidR="00785ABC" w:rsidRPr="00FC459A" w:rsidRDefault="00785ABC">
      <w:pPr>
        <w:pStyle w:val="Ruller4"/>
        <w:ind w:left="1440" w:right="720"/>
        <w:rPr>
          <w:color w:val="FF0000"/>
          <w:sz w:val="28"/>
          <w:rtl/>
        </w:rPr>
      </w:pPr>
    </w:p>
    <w:p w14:paraId="140A1999" w14:textId="77777777" w:rsidR="00785ABC" w:rsidRPr="00FC459A" w:rsidRDefault="00FC459A">
      <w:pPr>
        <w:spacing w:line="360" w:lineRule="auto"/>
        <w:ind w:left="360" w:right="720" w:firstLine="360"/>
        <w:jc w:val="both"/>
        <w:outlineLvl w:val="0"/>
        <w:rPr>
          <w:rFonts w:cs="Miriam"/>
        </w:rPr>
      </w:pPr>
      <w:r w:rsidRPr="00FC459A">
        <w:rPr>
          <w:rFonts w:cs="Miriam"/>
          <w:rtl/>
        </w:rPr>
        <w:t>מתחם העונש ההולם</w:t>
      </w:r>
    </w:p>
    <w:p w14:paraId="6284AD5D"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בכתב האישום המתוקן יוחסו לנאשם שני אישומים שונים שכל אחד מהווה אירוע בפני עצמו, מקרה זה מכונה בתיקון 113 לחוק "ריבוי עבירות" ולגביו נקבע כך </w:t>
      </w:r>
      <w:hyperlink r:id="rId33" w:history="1">
        <w:r w:rsidR="00AA3F1E" w:rsidRPr="00AA3F1E">
          <w:rPr>
            <w:rFonts w:cs="FrankRuehl"/>
            <w:color w:val="0000FF"/>
            <w:sz w:val="28"/>
            <w:szCs w:val="28"/>
            <w:u w:val="single"/>
            <w:rtl/>
          </w:rPr>
          <w:t>בסעיף 40יג'</w:t>
        </w:r>
      </w:hyperlink>
      <w:r w:rsidRPr="00FC459A">
        <w:rPr>
          <w:rFonts w:cs="FrankRuehl"/>
          <w:sz w:val="28"/>
          <w:szCs w:val="28"/>
          <w:rtl/>
        </w:rPr>
        <w:t>:</w:t>
      </w:r>
    </w:p>
    <w:p w14:paraId="16FBBE20" w14:textId="77777777" w:rsidR="00785ABC" w:rsidRPr="00FC459A" w:rsidRDefault="00FC459A">
      <w:pPr>
        <w:ind w:left="1440" w:right="540"/>
        <w:jc w:val="both"/>
        <w:outlineLvl w:val="0"/>
        <w:rPr>
          <w:rFonts w:hAnsi="David" w:cs="FrankRuehl"/>
          <w:sz w:val="28"/>
          <w:szCs w:val="28"/>
        </w:rPr>
      </w:pPr>
      <w:r w:rsidRPr="00FC459A">
        <w:rPr>
          <w:rFonts w:cs="FrankRuehl"/>
          <w:sz w:val="28"/>
          <w:szCs w:val="28"/>
          <w:rtl/>
        </w:rPr>
        <w:t>"הרשיע בית המשפט נאשם במספר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52B99655" w14:textId="77777777" w:rsidR="00785ABC" w:rsidRPr="00FC459A" w:rsidRDefault="00FC459A">
      <w:pPr>
        <w:ind w:left="1440" w:right="540"/>
        <w:jc w:val="both"/>
        <w:outlineLvl w:val="0"/>
        <w:rPr>
          <w:rFonts w:cs="FrankRuehl"/>
          <w:sz w:val="28"/>
          <w:szCs w:val="28"/>
          <w:rtl/>
        </w:rPr>
      </w:pPr>
      <w:r w:rsidRPr="00FC459A">
        <w:rPr>
          <w:rFonts w:cs="FrankRuehl"/>
          <w:sz w:val="28"/>
          <w:szCs w:val="28"/>
          <w:rtl/>
        </w:rPr>
        <w:t>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34C92A60" w14:textId="77777777" w:rsidR="00785ABC" w:rsidRPr="00FC459A" w:rsidRDefault="00785ABC">
      <w:pPr>
        <w:spacing w:line="360" w:lineRule="auto"/>
        <w:ind w:left="720"/>
        <w:jc w:val="both"/>
        <w:outlineLvl w:val="0"/>
        <w:rPr>
          <w:rFonts w:cs="FrankRuehl"/>
          <w:color w:val="FF0000"/>
          <w:sz w:val="28"/>
          <w:szCs w:val="28"/>
          <w:rtl/>
        </w:rPr>
      </w:pPr>
    </w:p>
    <w:p w14:paraId="246B6324" w14:textId="77777777" w:rsidR="00785ABC" w:rsidRPr="00FC459A" w:rsidRDefault="00FC459A">
      <w:pPr>
        <w:spacing w:line="360" w:lineRule="auto"/>
        <w:ind w:left="720"/>
        <w:jc w:val="both"/>
        <w:outlineLvl w:val="0"/>
        <w:rPr>
          <w:rFonts w:cs="Miriam"/>
        </w:rPr>
      </w:pPr>
      <w:r w:rsidRPr="00FC459A">
        <w:rPr>
          <w:rFonts w:cs="Miriam"/>
          <w:rtl/>
        </w:rPr>
        <w:t>מתחם הולם-אישום ראשון.</w:t>
      </w:r>
    </w:p>
    <w:p w14:paraId="46C733BE" w14:textId="77777777" w:rsidR="00785ABC" w:rsidRPr="00FC459A" w:rsidRDefault="00FC459A">
      <w:pPr>
        <w:numPr>
          <w:ilvl w:val="0"/>
          <w:numId w:val="1"/>
        </w:numPr>
        <w:spacing w:line="360" w:lineRule="auto"/>
        <w:jc w:val="both"/>
        <w:rPr>
          <w:rFonts w:cs="FrankRuehl"/>
          <w:sz w:val="28"/>
          <w:szCs w:val="28"/>
        </w:rPr>
      </w:pPr>
      <w:r w:rsidRPr="00FC459A">
        <w:rPr>
          <w:rFonts w:cs="FrankRuehl"/>
          <w:sz w:val="28"/>
          <w:szCs w:val="28"/>
          <w:rtl/>
        </w:rPr>
        <w:t>הנאשם סחר  ביחד עם ח</w:t>
      </w:r>
      <w:r w:rsidRPr="00FC459A">
        <w:rPr>
          <w:rFonts w:cs="FrankRuehl" w:hint="cs"/>
          <w:sz w:val="28"/>
          <w:szCs w:val="28"/>
          <w:rtl/>
        </w:rPr>
        <w:t>ש</w:t>
      </w:r>
      <w:r w:rsidRPr="00FC459A">
        <w:rPr>
          <w:rFonts w:cs="FrankRuehl"/>
          <w:sz w:val="28"/>
          <w:szCs w:val="28"/>
          <w:rtl/>
        </w:rPr>
        <w:t xml:space="preserve">אן בתחמושת, הם מכרו לסוכן הסמוי שתי מחסניות של מקלע מסוג </w:t>
      </w:r>
      <w:r w:rsidRPr="00FC459A">
        <w:rPr>
          <w:rFonts w:cs="FrankRuehl"/>
          <w:sz w:val="28"/>
          <w:szCs w:val="28"/>
        </w:rPr>
        <w:t>M-16</w:t>
      </w:r>
      <w:r w:rsidRPr="00FC459A">
        <w:rPr>
          <w:rFonts w:cs="FrankRuehl"/>
          <w:sz w:val="28"/>
          <w:szCs w:val="28"/>
          <w:rtl/>
        </w:rPr>
        <w:t xml:space="preserve"> כשבתוכן 57 כדורים בתמורה לתשלום של 600 ש"ח,  בנוסף לעבירת הסחר,  בוצעו עבירות של החזקה, נשיאה והובלה של אותה תחמושת.</w:t>
      </w:r>
    </w:p>
    <w:p w14:paraId="6318EDCB" w14:textId="77777777" w:rsidR="00785ABC" w:rsidRPr="00FC459A" w:rsidRDefault="00785ABC">
      <w:pPr>
        <w:spacing w:line="360" w:lineRule="auto"/>
        <w:ind w:left="720"/>
        <w:jc w:val="both"/>
        <w:rPr>
          <w:rFonts w:cs="FrankRuehl"/>
          <w:sz w:val="28"/>
          <w:szCs w:val="28"/>
          <w:rtl/>
        </w:rPr>
      </w:pPr>
    </w:p>
    <w:p w14:paraId="4E67628E"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חשוב לראות כי המחוקק עשה הבחנה ברמת הענישה בין מי שמחזיק, נושא ומוביל נשק כגון אקדח, ל</w:t>
      </w:r>
      <w:r w:rsidRPr="00FC459A">
        <w:rPr>
          <w:rFonts w:cs="FrankRuehl" w:hint="cs"/>
          <w:sz w:val="28"/>
          <w:szCs w:val="28"/>
          <w:rtl/>
        </w:rPr>
        <w:t xml:space="preserve">בין </w:t>
      </w:r>
      <w:r w:rsidRPr="00FC459A">
        <w:rPr>
          <w:rFonts w:cs="FrankRuehl"/>
          <w:sz w:val="28"/>
          <w:szCs w:val="28"/>
          <w:rtl/>
        </w:rPr>
        <w:t xml:space="preserve">מי שמבצע את עבירות, ההחזקה, נשיאה והובלה ביחס לתחמושת. על פי הסייפה </w:t>
      </w:r>
      <w:hyperlink r:id="rId34" w:history="1">
        <w:r w:rsidR="00AA3F1E" w:rsidRPr="00AA3F1E">
          <w:rPr>
            <w:rFonts w:cs="FrankRuehl"/>
            <w:color w:val="0000FF"/>
            <w:sz w:val="28"/>
            <w:szCs w:val="28"/>
            <w:u w:val="single"/>
            <w:rtl/>
          </w:rPr>
          <w:t>לסעיף 144(א)</w:t>
        </w:r>
      </w:hyperlink>
      <w:r w:rsidRPr="00FC459A">
        <w:rPr>
          <w:rFonts w:cs="FrankRuehl"/>
          <w:sz w:val="28"/>
          <w:szCs w:val="28"/>
          <w:rtl/>
        </w:rPr>
        <w:t xml:space="preserve"> לחוק, העונש המירבי לעבירות אלו כשמדובר בתחמושת הועמד על 3 שנים בלבד, אך לא כך באשר לסחר, ככל שמדובר בסחר בתחמושת, קבע המחוקק </w:t>
      </w:r>
      <w:hyperlink r:id="rId35" w:history="1">
        <w:r w:rsidR="00AA3F1E" w:rsidRPr="00AA3F1E">
          <w:rPr>
            <w:rFonts w:cs="FrankRuehl"/>
            <w:color w:val="0000FF"/>
            <w:sz w:val="28"/>
            <w:szCs w:val="28"/>
            <w:u w:val="single"/>
            <w:rtl/>
          </w:rPr>
          <w:t>בסעיף 144(ב2)</w:t>
        </w:r>
      </w:hyperlink>
      <w:r w:rsidRPr="00FC459A">
        <w:rPr>
          <w:rFonts w:cs="FrankRuehl"/>
          <w:sz w:val="28"/>
          <w:szCs w:val="28"/>
          <w:rtl/>
        </w:rPr>
        <w:t xml:space="preserve"> לחוק מדיניות ענישה זהה לסחר בנשק עצמו והעונש המירבי,</w:t>
      </w:r>
      <w:r w:rsidRPr="00FC459A">
        <w:rPr>
          <w:rFonts w:cs="FrankRuehl"/>
          <w:color w:val="FF0000"/>
          <w:sz w:val="28"/>
          <w:szCs w:val="28"/>
          <w:rtl/>
        </w:rPr>
        <w:t xml:space="preserve"> </w:t>
      </w:r>
      <w:r w:rsidRPr="00FC459A">
        <w:rPr>
          <w:rFonts w:cs="FrankRuehl"/>
          <w:sz w:val="28"/>
          <w:szCs w:val="28"/>
          <w:rtl/>
        </w:rPr>
        <w:t>גם במקרה זה עומד על 15 שנות מאסר.</w:t>
      </w:r>
    </w:p>
    <w:p w14:paraId="6F3CCB4F" w14:textId="77777777" w:rsidR="00785ABC" w:rsidRPr="00FC459A" w:rsidRDefault="00785ABC">
      <w:pPr>
        <w:spacing w:line="360" w:lineRule="auto"/>
        <w:ind w:left="720"/>
        <w:jc w:val="both"/>
        <w:rPr>
          <w:rFonts w:cs="FrankRuehl"/>
          <w:sz w:val="28"/>
          <w:szCs w:val="28"/>
          <w:rtl/>
        </w:rPr>
      </w:pPr>
    </w:p>
    <w:p w14:paraId="0A507ADB" w14:textId="77777777" w:rsidR="00785ABC" w:rsidRPr="00FC459A" w:rsidRDefault="00FC459A">
      <w:pPr>
        <w:spacing w:line="360" w:lineRule="auto"/>
        <w:ind w:left="720"/>
        <w:jc w:val="both"/>
        <w:outlineLvl w:val="0"/>
        <w:rPr>
          <w:rFonts w:cs="FrankRuehl"/>
          <w:sz w:val="28"/>
          <w:szCs w:val="28"/>
          <w:rtl/>
        </w:rPr>
      </w:pPr>
      <w:r w:rsidRPr="00FC459A">
        <w:rPr>
          <w:rFonts w:cs="FrankRuehl"/>
          <w:sz w:val="28"/>
          <w:szCs w:val="28"/>
          <w:rtl/>
        </w:rPr>
        <w:t>עבירות בנשק, הן עבירות חמורות ביותר, שיש בהן כדי לפגוע בשלום הציבור ובטחונו ובמקרה זה הפגיעה קשה, הנאשם מכר לסוכן מחסניות ותחמושת</w:t>
      </w:r>
      <w:r w:rsidRPr="00FC459A">
        <w:rPr>
          <w:rFonts w:cs="FrankRuehl" w:hint="cs"/>
          <w:sz w:val="28"/>
          <w:szCs w:val="28"/>
          <w:rtl/>
        </w:rPr>
        <w:t>.</w:t>
      </w:r>
    </w:p>
    <w:p w14:paraId="4C85DF6D" w14:textId="77777777" w:rsidR="00785ABC" w:rsidRPr="00FC459A" w:rsidRDefault="00FC459A">
      <w:pPr>
        <w:spacing w:line="360" w:lineRule="auto"/>
        <w:ind w:left="720"/>
        <w:jc w:val="both"/>
        <w:outlineLvl w:val="0"/>
        <w:rPr>
          <w:rFonts w:cs="FrankRuehl"/>
          <w:sz w:val="28"/>
          <w:szCs w:val="28"/>
          <w:rtl/>
        </w:rPr>
      </w:pPr>
      <w:r w:rsidRPr="00FC459A">
        <w:rPr>
          <w:rFonts w:cs="FrankRuehl"/>
          <w:sz w:val="28"/>
          <w:szCs w:val="28"/>
          <w:rtl/>
        </w:rPr>
        <w:t>אמנם הסוכן הסמוי היה איש משטרה, באותה מידה יכולה היתה התחמושת להגיע לידיים של חורשי רעה אשר היו עושים בו שימוש שיכול היה להסתיים בפציעה קשה או במוות. מן הראוי להפנות למדיניות הענישה הנהוגה כפי שנקבעה  בפסק דינ</w:t>
      </w:r>
      <w:r w:rsidRPr="00FC459A">
        <w:rPr>
          <w:rFonts w:cs="FrankRuehl" w:hint="cs"/>
          <w:sz w:val="28"/>
          <w:szCs w:val="28"/>
          <w:rtl/>
        </w:rPr>
        <w:t>ה</w:t>
      </w:r>
      <w:r w:rsidRPr="00FC459A">
        <w:rPr>
          <w:rFonts w:cs="FrankRuehl"/>
          <w:sz w:val="28"/>
          <w:szCs w:val="28"/>
          <w:rtl/>
        </w:rPr>
        <w:t xml:space="preserve"> של כב' השופטת </w:t>
      </w:r>
      <w:r w:rsidRPr="00FC459A">
        <w:rPr>
          <w:rFonts w:cs="FrankRuehl" w:hint="cs"/>
          <w:sz w:val="28"/>
          <w:szCs w:val="28"/>
          <w:rtl/>
        </w:rPr>
        <w:t xml:space="preserve">                </w:t>
      </w:r>
      <w:r w:rsidRPr="00FC459A">
        <w:rPr>
          <w:rFonts w:cs="FrankRuehl"/>
          <w:sz w:val="28"/>
          <w:szCs w:val="28"/>
          <w:rtl/>
        </w:rPr>
        <w:t>ד' ברק-ארז:</w:t>
      </w:r>
    </w:p>
    <w:p w14:paraId="46D93775" w14:textId="77777777" w:rsidR="00785ABC" w:rsidRPr="00FC459A" w:rsidRDefault="00FC459A">
      <w:pPr>
        <w:ind w:left="1440" w:right="540"/>
        <w:jc w:val="both"/>
        <w:outlineLvl w:val="0"/>
        <w:rPr>
          <w:rFonts w:cs="FrankRuehl"/>
          <w:sz w:val="28"/>
          <w:szCs w:val="28"/>
          <w:rtl/>
        </w:rPr>
      </w:pPr>
      <w:r w:rsidRPr="00FC459A">
        <w:rPr>
          <w:rFonts w:cs="FrankRuehl"/>
          <w:sz w:val="28"/>
          <w:szCs w:val="28"/>
          <w:rtl/>
        </w:rPr>
        <w:t>"עבירות של סחר בנשק הן עבירות חמורות ביותר – המאיימות על שלום הציבור ומהוות "שמן" על גלגליה של פעילות עבריינית אחרת. בית משפט זה שב ועמד לאחרונה על חומרתן המיוחדת של עבירות אלו ועל הסכנות הנשקפות מהן באחד מגלגוליה של פרשה זו עצמה, בציינו כי "סחר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 (כדברי השופטת א' חיות ב</w:t>
      </w:r>
      <w:hyperlink r:id="rId36" w:history="1">
        <w:r w:rsidRPr="00FC459A">
          <w:rPr>
            <w:rFonts w:cs="FrankRuehl"/>
            <w:color w:val="0000FF"/>
            <w:sz w:val="28"/>
            <w:szCs w:val="28"/>
            <w:u w:val="single"/>
            <w:rtl/>
          </w:rPr>
          <w:t>ע"פ 2251/11</w:t>
        </w:r>
      </w:hyperlink>
      <w:r w:rsidRPr="00FC459A">
        <w:rPr>
          <w:rFonts w:cs="FrankRuehl"/>
          <w:sz w:val="28"/>
          <w:szCs w:val="28"/>
          <w:rtl/>
        </w:rPr>
        <w:t xml:space="preserve"> </w:t>
      </w:r>
      <w:r w:rsidRPr="00FC459A">
        <w:rPr>
          <w:rFonts w:cs="Miriam"/>
          <w:rtl/>
        </w:rPr>
        <w:t>נפאע נ' מדינת ישראל</w:t>
      </w:r>
      <w:r w:rsidRPr="00FC459A">
        <w:rPr>
          <w:rFonts w:cs="FrankRuehl"/>
          <w:sz w:val="28"/>
          <w:szCs w:val="28"/>
          <w:rtl/>
        </w:rPr>
        <w:t xml:space="preserve"> (לא פורסם, 4.12.2011), בפסקה 5). נוכח מימדיה המדאיגים של תופעת הסחר הבלתי חוקי בנשק, אשר הומחשו בפנינו פעם נוספת בערעור שלפנינו, ובשל הצורך לסייע בבלימתה באמצעות ענישה מרתיעה – אימץ בית משפט זה עמדה עקרונית לפיה יש להחמיר, ככלל, בענישתם של נאשמים שהורשעו בעבירות נשק בכלל ובעבירות סחר בנשק בפרט (</w:t>
      </w:r>
      <w:hyperlink r:id="rId37" w:history="1">
        <w:r w:rsidRPr="00FC459A">
          <w:rPr>
            <w:rFonts w:cs="FrankRuehl"/>
            <w:color w:val="0000FF"/>
            <w:sz w:val="28"/>
            <w:szCs w:val="28"/>
            <w:u w:val="single"/>
            <w:rtl/>
          </w:rPr>
          <w:t>ע"פ 319/11</w:t>
        </w:r>
      </w:hyperlink>
      <w:r w:rsidRPr="00FC459A">
        <w:rPr>
          <w:rFonts w:cs="FrankRuehl"/>
          <w:sz w:val="28"/>
          <w:szCs w:val="28"/>
          <w:rtl/>
        </w:rPr>
        <w:t xml:space="preserve"> </w:t>
      </w:r>
      <w:r w:rsidRPr="00FC459A">
        <w:rPr>
          <w:rFonts w:cs="Miriam"/>
          <w:rtl/>
        </w:rPr>
        <w:t>מדינת ישראל נ' יאסין</w:t>
      </w:r>
      <w:r w:rsidRPr="00FC459A">
        <w:rPr>
          <w:rFonts w:cs="FrankRuehl"/>
          <w:sz w:val="28"/>
          <w:szCs w:val="28"/>
          <w:rtl/>
        </w:rPr>
        <w:t xml:space="preserve"> (לא פורסם, 4.12.2011), פסקה 6; </w:t>
      </w:r>
      <w:hyperlink r:id="rId38" w:history="1">
        <w:r w:rsidRPr="00FC459A">
          <w:rPr>
            <w:rFonts w:cs="FrankRuehl"/>
            <w:color w:val="0000FF"/>
            <w:sz w:val="28"/>
            <w:szCs w:val="28"/>
            <w:u w:val="single"/>
            <w:rtl/>
          </w:rPr>
          <w:t>ע"פ 6210/10</w:t>
        </w:r>
      </w:hyperlink>
      <w:r w:rsidRPr="00FC459A">
        <w:rPr>
          <w:rFonts w:cs="FrankRuehl"/>
          <w:sz w:val="28"/>
          <w:szCs w:val="28"/>
          <w:rtl/>
        </w:rPr>
        <w:t xml:space="preserve"> </w:t>
      </w:r>
      <w:r w:rsidRPr="00FC459A">
        <w:rPr>
          <w:rFonts w:cs="Miriam"/>
          <w:rtl/>
        </w:rPr>
        <w:t>מדינת ישראל נגד אגבריה</w:t>
      </w:r>
      <w:r w:rsidRPr="00FC459A">
        <w:rPr>
          <w:rFonts w:cs="FrankRuehl"/>
          <w:sz w:val="28"/>
          <w:szCs w:val="28"/>
          <w:rtl/>
        </w:rPr>
        <w:t xml:space="preserve"> (לא פורסם, 23.03.2011), פסקה 6; וכן עניין נפאע, בפסקה 7)" </w:t>
      </w:r>
      <w:hyperlink r:id="rId39" w:history="1">
        <w:r w:rsidRPr="00FC459A">
          <w:rPr>
            <w:rFonts w:cs="FrankRuehl"/>
            <w:color w:val="0000FF"/>
            <w:sz w:val="28"/>
            <w:szCs w:val="28"/>
            <w:u w:val="single"/>
            <w:rtl/>
          </w:rPr>
          <w:t>ע"פ 5913/11</w:t>
        </w:r>
      </w:hyperlink>
      <w:r w:rsidRPr="00FC459A">
        <w:rPr>
          <w:rFonts w:cs="FrankRuehl"/>
          <w:sz w:val="28"/>
          <w:szCs w:val="28"/>
          <w:rtl/>
        </w:rPr>
        <w:t xml:space="preserve"> </w:t>
      </w:r>
      <w:r w:rsidRPr="00FC459A">
        <w:rPr>
          <w:rFonts w:cs="Miriam"/>
          <w:rtl/>
        </w:rPr>
        <w:t>הייבי נגד מדינת ישראל</w:t>
      </w:r>
      <w:r w:rsidRPr="00FC459A">
        <w:rPr>
          <w:rFonts w:cs="FrankRuehl"/>
          <w:sz w:val="28"/>
          <w:szCs w:val="28"/>
          <w:rtl/>
        </w:rPr>
        <w:t xml:space="preserve"> (12.9.2012) </w:t>
      </w:r>
    </w:p>
    <w:p w14:paraId="16315BB3" w14:textId="77777777" w:rsidR="00785ABC" w:rsidRPr="00FC459A" w:rsidRDefault="00785ABC">
      <w:pPr>
        <w:spacing w:line="360" w:lineRule="auto"/>
        <w:ind w:left="1440" w:right="540" w:hanging="514"/>
        <w:jc w:val="both"/>
        <w:outlineLvl w:val="0"/>
        <w:rPr>
          <w:rFonts w:cs="FrankRuehl"/>
          <w:sz w:val="28"/>
          <w:szCs w:val="28"/>
          <w:rtl/>
        </w:rPr>
      </w:pPr>
    </w:p>
    <w:p w14:paraId="7E978D7B" w14:textId="77777777" w:rsidR="00785ABC" w:rsidRPr="00FC459A" w:rsidRDefault="00FC459A">
      <w:pPr>
        <w:spacing w:line="360" w:lineRule="auto"/>
        <w:ind w:left="1440" w:right="540" w:hanging="514"/>
        <w:jc w:val="both"/>
        <w:outlineLvl w:val="0"/>
        <w:rPr>
          <w:rFonts w:cs="FrankRuehl"/>
          <w:sz w:val="28"/>
          <w:szCs w:val="28"/>
        </w:rPr>
      </w:pPr>
      <w:r w:rsidRPr="00FC459A">
        <w:rPr>
          <w:rFonts w:cs="FrankRuehl"/>
          <w:sz w:val="28"/>
          <w:szCs w:val="28"/>
          <w:rtl/>
        </w:rPr>
        <w:t>וכן ראו פסק דינו של כבוד השופט נעם סולברג בבית המשפט העליון:</w:t>
      </w:r>
    </w:p>
    <w:p w14:paraId="171BB560" w14:textId="77777777" w:rsidR="00785ABC" w:rsidRPr="00FC459A" w:rsidRDefault="00FC459A">
      <w:pPr>
        <w:ind w:left="1440" w:right="720"/>
        <w:jc w:val="both"/>
        <w:outlineLvl w:val="0"/>
        <w:rPr>
          <w:rFonts w:cs="FrankRuehl"/>
          <w:sz w:val="28"/>
          <w:szCs w:val="28"/>
          <w:rtl/>
        </w:rPr>
      </w:pPr>
      <w:r w:rsidRPr="00FC459A">
        <w:rPr>
          <w:rFonts w:cs="FrankRuehl"/>
          <w:sz w:val="28"/>
          <w:szCs w:val="28"/>
          <w:rtl/>
        </w:rPr>
        <w:t>"לא אחת עמד בית המשפט על חומרת עבירות הנשק ועל הצורך בענישה מחמירה, על מנת להרתיע מפני ביצוען. ב</w:t>
      </w:r>
      <w:hyperlink r:id="rId40" w:history="1">
        <w:r w:rsidRPr="00FC459A">
          <w:rPr>
            <w:rFonts w:cs="FrankRuehl"/>
            <w:color w:val="0000FF"/>
            <w:sz w:val="28"/>
            <w:szCs w:val="28"/>
            <w:u w:val="single"/>
            <w:rtl/>
          </w:rPr>
          <w:t>ע"פ 2251/11</w:t>
        </w:r>
      </w:hyperlink>
      <w:r w:rsidRPr="00FC459A">
        <w:rPr>
          <w:rFonts w:cs="FrankRuehl"/>
          <w:sz w:val="28"/>
          <w:szCs w:val="28"/>
          <w:rtl/>
        </w:rPr>
        <w:t xml:space="preserve"> </w:t>
      </w:r>
      <w:r w:rsidRPr="00FC459A">
        <w:rPr>
          <w:rFonts w:cs="Miriam"/>
          <w:rtl/>
        </w:rPr>
        <w:t>נפאע נ' מדינת ישראל</w:t>
      </w:r>
      <w:r w:rsidRPr="00FC459A">
        <w:rPr>
          <w:rFonts w:cs="FrankRuehl"/>
          <w:sz w:val="28"/>
          <w:szCs w:val="28"/>
          <w:rtl/>
        </w:rPr>
        <w:t xml:space="preserve"> (לא פורסם, ניתן ביום 4.12.2011), אמרה השופטת א' חיות כדברים האלה: "על הסכנות הרבות הנשקפות מסחר בלתי חוקי בנשק עמד בית משפט זה לא אחת בציינו כי "הניסיון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hyperlink r:id="rId41" w:history="1">
        <w:r w:rsidRPr="00FC459A">
          <w:rPr>
            <w:rFonts w:cs="FrankRuehl"/>
            <w:color w:val="0000FF"/>
            <w:sz w:val="28"/>
            <w:szCs w:val="28"/>
            <w:u w:val="single"/>
            <w:rtl/>
          </w:rPr>
          <w:t>ע"פ 5833/07</w:t>
        </w:r>
      </w:hyperlink>
      <w:r w:rsidRPr="00FC459A">
        <w:rPr>
          <w:rFonts w:cs="FrankRuehl"/>
          <w:sz w:val="28"/>
          <w:szCs w:val="28"/>
          <w:rtl/>
        </w:rPr>
        <w:t xml:space="preserve"> </w:t>
      </w:r>
      <w:r w:rsidRPr="00FC459A">
        <w:rPr>
          <w:rFonts w:cs="Miriam"/>
          <w:rtl/>
        </w:rPr>
        <w:t>ח'ורי נ' מדינת ישראל</w:t>
      </w:r>
      <w:r w:rsidRPr="00FC459A">
        <w:rPr>
          <w:rFonts w:cs="FrankRuehl"/>
          <w:sz w:val="28"/>
          <w:szCs w:val="28"/>
          <w:rtl/>
        </w:rPr>
        <w:t xml:space="preserve"> (לא פורסם, ניתן ביום 18.11.2007); רדאו גם </w:t>
      </w:r>
      <w:hyperlink r:id="rId42" w:history="1">
        <w:r w:rsidRPr="00FC459A">
          <w:rPr>
            <w:rFonts w:cs="FrankRuehl"/>
            <w:color w:val="0000FF"/>
            <w:sz w:val="28"/>
            <w:szCs w:val="28"/>
            <w:u w:val="single"/>
            <w:rtl/>
          </w:rPr>
          <w:t>ע"פ 9543/09</w:t>
        </w:r>
      </w:hyperlink>
      <w:r w:rsidRPr="00FC459A">
        <w:rPr>
          <w:rFonts w:cs="FrankRuehl"/>
          <w:sz w:val="28"/>
          <w:szCs w:val="28"/>
          <w:rtl/>
        </w:rPr>
        <w:t xml:space="preserve"> </w:t>
      </w:r>
      <w:r w:rsidRPr="00FC459A">
        <w:rPr>
          <w:rFonts w:cs="Miriam"/>
          <w:rtl/>
        </w:rPr>
        <w:t>רחאל נ' מדינת ישראל</w:t>
      </w:r>
      <w:r w:rsidRPr="00FC459A">
        <w:rPr>
          <w:rFonts w:cs="FrankRuehl"/>
          <w:sz w:val="28"/>
          <w:szCs w:val="28"/>
          <w:rtl/>
        </w:rPr>
        <w:t xml:space="preserve"> (לא פורסם, ניתן ביום 19.1.2010)). אכן, 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עויינת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ע"פ 593/ד12 </w:t>
      </w:r>
      <w:r w:rsidRPr="00FC459A">
        <w:rPr>
          <w:rFonts w:cs="Miriam"/>
          <w:rtl/>
        </w:rPr>
        <w:t>שיבלי נגד מדינת ישראל</w:t>
      </w:r>
      <w:r w:rsidRPr="00FC459A">
        <w:rPr>
          <w:rFonts w:cs="FrankRuehl"/>
          <w:sz w:val="28"/>
          <w:szCs w:val="28"/>
          <w:rtl/>
        </w:rPr>
        <w:t xml:space="preserve"> (2.1.2013).</w:t>
      </w:r>
    </w:p>
    <w:p w14:paraId="1D09E9EF" w14:textId="77777777" w:rsidR="00785ABC" w:rsidRPr="00FC459A" w:rsidRDefault="00785ABC">
      <w:pPr>
        <w:spacing w:line="360" w:lineRule="auto"/>
        <w:ind w:left="1440" w:right="720"/>
        <w:jc w:val="both"/>
        <w:outlineLvl w:val="0"/>
        <w:rPr>
          <w:rFonts w:cs="FrankRuehl"/>
          <w:sz w:val="28"/>
          <w:szCs w:val="28"/>
          <w:rtl/>
        </w:rPr>
      </w:pPr>
    </w:p>
    <w:p w14:paraId="2060494C"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כוונת המחוקק נותנת ביטוי למדיניות </w:t>
      </w:r>
      <w:r w:rsidRPr="00FC459A">
        <w:rPr>
          <w:rFonts w:cs="FrankRuehl" w:hint="cs"/>
          <w:sz w:val="28"/>
          <w:szCs w:val="28"/>
          <w:rtl/>
        </w:rPr>
        <w:t>ה</w:t>
      </w:r>
      <w:r w:rsidRPr="00FC459A">
        <w:rPr>
          <w:rFonts w:cs="FrankRuehl"/>
          <w:sz w:val="28"/>
          <w:szCs w:val="28"/>
          <w:rtl/>
        </w:rPr>
        <w:t xml:space="preserve">ראויה, יש להחמיר עם כל פעולה של סחר בנשק, כהגדרתו </w:t>
      </w:r>
      <w:hyperlink r:id="rId43" w:history="1">
        <w:r w:rsidR="00AA3F1E" w:rsidRPr="00AA3F1E">
          <w:rPr>
            <w:rFonts w:cs="FrankRuehl"/>
            <w:color w:val="0000FF"/>
            <w:sz w:val="28"/>
            <w:szCs w:val="28"/>
            <w:u w:val="single"/>
            <w:rtl/>
          </w:rPr>
          <w:t>בסעיף 144(ג)</w:t>
        </w:r>
      </w:hyperlink>
      <w:r w:rsidRPr="00FC459A">
        <w:rPr>
          <w:rFonts w:cs="FrankRuehl"/>
          <w:sz w:val="28"/>
          <w:szCs w:val="28"/>
          <w:rtl/>
        </w:rPr>
        <w:t xml:space="preserve"> לחוק. ללא התחמושת, והסוחרים בה, לא ניתן לעשות שימוש בנשק ולבצע באמצעותו עבירות אלימות. ענישה מחמירה גם באשר למרכיב זה, תביא לפגיעה בחוליה משמעותית, בשרשרת העבריינית ותביא להורדת רמת האלימות בחברה.</w:t>
      </w:r>
    </w:p>
    <w:p w14:paraId="28E8A96D"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חשוב להדגיש כי המעשים היו פרי תכנון מוקדם שחלקו היחסי של הנאשם ביחס לנאשם האחר, היה החלק העיקרי</w:t>
      </w:r>
      <w:r w:rsidRPr="00FC459A">
        <w:rPr>
          <w:rFonts w:cs="FrankRuehl" w:hint="cs"/>
          <w:sz w:val="28"/>
          <w:szCs w:val="28"/>
          <w:rtl/>
        </w:rPr>
        <w:t xml:space="preserve">.  </w:t>
      </w:r>
      <w:r w:rsidRPr="00FC459A">
        <w:rPr>
          <w:rFonts w:cs="FrankRuehl"/>
          <w:sz w:val="28"/>
          <w:szCs w:val="28"/>
          <w:rtl/>
        </w:rPr>
        <w:t>בהתחשב במוסכם על הצדדים כי רק הפנייה הראשונה ה</w:t>
      </w:r>
      <w:r w:rsidRPr="00FC459A">
        <w:rPr>
          <w:rFonts w:cs="FrankRuehl" w:hint="cs"/>
          <w:sz w:val="28"/>
          <w:szCs w:val="28"/>
          <w:rtl/>
        </w:rPr>
        <w:t>י</w:t>
      </w:r>
      <w:r w:rsidRPr="00FC459A">
        <w:rPr>
          <w:rFonts w:cs="FrankRuehl"/>
          <w:sz w:val="28"/>
          <w:szCs w:val="28"/>
          <w:rtl/>
        </w:rPr>
        <w:t xml:space="preserve">יתה מצידו של הסוכן הסמוי, איני סבור </w:t>
      </w:r>
      <w:r w:rsidRPr="00FC459A">
        <w:rPr>
          <w:rFonts w:cs="FrankRuehl" w:hint="cs"/>
          <w:sz w:val="28"/>
          <w:szCs w:val="28"/>
          <w:rtl/>
        </w:rPr>
        <w:t>ש</w:t>
      </w:r>
      <w:r w:rsidRPr="00FC459A">
        <w:rPr>
          <w:rFonts w:cs="FrankRuehl"/>
          <w:sz w:val="28"/>
          <w:szCs w:val="28"/>
          <w:rtl/>
        </w:rPr>
        <w:t>לעובדה זו יש לתת משקל בעת קביעת מתחם העונש ההולם.</w:t>
      </w:r>
    </w:p>
    <w:p w14:paraId="00B872A6" w14:textId="77777777" w:rsidR="00785ABC" w:rsidRPr="00FC459A" w:rsidRDefault="00785ABC">
      <w:pPr>
        <w:spacing w:line="360" w:lineRule="auto"/>
        <w:ind w:left="720"/>
        <w:jc w:val="both"/>
        <w:rPr>
          <w:rFonts w:cs="FrankRuehl"/>
          <w:sz w:val="28"/>
          <w:szCs w:val="28"/>
        </w:rPr>
      </w:pPr>
    </w:p>
    <w:p w14:paraId="3F12F8B0" w14:textId="77777777" w:rsidR="00785ABC" w:rsidRPr="00FC459A" w:rsidRDefault="00FC459A">
      <w:pPr>
        <w:numPr>
          <w:ilvl w:val="0"/>
          <w:numId w:val="1"/>
        </w:numPr>
        <w:spacing w:line="360" w:lineRule="auto"/>
        <w:jc w:val="both"/>
        <w:rPr>
          <w:rFonts w:cs="FrankRuehl"/>
          <w:sz w:val="28"/>
          <w:szCs w:val="28"/>
        </w:rPr>
      </w:pPr>
      <w:r w:rsidRPr="00FC459A">
        <w:rPr>
          <w:rFonts w:cs="FrankRuehl"/>
          <w:sz w:val="28"/>
          <w:szCs w:val="28"/>
          <w:rtl/>
        </w:rPr>
        <w:t>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3  ל-7- שנות מאסר בפועל, הענישה תכלול גם קנס</w:t>
      </w:r>
      <w:r w:rsidRPr="00FC459A">
        <w:rPr>
          <w:rFonts w:cs="FrankRuehl" w:hint="cs"/>
          <w:sz w:val="28"/>
          <w:szCs w:val="28"/>
          <w:rtl/>
        </w:rPr>
        <w:t>.</w:t>
      </w:r>
      <w:r w:rsidRPr="00FC459A">
        <w:rPr>
          <w:rFonts w:cs="FrankRuehl"/>
          <w:sz w:val="28"/>
          <w:szCs w:val="28"/>
          <w:rtl/>
        </w:rPr>
        <w:t xml:space="preserve"> </w:t>
      </w:r>
    </w:p>
    <w:p w14:paraId="55DB3C1F" w14:textId="77777777" w:rsidR="00785ABC" w:rsidRPr="00FC459A" w:rsidRDefault="00785ABC">
      <w:pPr>
        <w:spacing w:line="360" w:lineRule="auto"/>
        <w:ind w:left="720"/>
        <w:jc w:val="both"/>
        <w:rPr>
          <w:rFonts w:cs="FrankRuehl"/>
          <w:sz w:val="28"/>
          <w:szCs w:val="28"/>
          <w:rtl/>
        </w:rPr>
      </w:pPr>
    </w:p>
    <w:p w14:paraId="569E61CE" w14:textId="77777777" w:rsidR="00785ABC" w:rsidRPr="00FC459A" w:rsidRDefault="00FC459A">
      <w:pPr>
        <w:spacing w:line="360" w:lineRule="auto"/>
        <w:ind w:left="720"/>
        <w:jc w:val="both"/>
        <w:outlineLvl w:val="0"/>
        <w:rPr>
          <w:rFonts w:cs="Miriam"/>
        </w:rPr>
      </w:pPr>
      <w:r w:rsidRPr="00FC459A">
        <w:rPr>
          <w:rFonts w:cs="Miriam"/>
          <w:rtl/>
        </w:rPr>
        <w:t>מתחם הולם-אישום שני.</w:t>
      </w:r>
    </w:p>
    <w:p w14:paraId="151AEEEF" w14:textId="77777777" w:rsidR="00785ABC" w:rsidRPr="00FC459A" w:rsidRDefault="00FC459A">
      <w:pPr>
        <w:numPr>
          <w:ilvl w:val="0"/>
          <w:numId w:val="1"/>
        </w:numPr>
        <w:spacing w:line="360" w:lineRule="auto"/>
        <w:jc w:val="both"/>
        <w:rPr>
          <w:rFonts w:cs="FrankRuehl"/>
          <w:sz w:val="28"/>
          <w:szCs w:val="28"/>
        </w:rPr>
      </w:pPr>
      <w:r w:rsidRPr="00FC459A">
        <w:rPr>
          <w:rFonts w:cs="FrankRuehl"/>
          <w:sz w:val="28"/>
          <w:szCs w:val="28"/>
          <w:rtl/>
        </w:rPr>
        <w:t>הנאשם סחר בנשק, אקדח ברטה 9 מ"מ עם מחסנית ריקה ושקית ובה 8 כדורים, (הנאשם האחר, חשאן רק סייע לעבירת הסחר), בתמורה לנשק קיבל הנאשם 8,500 ש"ח.</w:t>
      </w:r>
    </w:p>
    <w:p w14:paraId="454D0B29" w14:textId="77777777" w:rsidR="00785ABC" w:rsidRPr="00FC459A" w:rsidRDefault="00785ABC">
      <w:pPr>
        <w:spacing w:line="360" w:lineRule="auto"/>
        <w:ind w:left="720"/>
        <w:jc w:val="both"/>
        <w:rPr>
          <w:rFonts w:cs="FrankRuehl"/>
          <w:sz w:val="28"/>
          <w:szCs w:val="28"/>
        </w:rPr>
      </w:pPr>
    </w:p>
    <w:p w14:paraId="37B1F08C" w14:textId="77777777" w:rsidR="00785ABC" w:rsidRPr="00FC459A" w:rsidRDefault="00FC459A">
      <w:pPr>
        <w:numPr>
          <w:ilvl w:val="0"/>
          <w:numId w:val="1"/>
        </w:numPr>
        <w:spacing w:line="360" w:lineRule="auto"/>
        <w:jc w:val="both"/>
        <w:rPr>
          <w:rFonts w:cs="FrankRuehl"/>
          <w:sz w:val="28"/>
          <w:szCs w:val="28"/>
          <w:rtl/>
        </w:rPr>
      </w:pPr>
      <w:r w:rsidRPr="00FC459A">
        <w:rPr>
          <w:rFonts w:cs="FrankRuehl"/>
          <w:sz w:val="28"/>
          <w:szCs w:val="28"/>
          <w:rtl/>
        </w:rPr>
        <w:t>במקרה זה הפגיעה בשלום הציבור ובטחונו אף חמורה יותר מהאישום הראשון, בשל הע</w:t>
      </w:r>
      <w:r w:rsidRPr="00FC459A">
        <w:rPr>
          <w:rFonts w:cs="FrankRuehl" w:hint="cs"/>
          <w:sz w:val="28"/>
          <w:szCs w:val="28"/>
          <w:rtl/>
        </w:rPr>
        <w:t>ו</w:t>
      </w:r>
      <w:r w:rsidRPr="00FC459A">
        <w:rPr>
          <w:rFonts w:cs="FrankRuehl"/>
          <w:sz w:val="28"/>
          <w:szCs w:val="28"/>
          <w:rtl/>
        </w:rPr>
        <w:t>בדה כי הנאשם סחר באקדח ובתחמושת ומן הראוי להפנות למדיניות הענישה הנהוגה כפי שנקבעה  בפסק דינו של כב' הש' נ' הנדל:</w:t>
      </w:r>
    </w:p>
    <w:p w14:paraId="4065FDBB" w14:textId="77777777" w:rsidR="00785ABC" w:rsidRPr="00FC459A" w:rsidRDefault="00FC459A">
      <w:pPr>
        <w:pStyle w:val="Ruller4"/>
        <w:spacing w:line="240" w:lineRule="auto"/>
        <w:ind w:left="1440" w:right="1276" w:hanging="720"/>
        <w:rPr>
          <w:sz w:val="28"/>
          <w:rtl/>
        </w:rPr>
      </w:pPr>
      <w:r w:rsidRPr="00FC459A">
        <w:rPr>
          <w:sz w:val="28"/>
          <w:rtl/>
        </w:rPr>
        <w:tab/>
      </w:r>
      <w:r w:rsidRPr="00FC459A">
        <w:rPr>
          <w:rFonts w:hint="cs"/>
          <w:sz w:val="28"/>
          <w:rtl/>
        </w:rPr>
        <w:tab/>
        <w:t>"</w:t>
      </w:r>
      <w:r w:rsidRPr="00FC459A">
        <w:rPr>
          <w:sz w:val="28"/>
          <w:rtl/>
        </w:rPr>
        <w:t>חומרה רבה גלומה בעבירות סחר בנשק. בית משפט זה התייחס בעבר למגוון הסכנות הרבות הטמונות במסחר בלתי חוקי בנשק בציינו כי:</w:t>
      </w:r>
      <w:r w:rsidRPr="00FC459A">
        <w:rPr>
          <w:rFonts w:hint="cs"/>
          <w:sz w:val="28"/>
          <w:rtl/>
        </w:rPr>
        <w:t xml:space="preserve"> </w:t>
      </w:r>
      <w:r w:rsidRPr="00FC459A">
        <w:rPr>
          <w:sz w:val="28"/>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 (</w:t>
      </w:r>
      <w:hyperlink r:id="rId44" w:history="1">
        <w:r w:rsidRPr="00FC459A">
          <w:rPr>
            <w:color w:val="0000FF"/>
            <w:sz w:val="28"/>
            <w:u w:val="single"/>
            <w:rtl/>
          </w:rPr>
          <w:t>ע"פ 5833/07</w:t>
        </w:r>
      </w:hyperlink>
      <w:r w:rsidRPr="00FC459A">
        <w:rPr>
          <w:sz w:val="28"/>
          <w:rtl/>
        </w:rPr>
        <w:t xml:space="preserve"> </w:t>
      </w:r>
      <w:r w:rsidRPr="00FC459A">
        <w:rPr>
          <w:rFonts w:cs="Miriam"/>
          <w:sz w:val="24"/>
          <w:szCs w:val="24"/>
          <w:rtl/>
        </w:rPr>
        <w:t>ח'ורי נ' מדינת ישראל</w:t>
      </w:r>
      <w:r w:rsidRPr="00FC459A">
        <w:rPr>
          <w:sz w:val="28"/>
          <w:rtl/>
        </w:rPr>
        <w:t xml:space="preserve"> (18.11.2007); וראו גם </w:t>
      </w:r>
      <w:hyperlink r:id="rId45" w:history="1">
        <w:r w:rsidRPr="00FC459A">
          <w:rPr>
            <w:color w:val="0000FF"/>
            <w:sz w:val="28"/>
            <w:u w:val="single"/>
            <w:rtl/>
          </w:rPr>
          <w:t>ע"פ 2251/11</w:t>
        </w:r>
      </w:hyperlink>
      <w:r w:rsidRPr="00FC459A">
        <w:rPr>
          <w:sz w:val="28"/>
          <w:rtl/>
        </w:rPr>
        <w:t xml:space="preserve"> </w:t>
      </w:r>
      <w:r w:rsidRPr="00FC459A">
        <w:rPr>
          <w:rFonts w:cs="Miriam"/>
          <w:sz w:val="24"/>
          <w:szCs w:val="24"/>
          <w:rtl/>
        </w:rPr>
        <w:t>נפאע נ' מדינת ישראל</w:t>
      </w:r>
      <w:r w:rsidRPr="00FC459A">
        <w:rPr>
          <w:sz w:val="28"/>
          <w:rtl/>
        </w:rPr>
        <w:t xml:space="preserve"> בפס' 5 (4.12.2011)). נפסק, שיש צורך לנקוט ברמת ענישה מחמירה ובהעלאת רף הענישה כאשר עסקינן בעבירות נשק. זמינותו של נשק חם ועוצמתו ההרסנית, מימדיה המדאיגים של תופעת הסחר הבלתי חוקי בנשק, הסכנה להסלמת האלימות העבריינית וקלות ביצוע העבירות מחייבים ענישה הולמת ומחמירה. כמובן, הדבר כפוף לנסיבותיו הקונקרטיות של כל מקרה ומקרה (</w:t>
      </w:r>
      <w:hyperlink r:id="rId46" w:history="1">
        <w:r w:rsidRPr="00FC459A">
          <w:rPr>
            <w:color w:val="0000FF"/>
            <w:sz w:val="28"/>
            <w:u w:val="single"/>
            <w:rtl/>
          </w:rPr>
          <w:t>ע"פ 1332/04 מדינת ישראל נ' פס, פ"ד נח</w:t>
        </w:r>
      </w:hyperlink>
      <w:r w:rsidRPr="00FC459A">
        <w:rPr>
          <w:sz w:val="28"/>
          <w:rtl/>
        </w:rPr>
        <w:t xml:space="preserve">(5) 541, 545; עניין נפאע שלעיל, בפס' 5, 7). הסוחר בנשק מונע בדרך כלל משיקולי רווח או שיקולי אידיאולוגיה. בשני המצבים, צו השעה הוא להרתיע בצורה פרטנית וכללית. כמובן שהדברים נכונים ביתר שאת כאשר מדובר בעבירות נשק רבות וחוזרות של נאשם.. בכל מקרה, כאמור, בסחר בלתי חוקי בנשק ברור כי הנשקים אינם מיועדים למטרות כשרות אלא לפעילות עבריינית בגרעין הקשה (ראו </w:t>
      </w:r>
      <w:hyperlink r:id="rId47" w:history="1">
        <w:r w:rsidRPr="00FC459A">
          <w:rPr>
            <w:color w:val="0000FF"/>
            <w:sz w:val="28"/>
            <w:u w:val="single"/>
            <w:rtl/>
          </w:rPr>
          <w:t>ע"פ 8012/04</w:t>
        </w:r>
      </w:hyperlink>
      <w:r w:rsidRPr="00FC459A">
        <w:rPr>
          <w:sz w:val="28"/>
          <w:rtl/>
        </w:rPr>
        <w:t xml:space="preserve"> </w:t>
      </w:r>
      <w:r w:rsidRPr="00FC459A">
        <w:rPr>
          <w:rFonts w:cs="Miriam"/>
          <w:sz w:val="24"/>
          <w:szCs w:val="24"/>
          <w:rtl/>
        </w:rPr>
        <w:t xml:space="preserve">מתאני נ' מדינת ישראל </w:t>
      </w:r>
      <w:r w:rsidRPr="00FC459A">
        <w:rPr>
          <w:sz w:val="28"/>
          <w:rtl/>
        </w:rPr>
        <w:t xml:space="preserve">(16.11.2005))" </w:t>
      </w:r>
      <w:hyperlink r:id="rId48" w:history="1">
        <w:r w:rsidRPr="00FC459A">
          <w:rPr>
            <w:color w:val="0000FF"/>
            <w:sz w:val="28"/>
            <w:u w:val="single"/>
            <w:rtl/>
          </w:rPr>
          <w:t>ע"פ 2403/11</w:t>
        </w:r>
      </w:hyperlink>
      <w:r w:rsidRPr="00FC459A">
        <w:rPr>
          <w:sz w:val="28"/>
          <w:rtl/>
        </w:rPr>
        <w:t xml:space="preserve"> </w:t>
      </w:r>
      <w:r w:rsidRPr="00FC459A">
        <w:rPr>
          <w:rFonts w:cs="Miriam"/>
          <w:sz w:val="24"/>
          <w:szCs w:val="24"/>
          <w:rtl/>
        </w:rPr>
        <w:t>אבו סעלוק נגד מדינת ישראל</w:t>
      </w:r>
      <w:r w:rsidRPr="00FC459A">
        <w:rPr>
          <w:sz w:val="28"/>
          <w:rtl/>
        </w:rPr>
        <w:t xml:space="preserve"> (6.6.2013).</w:t>
      </w:r>
    </w:p>
    <w:p w14:paraId="23C3C4BB" w14:textId="77777777" w:rsidR="00785ABC" w:rsidRPr="00FC459A" w:rsidRDefault="00FC459A">
      <w:pPr>
        <w:pStyle w:val="Ruller4"/>
        <w:ind w:left="720"/>
        <w:rPr>
          <w:sz w:val="28"/>
          <w:rtl/>
        </w:rPr>
      </w:pPr>
      <w:r w:rsidRPr="00FC459A">
        <w:rPr>
          <w:sz w:val="28"/>
          <w:rtl/>
        </w:rPr>
        <w:t xml:space="preserve"> </w:t>
      </w:r>
    </w:p>
    <w:p w14:paraId="285EEC96"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גם באישום זה המעשים היו פרי תכנון מוקדם שחלקו היחסי של הנאשם ביחס לנאשם האחר, היה החלק העיקרי, בהתחשב במוסכם על הצדדים כי רק הפנייה הראשונה היתה מצידו של הסוכן הסמוי, ובמקרה זה בוצעה העבירה כחודשיים לאחר אותה "פנייה ראשונה" וגם מסיבה זו אין לתת משקל לאותה פנייה בעת קביעת מתחם העונש ההולם.</w:t>
      </w:r>
    </w:p>
    <w:p w14:paraId="5CA7083D" w14:textId="77777777" w:rsidR="00785ABC" w:rsidRPr="00FC459A" w:rsidRDefault="00785ABC">
      <w:pPr>
        <w:spacing w:line="360" w:lineRule="auto"/>
        <w:ind w:left="1440" w:right="720"/>
        <w:jc w:val="both"/>
        <w:outlineLvl w:val="0"/>
        <w:rPr>
          <w:rFonts w:cs="FrankRuehl"/>
          <w:sz w:val="28"/>
          <w:szCs w:val="28"/>
          <w:rtl/>
        </w:rPr>
      </w:pPr>
    </w:p>
    <w:p w14:paraId="0EF3EC85" w14:textId="77777777" w:rsidR="00785ABC" w:rsidRPr="00FC459A" w:rsidRDefault="00FC459A">
      <w:pPr>
        <w:numPr>
          <w:ilvl w:val="0"/>
          <w:numId w:val="1"/>
        </w:numPr>
        <w:spacing w:line="360" w:lineRule="auto"/>
        <w:jc w:val="both"/>
        <w:rPr>
          <w:rFonts w:cs="FrankRuehl"/>
          <w:sz w:val="28"/>
          <w:szCs w:val="28"/>
        </w:rPr>
      </w:pPr>
      <w:r w:rsidRPr="00FC459A">
        <w:rPr>
          <w:rFonts w:cs="FrankRuehl"/>
          <w:sz w:val="28"/>
          <w:szCs w:val="28"/>
          <w:rtl/>
        </w:rPr>
        <w:t>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4  ל-7- שנות מאסר בפועל, הענישה תכלול גם קנס</w:t>
      </w:r>
      <w:r w:rsidRPr="00FC459A">
        <w:rPr>
          <w:rFonts w:cs="FrankRuehl" w:hint="cs"/>
          <w:sz w:val="28"/>
          <w:szCs w:val="28"/>
          <w:rtl/>
        </w:rPr>
        <w:t>.</w:t>
      </w:r>
      <w:r w:rsidRPr="00FC459A">
        <w:rPr>
          <w:rFonts w:cs="FrankRuehl"/>
          <w:sz w:val="28"/>
          <w:szCs w:val="28"/>
          <w:rtl/>
        </w:rPr>
        <w:t xml:space="preserve"> </w:t>
      </w:r>
      <w:r w:rsidRPr="00FC459A">
        <w:rPr>
          <w:rFonts w:cs="FrankRuehl" w:hint="cs"/>
          <w:sz w:val="28"/>
          <w:szCs w:val="28"/>
          <w:rtl/>
        </w:rPr>
        <w:t>מאחר והמאשימה קבעה כגבול תחתון גם לאישום זה, עונש של 3 שנות מאסר, בעת קביעת העונש המתאים אתייחס ל-3 שנות מאסר כגבול התחתון.</w:t>
      </w:r>
    </w:p>
    <w:p w14:paraId="3EC5746C" w14:textId="77777777" w:rsidR="00785ABC" w:rsidRPr="00FC459A" w:rsidRDefault="00785ABC">
      <w:pPr>
        <w:spacing w:line="360" w:lineRule="auto"/>
        <w:ind w:left="720"/>
        <w:jc w:val="both"/>
        <w:rPr>
          <w:rFonts w:cs="FrankRuehl"/>
          <w:sz w:val="28"/>
          <w:szCs w:val="28"/>
          <w:rtl/>
        </w:rPr>
      </w:pPr>
    </w:p>
    <w:p w14:paraId="38101F5D" w14:textId="77777777" w:rsidR="00785ABC" w:rsidRPr="00FC459A" w:rsidRDefault="00FC459A">
      <w:pPr>
        <w:spacing w:line="360" w:lineRule="auto"/>
        <w:ind w:left="360" w:firstLine="360"/>
        <w:rPr>
          <w:rFonts w:cs="Miriam"/>
          <w:rtl/>
        </w:rPr>
      </w:pPr>
      <w:r w:rsidRPr="00FC459A">
        <w:rPr>
          <w:rFonts w:cs="Miriam"/>
          <w:rtl/>
        </w:rPr>
        <w:t>העונש המתאים</w:t>
      </w:r>
    </w:p>
    <w:p w14:paraId="5D8FFB3D" w14:textId="77777777" w:rsidR="00785ABC" w:rsidRPr="00FC459A" w:rsidRDefault="00FC459A">
      <w:pPr>
        <w:spacing w:line="360" w:lineRule="auto"/>
        <w:ind w:left="360" w:firstLine="360"/>
        <w:jc w:val="both"/>
        <w:rPr>
          <w:rFonts w:cs="FrankRuehl"/>
          <w:sz w:val="28"/>
          <w:szCs w:val="28"/>
          <w:rtl/>
        </w:rPr>
      </w:pPr>
      <w:r w:rsidRPr="00FC459A">
        <w:rPr>
          <w:rFonts w:cs="FrankRuehl"/>
          <w:sz w:val="28"/>
          <w:szCs w:val="28"/>
          <w:rtl/>
        </w:rPr>
        <w:t xml:space="preserve">אני סבור כי יש במקרה זה לגזור עונש כולל לכל האירועים (ראו </w:t>
      </w:r>
      <w:hyperlink r:id="rId49" w:history="1">
        <w:r w:rsidR="00AA3F1E" w:rsidRPr="00AA3F1E">
          <w:rPr>
            <w:rFonts w:cs="FrankRuehl"/>
            <w:color w:val="0000FF"/>
            <w:sz w:val="28"/>
            <w:szCs w:val="28"/>
            <w:u w:val="single"/>
            <w:rtl/>
          </w:rPr>
          <w:t>סעיף 40יג'(ב)</w:t>
        </w:r>
      </w:hyperlink>
      <w:r w:rsidRPr="00FC459A">
        <w:rPr>
          <w:rFonts w:cs="FrankRuehl"/>
          <w:sz w:val="28"/>
          <w:szCs w:val="28"/>
          <w:rtl/>
        </w:rPr>
        <w:t xml:space="preserve"> לחוק).</w:t>
      </w:r>
    </w:p>
    <w:p w14:paraId="77A645CC"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בעת גזירת העונש המתאים, יש לבחון במסגרת הקריטריונים הספציפיים שפורטו בתיקון 113 לחוק 3 נושאים חשובים:</w:t>
      </w:r>
    </w:p>
    <w:p w14:paraId="40D09FDE"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-אפשרות שיקום בהתאם לתסקיר שירות המבחן ובהסתמך על חוות דעת המומחית מטעמו של הנאשם.</w:t>
      </w:r>
    </w:p>
    <w:p w14:paraId="1E91CBC3"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-עקרון אחידות הענישה בהתחשב, בעונש שהוטל על שותפו של הנאשם לאותו כתב אישום.</w:t>
      </w:r>
    </w:p>
    <w:p w14:paraId="5A42AF96"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-האם "הודח" הנאשם לביצוע העבירות ע"י סוכן מדיח והשפעת קביעה זו על גובה העונש.</w:t>
      </w:r>
    </w:p>
    <w:p w14:paraId="4B56ECBA" w14:textId="77777777" w:rsidR="00785ABC" w:rsidRPr="00FC459A" w:rsidRDefault="00785ABC">
      <w:pPr>
        <w:spacing w:line="360" w:lineRule="auto"/>
        <w:ind w:left="360" w:firstLine="360"/>
        <w:jc w:val="both"/>
        <w:rPr>
          <w:rFonts w:cs="FrankRuehl"/>
          <w:sz w:val="28"/>
          <w:szCs w:val="28"/>
          <w:rtl/>
        </w:rPr>
      </w:pPr>
    </w:p>
    <w:p w14:paraId="60C4703D"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שיקום-שירות המבחן ממליץ על "העדפת האופציה השיקומית" על "האופציה העונשית". שיקוליו של שירות המבחן ראויים, אך אין הם משקפים את התמונה המלאה אותה יש לקחת בחשבון. חשוב לציין כי בעניין אישיותו של הנאשם, הסתמך קצין המבחן על חוות הדעת של דר' מץ (ס/1) והגיע למסקנה כי ברקע לביצוע העבירה עמדו מאפייני אישיותו הבלתי בשלה והנטייה להיגרר לתוך אינטראקציות חברתיות בעייתיות, מסקנה דומה למסקנת המומחית מטעם הנאשם, דר' מץ. אלא שלחוות דעתה יש להתייחס באופן מסוייג בשל המידע העובדתי השגוי שהוצג בפניה כמתואר בפרק "מתולדות הנבדק", הכולל תאור עובדות הסותרות את עובדות כתב האישום המתוקן (ראו גם הטענה מפי הנאשם שהיה עצור 50 יום אך למומחית מטעמו סיפר "נזכר ללא הרף בתקופה הקשה שבה שהה בכלא עכו במשך 11 חודשים-כמעט ולא אכל וישן כ-2-3 שעות ביממה").  </w:t>
      </w:r>
    </w:p>
    <w:p w14:paraId="6B12B7BD" w14:textId="77777777" w:rsidR="00785ABC" w:rsidRPr="00FC459A" w:rsidRDefault="00785ABC">
      <w:pPr>
        <w:spacing w:line="360" w:lineRule="auto"/>
        <w:ind w:left="720"/>
        <w:jc w:val="both"/>
        <w:rPr>
          <w:rFonts w:cs="FrankRuehl"/>
          <w:sz w:val="28"/>
          <w:szCs w:val="28"/>
          <w:rtl/>
        </w:rPr>
      </w:pPr>
    </w:p>
    <w:p w14:paraId="481FB6DC" w14:textId="77777777" w:rsidR="00785ABC" w:rsidRPr="00FC459A" w:rsidRDefault="00FC459A">
      <w:pPr>
        <w:spacing w:line="360" w:lineRule="auto"/>
        <w:ind w:firstLine="720"/>
        <w:jc w:val="both"/>
        <w:rPr>
          <w:rFonts w:cs="FrankRuehl"/>
          <w:sz w:val="28"/>
          <w:szCs w:val="28"/>
          <w:rtl/>
        </w:rPr>
      </w:pPr>
      <w:r w:rsidRPr="00FC459A">
        <w:rPr>
          <w:rFonts w:cs="FrankRuehl"/>
          <w:sz w:val="28"/>
          <w:szCs w:val="28"/>
          <w:rtl/>
        </w:rPr>
        <w:t>באשר למעמדו של שירות המבחן אפנה להחלטתו של כב' השופט ס' ג'ובראן</w:t>
      </w:r>
      <w:r w:rsidRPr="00FC459A">
        <w:rPr>
          <w:rFonts w:cs="FrankRuehl" w:hint="cs"/>
          <w:sz w:val="28"/>
          <w:szCs w:val="28"/>
          <w:rtl/>
        </w:rPr>
        <w:t>:</w:t>
      </w:r>
    </w:p>
    <w:p w14:paraId="03B6F0AA" w14:textId="77777777" w:rsidR="00785ABC" w:rsidRPr="00FC459A" w:rsidRDefault="00FC459A">
      <w:pPr>
        <w:pStyle w:val="ruller41"/>
        <w:spacing w:line="240" w:lineRule="auto"/>
        <w:ind w:left="1440" w:right="720"/>
        <w:rPr>
          <w:rFonts w:cs="FrankRuehl"/>
          <w:sz w:val="28"/>
          <w:szCs w:val="28"/>
          <w:rtl/>
        </w:rPr>
      </w:pPr>
      <w:r w:rsidRPr="00FC459A">
        <w:rPr>
          <w:rFonts w:cs="FrankRuehl"/>
          <w:sz w:val="28"/>
          <w:szCs w:val="28"/>
          <w:rtl/>
        </w:rPr>
        <w:t xml:space="preserve">"על-אף ששירות המבחן הינו גוף מקצועי חיוני, אשר בית-המשפט נעזר בו ומכבד את המלצותיו, אין הוא מחויב לקבל אותן. תפקידו השופט הינו האיזון בין השיקול הטיפולי והשיקומי, המתבטא בהמלצות שירות המבחן ובין שיקולים אחרים, העומדים בבסיס הענישה הפלילית" </w:t>
      </w:r>
      <w:hyperlink r:id="rId50" w:history="1">
        <w:r w:rsidRPr="00FC459A">
          <w:rPr>
            <w:rFonts w:cs="FrankRuehl"/>
            <w:color w:val="0000FF"/>
            <w:sz w:val="28"/>
            <w:szCs w:val="28"/>
            <w:u w:val="single"/>
            <w:rtl/>
          </w:rPr>
          <w:t>רע"פ 9151/06</w:t>
        </w:r>
      </w:hyperlink>
      <w:r w:rsidRPr="00FC459A">
        <w:rPr>
          <w:rFonts w:cs="FrankRuehl"/>
          <w:sz w:val="28"/>
          <w:szCs w:val="28"/>
          <w:rtl/>
        </w:rPr>
        <w:t xml:space="preserve"> </w:t>
      </w:r>
      <w:r w:rsidRPr="00FC459A">
        <w:rPr>
          <w:rFonts w:cs="Miriam"/>
          <w:sz w:val="24"/>
          <w:szCs w:val="24"/>
          <w:rtl/>
        </w:rPr>
        <w:t>מזרחי נגד מדינת ישראל</w:t>
      </w:r>
      <w:r w:rsidRPr="00FC459A">
        <w:rPr>
          <w:rFonts w:cs="FrankRuehl"/>
          <w:sz w:val="28"/>
          <w:szCs w:val="28"/>
          <w:rtl/>
        </w:rPr>
        <w:t xml:space="preserve"> (11.5.2006).</w:t>
      </w:r>
    </w:p>
    <w:p w14:paraId="1C3B5BF6" w14:textId="77777777" w:rsidR="00785ABC" w:rsidRPr="00FC459A" w:rsidRDefault="00785ABC">
      <w:pPr>
        <w:pStyle w:val="ruller41"/>
        <w:ind w:left="1440" w:right="720"/>
        <w:rPr>
          <w:rFonts w:cs="FrankRuehl"/>
          <w:sz w:val="28"/>
          <w:szCs w:val="28"/>
          <w:rtl/>
        </w:rPr>
      </w:pPr>
    </w:p>
    <w:p w14:paraId="2C43BAAB"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שירות המבחן, לא מתייחס וגם לא צריך להתייחס למדיניות הענישה או לעונש שהוטל על הנאשם האחר, אך בהתחשב בחומרת העבירות, חובה לבחון גם את האינטרס הציבורי וגם את עקרון אחידות הענישה. הנאשם הועמד לדין ביחד עם אחר- שנדון ל-45 חודשי מאסר, ביחד עם מאסר מותנה וקנס</w:t>
      </w:r>
      <w:r w:rsidRPr="00FC459A">
        <w:rPr>
          <w:rFonts w:cs="FrankRuehl" w:hint="cs"/>
          <w:sz w:val="28"/>
          <w:szCs w:val="28"/>
          <w:rtl/>
        </w:rPr>
        <w:t xml:space="preserve"> (</w:t>
      </w:r>
      <w:r w:rsidRPr="00FC459A">
        <w:rPr>
          <w:rFonts w:cs="FrankRuehl"/>
          <w:sz w:val="28"/>
          <w:szCs w:val="28"/>
          <w:rtl/>
        </w:rPr>
        <w:t>ערעורו על גזר הדין נדחה ע"י בית המשפט העליון</w:t>
      </w:r>
      <w:r w:rsidRPr="00FC459A">
        <w:rPr>
          <w:rFonts w:cs="FrankRuehl" w:hint="cs"/>
          <w:sz w:val="28"/>
          <w:szCs w:val="28"/>
          <w:rtl/>
        </w:rPr>
        <w:t xml:space="preserve">, </w:t>
      </w:r>
      <w:hyperlink r:id="rId51" w:history="1">
        <w:r w:rsidRPr="00FC459A">
          <w:rPr>
            <w:rFonts w:cs="FrankRuehl"/>
            <w:color w:val="0000FF"/>
            <w:sz w:val="28"/>
            <w:szCs w:val="28"/>
            <w:u w:val="single"/>
            <w:rtl/>
          </w:rPr>
          <w:t>ע"פ 2606/13</w:t>
        </w:r>
      </w:hyperlink>
      <w:r w:rsidRPr="00FC459A">
        <w:rPr>
          <w:rFonts w:cs="FrankRuehl"/>
          <w:sz w:val="28"/>
          <w:szCs w:val="28"/>
          <w:rtl/>
        </w:rPr>
        <w:t xml:space="preserve"> פסק דין מיום 2.2.2014).</w:t>
      </w:r>
      <w:r w:rsidRPr="00FC459A">
        <w:rPr>
          <w:rFonts w:cs="FrankRuehl" w:hint="cs"/>
          <w:sz w:val="28"/>
          <w:szCs w:val="28"/>
          <w:rtl/>
        </w:rPr>
        <w:t xml:space="preserve"> </w:t>
      </w:r>
      <w:r w:rsidRPr="00FC459A">
        <w:rPr>
          <w:rFonts w:cs="FrankRuehl"/>
          <w:sz w:val="28"/>
          <w:szCs w:val="28"/>
          <w:rtl/>
        </w:rPr>
        <w:t>ואזכיר כי "עקרון אחידות הענישה, הנגזר מעיקרון השוויון בפני החוק, מורה על החלת שיקולי ענישה דומים על מי שביצעו עבירות דומות, ובאותן נסיבות" (</w:t>
      </w:r>
      <w:hyperlink r:id="rId52" w:history="1">
        <w:r w:rsidRPr="00FC459A">
          <w:rPr>
            <w:rFonts w:cs="FrankRuehl"/>
            <w:color w:val="0000FF"/>
            <w:sz w:val="28"/>
            <w:szCs w:val="28"/>
            <w:u w:val="single"/>
            <w:rtl/>
          </w:rPr>
          <w:t>רע"פ 4600/12</w:t>
        </w:r>
      </w:hyperlink>
      <w:r w:rsidRPr="00FC459A">
        <w:rPr>
          <w:rFonts w:cs="FrankRuehl"/>
          <w:sz w:val="28"/>
          <w:szCs w:val="28"/>
          <w:rtl/>
        </w:rPr>
        <w:t xml:space="preserve"> </w:t>
      </w:r>
      <w:r w:rsidRPr="00FC459A">
        <w:rPr>
          <w:rFonts w:cs="Miriam"/>
          <w:rtl/>
        </w:rPr>
        <w:t>יאשייב נ' מדינת ישראל</w:t>
      </w:r>
      <w:r w:rsidRPr="00FC459A">
        <w:rPr>
          <w:rFonts w:cs="FrankRuehl"/>
          <w:sz w:val="28"/>
          <w:szCs w:val="28"/>
          <w:rtl/>
        </w:rPr>
        <w:t xml:space="preserve"> (13.6.2012)</w:t>
      </w:r>
      <w:r w:rsidRPr="00FC459A">
        <w:rPr>
          <w:rFonts w:cs="FrankRuehl" w:hint="cs"/>
          <w:sz w:val="28"/>
          <w:szCs w:val="28"/>
          <w:rtl/>
        </w:rPr>
        <w:t>)</w:t>
      </w:r>
      <w:r w:rsidRPr="00FC459A">
        <w:rPr>
          <w:rFonts w:cs="FrankRuehl"/>
          <w:sz w:val="28"/>
          <w:szCs w:val="28"/>
          <w:rtl/>
        </w:rPr>
        <w:t>, בנוסף אפנה לפסק דינו של כב' השופט א' גרוניס (כתוארו אז):</w:t>
      </w:r>
    </w:p>
    <w:p w14:paraId="3D5D04D8" w14:textId="77777777" w:rsidR="00785ABC" w:rsidRPr="00FC459A" w:rsidRDefault="00FC459A">
      <w:pPr>
        <w:pStyle w:val="BODYVERDICT"/>
        <w:ind w:left="1440" w:right="540"/>
        <w:jc w:val="both"/>
        <w:rPr>
          <w:sz w:val="28"/>
          <w:rtl/>
        </w:rPr>
      </w:pPr>
      <w:r w:rsidRPr="00FC459A">
        <w:rPr>
          <w:sz w:val="28"/>
          <w:rtl/>
        </w:rPr>
        <w:t xml:space="preserve">אכן, עקרון מוכר בדין הפלילי הינו עקרון אחידות הענישה, לפיו יש להחיל עונשים דומים על מקרים דומים מבחינת סוג העבירות, אופיין ונסיבותיו האישיות של הנאשם. מטרתו של עקרון זה הינה להבטיח שוויונם של נאשמים בפני החוק ולמנוע שרירות בענישה. בענייננו ישנה חשיבות מוגברת לאחידות הענישה נוכח העובדה שמדובר בעבירות דומות שהן חלק מפרשה אחת, בה הורשעו נאשמים רבים כתוצאה מפעילותו של סוכן משטרתי סמוי אחד. עם זאת, השוואה בין העונשים שנגזרו במקרים שונים הינה השוואה קשה. ברי, כי העונש שגוזר בית המשפט על המורשע אינו מבוסס על מדע מדויק. גזירת העונש נעשית תוך שקלול מספר רב של נתונים, המשתנים ממקרה למקרה. בין נתונים אלה ניתן לציין את סוג העבירות וכמותן, המסכת העובדתית, אופן ניהולו של ההליך וכמובן נסיבותיו האישיות של הנאשם, לרבות עברו הפלילי", </w:t>
      </w:r>
      <w:hyperlink r:id="rId53" w:history="1">
        <w:r w:rsidRPr="00FC459A">
          <w:rPr>
            <w:color w:val="0000FF"/>
            <w:sz w:val="28"/>
            <w:u w:val="single"/>
            <w:rtl/>
          </w:rPr>
          <w:t>ע"פ 4450/11</w:t>
        </w:r>
      </w:hyperlink>
      <w:r w:rsidRPr="00FC459A">
        <w:rPr>
          <w:sz w:val="28"/>
          <w:rtl/>
        </w:rPr>
        <w:t xml:space="preserve">, </w:t>
      </w:r>
      <w:hyperlink r:id="rId54" w:history="1">
        <w:r w:rsidRPr="00FC459A">
          <w:rPr>
            <w:color w:val="0000FF"/>
            <w:sz w:val="28"/>
            <w:u w:val="single"/>
            <w:rtl/>
          </w:rPr>
          <w:t>ע"פ 4841/11</w:t>
        </w:r>
      </w:hyperlink>
      <w:r w:rsidRPr="00FC459A">
        <w:rPr>
          <w:sz w:val="28"/>
          <w:rtl/>
        </w:rPr>
        <w:t xml:space="preserve"> ו</w:t>
      </w:r>
      <w:hyperlink r:id="rId55" w:history="1">
        <w:r w:rsidRPr="00FC459A">
          <w:rPr>
            <w:color w:val="0000FF"/>
            <w:sz w:val="28"/>
            <w:u w:val="single"/>
            <w:rtl/>
          </w:rPr>
          <w:t>ע"פ 4871/11</w:t>
        </w:r>
      </w:hyperlink>
      <w:r w:rsidRPr="00FC459A">
        <w:rPr>
          <w:sz w:val="28"/>
          <w:rtl/>
        </w:rPr>
        <w:t xml:space="preserve"> עספור נגד מדינת ישראל (8.2.2012).</w:t>
      </w:r>
    </w:p>
    <w:p w14:paraId="348F9A53" w14:textId="77777777" w:rsidR="00785ABC" w:rsidRPr="00FC459A" w:rsidRDefault="00FC459A">
      <w:pPr>
        <w:spacing w:line="360" w:lineRule="auto"/>
        <w:jc w:val="both"/>
        <w:rPr>
          <w:rFonts w:cs="FrankRuehl"/>
          <w:sz w:val="28"/>
          <w:szCs w:val="28"/>
          <w:rtl/>
        </w:rPr>
      </w:pPr>
      <w:r w:rsidRPr="00FC459A">
        <w:rPr>
          <w:rFonts w:cs="FrankRuehl"/>
          <w:sz w:val="28"/>
          <w:szCs w:val="28"/>
          <w:rtl/>
        </w:rPr>
        <w:tab/>
      </w:r>
    </w:p>
    <w:p w14:paraId="0420436A"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זה השלב לבחון את כתבי האישום המתוקנים לגבי שני הנאשמים, ולאחר בחינת טענות הצדדים, אני סבור כי אין הצדקה להיענות להמלצת שירות המבחן ולהטיל על הנאשם שבפניי, עונש של 6 חודשי מאסר בעבודות שירות, כשהנאשם האחר נושא עונש של 45 חודשי מאסר בפועל, בגין אותן עבירות או עבירות דומות.</w:t>
      </w:r>
    </w:p>
    <w:p w14:paraId="64C6E424" w14:textId="77777777" w:rsidR="00785ABC" w:rsidRPr="00FC459A" w:rsidRDefault="00785ABC">
      <w:pPr>
        <w:spacing w:line="360" w:lineRule="auto"/>
        <w:ind w:left="720"/>
        <w:jc w:val="both"/>
        <w:rPr>
          <w:rFonts w:cs="FrankRuehl"/>
          <w:sz w:val="28"/>
          <w:szCs w:val="28"/>
          <w:rtl/>
        </w:rPr>
      </w:pPr>
    </w:p>
    <w:p w14:paraId="3D2B207B"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אמנם  לנאשם האחר יוחס אישום נוסף, של סחר באקדח, (האישום השלישי) אך מנגד באישום השני, אותו נאשם הורשע רק בעבירה של סיוע, בעוד שהנאשם שבפניי הורשע בעבירה של סחר באקדח. באישום הראשון הורשעו שני הנאשמים בגין אותן עבירות, אך על פי עובדותיו חלקו של הנאשם שבפניי, גדול יותר, הוא יזם את המגעים עם הסמוי, הוא ניהל את המשא ומתן ובפועל גם מסר את הנשק לסמוי. איני סבור כי פער הגילאים (חשאן מבוגר מהנאשם ב-9 שנים) או המתואר בתסקירי שירות המבחן ובטיעוני הסנגור מצדיק לעשות אבחנה כה משמעותית ביניהם, למעט בשאלת גובה הקנס. </w:t>
      </w:r>
    </w:p>
    <w:p w14:paraId="3A89DBA3" w14:textId="77777777" w:rsidR="00785ABC" w:rsidRPr="00FC459A" w:rsidRDefault="00785ABC">
      <w:pPr>
        <w:spacing w:line="360" w:lineRule="auto"/>
        <w:ind w:left="720"/>
        <w:jc w:val="both"/>
        <w:rPr>
          <w:rFonts w:cs="FrankRuehl"/>
          <w:sz w:val="28"/>
          <w:szCs w:val="28"/>
          <w:rtl/>
        </w:rPr>
      </w:pPr>
    </w:p>
    <w:p w14:paraId="55BBC498"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שאלה מהותית המאבחנת בין השניים היא שאלת "הסוכן המדיח", שלכאורה באה לידי ביטוי בהצהרות המאשימה כחלק מהסדר הטיעון, (ראו ההסדר שסומן א), שלא הוצהרו לגבי הנאשם האחר. על פי אותן הצהרות הנאשם לא נכלל בתוכנית היעדים של הסוכן הסמוי, לא היו מידעים מודיעיניים לגביו והפנייה הראשונה לנאשם הייתה על ידי הסוכן הסמוי אשר בשיחה עם הנאשם אמר ש"אם יזדמן לו נשקים ש</w:t>
      </w:r>
      <w:r w:rsidRPr="00FC459A">
        <w:rPr>
          <w:rFonts w:cs="FrankRuehl" w:hint="cs"/>
          <w:sz w:val="28"/>
          <w:szCs w:val="28"/>
          <w:rtl/>
        </w:rPr>
        <w:t>י</w:t>
      </w:r>
      <w:r w:rsidRPr="00FC459A">
        <w:rPr>
          <w:rFonts w:cs="FrankRuehl"/>
          <w:sz w:val="28"/>
          <w:szCs w:val="28"/>
          <w:rtl/>
        </w:rPr>
        <w:t xml:space="preserve">פנה אליו". </w:t>
      </w:r>
    </w:p>
    <w:p w14:paraId="1F71E6E5" w14:textId="77777777" w:rsidR="00785ABC" w:rsidRPr="00FC459A" w:rsidRDefault="00785ABC">
      <w:pPr>
        <w:spacing w:line="360" w:lineRule="auto"/>
        <w:ind w:left="720"/>
        <w:jc w:val="both"/>
        <w:rPr>
          <w:rFonts w:cs="FrankRuehl"/>
          <w:sz w:val="28"/>
          <w:szCs w:val="28"/>
          <w:rtl/>
        </w:rPr>
      </w:pPr>
    </w:p>
    <w:p w14:paraId="6FB39357"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 xml:space="preserve">מקובלת עליי עמדת הסנגור כי להצהרות אלו יש לתת ביטוי בדרך של הקלה בעונש ביחס לנאשם האחר, אך לא במידה בה מבקש זאת הסנגור. חשוב לזכור כי בהתאם לתוכנו של הסדר הטיעון, לא היו כאן הדחה או פיתוי. הוסכם על הצדדים כי רק הפנייה הראשונית היתה ביוזמת הסוכן, במהלך שיחה אותה יזם הסוכן, הוא אמר לנאשם "שאם יזדמן לו נשקים שיפנה אליו", לא הוצעו לנאשם כסף או טובת הנאה כלשהי ובעקבות אותה פנייה באו מצידו של הנאשם וביוזמתו כמתואר בכתב האישום המתוקן, הצעות שונות, ביום 1.4.2012 הציע הנאשם לסמוי שתי מחסניות של תת מקלע  מסוג </w:t>
      </w:r>
      <w:r w:rsidRPr="00FC459A">
        <w:rPr>
          <w:rFonts w:cs="FrankRuehl"/>
          <w:sz w:val="28"/>
          <w:szCs w:val="28"/>
        </w:rPr>
        <w:t>M-16</w:t>
      </w:r>
      <w:r w:rsidRPr="00FC459A">
        <w:rPr>
          <w:rFonts w:cs="FrankRuehl"/>
          <w:sz w:val="28"/>
          <w:szCs w:val="28"/>
          <w:rtl/>
        </w:rPr>
        <w:t xml:space="preserve"> עם 62 כדורים, עיסקה שמומשה כנגד תשלום (ו-57 כדורים במקום 62). בחלוף כחודש</w:t>
      </w:r>
      <w:r w:rsidRPr="00FC459A">
        <w:rPr>
          <w:rFonts w:cs="FrankRuehl" w:hint="cs"/>
          <w:sz w:val="28"/>
          <w:szCs w:val="28"/>
          <w:rtl/>
        </w:rPr>
        <w:t>י</w:t>
      </w:r>
      <w:r w:rsidRPr="00FC459A">
        <w:rPr>
          <w:rFonts w:cs="FrankRuehl"/>
          <w:sz w:val="28"/>
          <w:szCs w:val="28"/>
          <w:rtl/>
        </w:rPr>
        <w:t xml:space="preserve">ים, הודיע הנאשם לסמוי כי חשאן מציע למכור לו אקדח, ובהמשך מסר הנאשם לסמוי אקדח ברטה, מחסנית ו-8 כדורים. </w:t>
      </w:r>
    </w:p>
    <w:p w14:paraId="57285AA1" w14:textId="77777777" w:rsidR="00785ABC" w:rsidRPr="00FC459A" w:rsidRDefault="00785ABC">
      <w:pPr>
        <w:spacing w:line="360" w:lineRule="auto"/>
        <w:ind w:left="720"/>
        <w:jc w:val="both"/>
        <w:rPr>
          <w:rFonts w:cs="FrankRuehl"/>
          <w:sz w:val="28"/>
          <w:szCs w:val="28"/>
          <w:rtl/>
        </w:rPr>
      </w:pPr>
    </w:p>
    <w:p w14:paraId="4229AD3A"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התנהגות הנאשם העידה על היכולת שלו להשיג כלי נשק שלא כדין לשם מכירתם לכל מי שיספק את דרישותיו הכספיות (ראו למשל המתואר בסעיף 3 לאישום השני, והודאת הנאשם כי סכום הכסף ששולם לאחר מכן הגיע לידיו). השוואת המתואר לעיל "להדחה" המתוארת ב</w:t>
      </w:r>
      <w:hyperlink r:id="rId56" w:history="1">
        <w:r w:rsidRPr="00FC459A">
          <w:rPr>
            <w:rFonts w:cs="FrankRuehl"/>
            <w:color w:val="0000FF"/>
            <w:sz w:val="28"/>
            <w:szCs w:val="28"/>
            <w:u w:val="single"/>
            <w:rtl/>
          </w:rPr>
          <w:t>ע"פ 360/80 מדינת ישראל נגד אפנג'ר (פ"ד לח</w:t>
        </w:r>
      </w:hyperlink>
      <w:r w:rsidRPr="00FC459A">
        <w:rPr>
          <w:rFonts w:cs="FrankRuehl"/>
          <w:sz w:val="28"/>
          <w:szCs w:val="28"/>
          <w:rtl/>
        </w:rPr>
        <w:t xml:space="preserve"> (1) עמוד 228)</w:t>
      </w:r>
      <w:r w:rsidRPr="00FC459A">
        <w:rPr>
          <w:rFonts w:cs="FrankRuehl" w:hint="cs"/>
          <w:sz w:val="28"/>
          <w:szCs w:val="28"/>
          <w:rtl/>
        </w:rPr>
        <w:t xml:space="preserve"> אליו הפנה הסנגור</w:t>
      </w:r>
      <w:r w:rsidRPr="00FC459A">
        <w:rPr>
          <w:rFonts w:cs="FrankRuehl"/>
          <w:sz w:val="28"/>
          <w:szCs w:val="28"/>
          <w:rtl/>
        </w:rPr>
        <w:t xml:space="preserve">, מראה כי מדובר במקרה שונה לחלוטין ולכן </w:t>
      </w:r>
      <w:r w:rsidRPr="00FC459A">
        <w:rPr>
          <w:rFonts w:cs="FrankRuehl" w:hint="cs"/>
          <w:sz w:val="28"/>
          <w:szCs w:val="28"/>
          <w:rtl/>
        </w:rPr>
        <w:t>ה</w:t>
      </w:r>
      <w:r w:rsidRPr="00FC459A">
        <w:rPr>
          <w:rFonts w:cs="FrankRuehl"/>
          <w:sz w:val="28"/>
          <w:szCs w:val="28"/>
          <w:rtl/>
        </w:rPr>
        <w:t>הקלה בעונש תהא בהתאם.</w:t>
      </w:r>
    </w:p>
    <w:p w14:paraId="53E762A2" w14:textId="77777777" w:rsidR="00785ABC" w:rsidRPr="00FC459A" w:rsidRDefault="00785ABC">
      <w:pPr>
        <w:spacing w:line="360" w:lineRule="auto"/>
        <w:ind w:left="720"/>
        <w:jc w:val="both"/>
        <w:rPr>
          <w:rFonts w:cs="FrankRuehl"/>
          <w:sz w:val="28"/>
          <w:szCs w:val="28"/>
          <w:rtl/>
        </w:rPr>
      </w:pPr>
    </w:p>
    <w:p w14:paraId="6EBFD583" w14:textId="77777777" w:rsidR="00785ABC" w:rsidRPr="00FC459A" w:rsidRDefault="00FC459A">
      <w:pPr>
        <w:spacing w:line="360" w:lineRule="auto"/>
        <w:ind w:left="720"/>
        <w:jc w:val="both"/>
        <w:rPr>
          <w:rFonts w:cs="FrankRuehl"/>
          <w:sz w:val="28"/>
          <w:szCs w:val="28"/>
          <w:rtl/>
        </w:rPr>
      </w:pPr>
      <w:r w:rsidRPr="00FC459A">
        <w:rPr>
          <w:rFonts w:cs="FrankRuehl"/>
          <w:sz w:val="28"/>
          <w:szCs w:val="28"/>
          <w:rtl/>
        </w:rPr>
        <w:t>מעיון בעובדות כתב האישום המתוקן עולה כי לא מדובר במעידה חד פעמית אלא בעבירות מתמשכות שקדם להן משא ומתן שנוהל ישירות בין הנאשם לבין הסוכן.</w:t>
      </w:r>
    </w:p>
    <w:p w14:paraId="506EFBAC" w14:textId="77777777" w:rsidR="00FC459A" w:rsidRPr="00FC459A" w:rsidRDefault="00FC459A">
      <w:pPr>
        <w:spacing w:line="360" w:lineRule="auto"/>
        <w:ind w:left="720"/>
        <w:jc w:val="both"/>
        <w:rPr>
          <w:rFonts w:cs="FrankRuehl"/>
          <w:sz w:val="28"/>
          <w:szCs w:val="28"/>
          <w:rtl/>
        </w:rPr>
      </w:pPr>
    </w:p>
    <w:p w14:paraId="4CB9E3B4" w14:textId="77777777" w:rsidR="00FC459A" w:rsidRPr="00FC459A" w:rsidRDefault="00FC459A" w:rsidP="00FC459A">
      <w:pPr>
        <w:spacing w:line="360" w:lineRule="auto"/>
        <w:ind w:left="720"/>
        <w:jc w:val="center"/>
        <w:rPr>
          <w:rFonts w:cs="FrankRuehl"/>
          <w:bCs/>
          <w:sz w:val="28"/>
          <w:szCs w:val="28"/>
          <w:rtl/>
        </w:rPr>
      </w:pPr>
      <w:r w:rsidRPr="00FC459A">
        <w:rPr>
          <w:rFonts w:cs="FrankRuehl"/>
          <w:bCs/>
          <w:sz w:val="28"/>
          <w:szCs w:val="28"/>
          <w:rtl/>
        </w:rPr>
        <w:t>בנוסף אני סבור כי יש צורך במקרה זה בהרתעת הנאשם והרבים מפני ביצוע עבירות</w:t>
      </w:r>
    </w:p>
    <w:p w14:paraId="126151A7" w14:textId="77777777" w:rsidR="00785ABC" w:rsidRDefault="00FC459A">
      <w:pPr>
        <w:spacing w:line="360" w:lineRule="auto"/>
        <w:ind w:left="720"/>
        <w:jc w:val="both"/>
        <w:rPr>
          <w:rFonts w:cs="FrankRuehl"/>
          <w:sz w:val="28"/>
          <w:szCs w:val="28"/>
          <w:rtl/>
        </w:rPr>
      </w:pPr>
      <w:r>
        <w:rPr>
          <w:rFonts w:cs="FrankRuehl"/>
          <w:sz w:val="28"/>
          <w:szCs w:val="28"/>
          <w:rtl/>
        </w:rPr>
        <w:t>בנשק וכי יש סיכוי של ממש שהחמרה בעונשו של הנאשם תביא להרתעה כאמור ואתן לכך ביטוי בעת קביעת העונש המתאים.</w:t>
      </w:r>
    </w:p>
    <w:p w14:paraId="3A861E4E" w14:textId="77777777" w:rsidR="00785ABC" w:rsidRDefault="00785ABC">
      <w:pPr>
        <w:spacing w:line="360" w:lineRule="auto"/>
        <w:ind w:left="720"/>
        <w:jc w:val="both"/>
        <w:rPr>
          <w:rFonts w:cs="FrankRuehl"/>
          <w:sz w:val="28"/>
          <w:szCs w:val="28"/>
          <w:rtl/>
        </w:rPr>
      </w:pPr>
    </w:p>
    <w:p w14:paraId="46455760" w14:textId="77777777" w:rsidR="00785ABC" w:rsidRDefault="00FC459A">
      <w:pPr>
        <w:spacing w:line="360" w:lineRule="auto"/>
        <w:ind w:left="720"/>
        <w:jc w:val="both"/>
        <w:rPr>
          <w:rFonts w:cs="FrankRuehl"/>
          <w:sz w:val="28"/>
          <w:szCs w:val="28"/>
          <w:rtl/>
        </w:rPr>
      </w:pPr>
      <w:r>
        <w:rPr>
          <w:rFonts w:cs="FrankRuehl"/>
          <w:sz w:val="28"/>
          <w:szCs w:val="28"/>
          <w:rtl/>
        </w:rPr>
        <w:t>לזכות הנאשם עומדת נטילת האחריות על מעשיו. הודייתו בהזדמנות הראשונה, העדר עבר פלילי, גילו הצעיר ואישיותו כפי שתוארה בתסקיר</w:t>
      </w:r>
      <w:r>
        <w:rPr>
          <w:rFonts w:cs="FrankRuehl" w:hint="cs"/>
          <w:sz w:val="28"/>
          <w:szCs w:val="28"/>
          <w:rtl/>
        </w:rPr>
        <w:t>.</w:t>
      </w:r>
    </w:p>
    <w:p w14:paraId="6D35CAD3" w14:textId="77777777" w:rsidR="00785ABC" w:rsidRDefault="00FC459A">
      <w:pPr>
        <w:spacing w:line="360" w:lineRule="auto"/>
        <w:ind w:left="720"/>
        <w:jc w:val="both"/>
        <w:rPr>
          <w:rFonts w:cs="FrankRuehl"/>
          <w:sz w:val="28"/>
          <w:szCs w:val="28"/>
          <w:rtl/>
        </w:rPr>
      </w:pPr>
      <w:r>
        <w:rPr>
          <w:rFonts w:cs="FrankRuehl" w:hint="cs"/>
          <w:sz w:val="28"/>
          <w:szCs w:val="28"/>
          <w:rtl/>
        </w:rPr>
        <w:t xml:space="preserve"> </w:t>
      </w:r>
    </w:p>
    <w:p w14:paraId="43B2EF65" w14:textId="77777777" w:rsidR="00785ABC" w:rsidRDefault="00FC459A">
      <w:pPr>
        <w:spacing w:line="360" w:lineRule="auto"/>
        <w:ind w:left="720"/>
        <w:jc w:val="both"/>
        <w:rPr>
          <w:rFonts w:cs="FrankRuehl"/>
          <w:sz w:val="28"/>
          <w:szCs w:val="28"/>
          <w:rtl/>
        </w:rPr>
      </w:pPr>
      <w:r>
        <w:rPr>
          <w:rFonts w:cs="FrankRuehl"/>
          <w:sz w:val="28"/>
          <w:szCs w:val="28"/>
          <w:rtl/>
        </w:rPr>
        <w:t>מאחר ולטענת הסנגור הגורם המניע והמדיח הוא הסוכן הסמוי (ולא גורם אחר), לא שוכנעתי מעיון בעובדות כתב האישום המתוקן כי הסוכן הסמוי בשילוב אישיותו של הנאשם, הם שהביאו למאמצים שהשקיע וליוזמות מטעם הנאשם לביצוע העבירות החמורות בהן הודה.</w:t>
      </w:r>
      <w:r>
        <w:rPr>
          <w:rFonts w:cs="FrankRuehl" w:hint="cs"/>
          <w:sz w:val="28"/>
          <w:szCs w:val="28"/>
          <w:rtl/>
        </w:rPr>
        <w:t xml:space="preserve"> </w:t>
      </w:r>
    </w:p>
    <w:p w14:paraId="4296E183" w14:textId="77777777" w:rsidR="00785ABC" w:rsidRDefault="00785ABC">
      <w:pPr>
        <w:spacing w:line="360" w:lineRule="auto"/>
        <w:ind w:left="720"/>
        <w:jc w:val="both"/>
        <w:rPr>
          <w:rFonts w:cs="FrankRuehl"/>
          <w:sz w:val="28"/>
          <w:szCs w:val="28"/>
          <w:rtl/>
        </w:rPr>
      </w:pPr>
    </w:p>
    <w:p w14:paraId="3156470B" w14:textId="77777777" w:rsidR="00785ABC" w:rsidRDefault="00FC459A">
      <w:pPr>
        <w:spacing w:line="360" w:lineRule="auto"/>
        <w:ind w:left="720"/>
        <w:jc w:val="both"/>
        <w:rPr>
          <w:rFonts w:cs="FrankRuehl"/>
          <w:sz w:val="28"/>
          <w:szCs w:val="28"/>
          <w:rtl/>
        </w:rPr>
      </w:pPr>
      <w:r>
        <w:rPr>
          <w:rFonts w:cs="FrankRuehl" w:hint="cs"/>
          <w:sz w:val="28"/>
          <w:szCs w:val="28"/>
          <w:rtl/>
        </w:rPr>
        <w:t>איזון כל האמור לעיל מצדיק העמדת העונש המתאים בגובה הגבול התחתון של מתחם העונש ההולם.</w:t>
      </w:r>
    </w:p>
    <w:p w14:paraId="55F02C6A" w14:textId="77777777" w:rsidR="00785ABC" w:rsidRDefault="00785ABC">
      <w:pPr>
        <w:spacing w:line="360" w:lineRule="auto"/>
        <w:ind w:left="720"/>
        <w:jc w:val="both"/>
        <w:rPr>
          <w:rFonts w:cs="FrankRuehl"/>
          <w:sz w:val="28"/>
          <w:szCs w:val="28"/>
          <w:rtl/>
        </w:rPr>
      </w:pPr>
    </w:p>
    <w:p w14:paraId="79E4B9EB" w14:textId="77777777" w:rsidR="00785ABC" w:rsidRDefault="00FC459A">
      <w:pPr>
        <w:spacing w:line="360" w:lineRule="auto"/>
        <w:ind w:left="720"/>
        <w:jc w:val="both"/>
        <w:rPr>
          <w:rFonts w:cs="FrankRuehl"/>
          <w:sz w:val="28"/>
          <w:szCs w:val="28"/>
          <w:rtl/>
        </w:rPr>
      </w:pPr>
      <w:r>
        <w:rPr>
          <w:rFonts w:cs="FrankRuehl"/>
          <w:sz w:val="28"/>
          <w:szCs w:val="28"/>
          <w:rtl/>
        </w:rPr>
        <w:t xml:space="preserve">עבירות הסחר בנשק, בהן הורשע הנאשם, נעשו כאמור עבור בצע כסף וצודק ב"כ המאשימה בטיעוניו כי יש להטיל על הנאשם קנס שייתן ביטוי להשקעה הרבה שהשקיעה המשטרה בחקירת הפרשה וישמש כגורם הרתעה נוסף עבור אלו העוסקים בסחר בלתי חוקי בנשק, מנגד חשוב לזכור כי על פי תיקון 113 לחוק, </w:t>
      </w:r>
      <w:r>
        <w:rPr>
          <w:rFonts w:cs="FrankRuehl" w:hint="cs"/>
          <w:sz w:val="28"/>
          <w:szCs w:val="28"/>
          <w:rtl/>
        </w:rPr>
        <w:t>יש ל</w:t>
      </w:r>
      <w:r>
        <w:rPr>
          <w:rFonts w:cs="FrankRuehl"/>
          <w:sz w:val="28"/>
          <w:szCs w:val="28"/>
          <w:rtl/>
        </w:rPr>
        <w:t xml:space="preserve">התחשב </w:t>
      </w:r>
      <w:r>
        <w:rPr>
          <w:rFonts w:cs="FrankRuehl" w:hint="cs"/>
          <w:sz w:val="28"/>
          <w:szCs w:val="28"/>
          <w:rtl/>
        </w:rPr>
        <w:t xml:space="preserve">גם </w:t>
      </w:r>
      <w:r>
        <w:rPr>
          <w:rFonts w:cs="FrankRuehl"/>
          <w:sz w:val="28"/>
          <w:szCs w:val="28"/>
          <w:rtl/>
        </w:rPr>
        <w:t>בתקופת המאסר ובגילו של הנאשם ולכן לא אמצה את הדין עם הנאשם וגובה הקנס יהיה מתון.</w:t>
      </w:r>
    </w:p>
    <w:p w14:paraId="56BD5D49" w14:textId="77777777" w:rsidR="00785ABC" w:rsidRDefault="00785ABC">
      <w:pPr>
        <w:spacing w:line="360" w:lineRule="auto"/>
        <w:ind w:left="720"/>
        <w:jc w:val="both"/>
        <w:rPr>
          <w:rFonts w:cs="FrankRuehl"/>
          <w:color w:val="FF0000"/>
          <w:sz w:val="28"/>
          <w:szCs w:val="28"/>
          <w:rtl/>
        </w:rPr>
      </w:pPr>
    </w:p>
    <w:p w14:paraId="39B0AF88" w14:textId="77777777" w:rsidR="00785ABC" w:rsidRDefault="00785ABC">
      <w:pPr>
        <w:spacing w:line="360" w:lineRule="auto"/>
        <w:ind w:left="720"/>
        <w:jc w:val="both"/>
        <w:rPr>
          <w:rFonts w:cs="FrankRuehl"/>
          <w:color w:val="FF0000"/>
          <w:sz w:val="28"/>
          <w:szCs w:val="28"/>
          <w:rtl/>
        </w:rPr>
      </w:pPr>
    </w:p>
    <w:p w14:paraId="4A4AD178" w14:textId="77777777" w:rsidR="00785ABC" w:rsidRDefault="00785ABC">
      <w:pPr>
        <w:spacing w:line="360" w:lineRule="auto"/>
        <w:ind w:left="720"/>
        <w:jc w:val="both"/>
        <w:rPr>
          <w:rFonts w:cs="FrankRuehl"/>
          <w:color w:val="FF0000"/>
          <w:sz w:val="28"/>
          <w:szCs w:val="28"/>
          <w:rtl/>
        </w:rPr>
      </w:pPr>
    </w:p>
    <w:p w14:paraId="3352B300" w14:textId="77777777" w:rsidR="00785ABC" w:rsidRDefault="00FC459A">
      <w:pPr>
        <w:spacing w:line="360" w:lineRule="auto"/>
        <w:ind w:left="360" w:firstLine="360"/>
        <w:rPr>
          <w:rFonts w:cs="Miriam"/>
        </w:rPr>
      </w:pPr>
      <w:r>
        <w:rPr>
          <w:rFonts w:cs="Miriam"/>
          <w:rtl/>
        </w:rPr>
        <w:t>סיכום</w:t>
      </w:r>
    </w:p>
    <w:p w14:paraId="06A9C8A4" w14:textId="77777777" w:rsidR="00785ABC" w:rsidRDefault="00FC459A">
      <w:pPr>
        <w:spacing w:line="360" w:lineRule="auto"/>
        <w:ind w:left="360" w:firstLine="360"/>
        <w:jc w:val="both"/>
        <w:rPr>
          <w:rFonts w:cs="FrankRuehl"/>
          <w:sz w:val="28"/>
          <w:szCs w:val="28"/>
        </w:rPr>
      </w:pPr>
      <w:r>
        <w:rPr>
          <w:rFonts w:cs="FrankRuehl"/>
          <w:sz w:val="28"/>
          <w:szCs w:val="28"/>
          <w:rtl/>
        </w:rPr>
        <w:t>לאור האמור לעיל אני דן את הנאשם לעונשים הבאים:</w:t>
      </w:r>
    </w:p>
    <w:p w14:paraId="3A82F38D" w14:textId="77777777" w:rsidR="00785ABC" w:rsidRDefault="00FC459A">
      <w:pPr>
        <w:pStyle w:val="a7"/>
        <w:numPr>
          <w:ilvl w:val="0"/>
          <w:numId w:val="2"/>
        </w:numPr>
        <w:spacing w:line="360" w:lineRule="auto"/>
        <w:jc w:val="both"/>
        <w:rPr>
          <w:rFonts w:cs="FrankRuehl"/>
          <w:sz w:val="28"/>
          <w:szCs w:val="28"/>
        </w:rPr>
      </w:pPr>
      <w:r>
        <w:rPr>
          <w:rFonts w:cs="FrankRuehl"/>
          <w:sz w:val="28"/>
          <w:szCs w:val="28"/>
          <w:rtl/>
        </w:rPr>
        <w:t xml:space="preserve">עונש של </w:t>
      </w:r>
      <w:r>
        <w:rPr>
          <w:rFonts w:cs="FrankRuehl"/>
          <w:sz w:val="28"/>
          <w:szCs w:val="28"/>
          <w:u w:val="single"/>
          <w:rtl/>
        </w:rPr>
        <w:t>36</w:t>
      </w:r>
      <w:r>
        <w:rPr>
          <w:rFonts w:cs="FrankRuehl"/>
          <w:sz w:val="28"/>
          <w:szCs w:val="28"/>
          <w:rtl/>
        </w:rPr>
        <w:t xml:space="preserve"> חודשי מאסר בפועל, מעונש המאסר ינוכו הימים בהם שהה במעצר מיום 11.9.2012 ועד ליום 31.10.2012.</w:t>
      </w:r>
    </w:p>
    <w:p w14:paraId="4CC635FF" w14:textId="77777777" w:rsidR="00785ABC" w:rsidRDefault="00FC459A">
      <w:pPr>
        <w:pStyle w:val="a7"/>
        <w:numPr>
          <w:ilvl w:val="0"/>
          <w:numId w:val="2"/>
        </w:numPr>
        <w:spacing w:line="360" w:lineRule="auto"/>
        <w:jc w:val="both"/>
        <w:rPr>
          <w:rFonts w:cs="FrankRuehl"/>
          <w:sz w:val="28"/>
          <w:szCs w:val="28"/>
        </w:rPr>
      </w:pPr>
      <w:r>
        <w:rPr>
          <w:rFonts w:cs="FrankRuehl"/>
          <w:sz w:val="28"/>
          <w:szCs w:val="28"/>
          <w:u w:val="single"/>
          <w:rtl/>
        </w:rPr>
        <w:t>12</w:t>
      </w:r>
      <w:r>
        <w:rPr>
          <w:rFonts w:cs="FrankRuehl"/>
          <w:sz w:val="28"/>
          <w:szCs w:val="28"/>
          <w:rtl/>
        </w:rPr>
        <w:t xml:space="preserve"> חודשי מאסר על תנאי. הנאשם לא ישא את עונש המאסר על  תנאי </w:t>
      </w:r>
      <w:r>
        <w:rPr>
          <w:rStyle w:val="default"/>
          <w:rFonts w:cs="FrankRuehl"/>
          <w:sz w:val="28"/>
          <w:szCs w:val="28"/>
          <w:rtl/>
        </w:rPr>
        <w:t xml:space="preserve">אלא אם יעבור תוך שלוש שנים אחת העבירות בהן הורשע ויורשע בשל עבירה כזאת תוך תקופת התנאי או לאחריה. </w:t>
      </w:r>
    </w:p>
    <w:p w14:paraId="6B12664E" w14:textId="77777777" w:rsidR="00785ABC" w:rsidRDefault="00FC459A">
      <w:pPr>
        <w:pStyle w:val="a7"/>
        <w:numPr>
          <w:ilvl w:val="0"/>
          <w:numId w:val="2"/>
        </w:numPr>
        <w:spacing w:line="360" w:lineRule="auto"/>
        <w:jc w:val="both"/>
        <w:rPr>
          <w:rFonts w:cs="FrankRuehl"/>
          <w:sz w:val="28"/>
          <w:szCs w:val="28"/>
        </w:rPr>
      </w:pPr>
      <w:r>
        <w:rPr>
          <w:rFonts w:cs="FrankRuehl"/>
          <w:sz w:val="28"/>
          <w:szCs w:val="28"/>
          <w:rtl/>
        </w:rPr>
        <w:t xml:space="preserve">קנס בשיעור </w:t>
      </w:r>
      <w:r>
        <w:rPr>
          <w:rFonts w:cs="FrankRuehl"/>
          <w:sz w:val="28"/>
          <w:szCs w:val="28"/>
          <w:u w:val="single"/>
          <w:rtl/>
        </w:rPr>
        <w:t>15,000</w:t>
      </w:r>
      <w:r>
        <w:rPr>
          <w:rFonts w:cs="FrankRuehl"/>
          <w:sz w:val="28"/>
          <w:szCs w:val="28"/>
          <w:rtl/>
        </w:rPr>
        <w:t xml:space="preserve"> ש"ח או </w:t>
      </w:r>
      <w:r>
        <w:rPr>
          <w:rFonts w:cs="FrankRuehl"/>
          <w:sz w:val="28"/>
          <w:szCs w:val="28"/>
          <w:u w:val="single"/>
          <w:rtl/>
        </w:rPr>
        <w:t>90</w:t>
      </w:r>
      <w:r>
        <w:rPr>
          <w:rFonts w:cs="FrankRuehl"/>
          <w:sz w:val="28"/>
          <w:szCs w:val="28"/>
          <w:rtl/>
        </w:rPr>
        <w:t xml:space="preserve"> ימי מאסר תמורתו, הקנס ישולם עד לא יאוחר מיום 1.6.2014.</w:t>
      </w:r>
    </w:p>
    <w:p w14:paraId="3BEBA30A" w14:textId="77777777" w:rsidR="00785ABC" w:rsidRDefault="00785ABC">
      <w:pPr>
        <w:rPr>
          <w:rtl/>
        </w:rPr>
      </w:pPr>
    </w:p>
    <w:p w14:paraId="59DA9544" w14:textId="77777777" w:rsidR="00785ABC" w:rsidRDefault="00FC459A">
      <w:pPr>
        <w:rPr>
          <w:b/>
          <w:bCs/>
          <w:u w:val="single"/>
          <w:rtl/>
        </w:rPr>
      </w:pPr>
      <w:r>
        <w:rPr>
          <w:rFonts w:hint="cs"/>
          <w:b/>
          <w:bCs/>
          <w:u w:val="single"/>
          <w:rtl/>
        </w:rPr>
        <w:t>הודע לצדדים כי עומדת להם זכות ערעור תוך 45 יום.</w:t>
      </w:r>
    </w:p>
    <w:p w14:paraId="319D3B5A" w14:textId="77777777" w:rsidR="00785ABC" w:rsidRDefault="00785ABC">
      <w:pPr>
        <w:rPr>
          <w:b/>
          <w:bCs/>
          <w:u w:val="single"/>
          <w:rtl/>
        </w:rPr>
      </w:pPr>
    </w:p>
    <w:p w14:paraId="77FAC9E1" w14:textId="77777777" w:rsidR="00785ABC" w:rsidRPr="00FC459A" w:rsidRDefault="00FC459A">
      <w:pPr>
        <w:rPr>
          <w:b/>
          <w:bCs/>
          <w:color w:val="FFFFFF"/>
          <w:sz w:val="2"/>
          <w:szCs w:val="2"/>
          <w:u w:val="single"/>
          <w:rtl/>
        </w:rPr>
      </w:pPr>
      <w:r w:rsidRPr="00FC459A">
        <w:rPr>
          <w:b/>
          <w:bCs/>
          <w:color w:val="FFFFFF"/>
          <w:sz w:val="2"/>
          <w:szCs w:val="2"/>
          <w:u w:val="single"/>
          <w:rtl/>
        </w:rPr>
        <w:t>5129371</w:t>
      </w:r>
    </w:p>
    <w:p w14:paraId="6B1FA2F0" w14:textId="77777777" w:rsidR="00785ABC" w:rsidRDefault="00FC459A">
      <w:pPr>
        <w:spacing w:line="360" w:lineRule="auto"/>
        <w:jc w:val="both"/>
        <w:rPr>
          <w:rtl/>
        </w:rPr>
      </w:pPr>
      <w:r w:rsidRPr="00FC459A">
        <w:rPr>
          <w:rFonts w:ascii="Arial" w:hAnsi="Arial"/>
          <w:color w:val="FFFFFF"/>
          <w:sz w:val="2"/>
          <w:szCs w:val="2"/>
          <w:rtl/>
        </w:rPr>
        <w:t>54678313</w:t>
      </w:r>
      <w:r>
        <w:rPr>
          <w:rFonts w:ascii="Arial" w:hAnsi="Arial"/>
          <w:rtl/>
        </w:rPr>
        <w:t xml:space="preserve">ניתן היום,  כ"ג אדר תשע"ד, 23 פברואר 2014, בנוכחות ב"כ המאשימה עו"ד בני פסקל, עו"ד חן </w:t>
      </w:r>
      <w:r>
        <w:rPr>
          <w:rFonts w:ascii="Arial" w:hAnsi="Arial" w:hint="cs"/>
          <w:rtl/>
        </w:rPr>
        <w:t>רוימי והנאשם.</w:t>
      </w:r>
      <w:r>
        <w:rPr>
          <w:rFonts w:hint="cs"/>
          <w:rtl/>
        </w:rPr>
        <w:t xml:space="preserve">   </w:t>
      </w:r>
      <w:r>
        <w:rPr>
          <w:rFonts w:hint="cs"/>
          <w:rtl/>
        </w:rPr>
        <w:tab/>
      </w:r>
    </w:p>
    <w:p w14:paraId="37BAC819" w14:textId="77777777" w:rsidR="00785ABC" w:rsidRDefault="00785ABC">
      <w:pPr>
        <w:spacing w:line="360" w:lineRule="auto"/>
        <w:jc w:val="both"/>
        <w:rPr>
          <w:rtl/>
        </w:rPr>
      </w:pPr>
    </w:p>
    <w:p w14:paraId="139B4B1D" w14:textId="77777777" w:rsidR="00785ABC" w:rsidRDefault="00785ABC">
      <w:pPr>
        <w:spacing w:line="360" w:lineRule="auto"/>
        <w:jc w:val="both"/>
        <w:rPr>
          <w:rtl/>
        </w:rPr>
      </w:pPr>
    </w:p>
    <w:p w14:paraId="479D5DD1" w14:textId="77777777" w:rsidR="00785ABC" w:rsidRDefault="00FC459A">
      <w:pPr>
        <w:spacing w:line="360" w:lineRule="auto"/>
        <w:jc w:val="both"/>
      </w:pPr>
      <w:r>
        <w:rPr>
          <w:rFonts w:hint="cs"/>
          <w:rtl/>
        </w:rPr>
        <w:tab/>
      </w:r>
      <w:r>
        <w:rPr>
          <w:rFonts w:hint="cs"/>
          <w:rtl/>
        </w:rPr>
        <w:tab/>
      </w:r>
      <w:r>
        <w:rPr>
          <w:rFonts w:hint="cs"/>
          <w:rtl/>
        </w:rPr>
        <w:tab/>
      </w:r>
      <w:r>
        <w:rPr>
          <w:rFonts w:hint="cs"/>
          <w:rtl/>
        </w:rPr>
        <w:tab/>
      </w:r>
    </w:p>
    <w:p w14:paraId="7B25034C" w14:textId="77777777" w:rsidR="00785ABC" w:rsidRPr="00AA3F1E" w:rsidRDefault="00AA3F1E">
      <w:pPr>
        <w:spacing w:line="360" w:lineRule="auto"/>
        <w:jc w:val="both"/>
        <w:rPr>
          <w:rFonts w:ascii="Arial" w:hAnsi="Arial" w:cs="FrankRuehl"/>
          <w:color w:val="FFFFFF"/>
          <w:sz w:val="2"/>
          <w:szCs w:val="2"/>
          <w:rtl/>
        </w:rPr>
      </w:pPr>
      <w:r w:rsidRPr="00AA3F1E">
        <w:rPr>
          <w:rFonts w:ascii="Arial" w:hAnsi="Arial" w:cs="FrankRuehl"/>
          <w:color w:val="FFFFFF"/>
          <w:sz w:val="2"/>
          <w:szCs w:val="2"/>
          <w:rtl/>
        </w:rPr>
        <w:t>5129371</w:t>
      </w:r>
    </w:p>
    <w:p w14:paraId="55FC7BC9" w14:textId="77777777" w:rsidR="00FC459A" w:rsidRPr="00AA3F1E" w:rsidRDefault="00AA3F1E" w:rsidP="00FC459A">
      <w:pPr>
        <w:keepNext/>
        <w:rPr>
          <w:rFonts w:ascii="David" w:hAnsi="David"/>
          <w:color w:val="FFFFFF"/>
          <w:sz w:val="2"/>
          <w:szCs w:val="2"/>
          <w:rtl/>
        </w:rPr>
      </w:pPr>
      <w:r w:rsidRPr="00AA3F1E">
        <w:rPr>
          <w:rFonts w:ascii="David" w:hAnsi="David"/>
          <w:color w:val="FFFFFF"/>
          <w:sz w:val="2"/>
          <w:szCs w:val="2"/>
          <w:rtl/>
        </w:rPr>
        <w:t>54678313</w:t>
      </w:r>
    </w:p>
    <w:p w14:paraId="5225AD8D" w14:textId="77777777" w:rsidR="00FC459A" w:rsidRDefault="00FC459A" w:rsidP="00FC459A">
      <w:r w:rsidRPr="00FC459A">
        <w:rPr>
          <w:color w:val="000000"/>
          <w:rtl/>
        </w:rPr>
        <w:t>נוסח מסמך זה כפוף לשינויי ניסוח ועריכה</w:t>
      </w:r>
    </w:p>
    <w:p w14:paraId="0A7FEAC5" w14:textId="77777777" w:rsidR="00FC459A" w:rsidRDefault="00FC459A" w:rsidP="00FC459A">
      <w:pPr>
        <w:rPr>
          <w:rtl/>
        </w:rPr>
      </w:pPr>
    </w:p>
    <w:p w14:paraId="685E344C" w14:textId="77777777" w:rsidR="00FC459A" w:rsidRDefault="00FC459A" w:rsidP="00FC459A">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01093250" w14:textId="77777777" w:rsidR="00AA3F1E" w:rsidRPr="00AA3F1E" w:rsidRDefault="00AA3F1E" w:rsidP="00AA3F1E">
      <w:pPr>
        <w:keepNext/>
        <w:rPr>
          <w:rFonts w:ascii="David" w:hAnsi="David"/>
          <w:color w:val="000000"/>
          <w:sz w:val="22"/>
          <w:szCs w:val="22"/>
          <w:rtl/>
        </w:rPr>
      </w:pPr>
    </w:p>
    <w:p w14:paraId="58DBCD5A" w14:textId="77777777" w:rsidR="00AA3F1E" w:rsidRPr="00AA3F1E" w:rsidRDefault="00AA3F1E" w:rsidP="00AA3F1E">
      <w:pPr>
        <w:keepNext/>
        <w:rPr>
          <w:rFonts w:ascii="David" w:hAnsi="David"/>
          <w:color w:val="000000"/>
          <w:sz w:val="22"/>
          <w:szCs w:val="22"/>
          <w:rtl/>
        </w:rPr>
      </w:pPr>
      <w:r w:rsidRPr="00AA3F1E">
        <w:rPr>
          <w:rFonts w:ascii="David" w:hAnsi="David"/>
          <w:color w:val="000000"/>
          <w:sz w:val="22"/>
          <w:szCs w:val="22"/>
          <w:rtl/>
        </w:rPr>
        <w:t>אברהם אליקים 54678313-/</w:t>
      </w:r>
    </w:p>
    <w:sectPr w:rsidR="00AA3F1E" w:rsidRPr="00AA3F1E" w:rsidSect="00AA3F1E">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A1BFF" w14:textId="77777777" w:rsidR="00D062F0" w:rsidRPr="00694490" w:rsidRDefault="00D062F0">
      <w:pPr>
        <w:rPr>
          <w:rFonts w:cs="Arial"/>
          <w:szCs w:val="20"/>
        </w:rPr>
      </w:pPr>
      <w:r>
        <w:separator/>
      </w:r>
    </w:p>
  </w:endnote>
  <w:endnote w:type="continuationSeparator" w:id="0">
    <w:p w14:paraId="51EE4CA4" w14:textId="77777777" w:rsidR="00D062F0" w:rsidRPr="00694490" w:rsidRDefault="00D062F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40A7" w14:textId="77777777" w:rsidR="00AA3F1E" w:rsidRDefault="00AA3F1E" w:rsidP="00AA3F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0602C3" w14:textId="77777777" w:rsidR="00785ABC" w:rsidRPr="00AA3F1E" w:rsidRDefault="00AA3F1E" w:rsidP="00AA3F1E">
    <w:pPr>
      <w:pStyle w:val="a5"/>
      <w:pBdr>
        <w:top w:val="single" w:sz="4" w:space="1" w:color="auto"/>
        <w:between w:val="single" w:sz="4" w:space="0" w:color="auto"/>
      </w:pBdr>
      <w:spacing w:after="60"/>
      <w:jc w:val="center"/>
      <w:rPr>
        <w:rFonts w:ascii="FrankRuehl" w:hAnsi="FrankRuehl" w:cs="FrankRuehl"/>
        <w:color w:val="000000"/>
      </w:rPr>
    </w:pPr>
    <w:r w:rsidRPr="00AA3F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E1D1" w14:textId="77777777" w:rsidR="00AA3F1E" w:rsidRDefault="00AA3F1E" w:rsidP="00AA3F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4EA8">
      <w:rPr>
        <w:rFonts w:ascii="FrankRuehl" w:hAnsi="FrankRuehl" w:cs="FrankRuehl"/>
        <w:noProof/>
        <w:rtl/>
      </w:rPr>
      <w:t>1</w:t>
    </w:r>
    <w:r>
      <w:rPr>
        <w:rFonts w:ascii="FrankRuehl" w:hAnsi="FrankRuehl" w:cs="FrankRuehl"/>
        <w:rtl/>
      </w:rPr>
      <w:fldChar w:fldCharType="end"/>
    </w:r>
  </w:p>
  <w:p w14:paraId="3636D9DB" w14:textId="77777777" w:rsidR="00785ABC" w:rsidRPr="00AA3F1E" w:rsidRDefault="00AA3F1E" w:rsidP="00AA3F1E">
    <w:pPr>
      <w:pStyle w:val="a5"/>
      <w:pBdr>
        <w:top w:val="single" w:sz="4" w:space="1" w:color="auto"/>
        <w:between w:val="single" w:sz="4" w:space="0" w:color="auto"/>
      </w:pBdr>
      <w:spacing w:after="60"/>
      <w:jc w:val="center"/>
      <w:rPr>
        <w:rFonts w:ascii="FrankRuehl" w:hAnsi="FrankRuehl" w:cs="FrankRuehl"/>
        <w:color w:val="000000"/>
      </w:rPr>
    </w:pPr>
    <w:r w:rsidRPr="00AA3F1E">
      <w:rPr>
        <w:rFonts w:ascii="FrankRuehl" w:hAnsi="FrankRuehl" w:cs="FrankRuehl"/>
        <w:color w:val="000000"/>
      </w:rPr>
      <w:pict w14:anchorId="44528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843EE" w14:textId="77777777" w:rsidR="00D062F0" w:rsidRPr="00694490" w:rsidRDefault="00D062F0">
      <w:pPr>
        <w:rPr>
          <w:rFonts w:cs="Arial"/>
          <w:szCs w:val="20"/>
        </w:rPr>
      </w:pPr>
      <w:r>
        <w:separator/>
      </w:r>
    </w:p>
  </w:footnote>
  <w:footnote w:type="continuationSeparator" w:id="0">
    <w:p w14:paraId="008077B2" w14:textId="77777777" w:rsidR="00D062F0" w:rsidRPr="00694490" w:rsidRDefault="00D062F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50072" w14:textId="77777777" w:rsidR="00FC459A" w:rsidRPr="00AA3F1E" w:rsidRDefault="00AA3F1E" w:rsidP="00AA3F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40240-09-12</w:t>
    </w:r>
    <w:r>
      <w:rPr>
        <w:rFonts w:ascii="David" w:hAnsi="David"/>
        <w:color w:val="000000"/>
        <w:sz w:val="22"/>
        <w:szCs w:val="22"/>
        <w:rtl/>
      </w:rPr>
      <w:tab/>
      <w:t xml:space="preserve"> מדינת ישראל נ' בהא גנאיים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ED16B" w14:textId="77777777" w:rsidR="00FC459A" w:rsidRPr="00AA3F1E" w:rsidRDefault="00AA3F1E" w:rsidP="00AA3F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40240-09-12</w:t>
    </w:r>
    <w:r>
      <w:rPr>
        <w:rFonts w:ascii="David" w:hAnsi="David"/>
        <w:color w:val="000000"/>
        <w:sz w:val="22"/>
        <w:szCs w:val="22"/>
        <w:rtl/>
      </w:rPr>
      <w:tab/>
      <w:t xml:space="preserve"> מדינת ישראל נ' בהא גנאיים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AA8C67E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B335621"/>
    <w:multiLevelType w:val="hybridMultilevel"/>
    <w:tmpl w:val="76CA85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16cid:durableId="246622184">
    <w:abstractNumId w:val="0"/>
  </w:num>
  <w:num w:numId="2" w16cid:durableId="45406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5ABC"/>
    <w:rsid w:val="002745CC"/>
    <w:rsid w:val="005B4EA8"/>
    <w:rsid w:val="00706D40"/>
    <w:rsid w:val="0072176A"/>
    <w:rsid w:val="00785ABC"/>
    <w:rsid w:val="0095292B"/>
    <w:rsid w:val="00AA3F1E"/>
    <w:rsid w:val="00AE6131"/>
    <w:rsid w:val="00C55B12"/>
    <w:rsid w:val="00D062F0"/>
    <w:rsid w:val="00FC45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6833DB"/>
  <w15:chartTrackingRefBased/>
  <w15:docId w15:val="{8D4DF89A-9E0C-4250-A935-0C9F8A34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5AB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85ABC"/>
    <w:pPr>
      <w:tabs>
        <w:tab w:val="center" w:pos="4153"/>
        <w:tab w:val="right" w:pos="8306"/>
      </w:tabs>
    </w:pPr>
  </w:style>
  <w:style w:type="paragraph" w:styleId="a5">
    <w:name w:val="footer"/>
    <w:basedOn w:val="a"/>
    <w:rsid w:val="00785ABC"/>
    <w:pPr>
      <w:tabs>
        <w:tab w:val="center" w:pos="4153"/>
        <w:tab w:val="right" w:pos="8306"/>
      </w:tabs>
    </w:pPr>
  </w:style>
  <w:style w:type="character" w:styleId="a6">
    <w:name w:val="page number"/>
    <w:basedOn w:val="a0"/>
    <w:rsid w:val="00785ABC"/>
  </w:style>
  <w:style w:type="character" w:customStyle="1" w:styleId="TimesNewRomanTimesNewRoman">
    <w:name w:val="סגנון (לטיני) Times New Roman (עברית ושפות אחרות) Times New Roman..."/>
    <w:rsid w:val="00785ABC"/>
    <w:rPr>
      <w:rFonts w:ascii="Times New Roman" w:hAnsi="Times New Roman" w:cs="David" w:hint="default"/>
      <w:b/>
      <w:bCs/>
      <w:sz w:val="26"/>
      <w:szCs w:val="26"/>
    </w:rPr>
  </w:style>
  <w:style w:type="character" w:customStyle="1" w:styleId="a4">
    <w:name w:val="כותרת עליונה תו"/>
    <w:link w:val="a3"/>
    <w:rsid w:val="00785ABC"/>
    <w:rPr>
      <w:rFonts w:cs="David"/>
      <w:sz w:val="24"/>
      <w:szCs w:val="24"/>
      <w:lang w:val="en-US" w:eastAsia="en-US" w:bidi="he-IL"/>
    </w:rPr>
  </w:style>
  <w:style w:type="character" w:customStyle="1" w:styleId="default">
    <w:name w:val="default"/>
    <w:rsid w:val="00785ABC"/>
    <w:rPr>
      <w:rFonts w:ascii="Times New Roman" w:hAnsi="Times New Roman" w:cs="Times New Roman"/>
      <w:sz w:val="26"/>
      <w:szCs w:val="26"/>
    </w:rPr>
  </w:style>
  <w:style w:type="paragraph" w:customStyle="1" w:styleId="Ruller4">
    <w:name w:val="Ruller4"/>
    <w:basedOn w:val="a"/>
    <w:link w:val="Ruller40"/>
    <w:rsid w:val="00785ABC"/>
    <w:pPr>
      <w:tabs>
        <w:tab w:val="left" w:pos="800"/>
      </w:tabs>
      <w:overflowPunct w:val="0"/>
      <w:adjustRightInd w:val="0"/>
      <w:spacing w:line="360" w:lineRule="auto"/>
      <w:jc w:val="both"/>
    </w:pPr>
    <w:rPr>
      <w:rFonts w:ascii="Arial TUR" w:hAnsi="Arial TUR" w:cs="FrankRuehl"/>
      <w:spacing w:val="10"/>
      <w:sz w:val="22"/>
      <w:szCs w:val="28"/>
    </w:rPr>
  </w:style>
  <w:style w:type="paragraph" w:customStyle="1" w:styleId="BODYVERDICT">
    <w:name w:val="BODY VERDICT"/>
    <w:basedOn w:val="a"/>
    <w:rsid w:val="00785ABC"/>
    <w:pPr>
      <w:overflowPunct w:val="0"/>
      <w:adjustRightInd w:val="0"/>
    </w:pPr>
    <w:rPr>
      <w:rFonts w:cs="FrankRuehl"/>
      <w:spacing w:val="10"/>
      <w:sz w:val="22"/>
      <w:szCs w:val="28"/>
    </w:rPr>
  </w:style>
  <w:style w:type="character" w:customStyle="1" w:styleId="Ruller40">
    <w:name w:val="Ruller4 תו"/>
    <w:link w:val="Ruller4"/>
    <w:locked/>
    <w:rsid w:val="00785ABC"/>
    <w:rPr>
      <w:rFonts w:ascii="Arial TUR" w:hAnsi="Arial TUR" w:cs="FrankRuehl"/>
      <w:spacing w:val="10"/>
      <w:sz w:val="22"/>
      <w:szCs w:val="28"/>
      <w:lang w:val="en-US" w:eastAsia="en-US" w:bidi="he-IL"/>
    </w:rPr>
  </w:style>
  <w:style w:type="paragraph" w:styleId="a7">
    <w:name w:val="List Paragraph"/>
    <w:basedOn w:val="a"/>
    <w:qFormat/>
    <w:rsid w:val="00785ABC"/>
    <w:pPr>
      <w:ind w:left="720"/>
    </w:pPr>
  </w:style>
  <w:style w:type="paragraph" w:customStyle="1" w:styleId="ruller41">
    <w:name w:val="ruller4"/>
    <w:basedOn w:val="a"/>
    <w:rsid w:val="00785ABC"/>
    <w:pPr>
      <w:overflowPunct w:val="0"/>
      <w:spacing w:line="360" w:lineRule="auto"/>
      <w:jc w:val="both"/>
    </w:pPr>
    <w:rPr>
      <w:rFonts w:ascii="Arial TUR" w:hAnsi="Arial TUR" w:cs="Arial TUR"/>
      <w:spacing w:val="10"/>
      <w:sz w:val="22"/>
      <w:szCs w:val="22"/>
    </w:rPr>
  </w:style>
  <w:style w:type="character" w:styleId="Hyperlink">
    <w:name w:val="Hyperlink"/>
    <w:rsid w:val="00FC4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c"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29" TargetMode="External"/><Relationship Id="rId39" Type="http://schemas.openxmlformats.org/officeDocument/2006/relationships/hyperlink" Target="http://www.nevo.co.il/links/psika/?link=&#1506;&#1508;%205913/11"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144.a" TargetMode="External"/><Relationship Id="rId42" Type="http://schemas.openxmlformats.org/officeDocument/2006/relationships/hyperlink" Target="http://www.nevo.co.il/links/psika/?link=&#1506;&#1508;%209543/09" TargetMode="External"/><Relationship Id="rId47" Type="http://schemas.openxmlformats.org/officeDocument/2006/relationships/hyperlink" Target="http://www.nevo.co.il/links/psika/?link=&#1506;&#1508;%208012/04" TargetMode="External"/><Relationship Id="rId50" Type="http://schemas.openxmlformats.org/officeDocument/2006/relationships/hyperlink" Target="http://www.nevo.co.il/links/psika/?link=&#1512;&#1506;&#1508;%209151/06" TargetMode="External"/><Relationship Id="rId55" Type="http://schemas.openxmlformats.org/officeDocument/2006/relationships/hyperlink" Target="http://www.nevo.co.il/links/psika/?link=&#1506;&#1508;%204871/11"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inks/psika/?link=&#1506;&#1508;%202606/13"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c" TargetMode="External"/><Relationship Id="rId32" Type="http://schemas.openxmlformats.org/officeDocument/2006/relationships/hyperlink" Target="http://www.nevo.co.il/law/70301/40b" TargetMode="External"/><Relationship Id="rId37" Type="http://schemas.openxmlformats.org/officeDocument/2006/relationships/hyperlink" Target="http://www.nevo.co.il/links/psika/?link=&#1506;&#1508;%20319/11" TargetMode="External"/><Relationship Id="rId40" Type="http://schemas.openxmlformats.org/officeDocument/2006/relationships/hyperlink" Target="http://www.nevo.co.il/links/psika/?link=&#1506;&#1508;%202251/11" TargetMode="External"/><Relationship Id="rId45" Type="http://schemas.openxmlformats.org/officeDocument/2006/relationships/hyperlink" Target="http://www.nevo.co.il/links/psika/?link=&#1506;&#1508;%202251/11" TargetMode="External"/><Relationship Id="rId53" Type="http://schemas.openxmlformats.org/officeDocument/2006/relationships/hyperlink" Target="http://www.nevo.co.il/links/psika/?link=&#1506;&#1508;%204450/1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144.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144.c"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law/70301/144.c" TargetMode="External"/><Relationship Id="rId48" Type="http://schemas.openxmlformats.org/officeDocument/2006/relationships/hyperlink" Target="http://www.nevo.co.il/links/psika/?link=&#1506;&#1508;%202403/11" TargetMode="External"/><Relationship Id="rId56" Type="http://schemas.openxmlformats.org/officeDocument/2006/relationships/hyperlink" Target="http://www.nevo.co.il/links/psika/?link=&#1506;&#1508;%20360/80&amp;Pvol=&#1500;&#1495;" TargetMode="External"/><Relationship Id="rId8" Type="http://schemas.openxmlformats.org/officeDocument/2006/relationships/hyperlink" Target="http://www.nevo.co.il/law/70301/29" TargetMode="External"/><Relationship Id="rId51" Type="http://schemas.openxmlformats.org/officeDocument/2006/relationships/hyperlink" Target="http://www.nevo.co.il/links/psika/?link=&#1506;&#1508;%202606/13"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links/psika/?link=&#1506;&#1508;%206210/10" TargetMode="External"/><Relationship Id="rId46" Type="http://schemas.openxmlformats.org/officeDocument/2006/relationships/hyperlink" Target="http://www.nevo.co.il/links/psika/?link=&#1506;&#1508;%201332/04&amp;Pvol=&#1504;&#1495;" TargetMode="External"/><Relationship Id="rId59" Type="http://schemas.openxmlformats.org/officeDocument/2006/relationships/header" Target="header2.xml"/><Relationship Id="rId20" Type="http://schemas.openxmlformats.org/officeDocument/2006/relationships/hyperlink" Target="http://www.nevo.co.il/law/70301/29" TargetMode="External"/><Relationship Id="rId41" Type="http://schemas.openxmlformats.org/officeDocument/2006/relationships/hyperlink" Target="http://www.nevo.co.il/links/psika/?link=&#1506;&#1508;%205833/07" TargetMode="External"/><Relationship Id="rId54" Type="http://schemas.openxmlformats.org/officeDocument/2006/relationships/hyperlink" Target="http://www.nevo.co.il/links/psika/?link=&#1506;&#1508;%204841/1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70301/144.c" TargetMode="External"/><Relationship Id="rId36" Type="http://schemas.openxmlformats.org/officeDocument/2006/relationships/hyperlink" Target="http://www.nevo.co.il/links/psika/?link=&#1506;&#1508;%202251/11" TargetMode="External"/><Relationship Id="rId49" Type="http://schemas.openxmlformats.org/officeDocument/2006/relationships/hyperlink" Target="http://www.nevo.co.il/law/70301/40jc.b"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c" TargetMode="External"/><Relationship Id="rId44" Type="http://schemas.openxmlformats.org/officeDocument/2006/relationships/hyperlink" Target="http://www.nevo.co.il/links/psika/?link=&#1506;&#1508;%205833/07" TargetMode="External"/><Relationship Id="rId52" Type="http://schemas.openxmlformats.org/officeDocument/2006/relationships/hyperlink" Target="http://www.nevo.co.il/links/psika/?link=&#1512;&#1506;&#1508;%204600/12"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3904</Words>
  <Characters>19524</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23382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3016070</vt:i4>
      </vt:variant>
      <vt:variant>
        <vt:i4>147</vt:i4>
      </vt:variant>
      <vt:variant>
        <vt:i4>0</vt:i4>
      </vt:variant>
      <vt:variant>
        <vt:i4>5</vt:i4>
      </vt:variant>
      <vt:variant>
        <vt:lpwstr>http://www.nevo.co.il/links/psika/?link=עפ 360/80&amp;Pvol=לח</vt:lpwstr>
      </vt:variant>
      <vt:variant>
        <vt:lpwstr/>
      </vt:variant>
      <vt:variant>
        <vt:i4>99091893</vt:i4>
      </vt:variant>
      <vt:variant>
        <vt:i4>144</vt:i4>
      </vt:variant>
      <vt:variant>
        <vt:i4>0</vt:i4>
      </vt:variant>
      <vt:variant>
        <vt:i4>5</vt:i4>
      </vt:variant>
      <vt:variant>
        <vt:lpwstr>http://www.nevo.co.il/links/psika/?link=עפ 4871/11</vt:lpwstr>
      </vt:variant>
      <vt:variant>
        <vt:lpwstr/>
      </vt:variant>
      <vt:variant>
        <vt:i4>99288501</vt:i4>
      </vt:variant>
      <vt:variant>
        <vt:i4>141</vt:i4>
      </vt:variant>
      <vt:variant>
        <vt:i4>0</vt:i4>
      </vt:variant>
      <vt:variant>
        <vt:i4>5</vt:i4>
      </vt:variant>
      <vt:variant>
        <vt:lpwstr>http://www.nevo.co.il/links/psika/?link=עפ 4841/11</vt:lpwstr>
      </vt:variant>
      <vt:variant>
        <vt:lpwstr/>
      </vt:variant>
      <vt:variant>
        <vt:i4>99222968</vt:i4>
      </vt:variant>
      <vt:variant>
        <vt:i4>138</vt:i4>
      </vt:variant>
      <vt:variant>
        <vt:i4>0</vt:i4>
      </vt:variant>
      <vt:variant>
        <vt:i4>5</vt:i4>
      </vt:variant>
      <vt:variant>
        <vt:lpwstr>http://www.nevo.co.il/links/psika/?link=עפ 4450/11</vt:lpwstr>
      </vt:variant>
      <vt:variant>
        <vt:lpwstr/>
      </vt:variant>
      <vt:variant>
        <vt:i4>98828392</vt:i4>
      </vt:variant>
      <vt:variant>
        <vt:i4>135</vt:i4>
      </vt:variant>
      <vt:variant>
        <vt:i4>0</vt:i4>
      </vt:variant>
      <vt:variant>
        <vt:i4>5</vt:i4>
      </vt:variant>
      <vt:variant>
        <vt:lpwstr>http://www.nevo.co.il/links/psika/?link=רעפ 4600/12</vt:lpwstr>
      </vt:variant>
      <vt:variant>
        <vt:lpwstr/>
      </vt:variant>
      <vt:variant>
        <vt:i4>99288508</vt:i4>
      </vt:variant>
      <vt:variant>
        <vt:i4>132</vt:i4>
      </vt:variant>
      <vt:variant>
        <vt:i4>0</vt:i4>
      </vt:variant>
      <vt:variant>
        <vt:i4>5</vt:i4>
      </vt:variant>
      <vt:variant>
        <vt:lpwstr>http://www.nevo.co.il/links/psika/?link=עפ 2606/13</vt:lpwstr>
      </vt:variant>
      <vt:variant>
        <vt:lpwstr/>
      </vt:variant>
      <vt:variant>
        <vt:i4>98762848</vt:i4>
      </vt:variant>
      <vt:variant>
        <vt:i4>129</vt:i4>
      </vt:variant>
      <vt:variant>
        <vt:i4>0</vt:i4>
      </vt:variant>
      <vt:variant>
        <vt:i4>5</vt:i4>
      </vt:variant>
      <vt:variant>
        <vt:lpwstr>http://www.nevo.co.il/links/psika/?link=רעפ 9151/06</vt:lpwstr>
      </vt:variant>
      <vt:variant>
        <vt:lpwstr/>
      </vt:variant>
      <vt:variant>
        <vt:i4>6553637</vt:i4>
      </vt:variant>
      <vt:variant>
        <vt:i4>126</vt:i4>
      </vt:variant>
      <vt:variant>
        <vt:i4>0</vt:i4>
      </vt:variant>
      <vt:variant>
        <vt:i4>5</vt:i4>
      </vt:variant>
      <vt:variant>
        <vt:lpwstr>http://www.nevo.co.il/law/70301/40jc.b</vt:lpwstr>
      </vt:variant>
      <vt:variant>
        <vt:lpwstr/>
      </vt:variant>
      <vt:variant>
        <vt:i4>99157435</vt:i4>
      </vt:variant>
      <vt:variant>
        <vt:i4>123</vt:i4>
      </vt:variant>
      <vt:variant>
        <vt:i4>0</vt:i4>
      </vt:variant>
      <vt:variant>
        <vt:i4>5</vt:i4>
      </vt:variant>
      <vt:variant>
        <vt:lpwstr>http://www.nevo.co.il/links/psika/?link=עפ 2403/11</vt:lpwstr>
      </vt:variant>
      <vt:variant>
        <vt:lpwstr/>
      </vt:variant>
      <vt:variant>
        <vt:i4>99026367</vt:i4>
      </vt:variant>
      <vt:variant>
        <vt:i4>120</vt:i4>
      </vt:variant>
      <vt:variant>
        <vt:i4>0</vt:i4>
      </vt:variant>
      <vt:variant>
        <vt:i4>5</vt:i4>
      </vt:variant>
      <vt:variant>
        <vt:lpwstr>http://www.nevo.co.il/links/psika/?link=עפ 8012/04</vt:lpwstr>
      </vt:variant>
      <vt:variant>
        <vt:lpwstr/>
      </vt:variant>
      <vt:variant>
        <vt:i4>1638496</vt:i4>
      </vt:variant>
      <vt:variant>
        <vt:i4>117</vt:i4>
      </vt:variant>
      <vt:variant>
        <vt:i4>0</vt:i4>
      </vt:variant>
      <vt:variant>
        <vt:i4>5</vt:i4>
      </vt:variant>
      <vt:variant>
        <vt:lpwstr>http://www.nevo.co.il/links/psika/?link=עפ 1332/04&amp;Pvol=נח</vt:lpwstr>
      </vt:variant>
      <vt:variant>
        <vt:lpwstr/>
      </vt:variant>
      <vt:variant>
        <vt:i4>99354047</vt:i4>
      </vt:variant>
      <vt:variant>
        <vt:i4>114</vt:i4>
      </vt:variant>
      <vt:variant>
        <vt:i4>0</vt:i4>
      </vt:variant>
      <vt:variant>
        <vt:i4>5</vt:i4>
      </vt:variant>
      <vt:variant>
        <vt:lpwstr>http://www.nevo.co.il/links/psika/?link=עפ 2251/11</vt:lpwstr>
      </vt:variant>
      <vt:variant>
        <vt:lpwstr/>
      </vt:variant>
      <vt:variant>
        <vt:i4>99288502</vt:i4>
      </vt:variant>
      <vt:variant>
        <vt:i4>111</vt:i4>
      </vt:variant>
      <vt:variant>
        <vt:i4>0</vt:i4>
      </vt:variant>
      <vt:variant>
        <vt:i4>5</vt:i4>
      </vt:variant>
      <vt:variant>
        <vt:lpwstr>http://www.nevo.co.il/links/psika/?link=עפ 5833/07</vt:lpwstr>
      </vt:variant>
      <vt:variant>
        <vt:lpwstr/>
      </vt:variant>
      <vt:variant>
        <vt:i4>5177424</vt:i4>
      </vt:variant>
      <vt:variant>
        <vt:i4>108</vt:i4>
      </vt:variant>
      <vt:variant>
        <vt:i4>0</vt:i4>
      </vt:variant>
      <vt:variant>
        <vt:i4>5</vt:i4>
      </vt:variant>
      <vt:variant>
        <vt:lpwstr>http://www.nevo.co.il/law/70301/144.c</vt:lpwstr>
      </vt:variant>
      <vt:variant>
        <vt:lpwstr/>
      </vt:variant>
      <vt:variant>
        <vt:i4>99485115</vt:i4>
      </vt:variant>
      <vt:variant>
        <vt:i4>105</vt:i4>
      </vt:variant>
      <vt:variant>
        <vt:i4>0</vt:i4>
      </vt:variant>
      <vt:variant>
        <vt:i4>5</vt:i4>
      </vt:variant>
      <vt:variant>
        <vt:lpwstr>http://www.nevo.co.il/links/psika/?link=עפ 9543/09</vt:lpwstr>
      </vt:variant>
      <vt:variant>
        <vt:lpwstr/>
      </vt:variant>
      <vt:variant>
        <vt:i4>99288502</vt:i4>
      </vt:variant>
      <vt:variant>
        <vt:i4>102</vt:i4>
      </vt:variant>
      <vt:variant>
        <vt:i4>0</vt:i4>
      </vt:variant>
      <vt:variant>
        <vt:i4>5</vt:i4>
      </vt:variant>
      <vt:variant>
        <vt:lpwstr>http://www.nevo.co.il/links/psika/?link=עפ 5833/07</vt:lpwstr>
      </vt:variant>
      <vt:variant>
        <vt:lpwstr/>
      </vt:variant>
      <vt:variant>
        <vt:i4>99354047</vt:i4>
      </vt:variant>
      <vt:variant>
        <vt:i4>99</vt:i4>
      </vt:variant>
      <vt:variant>
        <vt:i4>0</vt:i4>
      </vt:variant>
      <vt:variant>
        <vt:i4>5</vt:i4>
      </vt:variant>
      <vt:variant>
        <vt:lpwstr>http://www.nevo.co.il/links/psika/?link=עפ 2251/11</vt:lpwstr>
      </vt:variant>
      <vt:variant>
        <vt:lpwstr/>
      </vt:variant>
      <vt:variant>
        <vt:i4>99550646</vt:i4>
      </vt:variant>
      <vt:variant>
        <vt:i4>96</vt:i4>
      </vt:variant>
      <vt:variant>
        <vt:i4>0</vt:i4>
      </vt:variant>
      <vt:variant>
        <vt:i4>5</vt:i4>
      </vt:variant>
      <vt:variant>
        <vt:lpwstr>http://www.nevo.co.il/links/psika/?link=עפ 5913/11</vt:lpwstr>
      </vt:variant>
      <vt:variant>
        <vt:lpwstr/>
      </vt:variant>
      <vt:variant>
        <vt:i4>99419582</vt:i4>
      </vt:variant>
      <vt:variant>
        <vt:i4>93</vt:i4>
      </vt:variant>
      <vt:variant>
        <vt:i4>0</vt:i4>
      </vt:variant>
      <vt:variant>
        <vt:i4>5</vt:i4>
      </vt:variant>
      <vt:variant>
        <vt:lpwstr>http://www.nevo.co.il/links/psika/?link=עפ 6210/10</vt:lpwstr>
      </vt:variant>
      <vt:variant>
        <vt:lpwstr/>
      </vt:variant>
      <vt:variant>
        <vt:i4>97387923</vt:i4>
      </vt:variant>
      <vt:variant>
        <vt:i4>90</vt:i4>
      </vt:variant>
      <vt:variant>
        <vt:i4>0</vt:i4>
      </vt:variant>
      <vt:variant>
        <vt:i4>5</vt:i4>
      </vt:variant>
      <vt:variant>
        <vt:lpwstr>http://www.nevo.co.il/links/psika/?link=עפ 319/11</vt:lpwstr>
      </vt:variant>
      <vt:variant>
        <vt:lpwstr/>
      </vt:variant>
      <vt:variant>
        <vt:i4>99354047</vt:i4>
      </vt:variant>
      <vt:variant>
        <vt:i4>87</vt:i4>
      </vt:variant>
      <vt:variant>
        <vt:i4>0</vt:i4>
      </vt:variant>
      <vt:variant>
        <vt:i4>5</vt:i4>
      </vt:variant>
      <vt:variant>
        <vt:lpwstr>http://www.nevo.co.il/links/psika/?link=עפ 2251/11</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5177424</vt:i4>
      </vt:variant>
      <vt:variant>
        <vt:i4>72</vt:i4>
      </vt:variant>
      <vt:variant>
        <vt:i4>0</vt:i4>
      </vt:variant>
      <vt:variant>
        <vt:i4>5</vt:i4>
      </vt:variant>
      <vt:variant>
        <vt:lpwstr>http://www.nevo.co.il/law/70301/144.c</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http://www.nevo.co.il/law/70301/144.c</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5177424</vt:i4>
      </vt:variant>
      <vt:variant>
        <vt:i4>51</vt:i4>
      </vt:variant>
      <vt:variant>
        <vt:i4>0</vt:i4>
      </vt:variant>
      <vt:variant>
        <vt:i4>5</vt:i4>
      </vt:variant>
      <vt:variant>
        <vt:lpwstr>http://www.nevo.co.il/law/70301/144.c</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5177424</vt:i4>
      </vt:variant>
      <vt:variant>
        <vt:i4>45</vt:i4>
      </vt:variant>
      <vt:variant>
        <vt:i4>0</vt:i4>
      </vt:variant>
      <vt:variant>
        <vt:i4>5</vt:i4>
      </vt:variant>
      <vt:variant>
        <vt:lpwstr>http://www.nevo.co.il/law/70301/144.c</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99288508</vt:i4>
      </vt:variant>
      <vt:variant>
        <vt:i4>27</vt:i4>
      </vt:variant>
      <vt:variant>
        <vt:i4>0</vt:i4>
      </vt:variant>
      <vt:variant>
        <vt:i4>5</vt:i4>
      </vt:variant>
      <vt:variant>
        <vt:lpwstr>http://www.nevo.co.il/links/psika/?link=עפ 2606/13</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40240</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בהא גנאיים;מחמד חשאן</vt:lpwstr>
  </property>
  <property fmtid="{D5CDD505-2E9C-101B-9397-08002B2CF9AE}" pid="10" name="LAWYER">
    <vt:lpwstr/>
  </property>
  <property fmtid="{D5CDD505-2E9C-101B-9397-08002B2CF9AE}" pid="11" name="JUDGE">
    <vt:lpwstr>אברהם אליקים</vt:lpwstr>
  </property>
  <property fmtid="{D5CDD505-2E9C-101B-9397-08002B2CF9AE}" pid="12" name="CITY">
    <vt:lpwstr>חי'</vt:lpwstr>
  </property>
  <property fmtid="{D5CDD505-2E9C-101B-9397-08002B2CF9AE}" pid="13" name="DATE">
    <vt:lpwstr>20140223</vt:lpwstr>
  </property>
  <property fmtid="{D5CDD505-2E9C-101B-9397-08002B2CF9AE}" pid="14" name="TYPE_N_DATE">
    <vt:lpwstr>39020140223</vt:lpwstr>
  </property>
  <property fmtid="{D5CDD505-2E9C-101B-9397-08002B2CF9AE}" pid="15" name="WORDNUMPAGES">
    <vt:lpwstr>13</vt:lpwstr>
  </property>
  <property fmtid="{D5CDD505-2E9C-101B-9397-08002B2CF9AE}" pid="16" name="TYPE_ABS_DATE">
    <vt:lpwstr>390020140223</vt:lpwstr>
  </property>
  <property fmtid="{D5CDD505-2E9C-101B-9397-08002B2CF9AE}" pid="17" name="ISABSTRACT">
    <vt:lpwstr>Y</vt:lpwstr>
  </property>
  <property fmtid="{D5CDD505-2E9C-101B-9397-08002B2CF9AE}" pid="18" name="LAWLISTTMP1">
    <vt:lpwstr>70301/144.a;144.c;029;144.b2;144.b;040b;40jc;40jc.b</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