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8E36CA" w14:textId="77777777" w:rsidR="00035899" w:rsidRPr="000259C4" w:rsidRDefault="00035899">
      <w:pPr>
        <w:pStyle w:val="a3"/>
        <w:jc w:val="center"/>
        <w:rPr>
          <w:rFonts w:cs="FrankRuehl"/>
          <w:sz w:val="28"/>
          <w:szCs w:val="28"/>
          <w:rtl/>
        </w:rPr>
      </w:pPr>
    </w:p>
    <w:tbl>
      <w:tblPr>
        <w:bidiVisual/>
        <w:tblW w:w="0" w:type="auto"/>
        <w:jc w:val="center"/>
        <w:tblLook w:val="0000" w:firstRow="0" w:lastRow="0" w:firstColumn="0" w:lastColumn="0" w:noHBand="0" w:noVBand="0"/>
      </w:tblPr>
      <w:tblGrid>
        <w:gridCol w:w="5055"/>
        <w:gridCol w:w="3666"/>
      </w:tblGrid>
      <w:tr w:rsidR="00035899" w:rsidRPr="000259C4" w14:paraId="6798289C" w14:textId="77777777">
        <w:trPr>
          <w:trHeight w:hRule="exact" w:val="418"/>
          <w:jc w:val="center"/>
        </w:trPr>
        <w:tc>
          <w:tcPr>
            <w:tcW w:w="8861" w:type="dxa"/>
            <w:gridSpan w:val="2"/>
          </w:tcPr>
          <w:p w14:paraId="7AD8BB58" w14:textId="77777777" w:rsidR="00035899" w:rsidRPr="000259C4" w:rsidRDefault="000259C4">
            <w:pPr>
              <w:pStyle w:val="a3"/>
              <w:jc w:val="center"/>
              <w:rPr>
                <w:rFonts w:ascii="Tahoma" w:hAnsi="Tahoma" w:cs="Tahoma"/>
                <w:color w:val="000080"/>
                <w:rtl/>
              </w:rPr>
            </w:pPr>
            <w:r w:rsidRPr="000259C4">
              <w:rPr>
                <w:rFonts w:ascii="Tahoma" w:hAnsi="Tahoma" w:cs="Tahoma"/>
                <w:b/>
                <w:bCs/>
                <w:color w:val="000080"/>
                <w:rtl/>
              </w:rPr>
              <w:t>בית המשפט המחוזי בבאר שבע</w:t>
            </w:r>
          </w:p>
        </w:tc>
      </w:tr>
      <w:tr w:rsidR="00035899" w:rsidRPr="000259C4" w14:paraId="4A06C651" w14:textId="77777777">
        <w:trPr>
          <w:trHeight w:val="337"/>
          <w:jc w:val="center"/>
        </w:trPr>
        <w:tc>
          <w:tcPr>
            <w:tcW w:w="5131" w:type="dxa"/>
          </w:tcPr>
          <w:p w14:paraId="535ADC6F" w14:textId="77777777" w:rsidR="00035899" w:rsidRPr="000259C4" w:rsidRDefault="000259C4">
            <w:pPr>
              <w:rPr>
                <w:sz w:val="28"/>
                <w:szCs w:val="28"/>
                <w:rtl/>
              </w:rPr>
            </w:pPr>
            <w:r w:rsidRPr="000259C4">
              <w:rPr>
                <w:sz w:val="28"/>
                <w:szCs w:val="28"/>
                <w:rtl/>
              </w:rPr>
              <w:t>תפ"ח</w:t>
            </w:r>
            <w:r w:rsidRPr="000259C4">
              <w:rPr>
                <w:rFonts w:hint="cs"/>
                <w:sz w:val="28"/>
                <w:szCs w:val="28"/>
                <w:rtl/>
              </w:rPr>
              <w:t xml:space="preserve"> </w:t>
            </w:r>
            <w:r w:rsidRPr="000259C4">
              <w:rPr>
                <w:sz w:val="28"/>
                <w:szCs w:val="28"/>
                <w:rtl/>
              </w:rPr>
              <w:t>12968-10-12</w:t>
            </w:r>
            <w:r w:rsidRPr="000259C4">
              <w:rPr>
                <w:rFonts w:hint="cs"/>
                <w:sz w:val="28"/>
                <w:szCs w:val="28"/>
                <w:rtl/>
              </w:rPr>
              <w:t xml:space="preserve"> </w:t>
            </w:r>
            <w:r w:rsidRPr="000259C4">
              <w:rPr>
                <w:sz w:val="28"/>
                <w:szCs w:val="28"/>
                <w:rtl/>
              </w:rPr>
              <w:t>מדינת ישראל נ' מזרחי</w:t>
            </w:r>
            <w:r w:rsidRPr="000259C4">
              <w:rPr>
                <w:rtl/>
              </w:rPr>
              <w:t xml:space="preserve"> </w:t>
            </w:r>
          </w:p>
          <w:p w14:paraId="5FC78083" w14:textId="77777777" w:rsidR="00035899" w:rsidRPr="000259C4" w:rsidRDefault="00035899">
            <w:pPr>
              <w:pStyle w:val="a3"/>
              <w:rPr>
                <w:rFonts w:cs="FrankRuehl"/>
                <w:sz w:val="28"/>
                <w:szCs w:val="28"/>
                <w:rtl/>
              </w:rPr>
            </w:pPr>
          </w:p>
        </w:tc>
        <w:tc>
          <w:tcPr>
            <w:tcW w:w="3730" w:type="dxa"/>
          </w:tcPr>
          <w:p w14:paraId="039A1AE7" w14:textId="77777777" w:rsidR="00035899" w:rsidRPr="000259C4" w:rsidRDefault="00035899">
            <w:pPr>
              <w:pStyle w:val="a3"/>
              <w:jc w:val="right"/>
              <w:rPr>
                <w:rFonts w:cs="FrankRuehl"/>
                <w:sz w:val="28"/>
                <w:szCs w:val="28"/>
                <w:rtl/>
              </w:rPr>
            </w:pPr>
          </w:p>
        </w:tc>
      </w:tr>
    </w:tbl>
    <w:p w14:paraId="00F2E653" w14:textId="77777777" w:rsidR="00035899" w:rsidRPr="000259C4" w:rsidRDefault="000259C4">
      <w:pPr>
        <w:pStyle w:val="a3"/>
        <w:rPr>
          <w:rtl/>
        </w:rPr>
      </w:pPr>
      <w:r w:rsidRPr="000259C4">
        <w:rPr>
          <w:rFonts w:hint="cs"/>
          <w:rtl/>
        </w:rPr>
        <w:t xml:space="preserve"> </w:t>
      </w:r>
    </w:p>
    <w:p w14:paraId="017AA9EA" w14:textId="77777777" w:rsidR="00035899" w:rsidRPr="000259C4" w:rsidRDefault="00035899">
      <w:pPr>
        <w:rPr>
          <w:rtl/>
        </w:rPr>
      </w:pPr>
    </w:p>
    <w:tbl>
      <w:tblPr>
        <w:bidiVisual/>
        <w:tblW w:w="8820" w:type="dxa"/>
        <w:jc w:val="center"/>
        <w:tblLook w:val="01E0" w:firstRow="1" w:lastRow="1" w:firstColumn="1" w:lastColumn="1" w:noHBand="0" w:noVBand="0"/>
      </w:tblPr>
      <w:tblGrid>
        <w:gridCol w:w="743"/>
        <w:gridCol w:w="1080"/>
        <w:gridCol w:w="6997"/>
      </w:tblGrid>
      <w:tr w:rsidR="00035899" w:rsidRPr="000259C4" w14:paraId="56FFFE0D" w14:textId="77777777">
        <w:trPr>
          <w:jc w:val="center"/>
        </w:trPr>
        <w:tc>
          <w:tcPr>
            <w:tcW w:w="743" w:type="dxa"/>
          </w:tcPr>
          <w:p w14:paraId="59D52C7B" w14:textId="77777777" w:rsidR="00035899" w:rsidRPr="000259C4" w:rsidRDefault="000259C4">
            <w:pPr>
              <w:jc w:val="both"/>
              <w:rPr>
                <w:rFonts w:ascii="Arial" w:hAnsi="Arial"/>
                <w:b/>
                <w:bCs/>
                <w:sz w:val="28"/>
                <w:szCs w:val="28"/>
              </w:rPr>
            </w:pPr>
            <w:r w:rsidRPr="000259C4">
              <w:rPr>
                <w:rFonts w:ascii="Arial" w:hAnsi="Arial" w:hint="cs"/>
                <w:b/>
                <w:bCs/>
                <w:sz w:val="28"/>
                <w:szCs w:val="28"/>
                <w:rtl/>
              </w:rPr>
              <w:t xml:space="preserve">בפני </w:t>
            </w:r>
          </w:p>
        </w:tc>
        <w:tc>
          <w:tcPr>
            <w:tcW w:w="8077" w:type="dxa"/>
            <w:gridSpan w:val="2"/>
          </w:tcPr>
          <w:p w14:paraId="6218520B" w14:textId="77777777" w:rsidR="00035899" w:rsidRPr="000259C4" w:rsidRDefault="000259C4">
            <w:pPr>
              <w:rPr>
                <w:rFonts w:ascii="Arial" w:hAnsi="Arial"/>
                <w:b/>
                <w:bCs/>
                <w:sz w:val="28"/>
                <w:szCs w:val="28"/>
                <w:rtl/>
              </w:rPr>
            </w:pPr>
            <w:r w:rsidRPr="000259C4">
              <w:rPr>
                <w:rFonts w:ascii="Arial" w:hAnsi="Arial" w:hint="cs"/>
                <w:b/>
                <w:bCs/>
                <w:sz w:val="28"/>
                <w:szCs w:val="28"/>
                <w:rtl/>
              </w:rPr>
              <w:t>כב' ה</w:t>
            </w:r>
            <w:r w:rsidRPr="000259C4">
              <w:rPr>
                <w:rFonts w:hint="cs"/>
                <w:rtl/>
              </w:rPr>
              <w:t>שופטת</w:t>
            </w:r>
            <w:r w:rsidRPr="000259C4">
              <w:rPr>
                <w:rFonts w:ascii="Arial" w:hAnsi="Arial" w:hint="cs"/>
                <w:b/>
                <w:bCs/>
                <w:sz w:val="28"/>
                <w:szCs w:val="28"/>
                <w:rtl/>
              </w:rPr>
              <w:t xml:space="preserve"> חני סלוטקי – אב"ד</w:t>
            </w:r>
          </w:p>
          <w:p w14:paraId="5A105C0B" w14:textId="77777777" w:rsidR="00035899" w:rsidRPr="000259C4" w:rsidRDefault="000259C4">
            <w:pPr>
              <w:rPr>
                <w:rFonts w:ascii="Arial" w:hAnsi="Arial"/>
                <w:b/>
                <w:bCs/>
                <w:sz w:val="28"/>
                <w:szCs w:val="28"/>
                <w:rtl/>
              </w:rPr>
            </w:pPr>
            <w:r w:rsidRPr="000259C4">
              <w:rPr>
                <w:rFonts w:ascii="Arial" w:hAnsi="Arial" w:hint="cs"/>
                <w:b/>
                <w:bCs/>
                <w:sz w:val="28"/>
                <w:szCs w:val="28"/>
                <w:rtl/>
              </w:rPr>
              <w:t>כב' ה</w:t>
            </w:r>
            <w:r w:rsidRPr="000259C4">
              <w:rPr>
                <w:rFonts w:hint="cs"/>
                <w:rtl/>
              </w:rPr>
              <w:t>שופט</w:t>
            </w:r>
            <w:r w:rsidRPr="000259C4">
              <w:rPr>
                <w:rFonts w:ascii="Arial" w:hAnsi="Arial" w:hint="cs"/>
                <w:b/>
                <w:bCs/>
                <w:sz w:val="28"/>
                <w:szCs w:val="28"/>
                <w:rtl/>
              </w:rPr>
              <w:t xml:space="preserve"> מרדכי </w:t>
            </w:r>
            <w:r w:rsidRPr="000259C4">
              <w:rPr>
                <w:rFonts w:hint="cs"/>
                <w:rtl/>
              </w:rPr>
              <w:t>לוי</w:t>
            </w:r>
          </w:p>
          <w:p w14:paraId="40A7E8FD" w14:textId="77777777" w:rsidR="00035899" w:rsidRPr="000259C4" w:rsidRDefault="000259C4">
            <w:pPr>
              <w:rPr>
                <w:rFonts w:ascii="Arial" w:hAnsi="Arial"/>
                <w:b/>
                <w:bCs/>
                <w:sz w:val="28"/>
                <w:szCs w:val="28"/>
                <w:rtl/>
              </w:rPr>
            </w:pPr>
            <w:r w:rsidRPr="000259C4">
              <w:rPr>
                <w:rFonts w:ascii="Arial" w:hAnsi="Arial" w:hint="cs"/>
                <w:b/>
                <w:bCs/>
                <w:sz w:val="28"/>
                <w:szCs w:val="28"/>
                <w:rtl/>
              </w:rPr>
              <w:t>כב' ה</w:t>
            </w:r>
            <w:r w:rsidRPr="000259C4">
              <w:rPr>
                <w:rFonts w:hint="cs"/>
                <w:rtl/>
              </w:rPr>
              <w:t>שופט</w:t>
            </w:r>
            <w:r w:rsidRPr="000259C4">
              <w:rPr>
                <w:rFonts w:ascii="Arial" w:hAnsi="Arial" w:hint="cs"/>
                <w:b/>
                <w:bCs/>
                <w:sz w:val="28"/>
                <w:szCs w:val="28"/>
                <w:rtl/>
              </w:rPr>
              <w:t xml:space="preserve"> אריאל </w:t>
            </w:r>
            <w:r w:rsidRPr="000259C4">
              <w:rPr>
                <w:rFonts w:hint="cs"/>
                <w:rtl/>
              </w:rPr>
              <w:t>חזק</w:t>
            </w:r>
          </w:p>
          <w:p w14:paraId="04A20755" w14:textId="77777777" w:rsidR="00035899" w:rsidRPr="000259C4" w:rsidRDefault="00035899">
            <w:pPr>
              <w:rPr>
                <w:rFonts w:ascii="Arial" w:hAnsi="Arial"/>
                <w:b/>
                <w:bCs/>
                <w:sz w:val="28"/>
                <w:szCs w:val="28"/>
                <w:highlight w:val="yellow"/>
              </w:rPr>
            </w:pPr>
          </w:p>
        </w:tc>
      </w:tr>
      <w:tr w:rsidR="00035899" w:rsidRPr="000259C4" w14:paraId="0629E4F6" w14:textId="77777777">
        <w:trPr>
          <w:jc w:val="center"/>
        </w:trPr>
        <w:tc>
          <w:tcPr>
            <w:tcW w:w="1823" w:type="dxa"/>
            <w:gridSpan w:val="2"/>
          </w:tcPr>
          <w:p w14:paraId="35C21F13" w14:textId="77777777" w:rsidR="00035899" w:rsidRPr="000259C4" w:rsidRDefault="000259C4">
            <w:pPr>
              <w:rPr>
                <w:rFonts w:ascii="Arial" w:hAnsi="Arial"/>
                <w:b/>
                <w:bCs/>
                <w:noProof w:val="0"/>
                <w:sz w:val="28"/>
                <w:szCs w:val="28"/>
                <w:rtl/>
              </w:rPr>
            </w:pPr>
            <w:bookmarkStart w:id="0" w:name="FirstAppellant"/>
            <w:bookmarkStart w:id="1" w:name="FirstLawyer"/>
            <w:bookmarkStart w:id="2" w:name="LastJudge"/>
            <w:bookmarkEnd w:id="2"/>
            <w:r w:rsidRPr="000259C4">
              <w:rPr>
                <w:rFonts w:ascii="Arial" w:hAnsi="Arial" w:hint="cs"/>
                <w:b/>
                <w:bCs/>
                <w:noProof w:val="0"/>
                <w:sz w:val="28"/>
                <w:szCs w:val="28"/>
                <w:rtl/>
              </w:rPr>
              <w:t>המאשימה:</w:t>
            </w:r>
          </w:p>
        </w:tc>
        <w:tc>
          <w:tcPr>
            <w:tcW w:w="6997" w:type="dxa"/>
          </w:tcPr>
          <w:p w14:paraId="732EFA62" w14:textId="77777777" w:rsidR="00035899" w:rsidRPr="000259C4" w:rsidRDefault="000259C4">
            <w:pPr>
              <w:rPr>
                <w:b/>
                <w:bCs/>
                <w:noProof w:val="0"/>
                <w:sz w:val="28"/>
                <w:szCs w:val="28"/>
                <w:rtl/>
              </w:rPr>
            </w:pPr>
            <w:r w:rsidRPr="000259C4">
              <w:rPr>
                <w:rFonts w:hint="cs"/>
                <w:b/>
                <w:bCs/>
                <w:sz w:val="28"/>
                <w:szCs w:val="28"/>
                <w:rtl/>
              </w:rPr>
              <w:t>מדינת ישראל</w:t>
            </w:r>
          </w:p>
          <w:p w14:paraId="6C4883AD" w14:textId="77777777" w:rsidR="00035899" w:rsidRPr="000259C4" w:rsidRDefault="000259C4">
            <w:pPr>
              <w:rPr>
                <w:noProof w:val="0"/>
                <w:sz w:val="28"/>
                <w:szCs w:val="28"/>
                <w:rtl/>
              </w:rPr>
            </w:pPr>
            <w:r w:rsidRPr="000259C4">
              <w:rPr>
                <w:rFonts w:hint="cs"/>
                <w:noProof w:val="0"/>
                <w:sz w:val="28"/>
                <w:szCs w:val="28"/>
                <w:rtl/>
              </w:rPr>
              <w:t>ע"י עו"ד מירב עמר-כהן</w:t>
            </w:r>
          </w:p>
          <w:p w14:paraId="34F06A47" w14:textId="77777777" w:rsidR="00035899" w:rsidRPr="000259C4" w:rsidRDefault="000259C4">
            <w:pPr>
              <w:rPr>
                <w:b/>
                <w:bCs/>
                <w:noProof w:val="0"/>
                <w:sz w:val="28"/>
                <w:szCs w:val="28"/>
              </w:rPr>
            </w:pPr>
            <w:r w:rsidRPr="000259C4">
              <w:rPr>
                <w:rFonts w:hint="cs"/>
                <w:noProof w:val="0"/>
                <w:sz w:val="28"/>
                <w:szCs w:val="28"/>
                <w:rtl/>
              </w:rPr>
              <w:t>פרקליטות מחוז דרום-פלילי</w:t>
            </w:r>
          </w:p>
        </w:tc>
      </w:tr>
      <w:bookmarkEnd w:id="0"/>
      <w:bookmarkEnd w:id="1"/>
      <w:tr w:rsidR="00035899" w:rsidRPr="000259C4" w14:paraId="4C0CB098" w14:textId="77777777">
        <w:trPr>
          <w:jc w:val="center"/>
        </w:trPr>
        <w:tc>
          <w:tcPr>
            <w:tcW w:w="8820" w:type="dxa"/>
            <w:gridSpan w:val="3"/>
          </w:tcPr>
          <w:p w14:paraId="10416991" w14:textId="77777777" w:rsidR="00035899" w:rsidRPr="000259C4" w:rsidRDefault="00035899">
            <w:pPr>
              <w:rPr>
                <w:rFonts w:ascii="Arial" w:hAnsi="Arial"/>
                <w:b/>
                <w:bCs/>
                <w:noProof w:val="0"/>
                <w:sz w:val="28"/>
                <w:szCs w:val="28"/>
                <w:rtl/>
              </w:rPr>
            </w:pPr>
          </w:p>
          <w:p w14:paraId="387B9BFE" w14:textId="77777777" w:rsidR="00035899" w:rsidRPr="000259C4" w:rsidRDefault="000259C4">
            <w:pPr>
              <w:jc w:val="center"/>
              <w:rPr>
                <w:rFonts w:ascii="Arial" w:hAnsi="Arial"/>
                <w:b/>
                <w:bCs/>
                <w:noProof w:val="0"/>
                <w:sz w:val="28"/>
                <w:szCs w:val="28"/>
                <w:rtl/>
              </w:rPr>
            </w:pPr>
            <w:r w:rsidRPr="000259C4">
              <w:rPr>
                <w:rFonts w:ascii="Arial" w:hAnsi="Arial" w:hint="cs"/>
                <w:b/>
                <w:bCs/>
                <w:noProof w:val="0"/>
                <w:sz w:val="28"/>
                <w:szCs w:val="28"/>
                <w:rtl/>
              </w:rPr>
              <w:t>נגד</w:t>
            </w:r>
          </w:p>
          <w:p w14:paraId="791C4194" w14:textId="77777777" w:rsidR="00035899" w:rsidRPr="000259C4" w:rsidRDefault="00035899">
            <w:pPr>
              <w:rPr>
                <w:rFonts w:ascii="Arial" w:hAnsi="Arial"/>
                <w:b/>
                <w:bCs/>
                <w:noProof w:val="0"/>
                <w:sz w:val="28"/>
                <w:szCs w:val="28"/>
              </w:rPr>
            </w:pPr>
          </w:p>
        </w:tc>
      </w:tr>
      <w:tr w:rsidR="00035899" w:rsidRPr="000259C4" w14:paraId="1CB26701" w14:textId="77777777">
        <w:trPr>
          <w:jc w:val="center"/>
        </w:trPr>
        <w:tc>
          <w:tcPr>
            <w:tcW w:w="1823" w:type="dxa"/>
            <w:gridSpan w:val="2"/>
          </w:tcPr>
          <w:p w14:paraId="1DDF8B5E" w14:textId="77777777" w:rsidR="00035899" w:rsidRPr="000259C4" w:rsidRDefault="000259C4">
            <w:pPr>
              <w:rPr>
                <w:rFonts w:ascii="Arial" w:hAnsi="Arial"/>
                <w:b/>
                <w:bCs/>
                <w:noProof w:val="0"/>
                <w:sz w:val="28"/>
                <w:szCs w:val="28"/>
              </w:rPr>
            </w:pPr>
            <w:r w:rsidRPr="000259C4">
              <w:rPr>
                <w:rFonts w:hint="cs"/>
                <w:b/>
                <w:bCs/>
                <w:sz w:val="28"/>
                <w:szCs w:val="28"/>
                <w:rtl/>
              </w:rPr>
              <w:t>הנאשמים:</w:t>
            </w:r>
          </w:p>
        </w:tc>
        <w:tc>
          <w:tcPr>
            <w:tcW w:w="6997" w:type="dxa"/>
          </w:tcPr>
          <w:p w14:paraId="23F247F4" w14:textId="77777777" w:rsidR="00035899" w:rsidRPr="000259C4" w:rsidRDefault="000259C4">
            <w:pPr>
              <w:rPr>
                <w:rtl/>
              </w:rPr>
            </w:pPr>
            <w:r w:rsidRPr="000259C4">
              <w:rPr>
                <w:rFonts w:hint="cs"/>
                <w:rtl/>
              </w:rPr>
              <w:t>1</w:t>
            </w:r>
            <w:r w:rsidRPr="000259C4">
              <w:rPr>
                <w:rFonts w:ascii="Arial" w:hAnsi="Arial" w:hint="cs"/>
                <w:b/>
                <w:bCs/>
                <w:noProof w:val="0"/>
                <w:sz w:val="28"/>
                <w:szCs w:val="28"/>
                <w:rtl/>
              </w:rPr>
              <w:t xml:space="preserve">. </w:t>
            </w:r>
            <w:r w:rsidRPr="000259C4">
              <w:rPr>
                <w:rFonts w:hint="cs"/>
                <w:rtl/>
              </w:rPr>
              <w:t>פיני מזרחי</w:t>
            </w:r>
          </w:p>
          <w:p w14:paraId="20BF14F7" w14:textId="77777777" w:rsidR="00035899" w:rsidRPr="000259C4" w:rsidRDefault="000259C4">
            <w:pPr>
              <w:rPr>
                <w:noProof w:val="0"/>
                <w:sz w:val="28"/>
                <w:szCs w:val="28"/>
                <w:rtl/>
              </w:rPr>
            </w:pPr>
            <w:r w:rsidRPr="000259C4">
              <w:rPr>
                <w:rFonts w:hint="cs"/>
                <w:noProof w:val="0"/>
                <w:sz w:val="28"/>
                <w:szCs w:val="28"/>
                <w:rtl/>
              </w:rPr>
              <w:t>ע"י עו"ד אהוד בן-יהודה</w:t>
            </w:r>
          </w:p>
          <w:p w14:paraId="5D93F97B" w14:textId="77777777" w:rsidR="00035899" w:rsidRPr="000259C4" w:rsidRDefault="000259C4">
            <w:pPr>
              <w:rPr>
                <w:rFonts w:ascii="Arial" w:hAnsi="Arial"/>
                <w:b/>
                <w:bCs/>
                <w:noProof w:val="0"/>
                <w:sz w:val="28"/>
                <w:szCs w:val="28"/>
              </w:rPr>
            </w:pPr>
            <w:r w:rsidRPr="000259C4">
              <w:rPr>
                <w:rFonts w:hint="cs"/>
                <w:rtl/>
              </w:rPr>
              <w:t>2</w:t>
            </w:r>
            <w:r w:rsidRPr="000259C4">
              <w:rPr>
                <w:rFonts w:ascii="Arial" w:hAnsi="Arial" w:hint="cs"/>
                <w:b/>
                <w:bCs/>
                <w:noProof w:val="0"/>
                <w:sz w:val="28"/>
                <w:szCs w:val="28"/>
                <w:rtl/>
              </w:rPr>
              <w:t xml:space="preserve">. </w:t>
            </w:r>
            <w:r w:rsidRPr="000259C4">
              <w:rPr>
                <w:rFonts w:hint="cs"/>
                <w:rtl/>
              </w:rPr>
              <w:t>מאיר משה מגידיש – נדון</w:t>
            </w:r>
          </w:p>
          <w:p w14:paraId="10D6D4E7" w14:textId="77777777" w:rsidR="00035899" w:rsidRPr="000259C4" w:rsidRDefault="000259C4">
            <w:pPr>
              <w:rPr>
                <w:rFonts w:ascii="Arial" w:hAnsi="Arial"/>
                <w:b/>
                <w:bCs/>
                <w:noProof w:val="0"/>
                <w:sz w:val="28"/>
                <w:szCs w:val="28"/>
              </w:rPr>
            </w:pPr>
            <w:r w:rsidRPr="000259C4">
              <w:rPr>
                <w:rFonts w:hint="cs"/>
                <w:rtl/>
              </w:rPr>
              <w:t>3</w:t>
            </w:r>
            <w:r w:rsidRPr="000259C4">
              <w:rPr>
                <w:rFonts w:ascii="Arial" w:hAnsi="Arial" w:hint="cs"/>
                <w:b/>
                <w:bCs/>
                <w:noProof w:val="0"/>
                <w:sz w:val="28"/>
                <w:szCs w:val="28"/>
                <w:rtl/>
              </w:rPr>
              <w:t xml:space="preserve">. </w:t>
            </w:r>
            <w:r w:rsidRPr="000259C4">
              <w:rPr>
                <w:rFonts w:hint="cs"/>
                <w:rtl/>
              </w:rPr>
              <w:t>גבי אטדגי – נדון</w:t>
            </w:r>
          </w:p>
        </w:tc>
      </w:tr>
    </w:tbl>
    <w:p w14:paraId="032656FA" w14:textId="77777777" w:rsidR="00035899" w:rsidRDefault="00035899">
      <w:pPr>
        <w:rPr>
          <w:rFonts w:hint="cs"/>
          <w:rtl/>
        </w:rPr>
      </w:pPr>
    </w:p>
    <w:p w14:paraId="70E35E7A" w14:textId="77777777" w:rsidR="00C46F4A" w:rsidRPr="00C46F4A" w:rsidRDefault="00C46F4A" w:rsidP="00C46F4A">
      <w:pPr>
        <w:spacing w:after="120" w:line="240" w:lineRule="exact"/>
        <w:ind w:left="283" w:hanging="283"/>
        <w:jc w:val="both"/>
        <w:rPr>
          <w:rFonts w:ascii="FrankRuehl" w:hAnsi="FrankRuehl" w:cs="FrankRuehl"/>
          <w:rtl/>
        </w:rPr>
      </w:pPr>
    </w:p>
    <w:p w14:paraId="5DAC6E39" w14:textId="77777777" w:rsidR="00C46F4A" w:rsidRPr="00C46F4A" w:rsidRDefault="00C46F4A" w:rsidP="00C46F4A">
      <w:pPr>
        <w:spacing w:after="120" w:line="240" w:lineRule="exact"/>
        <w:ind w:left="283" w:hanging="283"/>
        <w:jc w:val="both"/>
        <w:rPr>
          <w:rFonts w:ascii="FrankRuehl" w:hAnsi="FrankRuehl" w:cs="FrankRuehl"/>
          <w:rtl/>
        </w:rPr>
      </w:pPr>
      <w:r w:rsidRPr="00C46F4A">
        <w:rPr>
          <w:rFonts w:ascii="FrankRuehl" w:hAnsi="FrankRuehl" w:cs="FrankRuehl"/>
          <w:rtl/>
        </w:rPr>
        <w:t xml:space="preserve">חקיקה שאוזכרה: </w:t>
      </w:r>
    </w:p>
    <w:p w14:paraId="3B0D73DF" w14:textId="77777777" w:rsidR="00C46F4A" w:rsidRDefault="00C46F4A">
      <w:pPr>
        <w:rPr>
          <w:rFonts w:hint="cs"/>
          <w:rtl/>
        </w:rPr>
      </w:pPr>
    </w:p>
    <w:p w14:paraId="0E2312D3" w14:textId="77777777" w:rsidR="00C46F4A" w:rsidRPr="00C46F4A" w:rsidRDefault="00C46F4A" w:rsidP="00C46F4A">
      <w:pPr>
        <w:spacing w:after="120" w:line="240" w:lineRule="exact"/>
        <w:ind w:left="283" w:hanging="283"/>
        <w:jc w:val="both"/>
        <w:rPr>
          <w:rFonts w:ascii="FrankRuehl" w:hAnsi="FrankRuehl" w:cs="FrankRuehl"/>
          <w:rtl/>
        </w:rPr>
      </w:pPr>
      <w:hyperlink r:id="rId7" w:history="1">
        <w:r w:rsidRPr="00C46F4A">
          <w:rPr>
            <w:rFonts w:ascii="FrankRuehl" w:hAnsi="FrankRuehl" w:cs="FrankRuehl"/>
            <w:color w:val="0000FF"/>
            <w:u w:val="single"/>
            <w:rtl/>
          </w:rPr>
          <w:t>חוק העונשין, תשל"ז-1977</w:t>
        </w:r>
      </w:hyperlink>
      <w:r w:rsidRPr="00C46F4A">
        <w:rPr>
          <w:rFonts w:ascii="FrankRuehl" w:hAnsi="FrankRuehl" w:cs="FrankRuehl"/>
          <w:rtl/>
        </w:rPr>
        <w:t xml:space="preserve">: סע'  </w:t>
      </w:r>
      <w:hyperlink r:id="rId8" w:history="1">
        <w:r w:rsidRPr="00C46F4A">
          <w:rPr>
            <w:rFonts w:ascii="FrankRuehl" w:hAnsi="FrankRuehl" w:cs="FrankRuehl"/>
            <w:color w:val="0000FF"/>
            <w:u w:val="single"/>
            <w:rtl/>
          </w:rPr>
          <w:t>25</w:t>
        </w:r>
      </w:hyperlink>
      <w:r w:rsidRPr="00C46F4A">
        <w:rPr>
          <w:rFonts w:ascii="FrankRuehl" w:hAnsi="FrankRuehl" w:cs="FrankRuehl"/>
          <w:rtl/>
        </w:rPr>
        <w:t xml:space="preserve">, </w:t>
      </w:r>
      <w:hyperlink r:id="rId9" w:history="1">
        <w:r w:rsidRPr="00C46F4A">
          <w:rPr>
            <w:rFonts w:ascii="FrankRuehl" w:hAnsi="FrankRuehl" w:cs="FrankRuehl"/>
            <w:color w:val="0000FF"/>
            <w:u w:val="single"/>
            <w:rtl/>
          </w:rPr>
          <w:t>40ג(א)</w:t>
        </w:r>
      </w:hyperlink>
      <w:r w:rsidRPr="00C46F4A">
        <w:rPr>
          <w:rFonts w:ascii="FrankRuehl" w:hAnsi="FrankRuehl" w:cs="FrankRuehl"/>
          <w:rtl/>
        </w:rPr>
        <w:t xml:space="preserve">, </w:t>
      </w:r>
      <w:hyperlink r:id="rId10" w:history="1">
        <w:r w:rsidRPr="00C46F4A">
          <w:rPr>
            <w:rFonts w:ascii="FrankRuehl" w:hAnsi="FrankRuehl" w:cs="FrankRuehl"/>
            <w:color w:val="0000FF"/>
            <w:u w:val="single"/>
            <w:rtl/>
          </w:rPr>
          <w:t>40ו</w:t>
        </w:r>
      </w:hyperlink>
      <w:r w:rsidRPr="00C46F4A">
        <w:rPr>
          <w:rFonts w:ascii="FrankRuehl" w:hAnsi="FrankRuehl" w:cs="FrankRuehl"/>
          <w:rtl/>
        </w:rPr>
        <w:t xml:space="preserve">, </w:t>
      </w:r>
      <w:hyperlink r:id="rId11" w:history="1">
        <w:r w:rsidRPr="00C46F4A">
          <w:rPr>
            <w:rFonts w:ascii="FrankRuehl" w:hAnsi="FrankRuehl" w:cs="FrankRuehl"/>
            <w:color w:val="0000FF"/>
            <w:u w:val="single"/>
            <w:rtl/>
          </w:rPr>
          <w:t>40ז</w:t>
        </w:r>
      </w:hyperlink>
      <w:r w:rsidRPr="00C46F4A">
        <w:rPr>
          <w:rFonts w:ascii="FrankRuehl" w:hAnsi="FrankRuehl" w:cs="FrankRuehl"/>
          <w:rtl/>
        </w:rPr>
        <w:t xml:space="preserve">, </w:t>
      </w:r>
      <w:hyperlink r:id="rId12" w:history="1">
        <w:r w:rsidRPr="00C46F4A">
          <w:rPr>
            <w:rFonts w:ascii="FrankRuehl" w:hAnsi="FrankRuehl" w:cs="FrankRuehl"/>
            <w:color w:val="0000FF"/>
            <w:u w:val="single"/>
            <w:rtl/>
          </w:rPr>
          <w:t>40ט</w:t>
        </w:r>
      </w:hyperlink>
      <w:r w:rsidRPr="00C46F4A">
        <w:rPr>
          <w:rFonts w:ascii="FrankRuehl" w:hAnsi="FrankRuehl" w:cs="FrankRuehl"/>
          <w:rtl/>
        </w:rPr>
        <w:t xml:space="preserve">, </w:t>
      </w:r>
      <w:hyperlink r:id="rId13" w:history="1">
        <w:r w:rsidRPr="00C46F4A">
          <w:rPr>
            <w:rFonts w:ascii="FrankRuehl" w:hAnsi="FrankRuehl" w:cs="FrankRuehl"/>
            <w:color w:val="0000FF"/>
            <w:u w:val="single"/>
            <w:rtl/>
          </w:rPr>
          <w:t>40י(ד)</w:t>
        </w:r>
      </w:hyperlink>
      <w:r w:rsidRPr="00C46F4A">
        <w:rPr>
          <w:rFonts w:ascii="FrankRuehl" w:hAnsi="FrankRuehl" w:cs="FrankRuehl"/>
          <w:rtl/>
        </w:rPr>
        <w:t xml:space="preserve">, </w:t>
      </w:r>
      <w:hyperlink r:id="rId14" w:history="1">
        <w:r w:rsidRPr="00C46F4A">
          <w:rPr>
            <w:rFonts w:ascii="FrankRuehl" w:hAnsi="FrankRuehl" w:cs="FrankRuehl"/>
            <w:color w:val="0000FF"/>
            <w:u w:val="single"/>
            <w:rtl/>
          </w:rPr>
          <w:t>144(ב)</w:t>
        </w:r>
      </w:hyperlink>
      <w:r w:rsidRPr="00C46F4A">
        <w:rPr>
          <w:rFonts w:ascii="FrankRuehl" w:hAnsi="FrankRuehl" w:cs="FrankRuehl"/>
          <w:rtl/>
        </w:rPr>
        <w:t xml:space="preserve">, </w:t>
      </w:r>
      <w:hyperlink r:id="rId15" w:history="1">
        <w:r w:rsidRPr="00C46F4A">
          <w:rPr>
            <w:rFonts w:ascii="FrankRuehl" w:hAnsi="FrankRuehl" w:cs="FrankRuehl"/>
            <w:color w:val="0000FF"/>
            <w:u w:val="single"/>
            <w:rtl/>
          </w:rPr>
          <w:t>192</w:t>
        </w:r>
      </w:hyperlink>
      <w:r w:rsidRPr="00C46F4A">
        <w:rPr>
          <w:rFonts w:ascii="FrankRuehl" w:hAnsi="FrankRuehl" w:cs="FrankRuehl"/>
          <w:rtl/>
        </w:rPr>
        <w:t xml:space="preserve">, </w:t>
      </w:r>
      <w:hyperlink r:id="rId16" w:history="1">
        <w:r w:rsidRPr="00C46F4A">
          <w:rPr>
            <w:rFonts w:ascii="FrankRuehl" w:hAnsi="FrankRuehl" w:cs="FrankRuehl"/>
            <w:color w:val="0000FF"/>
            <w:u w:val="single"/>
            <w:rtl/>
          </w:rPr>
          <w:t>40יא</w:t>
        </w:r>
      </w:hyperlink>
      <w:r w:rsidRPr="00C46F4A">
        <w:rPr>
          <w:rFonts w:ascii="FrankRuehl" w:hAnsi="FrankRuehl" w:cs="FrankRuehl"/>
          <w:rtl/>
        </w:rPr>
        <w:t xml:space="preserve">, </w:t>
      </w:r>
      <w:hyperlink r:id="rId17" w:history="1">
        <w:r w:rsidRPr="00C46F4A">
          <w:rPr>
            <w:rFonts w:ascii="FrankRuehl" w:hAnsi="FrankRuehl" w:cs="FrankRuehl"/>
            <w:color w:val="0000FF"/>
            <w:u w:val="single"/>
            <w:rtl/>
          </w:rPr>
          <w:t>40יג</w:t>
        </w:r>
      </w:hyperlink>
      <w:r w:rsidRPr="00C46F4A">
        <w:rPr>
          <w:rFonts w:ascii="FrankRuehl" w:hAnsi="FrankRuehl" w:cs="FrankRuehl"/>
          <w:rtl/>
        </w:rPr>
        <w:t xml:space="preserve">, </w:t>
      </w:r>
      <w:hyperlink r:id="rId18" w:history="1">
        <w:r w:rsidRPr="00C46F4A">
          <w:rPr>
            <w:rFonts w:ascii="FrankRuehl" w:hAnsi="FrankRuehl" w:cs="FrankRuehl"/>
            <w:color w:val="0000FF"/>
            <w:u w:val="single"/>
            <w:rtl/>
          </w:rPr>
          <w:t>40יג(ב)</w:t>
        </w:r>
      </w:hyperlink>
      <w:r w:rsidRPr="00C46F4A">
        <w:rPr>
          <w:rFonts w:ascii="FrankRuehl" w:hAnsi="FrankRuehl" w:cs="FrankRuehl"/>
          <w:rtl/>
        </w:rPr>
        <w:t xml:space="preserve">, </w:t>
      </w:r>
      <w:hyperlink r:id="rId19" w:history="1">
        <w:r w:rsidRPr="00C46F4A">
          <w:rPr>
            <w:rFonts w:ascii="FrankRuehl" w:hAnsi="FrankRuehl" w:cs="FrankRuehl"/>
            <w:color w:val="0000FF"/>
            <w:u w:val="single"/>
            <w:rtl/>
          </w:rPr>
          <w:t>456</w:t>
        </w:r>
      </w:hyperlink>
      <w:r w:rsidRPr="00C46F4A">
        <w:rPr>
          <w:rFonts w:ascii="FrankRuehl" w:hAnsi="FrankRuehl" w:cs="FrankRuehl"/>
          <w:rtl/>
        </w:rPr>
        <w:t xml:space="preserve">, </w:t>
      </w:r>
      <w:hyperlink r:id="rId20" w:history="1">
        <w:r w:rsidRPr="00C46F4A">
          <w:rPr>
            <w:rFonts w:ascii="FrankRuehl" w:hAnsi="FrankRuehl" w:cs="FrankRuehl"/>
            <w:color w:val="0000FF"/>
            <w:u w:val="single"/>
            <w:rtl/>
          </w:rPr>
          <w:t>499(א)(1)</w:t>
        </w:r>
      </w:hyperlink>
    </w:p>
    <w:p w14:paraId="7295CFD6" w14:textId="77777777" w:rsidR="00C46F4A" w:rsidRPr="00C46F4A" w:rsidRDefault="00C46F4A" w:rsidP="00C46F4A">
      <w:pPr>
        <w:spacing w:after="120" w:line="240" w:lineRule="exact"/>
        <w:ind w:left="283" w:hanging="283"/>
        <w:jc w:val="both"/>
        <w:rPr>
          <w:rFonts w:ascii="FrankRuehl" w:hAnsi="FrankRuehl" w:cs="FrankRuehl"/>
          <w:rtl/>
        </w:rPr>
      </w:pPr>
      <w:hyperlink r:id="rId21" w:history="1">
        <w:r w:rsidRPr="00C46F4A">
          <w:rPr>
            <w:rFonts w:ascii="FrankRuehl" w:hAnsi="FrankRuehl" w:cs="FrankRuehl"/>
            <w:color w:val="0000FF"/>
            <w:u w:val="single"/>
            <w:rtl/>
          </w:rPr>
          <w:t>פקודת התעבורה [נוסח חדש]</w:t>
        </w:r>
      </w:hyperlink>
      <w:r w:rsidRPr="00C46F4A">
        <w:rPr>
          <w:rFonts w:ascii="FrankRuehl" w:hAnsi="FrankRuehl" w:cs="FrankRuehl"/>
          <w:rtl/>
        </w:rPr>
        <w:t xml:space="preserve">: סע'  </w:t>
      </w:r>
      <w:hyperlink r:id="rId22" w:history="1">
        <w:r w:rsidRPr="00C46F4A">
          <w:rPr>
            <w:rFonts w:ascii="FrankRuehl" w:hAnsi="FrankRuehl" w:cs="FrankRuehl"/>
            <w:color w:val="0000FF"/>
            <w:u w:val="single"/>
            <w:rtl/>
          </w:rPr>
          <w:t>43</w:t>
        </w:r>
      </w:hyperlink>
    </w:p>
    <w:p w14:paraId="785344DE" w14:textId="77777777" w:rsidR="00C46F4A" w:rsidRPr="000259C4" w:rsidRDefault="00C46F4A">
      <w:pPr>
        <w:rPr>
          <w:rFonts w:hint="cs"/>
        </w:rPr>
      </w:pPr>
    </w:p>
    <w:p w14:paraId="2D85E9DE" w14:textId="77777777" w:rsidR="00035899" w:rsidRPr="000259C4" w:rsidRDefault="00035899"/>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35899" w:rsidRPr="000259C4" w14:paraId="426407C7" w14:textId="77777777">
        <w:trPr>
          <w:trHeight w:val="355"/>
          <w:jc w:val="center"/>
        </w:trPr>
        <w:tc>
          <w:tcPr>
            <w:tcW w:w="8820" w:type="dxa"/>
            <w:tcBorders>
              <w:top w:val="nil"/>
              <w:left w:val="nil"/>
              <w:bottom w:val="nil"/>
              <w:right w:val="nil"/>
            </w:tcBorders>
          </w:tcPr>
          <w:p w14:paraId="0569AED0" w14:textId="77777777" w:rsidR="00035899" w:rsidRPr="000259C4" w:rsidRDefault="000259C4">
            <w:pPr>
              <w:jc w:val="center"/>
              <w:rPr>
                <w:rFonts w:ascii="Arial" w:hAnsi="Arial"/>
                <w:b/>
                <w:bCs/>
                <w:sz w:val="32"/>
                <w:szCs w:val="32"/>
                <w:rtl/>
              </w:rPr>
            </w:pPr>
            <w:bookmarkStart w:id="3" w:name="PsakDin"/>
            <w:r w:rsidRPr="000259C4">
              <w:rPr>
                <w:rFonts w:ascii="Arial" w:hAnsi="Arial" w:hint="cs"/>
                <w:b/>
                <w:bCs/>
                <w:sz w:val="32"/>
                <w:szCs w:val="32"/>
                <w:rtl/>
              </w:rPr>
              <w:t xml:space="preserve">גזר דין </w:t>
            </w:r>
            <w:bookmarkEnd w:id="3"/>
            <w:r w:rsidRPr="000259C4">
              <w:rPr>
                <w:rFonts w:ascii="Arial" w:hAnsi="Arial" w:hint="cs"/>
                <w:b/>
                <w:bCs/>
                <w:sz w:val="32"/>
                <w:szCs w:val="32"/>
                <w:rtl/>
              </w:rPr>
              <w:t>לגבי נאשם 1</w:t>
            </w:r>
          </w:p>
        </w:tc>
      </w:tr>
    </w:tbl>
    <w:p w14:paraId="128B2933" w14:textId="77777777" w:rsidR="00035899" w:rsidRPr="000259C4" w:rsidRDefault="00035899">
      <w:pPr>
        <w:rPr>
          <w:rFonts w:ascii="Arial" w:hAnsi="Arial"/>
          <w:rtl/>
        </w:rPr>
      </w:pPr>
    </w:p>
    <w:p w14:paraId="7FB83D13" w14:textId="77777777" w:rsidR="00035899" w:rsidRPr="000259C4" w:rsidRDefault="000259C4">
      <w:pPr>
        <w:keepNext/>
        <w:spacing w:before="240" w:after="60" w:line="360" w:lineRule="auto"/>
        <w:outlineLvl w:val="1"/>
        <w:rPr>
          <w:rFonts w:ascii="Helvetica" w:hAnsi="Helvetica" w:cs="FrankRuehl"/>
          <w:b/>
          <w:noProof w:val="0"/>
          <w:spacing w:val="20"/>
          <w:sz w:val="32"/>
          <w:szCs w:val="32"/>
          <w:rtl/>
          <w:lang w:eastAsia="he-IL"/>
        </w:rPr>
      </w:pPr>
      <w:r w:rsidRPr="000259C4">
        <w:rPr>
          <w:rFonts w:ascii="Helvetica" w:hAnsi="Helvetica" w:cs="FrankRuehl"/>
          <w:b/>
          <w:noProof w:val="0"/>
          <w:spacing w:val="20"/>
          <w:sz w:val="32"/>
          <w:szCs w:val="32"/>
          <w:rtl/>
          <w:lang w:eastAsia="he-IL"/>
        </w:rPr>
        <w:t>השופט מרדכי לוי</w:t>
      </w:r>
    </w:p>
    <w:p w14:paraId="5A0C00E8" w14:textId="77777777" w:rsidR="00035899" w:rsidRPr="000259C4" w:rsidRDefault="000259C4">
      <w:pPr>
        <w:keepNext/>
        <w:spacing w:before="240" w:after="60" w:line="360" w:lineRule="auto"/>
        <w:outlineLvl w:val="1"/>
        <w:rPr>
          <w:rFonts w:ascii="Helvetica" w:hAnsi="Helvetica" w:cs="FrankRuehl"/>
          <w:b/>
          <w:noProof w:val="0"/>
          <w:spacing w:val="20"/>
          <w:sz w:val="32"/>
          <w:szCs w:val="32"/>
          <w:rtl/>
          <w:lang w:eastAsia="he-IL"/>
        </w:rPr>
      </w:pPr>
      <w:r w:rsidRPr="000259C4">
        <w:rPr>
          <w:rFonts w:ascii="Helvetica" w:hAnsi="Helvetica" w:cs="FrankRuehl"/>
          <w:b/>
          <w:noProof w:val="0"/>
          <w:spacing w:val="20"/>
          <w:sz w:val="32"/>
          <w:szCs w:val="32"/>
          <w:rtl/>
          <w:lang w:eastAsia="he-IL"/>
        </w:rPr>
        <w:t>כללי</w:t>
      </w:r>
    </w:p>
    <w:p w14:paraId="198B99A1" w14:textId="77777777" w:rsidR="00035899" w:rsidRPr="000259C4" w:rsidRDefault="000259C4">
      <w:pPr>
        <w:numPr>
          <w:ilvl w:val="0"/>
          <w:numId w:val="1"/>
        </w:numPr>
        <w:tabs>
          <w:tab w:val="num" w:pos="720"/>
        </w:tabs>
        <w:spacing w:after="200" w:line="360" w:lineRule="auto"/>
        <w:ind w:left="0" w:firstLine="0"/>
        <w:jc w:val="both"/>
        <w:rPr>
          <w:rFonts w:ascii="Times" w:hAnsi="Times"/>
          <w:noProof w:val="0"/>
          <w:sz w:val="26"/>
          <w:szCs w:val="26"/>
          <w:rtl/>
          <w:lang w:eastAsia="he-IL"/>
        </w:rPr>
      </w:pPr>
      <w:bookmarkStart w:id="4" w:name="ABSTRACT_START"/>
      <w:bookmarkEnd w:id="4"/>
      <w:r w:rsidRPr="000259C4">
        <w:rPr>
          <w:rFonts w:ascii="Times" w:hAnsi="Times"/>
          <w:noProof w:val="0"/>
          <w:sz w:val="26"/>
          <w:szCs w:val="26"/>
          <w:rtl/>
          <w:lang w:eastAsia="he-IL"/>
        </w:rPr>
        <w:t>נאשם 1 (להלן: "</w:t>
      </w:r>
      <w:r w:rsidRPr="000259C4">
        <w:rPr>
          <w:rFonts w:ascii="Times" w:hAnsi="Times"/>
          <w:b/>
          <w:bCs/>
          <w:noProof w:val="0"/>
          <w:sz w:val="26"/>
          <w:szCs w:val="26"/>
          <w:rtl/>
          <w:lang w:eastAsia="he-IL"/>
        </w:rPr>
        <w:t>הנאשם</w:t>
      </w:r>
      <w:r w:rsidRPr="000259C4">
        <w:rPr>
          <w:rFonts w:ascii="Times" w:hAnsi="Times"/>
          <w:noProof w:val="0"/>
          <w:sz w:val="26"/>
          <w:szCs w:val="26"/>
          <w:rtl/>
          <w:lang w:eastAsia="he-IL"/>
        </w:rPr>
        <w:t xml:space="preserve">") הורשע, על פי הודאתו, בעבירות שלהלן, במסגרת שבעה אישומים: </w:t>
      </w:r>
      <w:r w:rsidRPr="000259C4">
        <w:rPr>
          <w:rFonts w:ascii="Times" w:hAnsi="Times"/>
          <w:b/>
          <w:bCs/>
          <w:noProof w:val="0"/>
          <w:sz w:val="26"/>
          <w:szCs w:val="26"/>
          <w:rtl/>
          <w:lang w:eastAsia="he-IL"/>
        </w:rPr>
        <w:t>עבירות של קשירת קשר לביצוע פשע</w:t>
      </w:r>
      <w:r w:rsidRPr="000259C4">
        <w:rPr>
          <w:rFonts w:ascii="Times" w:hAnsi="Times"/>
          <w:noProof w:val="0"/>
          <w:sz w:val="26"/>
          <w:szCs w:val="26"/>
          <w:rtl/>
          <w:lang w:eastAsia="he-IL"/>
        </w:rPr>
        <w:t xml:space="preserve">, לפי </w:t>
      </w:r>
      <w:hyperlink r:id="rId23" w:history="1">
        <w:r w:rsidR="00C46F4A" w:rsidRPr="00C46F4A">
          <w:rPr>
            <w:rFonts w:ascii="Times" w:hAnsi="Times"/>
            <w:noProof w:val="0"/>
            <w:color w:val="0000FF"/>
            <w:sz w:val="26"/>
            <w:szCs w:val="26"/>
            <w:u w:val="single"/>
            <w:rtl/>
            <w:lang w:eastAsia="he-IL"/>
          </w:rPr>
          <w:t>סעיף 499(א)(1)</w:t>
        </w:r>
      </w:hyperlink>
      <w:r w:rsidRPr="000259C4">
        <w:rPr>
          <w:rFonts w:ascii="Times" w:hAnsi="Times"/>
          <w:noProof w:val="0"/>
          <w:sz w:val="26"/>
          <w:szCs w:val="26"/>
          <w:rtl/>
          <w:lang w:eastAsia="he-IL"/>
        </w:rPr>
        <w:t xml:space="preserve"> ל</w:t>
      </w:r>
      <w:hyperlink r:id="rId24" w:history="1">
        <w:r w:rsidRPr="000259C4">
          <w:rPr>
            <w:rFonts w:ascii="Times" w:hAnsi="Times"/>
            <w:noProof w:val="0"/>
            <w:color w:val="0000FF"/>
            <w:sz w:val="26"/>
            <w:szCs w:val="26"/>
            <w:u w:val="single"/>
            <w:rtl/>
            <w:lang w:eastAsia="he-IL"/>
          </w:rPr>
          <w:t>חוק העונשין</w:t>
        </w:r>
      </w:hyperlink>
      <w:r w:rsidRPr="000259C4">
        <w:rPr>
          <w:rFonts w:ascii="Times" w:hAnsi="Times"/>
          <w:noProof w:val="0"/>
          <w:sz w:val="26"/>
          <w:szCs w:val="26"/>
          <w:rtl/>
          <w:lang w:eastAsia="he-IL"/>
        </w:rPr>
        <w:t>, תשל"ז-1977 (להלן: "</w:t>
      </w:r>
      <w:r w:rsidRPr="000259C4">
        <w:rPr>
          <w:rFonts w:ascii="Times" w:hAnsi="Times"/>
          <w:b/>
          <w:bCs/>
          <w:noProof w:val="0"/>
          <w:sz w:val="26"/>
          <w:szCs w:val="26"/>
          <w:rtl/>
          <w:lang w:eastAsia="he-IL"/>
        </w:rPr>
        <w:t>חוק העונשין</w:t>
      </w:r>
      <w:r w:rsidRPr="000259C4">
        <w:rPr>
          <w:rFonts w:ascii="Times" w:hAnsi="Times"/>
          <w:noProof w:val="0"/>
          <w:sz w:val="26"/>
          <w:szCs w:val="26"/>
          <w:rtl/>
          <w:lang w:eastAsia="he-IL"/>
        </w:rPr>
        <w:t xml:space="preserve">"); </w:t>
      </w:r>
      <w:r w:rsidRPr="000259C4">
        <w:rPr>
          <w:rFonts w:ascii="Times" w:hAnsi="Times"/>
          <w:b/>
          <w:bCs/>
          <w:noProof w:val="0"/>
          <w:sz w:val="26"/>
          <w:szCs w:val="26"/>
          <w:rtl/>
          <w:lang w:eastAsia="he-IL"/>
        </w:rPr>
        <w:t>עבירות של הובלה ונשיאה של נשק</w:t>
      </w:r>
      <w:r w:rsidRPr="000259C4">
        <w:rPr>
          <w:rFonts w:ascii="Times" w:hAnsi="Times"/>
          <w:noProof w:val="0"/>
          <w:sz w:val="26"/>
          <w:szCs w:val="26"/>
          <w:rtl/>
          <w:lang w:eastAsia="he-IL"/>
        </w:rPr>
        <w:t xml:space="preserve">, לפי </w:t>
      </w:r>
      <w:hyperlink r:id="rId25" w:history="1">
        <w:r w:rsidR="00C46F4A" w:rsidRPr="00C46F4A">
          <w:rPr>
            <w:rFonts w:ascii="Times" w:hAnsi="Times"/>
            <w:noProof w:val="0"/>
            <w:color w:val="0000FF"/>
            <w:sz w:val="26"/>
            <w:szCs w:val="26"/>
            <w:u w:val="single"/>
            <w:rtl/>
            <w:lang w:eastAsia="he-IL"/>
          </w:rPr>
          <w:t>סעיף 144(ב)</w:t>
        </w:r>
      </w:hyperlink>
      <w:r w:rsidRPr="000259C4">
        <w:rPr>
          <w:rFonts w:ascii="Times" w:hAnsi="Times"/>
          <w:noProof w:val="0"/>
          <w:sz w:val="26"/>
          <w:szCs w:val="26"/>
          <w:rtl/>
          <w:lang w:eastAsia="he-IL"/>
        </w:rPr>
        <w:t xml:space="preserve"> רישא וסיפא לחוק העונשין; </w:t>
      </w:r>
      <w:r w:rsidRPr="000259C4">
        <w:rPr>
          <w:rFonts w:ascii="Times" w:hAnsi="Times"/>
          <w:b/>
          <w:bCs/>
          <w:noProof w:val="0"/>
          <w:sz w:val="26"/>
          <w:szCs w:val="26"/>
          <w:rtl/>
          <w:lang w:eastAsia="he-IL"/>
        </w:rPr>
        <w:t>ניסיון לעבירות בנשק (נשיאה והובלה)</w:t>
      </w:r>
      <w:r w:rsidRPr="000259C4">
        <w:rPr>
          <w:rFonts w:ascii="Times" w:hAnsi="Times"/>
          <w:noProof w:val="0"/>
          <w:sz w:val="26"/>
          <w:szCs w:val="26"/>
          <w:rtl/>
          <w:lang w:eastAsia="he-IL"/>
        </w:rPr>
        <w:t xml:space="preserve">, לפי </w:t>
      </w:r>
      <w:hyperlink r:id="rId26" w:history="1">
        <w:r w:rsidR="00C46F4A" w:rsidRPr="00C46F4A">
          <w:rPr>
            <w:rFonts w:ascii="Times" w:hAnsi="Times"/>
            <w:noProof w:val="0"/>
            <w:color w:val="0000FF"/>
            <w:sz w:val="26"/>
            <w:szCs w:val="26"/>
            <w:u w:val="single"/>
            <w:rtl/>
            <w:lang w:eastAsia="he-IL"/>
          </w:rPr>
          <w:t>סעיף 144(ב)</w:t>
        </w:r>
      </w:hyperlink>
      <w:r w:rsidRPr="000259C4">
        <w:rPr>
          <w:rFonts w:ascii="Times" w:hAnsi="Times"/>
          <w:noProof w:val="0"/>
          <w:sz w:val="26"/>
          <w:szCs w:val="26"/>
          <w:rtl/>
          <w:lang w:eastAsia="he-IL"/>
        </w:rPr>
        <w:t xml:space="preserve"> רישא לחוק העונשין יחד עם </w:t>
      </w:r>
      <w:hyperlink r:id="rId27" w:history="1">
        <w:r w:rsidR="00C46F4A" w:rsidRPr="00C46F4A">
          <w:rPr>
            <w:rFonts w:ascii="Times" w:hAnsi="Times"/>
            <w:noProof w:val="0"/>
            <w:color w:val="0000FF"/>
            <w:sz w:val="26"/>
            <w:szCs w:val="26"/>
            <w:u w:val="single"/>
            <w:rtl/>
            <w:lang w:eastAsia="he-IL"/>
          </w:rPr>
          <w:t>סעיף 25</w:t>
        </w:r>
      </w:hyperlink>
      <w:r w:rsidRPr="000259C4">
        <w:rPr>
          <w:rFonts w:ascii="Times" w:hAnsi="Times"/>
          <w:noProof w:val="0"/>
          <w:sz w:val="26"/>
          <w:szCs w:val="26"/>
          <w:rtl/>
          <w:lang w:eastAsia="he-IL"/>
        </w:rPr>
        <w:t xml:space="preserve"> לחוק העונשין; </w:t>
      </w:r>
      <w:r w:rsidRPr="000259C4">
        <w:rPr>
          <w:rFonts w:ascii="Times" w:hAnsi="Times"/>
          <w:b/>
          <w:bCs/>
          <w:noProof w:val="0"/>
          <w:sz w:val="26"/>
          <w:szCs w:val="26"/>
          <w:rtl/>
          <w:lang w:eastAsia="he-IL"/>
        </w:rPr>
        <w:t>ניסיון להרוס נכס בחומר נפיץ</w:t>
      </w:r>
      <w:r w:rsidRPr="000259C4">
        <w:rPr>
          <w:rFonts w:ascii="Times" w:hAnsi="Times"/>
          <w:noProof w:val="0"/>
          <w:sz w:val="26"/>
          <w:szCs w:val="26"/>
          <w:rtl/>
          <w:lang w:eastAsia="he-IL"/>
        </w:rPr>
        <w:t xml:space="preserve">, לפי </w:t>
      </w:r>
      <w:hyperlink r:id="rId28" w:history="1">
        <w:r w:rsidR="00C46F4A" w:rsidRPr="00C46F4A">
          <w:rPr>
            <w:rFonts w:ascii="Times" w:hAnsi="Times"/>
            <w:noProof w:val="0"/>
            <w:color w:val="0000FF"/>
            <w:sz w:val="26"/>
            <w:szCs w:val="26"/>
            <w:u w:val="single"/>
            <w:rtl/>
            <w:lang w:eastAsia="he-IL"/>
          </w:rPr>
          <w:t>סעיף 456</w:t>
        </w:r>
      </w:hyperlink>
      <w:r w:rsidRPr="000259C4">
        <w:rPr>
          <w:rFonts w:ascii="Times" w:hAnsi="Times"/>
          <w:noProof w:val="0"/>
          <w:sz w:val="26"/>
          <w:szCs w:val="26"/>
          <w:rtl/>
          <w:lang w:eastAsia="he-IL"/>
        </w:rPr>
        <w:t xml:space="preserve"> </w:t>
      </w:r>
      <w:r w:rsidRPr="000259C4">
        <w:rPr>
          <w:rFonts w:ascii="Times" w:hAnsi="Times"/>
          <w:noProof w:val="0"/>
          <w:sz w:val="26"/>
          <w:szCs w:val="26"/>
          <w:rtl/>
          <w:lang w:eastAsia="he-IL"/>
        </w:rPr>
        <w:lastRenderedPageBreak/>
        <w:t xml:space="preserve">לחוק העונשין; </w:t>
      </w:r>
      <w:r w:rsidRPr="000259C4">
        <w:rPr>
          <w:rFonts w:ascii="Times" w:hAnsi="Times"/>
          <w:b/>
          <w:bCs/>
          <w:noProof w:val="0"/>
          <w:sz w:val="26"/>
          <w:szCs w:val="26"/>
          <w:rtl/>
          <w:lang w:eastAsia="he-IL"/>
        </w:rPr>
        <w:t>איומים</w:t>
      </w:r>
      <w:r w:rsidRPr="000259C4">
        <w:rPr>
          <w:rFonts w:ascii="Times" w:hAnsi="Times"/>
          <w:noProof w:val="0"/>
          <w:sz w:val="26"/>
          <w:szCs w:val="26"/>
          <w:rtl/>
          <w:lang w:eastAsia="he-IL"/>
        </w:rPr>
        <w:t xml:space="preserve">, לפי </w:t>
      </w:r>
      <w:hyperlink r:id="rId29" w:history="1">
        <w:r w:rsidR="00C46F4A" w:rsidRPr="00C46F4A">
          <w:rPr>
            <w:rFonts w:ascii="Times" w:hAnsi="Times"/>
            <w:noProof w:val="0"/>
            <w:color w:val="0000FF"/>
            <w:sz w:val="26"/>
            <w:szCs w:val="26"/>
            <w:u w:val="single"/>
            <w:rtl/>
            <w:lang w:eastAsia="he-IL"/>
          </w:rPr>
          <w:t>סעיף 192</w:t>
        </w:r>
      </w:hyperlink>
      <w:r w:rsidRPr="000259C4">
        <w:rPr>
          <w:rFonts w:ascii="Times" w:hAnsi="Times"/>
          <w:noProof w:val="0"/>
          <w:sz w:val="26"/>
          <w:szCs w:val="26"/>
          <w:rtl/>
          <w:lang w:eastAsia="he-IL"/>
        </w:rPr>
        <w:t xml:space="preserve"> לחוק העונשין; </w:t>
      </w:r>
      <w:r w:rsidRPr="000259C4">
        <w:rPr>
          <w:rFonts w:ascii="Times" w:hAnsi="Times"/>
          <w:b/>
          <w:bCs/>
          <w:noProof w:val="0"/>
          <w:sz w:val="26"/>
          <w:szCs w:val="26"/>
          <w:rtl/>
          <w:lang w:eastAsia="he-IL"/>
        </w:rPr>
        <w:t>ועבירות של</w:t>
      </w:r>
      <w:r w:rsidRPr="000259C4">
        <w:rPr>
          <w:rFonts w:ascii="Times" w:hAnsi="Times"/>
          <w:noProof w:val="0"/>
          <w:sz w:val="26"/>
          <w:szCs w:val="26"/>
          <w:rtl/>
          <w:lang w:eastAsia="he-IL"/>
        </w:rPr>
        <w:t xml:space="preserve"> </w:t>
      </w:r>
      <w:r w:rsidRPr="000259C4">
        <w:rPr>
          <w:rFonts w:ascii="Times" w:hAnsi="Times"/>
          <w:b/>
          <w:bCs/>
          <w:noProof w:val="0"/>
          <w:sz w:val="26"/>
          <w:szCs w:val="26"/>
          <w:rtl/>
          <w:lang w:eastAsia="he-IL"/>
        </w:rPr>
        <w:t>הסתייעות ברכב לביצוע פשע</w:t>
      </w:r>
      <w:r w:rsidRPr="000259C4">
        <w:rPr>
          <w:rFonts w:ascii="Times" w:hAnsi="Times"/>
          <w:noProof w:val="0"/>
          <w:sz w:val="26"/>
          <w:szCs w:val="26"/>
          <w:rtl/>
          <w:lang w:eastAsia="he-IL"/>
        </w:rPr>
        <w:t xml:space="preserve">, לפי </w:t>
      </w:r>
      <w:hyperlink r:id="rId30" w:history="1">
        <w:r w:rsidR="00C46F4A" w:rsidRPr="00C46F4A">
          <w:rPr>
            <w:rFonts w:ascii="Times" w:hAnsi="Times"/>
            <w:noProof w:val="0"/>
            <w:color w:val="0000FF"/>
            <w:sz w:val="26"/>
            <w:szCs w:val="26"/>
            <w:u w:val="single"/>
            <w:rtl/>
            <w:lang w:eastAsia="he-IL"/>
          </w:rPr>
          <w:t>סעיף 43</w:t>
        </w:r>
      </w:hyperlink>
      <w:r w:rsidRPr="000259C4">
        <w:rPr>
          <w:rFonts w:ascii="Times" w:hAnsi="Times"/>
          <w:noProof w:val="0"/>
          <w:sz w:val="26"/>
          <w:szCs w:val="26"/>
          <w:rtl/>
          <w:lang w:eastAsia="he-IL"/>
        </w:rPr>
        <w:t xml:space="preserve"> ל</w:t>
      </w:r>
      <w:hyperlink r:id="rId31" w:history="1">
        <w:r w:rsidRPr="000259C4">
          <w:rPr>
            <w:rFonts w:ascii="Times" w:hAnsi="Times"/>
            <w:noProof w:val="0"/>
            <w:color w:val="0000FF"/>
            <w:sz w:val="26"/>
            <w:szCs w:val="26"/>
            <w:u w:val="single"/>
            <w:rtl/>
            <w:lang w:eastAsia="he-IL"/>
          </w:rPr>
          <w:t>פקודת התעבורה</w:t>
        </w:r>
      </w:hyperlink>
      <w:r w:rsidRPr="000259C4">
        <w:rPr>
          <w:rFonts w:ascii="Times" w:hAnsi="Times"/>
          <w:noProof w:val="0"/>
          <w:sz w:val="26"/>
          <w:szCs w:val="26"/>
          <w:rtl/>
          <w:lang w:eastAsia="he-IL"/>
        </w:rPr>
        <w:t xml:space="preserve"> [נוסח חדש]. </w:t>
      </w:r>
    </w:p>
    <w:p w14:paraId="1B9164B2" w14:textId="77777777" w:rsidR="00035899" w:rsidRPr="000259C4" w:rsidRDefault="000259C4">
      <w:pPr>
        <w:numPr>
          <w:ilvl w:val="0"/>
          <w:numId w:val="1"/>
        </w:numPr>
        <w:tabs>
          <w:tab w:val="num" w:pos="720"/>
        </w:tabs>
        <w:spacing w:after="200" w:line="360" w:lineRule="auto"/>
        <w:ind w:left="0" w:firstLine="0"/>
        <w:jc w:val="both"/>
        <w:rPr>
          <w:rFonts w:ascii="Times" w:hAnsi="Times"/>
          <w:noProof w:val="0"/>
          <w:sz w:val="26"/>
          <w:szCs w:val="26"/>
          <w:lang w:eastAsia="he-IL"/>
        </w:rPr>
      </w:pPr>
      <w:bookmarkStart w:id="5" w:name="ABSTRACT_END"/>
      <w:bookmarkEnd w:id="5"/>
      <w:r w:rsidRPr="000259C4">
        <w:rPr>
          <w:rFonts w:ascii="Times" w:hAnsi="Times"/>
          <w:noProof w:val="0"/>
          <w:sz w:val="26"/>
          <w:szCs w:val="26"/>
          <w:rtl/>
          <w:lang w:eastAsia="he-IL"/>
        </w:rPr>
        <w:t xml:space="preserve">הודאת הנאשם ניתנה בעקבות הסדר טיעון שהתייחס לתיקון כתב האישום המקורי ולעניין העונש, כפי שיפורט להלן. </w:t>
      </w:r>
    </w:p>
    <w:p w14:paraId="33D0C4C6" w14:textId="77777777" w:rsidR="00035899" w:rsidRPr="000259C4" w:rsidRDefault="000259C4">
      <w:pPr>
        <w:numPr>
          <w:ilvl w:val="0"/>
          <w:numId w:val="1"/>
        </w:numPr>
        <w:tabs>
          <w:tab w:val="num" w:pos="720"/>
        </w:tabs>
        <w:spacing w:after="200" w:line="360" w:lineRule="auto"/>
        <w:ind w:left="0" w:firstLine="0"/>
        <w:jc w:val="both"/>
        <w:rPr>
          <w:rFonts w:ascii="Times" w:hAnsi="Times"/>
          <w:noProof w:val="0"/>
          <w:sz w:val="26"/>
          <w:szCs w:val="26"/>
          <w:lang w:eastAsia="he-IL"/>
        </w:rPr>
      </w:pPr>
      <w:r w:rsidRPr="000259C4">
        <w:rPr>
          <w:rFonts w:ascii="Times" w:hAnsi="Times"/>
          <w:noProof w:val="0"/>
          <w:sz w:val="26"/>
          <w:szCs w:val="26"/>
          <w:rtl/>
          <w:lang w:eastAsia="he-IL"/>
        </w:rPr>
        <w:t>על פי החלק הכללי של כתב האישום המתוקן, במהלך כל האירועים המתוארים בכתב האישום, למעט באירוע מושא האישום הראשון, פעל העד י.א. (להלן: "</w:t>
      </w:r>
      <w:r w:rsidRPr="000259C4">
        <w:rPr>
          <w:rFonts w:ascii="Times" w:hAnsi="Times"/>
          <w:b/>
          <w:bCs/>
          <w:noProof w:val="0"/>
          <w:sz w:val="26"/>
          <w:szCs w:val="26"/>
          <w:rtl/>
          <w:lang w:eastAsia="he-IL"/>
        </w:rPr>
        <w:t>עד המדינה</w:t>
      </w:r>
      <w:r w:rsidRPr="000259C4">
        <w:rPr>
          <w:rFonts w:ascii="Times" w:hAnsi="Times"/>
          <w:noProof w:val="0"/>
          <w:sz w:val="26"/>
          <w:szCs w:val="26"/>
          <w:rtl/>
          <w:lang w:eastAsia="he-IL"/>
        </w:rPr>
        <w:t>") בסמכות וברשות משטרת ישראל.</w:t>
      </w:r>
    </w:p>
    <w:p w14:paraId="6B19BE0A" w14:textId="77777777" w:rsidR="00035899" w:rsidRPr="000259C4" w:rsidRDefault="000259C4">
      <w:pPr>
        <w:numPr>
          <w:ilvl w:val="0"/>
          <w:numId w:val="1"/>
        </w:numPr>
        <w:tabs>
          <w:tab w:val="num" w:pos="720"/>
        </w:tabs>
        <w:spacing w:after="200" w:line="360" w:lineRule="auto"/>
        <w:ind w:left="0" w:firstLine="0"/>
        <w:jc w:val="both"/>
        <w:rPr>
          <w:rFonts w:ascii="Times" w:hAnsi="Times"/>
          <w:noProof w:val="0"/>
          <w:sz w:val="26"/>
          <w:szCs w:val="26"/>
          <w:lang w:eastAsia="he-IL"/>
        </w:rPr>
      </w:pPr>
      <w:r w:rsidRPr="000259C4">
        <w:rPr>
          <w:rFonts w:ascii="Times" w:hAnsi="Times"/>
          <w:b/>
          <w:bCs/>
          <w:noProof w:val="0"/>
          <w:sz w:val="26"/>
          <w:szCs w:val="26"/>
          <w:rtl/>
          <w:lang w:eastAsia="he-IL"/>
        </w:rPr>
        <w:t>על פי האישום הראשון בכתב האישום המתוקן</w:t>
      </w:r>
      <w:r w:rsidRPr="000259C4">
        <w:rPr>
          <w:rFonts w:ascii="Times" w:hAnsi="Times"/>
          <w:noProof w:val="0"/>
          <w:sz w:val="26"/>
          <w:szCs w:val="26"/>
          <w:rtl/>
          <w:lang w:eastAsia="he-IL"/>
        </w:rPr>
        <w:t>, בתקופה הסמוכה לפני האירועים המתוארים באישום זה נוצרו קשרי חברות בין הנאשם לבין עד המדינה. בתאריך 19/8/12 סיפר הנאשם לעד המדינה כי פגש את רזיאל רווח (להלן: "</w:t>
      </w:r>
      <w:r w:rsidRPr="000259C4">
        <w:rPr>
          <w:rFonts w:ascii="Times" w:hAnsi="Times"/>
          <w:b/>
          <w:bCs/>
          <w:noProof w:val="0"/>
          <w:sz w:val="26"/>
          <w:szCs w:val="26"/>
          <w:rtl/>
          <w:lang w:eastAsia="he-IL"/>
        </w:rPr>
        <w:t>רזיאל</w:t>
      </w:r>
      <w:r w:rsidRPr="000259C4">
        <w:rPr>
          <w:rFonts w:ascii="Times" w:hAnsi="Times"/>
          <w:noProof w:val="0"/>
          <w:sz w:val="26"/>
          <w:szCs w:val="26"/>
          <w:rtl/>
          <w:lang w:eastAsia="he-IL"/>
        </w:rPr>
        <w:t>") והתקוטט עמו. בעקבות מפגש זה אמר הנאשם לעד המדינה כי הוא מעונין להשליך רימון רסס לביתו של רזיאל, ובין השניים נקשר קשר לביצוע פשע, להשליך רימון רסס לביתו של רזיאל בכוונה להפחידו ולגרום נזק לביתו. בהמשך לכך, באותו יום ובשעה שאינה ידועה למאשימה, נסעו הנאשם ועד המדינה ברכבו של הנאשם מסוג "מאזדה 3" מ.ר 65-463-88 (להלן: "</w:t>
      </w:r>
      <w:r w:rsidRPr="000259C4">
        <w:rPr>
          <w:rFonts w:ascii="Times" w:hAnsi="Times"/>
          <w:b/>
          <w:bCs/>
          <w:noProof w:val="0"/>
          <w:sz w:val="26"/>
          <w:szCs w:val="26"/>
          <w:rtl/>
          <w:lang w:eastAsia="he-IL"/>
        </w:rPr>
        <w:t>הרכב</w:t>
      </w:r>
      <w:r w:rsidRPr="000259C4">
        <w:rPr>
          <w:rFonts w:ascii="Times" w:hAnsi="Times"/>
          <w:noProof w:val="0"/>
          <w:sz w:val="26"/>
          <w:szCs w:val="26"/>
          <w:rtl/>
          <w:lang w:eastAsia="he-IL"/>
        </w:rPr>
        <w:t>") למקום באשקלון, שבו הסליק הנאשם, מבעוד מועד, רימון יד מס' 26 מסוג רסס (להלן: "</w:t>
      </w:r>
      <w:r w:rsidRPr="000259C4">
        <w:rPr>
          <w:rFonts w:ascii="Times" w:hAnsi="Times"/>
          <w:b/>
          <w:bCs/>
          <w:noProof w:val="0"/>
          <w:sz w:val="26"/>
          <w:szCs w:val="26"/>
          <w:rtl/>
          <w:lang w:eastAsia="he-IL"/>
        </w:rPr>
        <w:t>הרימון</w:t>
      </w:r>
      <w:r w:rsidRPr="000259C4">
        <w:rPr>
          <w:rFonts w:ascii="Times" w:hAnsi="Times"/>
          <w:noProof w:val="0"/>
          <w:sz w:val="26"/>
          <w:szCs w:val="26"/>
          <w:rtl/>
          <w:lang w:eastAsia="he-IL"/>
        </w:rPr>
        <w:t>"). הנאשם הוציא ממקום המחבוא את הרימון ונכנס עמו לרכב. בשעה 01:05 לערך התקשר הנאשם אל רפאל גאז (להלן: "</w:t>
      </w:r>
      <w:r w:rsidRPr="000259C4">
        <w:rPr>
          <w:rFonts w:ascii="Times" w:hAnsi="Times"/>
          <w:b/>
          <w:bCs/>
          <w:noProof w:val="0"/>
          <w:sz w:val="26"/>
          <w:szCs w:val="26"/>
          <w:rtl/>
          <w:lang w:eastAsia="he-IL"/>
        </w:rPr>
        <w:t>רפאל</w:t>
      </w:r>
      <w:r w:rsidRPr="000259C4">
        <w:rPr>
          <w:rFonts w:ascii="Times" w:hAnsi="Times"/>
          <w:noProof w:val="0"/>
          <w:sz w:val="26"/>
          <w:szCs w:val="26"/>
          <w:rtl/>
          <w:lang w:eastAsia="he-IL"/>
        </w:rPr>
        <w:t xml:space="preserve">"), ורפאל הכווין את הנאשם להגיע למקום שבו המתין לו. הנאשם ועד המדינה הגיעו למקום המפגש עם רפאל, והוא נכנס עמם לרכב. רפאל מסר את כתובתו של רזיאל, והשלושה נסעו אליה. הנאשם ירד מהרכב עם רפאל, ורפאל הצביע, עבור הנאשם, על ביתו של רזיאל שבקומת הקרקע. לאחר מכן הסיעו הנאשם ועד המדינה את רפאל לבית חבר באשקלון וחזרו יחד ברכב לביתו של רזיאל. בבית שהתה באותה עת אמו של רזיאל. הנאשם ירד מהרכב כשהרימון בידו, ועד המדינה נותר לשבת בתוך הרכב. הנאשם התקרב לחלון ביתו של רזיאל כשהוא נושא את הרימון בידו, ועד המדינה יצא מן הרכב והביט על המתרחש. הנאשם פתח את חלון חדר השינה בביתו של רזיאל, הסיט את הווילון, משך את נצרת הרימון, והשליך את הרימון אל תוך הבית בכוונה להפחיד את רזיאל ולגרום נזק לביתו. מיד לאחר מכן נמלטו הנאשם ועד המדינה מהמקום. עקב תקלה שאירעה, הרימון לא התפוצץ. בשעות אחר הצהריים הוזעקה המשטרה אל הבית ופינתה את הרימון. </w:t>
      </w:r>
    </w:p>
    <w:p w14:paraId="559C64DE" w14:textId="77777777" w:rsidR="00035899" w:rsidRPr="000259C4" w:rsidRDefault="000259C4">
      <w:pPr>
        <w:numPr>
          <w:ilvl w:val="0"/>
          <w:numId w:val="1"/>
        </w:numPr>
        <w:tabs>
          <w:tab w:val="num" w:pos="720"/>
        </w:tabs>
        <w:spacing w:after="200" w:line="360" w:lineRule="auto"/>
        <w:ind w:left="0" w:firstLine="0"/>
        <w:jc w:val="both"/>
        <w:rPr>
          <w:rFonts w:ascii="Times" w:hAnsi="Times"/>
          <w:noProof w:val="0"/>
          <w:sz w:val="26"/>
          <w:szCs w:val="26"/>
          <w:lang w:eastAsia="he-IL"/>
        </w:rPr>
      </w:pPr>
      <w:r w:rsidRPr="000259C4">
        <w:rPr>
          <w:rFonts w:ascii="Times" w:hAnsi="Times"/>
          <w:b/>
          <w:bCs/>
          <w:noProof w:val="0"/>
          <w:sz w:val="26"/>
          <w:szCs w:val="26"/>
          <w:rtl/>
          <w:lang w:eastAsia="he-IL"/>
        </w:rPr>
        <w:t>על פי האישום השני בכתב האישום המתוקן</w:t>
      </w:r>
      <w:r w:rsidRPr="000259C4">
        <w:rPr>
          <w:rFonts w:ascii="Times" w:hAnsi="Times"/>
          <w:noProof w:val="0"/>
          <w:sz w:val="26"/>
          <w:szCs w:val="26"/>
          <w:rtl/>
          <w:lang w:eastAsia="he-IL"/>
        </w:rPr>
        <w:t>, בתאריך שאינו ידוע למאשימה, החליט הנאשם לרצוח את מומי קסנטיני (להלן גם: "</w:t>
      </w:r>
      <w:r w:rsidRPr="000259C4">
        <w:rPr>
          <w:rFonts w:ascii="Times" w:hAnsi="Times"/>
          <w:b/>
          <w:bCs/>
          <w:noProof w:val="0"/>
          <w:sz w:val="26"/>
          <w:szCs w:val="26"/>
          <w:rtl/>
          <w:lang w:eastAsia="he-IL"/>
        </w:rPr>
        <w:t>מומי</w:t>
      </w:r>
      <w:r w:rsidRPr="000259C4">
        <w:rPr>
          <w:rFonts w:ascii="Times" w:hAnsi="Times"/>
          <w:noProof w:val="0"/>
          <w:sz w:val="26"/>
          <w:szCs w:val="26"/>
          <w:rtl/>
          <w:lang w:eastAsia="he-IL"/>
        </w:rPr>
        <w:t xml:space="preserve">"). הנאשם תכנן לרצוח את מומי, </w:t>
      </w:r>
      <w:r w:rsidRPr="000259C4">
        <w:rPr>
          <w:rFonts w:ascii="Times" w:hAnsi="Times"/>
          <w:noProof w:val="0"/>
          <w:sz w:val="26"/>
          <w:szCs w:val="26"/>
          <w:rtl/>
          <w:lang w:eastAsia="he-IL"/>
        </w:rPr>
        <w:lastRenderedPageBreak/>
        <w:t>כאשר הלה יגיע ביום שישי ה-7/9/12 לבית ברחוב טבנקין בבת-ים שבו מתגוררת גרושתו של מומי (להלן: "</w:t>
      </w:r>
      <w:r w:rsidRPr="000259C4">
        <w:rPr>
          <w:rFonts w:ascii="Times" w:hAnsi="Times"/>
          <w:b/>
          <w:bCs/>
          <w:noProof w:val="0"/>
          <w:sz w:val="26"/>
          <w:szCs w:val="26"/>
          <w:rtl/>
          <w:lang w:eastAsia="he-IL"/>
        </w:rPr>
        <w:t>הבית</w:t>
      </w:r>
      <w:r w:rsidRPr="000259C4">
        <w:rPr>
          <w:rFonts w:ascii="Times" w:hAnsi="Times"/>
          <w:noProof w:val="0"/>
          <w:sz w:val="26"/>
          <w:szCs w:val="26"/>
          <w:rtl/>
          <w:lang w:eastAsia="he-IL"/>
        </w:rPr>
        <w:t>"). ביום 4/9/12, בשעה 22:45 לערך, הגיע הנאשם יחד עם עמי כריסי (להלן: "</w:t>
      </w:r>
      <w:r w:rsidRPr="000259C4">
        <w:rPr>
          <w:rFonts w:ascii="Times" w:hAnsi="Times"/>
          <w:b/>
          <w:bCs/>
          <w:noProof w:val="0"/>
          <w:sz w:val="26"/>
          <w:szCs w:val="26"/>
          <w:rtl/>
          <w:lang w:eastAsia="he-IL"/>
        </w:rPr>
        <w:t>עמי</w:t>
      </w:r>
      <w:r w:rsidRPr="000259C4">
        <w:rPr>
          <w:rFonts w:ascii="Times" w:hAnsi="Times"/>
          <w:noProof w:val="0"/>
          <w:sz w:val="26"/>
          <w:szCs w:val="26"/>
          <w:rtl/>
          <w:lang w:eastAsia="he-IL"/>
        </w:rPr>
        <w:t>") ברכב אל הבית. עמי נותר לשבת ברכב, והנאשם ירד מהרכב. הנאשם ביצע בדיקה בתיבות הדואר של בניינים 22 ו-24 ברחוב טבנקין על מנת לאמת את כתובתה של גרושתו של מומי. לאחר מכן עזבו הנאשם ועמי את המקום. בתאריך 5/9/12 הגיעו הנאשם ועד המדינה לביתו של אדם אחר (להלן: "</w:t>
      </w:r>
      <w:r w:rsidRPr="000259C4">
        <w:rPr>
          <w:rFonts w:ascii="Times" w:hAnsi="Times"/>
          <w:b/>
          <w:bCs/>
          <w:noProof w:val="0"/>
          <w:sz w:val="26"/>
          <w:szCs w:val="26"/>
          <w:rtl/>
          <w:lang w:eastAsia="he-IL"/>
        </w:rPr>
        <w:t>האחר</w:t>
      </w:r>
      <w:r w:rsidRPr="000259C4">
        <w:rPr>
          <w:rFonts w:ascii="Times" w:hAnsi="Times"/>
          <w:noProof w:val="0"/>
          <w:sz w:val="26"/>
          <w:szCs w:val="26"/>
          <w:rtl/>
          <w:lang w:eastAsia="he-IL"/>
        </w:rPr>
        <w:t>"). בפגישה זו קשרו הנאשם, האחר ועד המדינה קשר לביצוע פשע, קרי, לגרום למותם של מומי ושל שלום דומראני (להלן: "</w:t>
      </w:r>
      <w:r w:rsidRPr="000259C4">
        <w:rPr>
          <w:rFonts w:ascii="Times" w:hAnsi="Times"/>
          <w:b/>
          <w:bCs/>
          <w:noProof w:val="0"/>
          <w:sz w:val="26"/>
          <w:szCs w:val="26"/>
          <w:rtl/>
          <w:lang w:eastAsia="he-IL"/>
        </w:rPr>
        <w:t>דומראני</w:t>
      </w:r>
      <w:r w:rsidRPr="000259C4">
        <w:rPr>
          <w:rFonts w:ascii="Times" w:hAnsi="Times"/>
          <w:noProof w:val="0"/>
          <w:sz w:val="26"/>
          <w:szCs w:val="26"/>
          <w:rtl/>
          <w:lang w:eastAsia="he-IL"/>
        </w:rPr>
        <w:t>"). במסגרת הקשר ולשם קידומו, נקבע כי הנאשם יבצע את הרצח של מומי ביום 7/9/12 בבת-ים, וכי האחר יספק את הנשק. כמו כן נקבע כי האחר יסייע לנאשם בהמתת מומי אם יעלה צורך בכך. עוד נקבע כי האחר יהיה שותף לחיסולו של דומראני יחד עם הנאשם. בנוסף, הנאשם והאחר סיכמו כי יגדירו יחד יעדים השייכים ל"ארגון של דומראני", כדי לפגוע בהם בטווח המי</w:t>
      </w:r>
      <w:r w:rsidRPr="000259C4">
        <w:rPr>
          <w:rFonts w:ascii="Times" w:hAnsi="Times" w:hint="cs"/>
          <w:noProof w:val="0"/>
          <w:sz w:val="26"/>
          <w:szCs w:val="26"/>
          <w:rtl/>
          <w:lang w:eastAsia="he-IL"/>
        </w:rPr>
        <w:t>י</w:t>
      </w:r>
      <w:r w:rsidRPr="000259C4">
        <w:rPr>
          <w:rFonts w:ascii="Times" w:hAnsi="Times"/>
          <w:noProof w:val="0"/>
          <w:sz w:val="26"/>
          <w:szCs w:val="26"/>
          <w:rtl/>
          <w:lang w:eastAsia="he-IL"/>
        </w:rPr>
        <w:t xml:space="preserve">די. במסגרת הקשר הנ"ל, בתאריך 6/9/13, בשעות הערב, קיבל הנאשם לידיו אקדח ומחסנית מלאה בכדורים. הנאשם העביר את האקדח לעד המדינה וביקש ממנו להסליק את האקדח ואת המחסנית. הנאשם ועד המדינה נסעו על כביש 323, נעצרו בצד הדרך, ועד המדינה ירד מן הרכב והסליק את האקדח בצד הדרך. </w:t>
      </w:r>
    </w:p>
    <w:p w14:paraId="6BD66D64" w14:textId="77777777" w:rsidR="00035899" w:rsidRPr="000259C4" w:rsidRDefault="000259C4">
      <w:pPr>
        <w:numPr>
          <w:ilvl w:val="0"/>
          <w:numId w:val="1"/>
        </w:numPr>
        <w:tabs>
          <w:tab w:val="num" w:pos="720"/>
        </w:tabs>
        <w:spacing w:after="200" w:line="360" w:lineRule="auto"/>
        <w:ind w:left="0" w:firstLine="0"/>
        <w:jc w:val="both"/>
        <w:rPr>
          <w:rFonts w:ascii="Times" w:hAnsi="Times"/>
          <w:noProof w:val="0"/>
          <w:sz w:val="26"/>
          <w:szCs w:val="26"/>
          <w:lang w:eastAsia="he-IL"/>
        </w:rPr>
      </w:pPr>
      <w:r w:rsidRPr="000259C4">
        <w:rPr>
          <w:rFonts w:ascii="Times" w:hAnsi="Times"/>
          <w:b/>
          <w:bCs/>
          <w:noProof w:val="0"/>
          <w:sz w:val="26"/>
          <w:szCs w:val="26"/>
          <w:rtl/>
          <w:lang w:eastAsia="he-IL"/>
        </w:rPr>
        <w:t>על פי האישום השלישי בכתב האישום המתוקן</w:t>
      </w:r>
      <w:r w:rsidRPr="000259C4">
        <w:rPr>
          <w:rFonts w:ascii="Times" w:hAnsi="Times"/>
          <w:noProof w:val="0"/>
          <w:sz w:val="26"/>
          <w:szCs w:val="26"/>
          <w:rtl/>
          <w:lang w:eastAsia="he-IL"/>
        </w:rPr>
        <w:t xml:space="preserve">, בהמשך לקשירת הקשר מושא האישום השני לעיל, בתאריך 6/9/12, בשעה 23:24 לערך, נסעו הנאשם ועד המדינה ברכב על כביש 232. כ-300 מ' מכביש מס' 3 עצר הנאשם את הרכב בצד הדרך, ועד המדינה ירד מן הרכב על מנת לקחת את האקדח ממקום מחבואו. הנאשם ועד המדינה המשיכו בנסיעה לכיוון העיר נתניה, כשהאקדח והמחסנית עמם ברכב. בשעת חצות לערך הגיעו הנאשם ועד המדינה לעיר נתניה והתאכסנו בבית מלון בעיר. בשעה 04:30 לערך יידע עד המדינה את משטרת ישראל כי הנאשם נמצא בבית המלון, כשבחזקתו האקדח ומחסנית מלאה בכדורים, וכי בכוונתו להמתין למומי בשעות אחר הצהריים, סמוך לביתו שבבת-ים, ולרוצחו. על מנת לסכל את הרצח המתוכנן נלקח עד המדינה על ידי משטרת ישראל לבדיקות רפואיות בבית החולים, וזאת כדי שעד המדינה יאמר לנאשם כי הוא אינו יכול להצטרף אליו באמתלה שאינו חש בטוב, ושהנאשם יאלץ עקב כך לדחות את ביצוע הרצח למועד אחר. עם שחרורו של עד המדינה מבית החולים הגיע הנאשם לאסוף אותו, והשניים חזרו לבית המלון הנ"ל. בתאריך 7/9/12, בשעה 10:30 לערך, נסעו הנאשם ועד המדינה על כביש מס' 2 לכיוון דרום, כשהאקדח והמחסנית עמם ברכב. לאחר מכן נסעו הנאשם ועד המדינה על כביש מס' 20 לכיוון דרום. הנאשם ועד המדינה החליטו להסליק את הנשק בצדי הדרך, מכיוון שהגיעו מוקדם מהמתוכנן וסברו שקיים סיכון להימצאות הנשק ברכבם בעת שיסתובבו בשטח. לאחר כ-100 מטרים עצר הנאשם את הרכב, ועד המדינה ירד בצדי הדרך והסליק את האקדח יחד עם המחסנית בתוך שיחים בסמוך לארון חשמל. משטרת ישראל, אשר קיבלה מידע מעד המדינה על כוונת הנאשם להוציא אל הפועל את ביצוע הרצח של מומי, הקימה מחסומים והציבה שוטרים באזור ביתו של מומי. הנאשם ועד המדינה ניסו להיכנס עם הרכב לרחוב שבו מתגורר מומי, אך נתקלו במחסומי המשטרה. הנאשם ועד המדינה אף ניסו להגיע לבניין של מומי מחלקו האחורי כשנסעו בניגוד לכיוון התנועה ובניגוד לתמרור, אך גם שם נתקלו במחסומי המשטרה. נוכח הנוכחות המשטרתית באזור החליט הנאשם לוותר בשלב זה על ביצוע הרצח. </w:t>
      </w:r>
    </w:p>
    <w:p w14:paraId="1C2F7FE1" w14:textId="77777777" w:rsidR="00035899" w:rsidRPr="000259C4" w:rsidRDefault="000259C4">
      <w:pPr>
        <w:numPr>
          <w:ilvl w:val="0"/>
          <w:numId w:val="1"/>
        </w:numPr>
        <w:tabs>
          <w:tab w:val="num" w:pos="720"/>
        </w:tabs>
        <w:spacing w:after="200" w:line="360" w:lineRule="auto"/>
        <w:ind w:left="0" w:firstLine="0"/>
        <w:jc w:val="both"/>
        <w:rPr>
          <w:rFonts w:ascii="Times" w:hAnsi="Times"/>
          <w:noProof w:val="0"/>
          <w:sz w:val="26"/>
          <w:szCs w:val="26"/>
          <w:lang w:eastAsia="he-IL"/>
        </w:rPr>
      </w:pPr>
      <w:r w:rsidRPr="000259C4">
        <w:rPr>
          <w:rFonts w:ascii="Times" w:hAnsi="Times"/>
          <w:b/>
          <w:bCs/>
          <w:noProof w:val="0"/>
          <w:sz w:val="26"/>
          <w:szCs w:val="26"/>
          <w:rtl/>
          <w:lang w:eastAsia="he-IL"/>
        </w:rPr>
        <w:t>על פי האישום הרביעי בכתב האישום המתוקן</w:t>
      </w:r>
      <w:r w:rsidRPr="000259C4">
        <w:rPr>
          <w:rFonts w:ascii="Times" w:hAnsi="Times"/>
          <w:noProof w:val="0"/>
          <w:sz w:val="26"/>
          <w:szCs w:val="26"/>
          <w:rtl/>
          <w:lang w:eastAsia="he-IL"/>
        </w:rPr>
        <w:t>, במסגרת הקשר מושא האישום השני לעיל ולשם קידומו, בתאריך 7/9/12, בשעה 13:40 לערך, נפגש הנאשם עם גבי אטדגי (להלן: "</w:t>
      </w:r>
      <w:r w:rsidRPr="000259C4">
        <w:rPr>
          <w:rFonts w:ascii="Times" w:hAnsi="Times"/>
          <w:b/>
          <w:bCs/>
          <w:noProof w:val="0"/>
          <w:sz w:val="26"/>
          <w:szCs w:val="26"/>
          <w:rtl/>
          <w:lang w:eastAsia="he-IL"/>
        </w:rPr>
        <w:t>נאשם 3</w:t>
      </w:r>
      <w:r w:rsidRPr="000259C4">
        <w:rPr>
          <w:rFonts w:ascii="Times" w:hAnsi="Times"/>
          <w:noProof w:val="0"/>
          <w:sz w:val="26"/>
          <w:szCs w:val="26"/>
          <w:rtl/>
          <w:lang w:eastAsia="he-IL"/>
        </w:rPr>
        <w:t>") ועם עד המדינה במתחם "יוחננוף" בעיר אשדוד. במפגש זה קשרו הנאשם, נאשם 3 ועד המדינה קשר לביצוע פשע, קרי להובלת נשק, בכך שנאשם 3 התבקש לנסוע יחד עם עד המדינה למקום שבו הוסלק האקדח בכביש 20, כמפורט באישום השלישי לעיל (להלן: "</w:t>
      </w:r>
      <w:r w:rsidRPr="000259C4">
        <w:rPr>
          <w:rFonts w:ascii="Times" w:hAnsi="Times"/>
          <w:b/>
          <w:bCs/>
          <w:noProof w:val="0"/>
          <w:sz w:val="26"/>
          <w:szCs w:val="26"/>
          <w:rtl/>
          <w:lang w:eastAsia="he-IL"/>
        </w:rPr>
        <w:t>מקום המסתור</w:t>
      </w:r>
      <w:r w:rsidRPr="000259C4">
        <w:rPr>
          <w:rFonts w:ascii="Times" w:hAnsi="Times"/>
          <w:noProof w:val="0"/>
          <w:sz w:val="26"/>
          <w:szCs w:val="26"/>
          <w:rtl/>
          <w:lang w:eastAsia="he-IL"/>
        </w:rPr>
        <w:t>"), ולהעביר את האקדח למקום אחר. מאחר שנאשם 3 אמר כי הוא מתכונן לשבת, נדחתה הובלת הנשק למוצאי שבת. במסגרת הקשר ולשם קידומו, במוצ"ש 8/9/12, בשעה 20:30 לערך, שוחחו הנאשם ונאשם 3 וקבעו להיפגש באשדוד. בשעה 21:17 לערך נסעו נאשם 3 ועד המדינה מאשדוד אל מקום המסתור ברכב מסוג שברולט השייך לנאשם 3 (להלן: "</w:t>
      </w:r>
      <w:r w:rsidRPr="000259C4">
        <w:rPr>
          <w:rFonts w:ascii="Times" w:hAnsi="Times"/>
          <w:b/>
          <w:bCs/>
          <w:noProof w:val="0"/>
          <w:sz w:val="26"/>
          <w:szCs w:val="26"/>
          <w:rtl/>
          <w:lang w:eastAsia="he-IL"/>
        </w:rPr>
        <w:t>רכב השברולט</w:t>
      </w:r>
      <w:r w:rsidRPr="000259C4">
        <w:rPr>
          <w:rFonts w:ascii="Times" w:hAnsi="Times"/>
          <w:noProof w:val="0"/>
          <w:sz w:val="26"/>
          <w:szCs w:val="26"/>
          <w:rtl/>
          <w:lang w:eastAsia="he-IL"/>
        </w:rPr>
        <w:t xml:space="preserve">"). סמוך לשעה 21:50 עצר נאשם 3 את רכב השברולט בצדי הדרך על כביש 20. עד המדינה ירד מהרכב אל מקום המסתור, הוציא את האקדח ואת המחסנית, ועלה לרכב השברולט. בשלב זה לא היה האקדח תקין, עובדה שלא הייתה ידועה לנאשמים. נאשם 3 ועד המדינה נסעו ברכב השברולט ממקום המסתור לאזור התעשייה בבאר טוביה, ושם הסליק עד המדינה את האקדח ואת המחסנית במקום מסתור אחר. </w:t>
      </w:r>
    </w:p>
    <w:p w14:paraId="6549999A" w14:textId="77777777" w:rsidR="00035899" w:rsidRPr="000259C4" w:rsidRDefault="000259C4">
      <w:pPr>
        <w:numPr>
          <w:ilvl w:val="0"/>
          <w:numId w:val="1"/>
        </w:numPr>
        <w:tabs>
          <w:tab w:val="num" w:pos="720"/>
        </w:tabs>
        <w:spacing w:after="200" w:line="360" w:lineRule="auto"/>
        <w:ind w:left="0" w:firstLine="0"/>
        <w:jc w:val="both"/>
        <w:rPr>
          <w:rFonts w:ascii="Times" w:hAnsi="Times"/>
          <w:noProof w:val="0"/>
          <w:sz w:val="26"/>
          <w:szCs w:val="26"/>
          <w:lang w:eastAsia="he-IL"/>
        </w:rPr>
      </w:pPr>
      <w:r w:rsidRPr="000259C4">
        <w:rPr>
          <w:rFonts w:ascii="Times" w:hAnsi="Times"/>
          <w:b/>
          <w:bCs/>
          <w:noProof w:val="0"/>
          <w:sz w:val="26"/>
          <w:szCs w:val="26"/>
          <w:rtl/>
          <w:lang w:eastAsia="he-IL"/>
        </w:rPr>
        <w:t>על פי האישום החמישי בכתב האישום המתוקן</w:t>
      </w:r>
      <w:r w:rsidRPr="000259C4">
        <w:rPr>
          <w:rFonts w:ascii="Times" w:hAnsi="Times"/>
          <w:noProof w:val="0"/>
          <w:sz w:val="26"/>
          <w:szCs w:val="26"/>
          <w:rtl/>
          <w:lang w:eastAsia="he-IL"/>
        </w:rPr>
        <w:t>, במסגרת הקשר מושא האישום השני לעיל, ולשם קידומו, בתאריך 9/9/12, בשעה 21:30 לערך, הגיעו הנאשם ועד המדינה ברכבו של הנאשם לאזור התעשייה בבאר טוביה, למקום שבו הוסלקו האקדח והמחסנית. עד המדינה ירד מהרכב ולקח את האקדח ואת המחסנית. הנאשם ועד המדינה נסעו ברכב, כשהם נושאים עמם את האקדח ואת המחסנית, למושב עוצם, שבו מתגורר דומראני, וזאת על מנת לירות בדומראני בכוונה לגרום למותו. הנאשם החנה את הרכב בתוך מושב עוצם אל מול ביתו של דומראני. הנאשם אמר לעד המדינה: "הלוואי והיה פה שלום", "תראה אין פה אף אחד חוץ מהטרקטורון של שלום". משהבינו כי דומראני אינו נמצא בבית, עזבו הנאשם ועד המדינה את מושב עוצם ונסעו לאשקלון. בהגיעם לאשקלון, ירד הנאשם מהרכב כשהאקדח ובו המחסנית בידיו, והטמין את האקדח בשטח חול.</w:t>
      </w:r>
    </w:p>
    <w:p w14:paraId="539691FE" w14:textId="77777777" w:rsidR="00035899" w:rsidRPr="000259C4" w:rsidRDefault="000259C4">
      <w:pPr>
        <w:numPr>
          <w:ilvl w:val="0"/>
          <w:numId w:val="1"/>
        </w:numPr>
        <w:tabs>
          <w:tab w:val="num" w:pos="720"/>
        </w:tabs>
        <w:spacing w:after="200" w:line="360" w:lineRule="auto"/>
        <w:ind w:left="0" w:firstLine="0"/>
        <w:jc w:val="both"/>
        <w:rPr>
          <w:rFonts w:ascii="Times" w:hAnsi="Times"/>
          <w:noProof w:val="0"/>
          <w:sz w:val="26"/>
          <w:szCs w:val="26"/>
          <w:lang w:eastAsia="he-IL"/>
        </w:rPr>
      </w:pPr>
      <w:r w:rsidRPr="000259C4">
        <w:rPr>
          <w:rFonts w:ascii="Times" w:hAnsi="Times"/>
          <w:b/>
          <w:bCs/>
          <w:noProof w:val="0"/>
          <w:sz w:val="26"/>
          <w:szCs w:val="26"/>
          <w:rtl/>
          <w:lang w:eastAsia="he-IL"/>
        </w:rPr>
        <w:t>על פי האישום השישי בכתב האישום המתוקן</w:t>
      </w:r>
      <w:r w:rsidRPr="000259C4">
        <w:rPr>
          <w:rFonts w:ascii="Times" w:hAnsi="Times"/>
          <w:noProof w:val="0"/>
          <w:sz w:val="26"/>
          <w:szCs w:val="26"/>
          <w:rtl/>
          <w:lang w:eastAsia="he-IL"/>
        </w:rPr>
        <w:t>, בתאריך 13/9/12, בשעה 17:00 לערך, שוחח הנאשם עם עד המדינה על אודות המשך קידומו של הקשר לרצוח את מומי ואת דומראני באמצעות הנשק הקיים ברשותם. בשיחה זו ציין הנאשם בפני עד המדינה כי אם היה לו אקדח הוא היה יוצא למהלך, באומרו: "הייתי מוציא אותו החוצה, הייתי לא יודע מה הייתי שם אותך באיזה פינה, מתקשר אליו מלכלכך עליו שייצא לא יודע מה שיבוא לפגישה". באותו מעמד סיכם הנאשם עם עד המדינה כי הם יגיעו למקום שבו הוסלק הנשק באשקלון (להלן: "</w:t>
      </w:r>
      <w:r w:rsidRPr="000259C4">
        <w:rPr>
          <w:rFonts w:ascii="Times" w:hAnsi="Times"/>
          <w:b/>
          <w:bCs/>
          <w:noProof w:val="0"/>
          <w:sz w:val="26"/>
          <w:szCs w:val="26"/>
          <w:rtl/>
          <w:lang w:eastAsia="he-IL"/>
        </w:rPr>
        <w:t>מקום המסתור</w:t>
      </w:r>
      <w:r w:rsidRPr="000259C4">
        <w:rPr>
          <w:rFonts w:ascii="Times" w:hAnsi="Times"/>
          <w:noProof w:val="0"/>
          <w:sz w:val="26"/>
          <w:szCs w:val="26"/>
          <w:rtl/>
          <w:lang w:eastAsia="he-IL"/>
        </w:rPr>
        <w:t xml:space="preserve"> </w:t>
      </w:r>
      <w:r w:rsidRPr="000259C4">
        <w:rPr>
          <w:rFonts w:ascii="Times" w:hAnsi="Times"/>
          <w:b/>
          <w:bCs/>
          <w:noProof w:val="0"/>
          <w:sz w:val="26"/>
          <w:szCs w:val="26"/>
          <w:rtl/>
          <w:lang w:eastAsia="he-IL"/>
        </w:rPr>
        <w:t>באשקלון</w:t>
      </w:r>
      <w:r w:rsidRPr="000259C4">
        <w:rPr>
          <w:rFonts w:ascii="Times" w:hAnsi="Times"/>
          <w:noProof w:val="0"/>
          <w:sz w:val="26"/>
          <w:szCs w:val="26"/>
          <w:rtl/>
          <w:lang w:eastAsia="he-IL"/>
        </w:rPr>
        <w:t>"), ישמנו את האקדח, ויוודאו כי האקדח תקין לפעולה. בהמשך לשיחה הנ"ל הורה הנאשם לעד המדינה להביא כוס של שמן לצורך שימון האקדח, ועד המדינה הביא מביתו שמן בבקבוק פלסטיק. בשעה 20:30 הגיעו הנאשם ועד המדינה ברכבו של הנאשם למקום המסתור באשקלון. הנאשם הוציא את האקדח ממקום המסתור באשקלון. הנאשם ועד המדינה נכנסו לעומק השטח הפתוח. הנאשם ועד המדינה שימנו את הנשק, והנאשם ביצע ניסוי ירי באקדח. האקדח לא ירה, ונמצא בלתי תקין. לאחר מכן, בשעה 22:55 לערך, נסעו הנאשם ועד המדינה לביתם של נאשם 2, מאור מגידיש (להלן: "</w:t>
      </w:r>
      <w:r w:rsidRPr="000259C4">
        <w:rPr>
          <w:rFonts w:ascii="Times" w:hAnsi="Times"/>
          <w:b/>
          <w:bCs/>
          <w:noProof w:val="0"/>
          <w:sz w:val="26"/>
          <w:szCs w:val="26"/>
          <w:rtl/>
          <w:lang w:eastAsia="he-IL"/>
        </w:rPr>
        <w:t>נאשם 2</w:t>
      </w:r>
      <w:r w:rsidRPr="000259C4">
        <w:rPr>
          <w:rFonts w:ascii="Times" w:hAnsi="Times"/>
          <w:noProof w:val="0"/>
          <w:sz w:val="26"/>
          <w:szCs w:val="26"/>
          <w:rtl/>
          <w:lang w:eastAsia="he-IL"/>
        </w:rPr>
        <w:t>") ושל דודו מגידיש באשדוד. בדרך לביתו של דודו מגידיש התקבלה שיחה טלפונית יזומה לטלפון של עד המדינה משוטר שהתחזה לסוחר אמל"ח המכונה "ראד" (להלן: "</w:t>
      </w:r>
      <w:r w:rsidRPr="000259C4">
        <w:rPr>
          <w:rFonts w:ascii="Times" w:hAnsi="Times"/>
          <w:b/>
          <w:bCs/>
          <w:noProof w:val="0"/>
          <w:sz w:val="26"/>
          <w:szCs w:val="26"/>
          <w:rtl/>
          <w:lang w:eastAsia="he-IL"/>
        </w:rPr>
        <w:t>ראד</w:t>
      </w:r>
      <w:r w:rsidRPr="000259C4">
        <w:rPr>
          <w:rFonts w:ascii="Times" w:hAnsi="Times"/>
          <w:noProof w:val="0"/>
          <w:sz w:val="26"/>
          <w:szCs w:val="26"/>
          <w:rtl/>
          <w:lang w:eastAsia="he-IL"/>
        </w:rPr>
        <w:t xml:space="preserve">"), בידיעתו של עד המדינה ובתיאום מראש עמו. הנאשם היה נוכח ברכב ושמע את השיחה. עד המדינה שוחח עם ראד על אודות הנשק וביקש ממנו שהות לאיסוף הכסף, ושלא ימכור את הנשק לאחר. הנאשם הורה לעד המדינה לומר לראד "שידבר איתך עוד שעה-שעתיים". עד המדינה עדכן את הסוכן כי "אני עכשיו נוסע לכיוון הכסף ולדבר ולארגן את הכסף, תן לי שעתיים". לאחר סיום השיחה הנ"ל ברר הנאשם עם עד המדינה האם ראד יוכל לתת לו גם רובה מסוג "קרבין". לאחר כעשרים דקות התקשר ראד שוב לטלפון הנייד של עד המדינה וביקש ממנו לרשום מספר טלפון על מנת להודיע לו את תשובתו. עד המדינה רשם את מספר הטלפון ושגה באחת הספרות. לאחר מכן, בהמשך לקשר ולשם קידומו, הגיעו הנאשם ועד המדינה לביתם של נאשם 2 ושל דודו מגידיש. הנאשם יידע את נאשם 2 ואת דודו מגידיש כי האקדח שיש בידו אינו תקין. נאשם 2 אמר בתגובה שיש לנקות את האקדח. דודו מגידיש אמר כי לא ייתכן שהאקדח אינו תקין, שכן ביצעו בו ירי 3 שבועות קודם לכן. הנאשם שאל את נאשם 2 ואת דודו מגידיש האם יתכן כי שימן את האקדח יתר על המידה, ודודו מגידיש השיב לו שייתכן. דודו מגידיש הציע לנאשם כי יחזיר לו את האקדח וכי הוא יספק לו אקדח אחר תחתיו. בהמשך, הנחו נאשם 2 ודודו מגידיש את הנאשם בדבר הטיפול באקדח. לבסוף סוכם כי הנאשם יבדוק את האקדח שוב לאחר שינקה אותו. במהלך השיחה הנ"ל קשרו הנאשם, נאשם 2, דודו מגידיש ועד המדינה קשר לביצוע פשע, קרי לרכישת רובה ארוך, וזאת מאחר שהנאשם ודודו מגידיש סברו כי הואיל ודומראני מכותר באנשים, אפשרות הפגיעה בו תיתכן רק באמצעות נשק המתאים לירי ממרחק. במסגרת הקשר הנ"ל סיכמו הנאשם ודודו מגידיש כי יבצעו רכישה של רובה צלפים מבחור ערבי, בתיווך של עד המדינה. הנאשם הציע לדודו מגידיש שישלח מישהו ("נציג שלך שיראה שיש בשר"). נאשם 2 שלל אפשרות ללכת לאזור המשולש בעצמו, אך הציע לדודו מגידיש לשלוח בחור ערבי מטעמם. במסגרת הקשר הנ"ל, ביום 14/9/12, שוחחו הנאשם ועד המדינה טלפונית בעניין התשובה שיחזירו לראד. הנאשם הנחה את עד המדינה לומר לראד "שישמור את זה, סגור שלוקחים את זה". ביום 15/9/12, במהלך מפגש בין עד המדינה לנאשם, מסר הנאשם לעד המדינה את מספר הטלפון של דודו מגידיש, על מנת שיתאם עמו את עסקת האמל"ח. בהמשך לקשר הנ"ל ולשם קידומו, בתאריך 16/9/12, בשעה 12:35 לערך, התקשר עד המדינה לדודו מגידיש ושאל אותו איזו תשובה לתת לסוחר הנשק. דודו מגידיש הנחה את עד המדינה לומר לסוחר הנשק כי "ביום רביעי חמישי נהיה אצלו". ביום 19/9/12, בשעה 11:56 לערך, התקשר עד המדינה לדודו מגידיש ואמר לו כי הסוחר יגיע עם הנשק לאזור שלהם, וביקש מדודו מגידיש לדעת מתי יפגשו אותו. דודו מגידיש אמר לו שהוא יבדוק את העניין. בשעה 13:45 התקשר דודו מגידיש לעד המדינה וחזר בו מעסקת הנשק. </w:t>
      </w:r>
    </w:p>
    <w:p w14:paraId="526BB070" w14:textId="77777777" w:rsidR="00035899" w:rsidRPr="000259C4" w:rsidRDefault="000259C4">
      <w:pPr>
        <w:numPr>
          <w:ilvl w:val="0"/>
          <w:numId w:val="1"/>
        </w:numPr>
        <w:tabs>
          <w:tab w:val="num" w:pos="720"/>
        </w:tabs>
        <w:spacing w:after="200" w:line="360" w:lineRule="auto"/>
        <w:ind w:left="0" w:firstLine="0"/>
        <w:jc w:val="both"/>
        <w:rPr>
          <w:rFonts w:ascii="Times" w:hAnsi="Times"/>
          <w:noProof w:val="0"/>
          <w:sz w:val="26"/>
          <w:szCs w:val="26"/>
          <w:rtl/>
          <w:lang w:eastAsia="he-IL"/>
        </w:rPr>
      </w:pPr>
      <w:r w:rsidRPr="000259C4">
        <w:rPr>
          <w:rFonts w:ascii="Times" w:hAnsi="Times"/>
          <w:b/>
          <w:bCs/>
          <w:noProof w:val="0"/>
          <w:sz w:val="26"/>
          <w:szCs w:val="26"/>
          <w:rtl/>
          <w:lang w:eastAsia="he-IL"/>
        </w:rPr>
        <w:t>על פי האישום השביעי בכתב האישום המתוקן</w:t>
      </w:r>
      <w:r w:rsidRPr="000259C4">
        <w:rPr>
          <w:rFonts w:ascii="Times" w:hAnsi="Times"/>
          <w:noProof w:val="0"/>
          <w:sz w:val="26"/>
          <w:szCs w:val="26"/>
          <w:rtl/>
          <w:lang w:eastAsia="he-IL"/>
        </w:rPr>
        <w:t xml:space="preserve">, במסגרת הקשר הנ"ל ולשם קידומו, בתאריך 18/9/12, בשעה 19:55 לערך, אסף הנאשם את עד המדינה ברכבו באשדוד. הנאשם השאיר את מכשיר הטלפון הנייד שלו ברכב והורה לעד המדינה לעשות כך גם כן. הנאשם אמר לעד המדינה כי היום הם ייקחו את האקדח ממקום המסתור באשקלון, יקנו סולר, וישמנו את האקדח. לפי התכנון, עד המדינה ייקח את האקדח לבית שלו בקרית מלאכי וינקה אותו, ובהמשך יצאו השניים לחפש את מומי באשקלון ובמושב עוצם ויפגעו בו, כפי שתכנן הנאשם באישומים הנ"ל. בשעה 21:19 הגיעו הנאשם ועד המדינה לתחנת דלק באשקלון ומילאו סולר בבקבוק. לאחר מכן נפגשו הנאשם, נאשם 3 ועד המדינה בשכונה של נאשם 3 באשדוד. הנאשם ונאשם 3 קשרו קשר לביצוע פשע, קרי לשאת ולהוביל אמל"ח מאשקלון לקריית מלאכי. במסגרת הקשר ולשם קידומו, סוכם כי נאשם 3 יסיע את עד המדינה ממקום המסתור באשקלון אל ביתו בקריית מלאכי. הנאשם הסביר לנאשם 3 כי הוא חושש שהמשטרה עוקבת אחריו, וכדי למנוע מצב שבו המשטרה תתפוס אותו עם הנשק ברכב, הוא מעדיף שנאשם 3 יסיע את עד המדינה ויוביל עמו את הנשק. במסגרת הקשר ולשם קידומו, נסעו הנאשם ועד המדינה ברכבו של הנאשם, ונאשם 3 נסע ברכבו אחריהם מאשדוד לאשקלון. כאשר הגיעו הנאשם, נאשם 3 ועד המדינה לאשקלון, סמוך למקום שבו הוסלק הנשק, הבחין הנאשם בנוכחות משטרתית במקום. הנאשם, נאשם 3 ועד המדינה סובבו מסביב למיקום הסלקת הנשק, והנאשם 1 סבר כי המשטרה איתרה את הנשק. לאחר מכן חזרו הנאשם, נאשם 3 ועד המדינה לאשדוד. </w:t>
      </w:r>
    </w:p>
    <w:p w14:paraId="085C9980" w14:textId="77777777" w:rsidR="00035899" w:rsidRPr="000259C4" w:rsidRDefault="000259C4">
      <w:pPr>
        <w:keepNext/>
        <w:spacing w:before="240" w:after="60" w:line="360" w:lineRule="auto"/>
        <w:outlineLvl w:val="1"/>
        <w:rPr>
          <w:rFonts w:ascii="Helvetica" w:hAnsi="Helvetica" w:cs="FrankRuehl"/>
          <w:b/>
          <w:noProof w:val="0"/>
          <w:spacing w:val="20"/>
          <w:sz w:val="32"/>
          <w:szCs w:val="32"/>
          <w:rtl/>
          <w:lang w:eastAsia="he-IL"/>
        </w:rPr>
      </w:pPr>
      <w:r w:rsidRPr="000259C4">
        <w:rPr>
          <w:rFonts w:ascii="Helvetica" w:hAnsi="Helvetica" w:cs="FrankRuehl"/>
          <w:b/>
          <w:noProof w:val="0"/>
          <w:spacing w:val="20"/>
          <w:sz w:val="32"/>
          <w:szCs w:val="32"/>
          <w:rtl/>
          <w:lang w:eastAsia="he-IL"/>
        </w:rPr>
        <w:t>הראיות לעונש</w:t>
      </w:r>
    </w:p>
    <w:p w14:paraId="63796AB0" w14:textId="77777777" w:rsidR="00035899" w:rsidRDefault="000259C4">
      <w:pPr>
        <w:numPr>
          <w:ilvl w:val="0"/>
          <w:numId w:val="1"/>
        </w:numPr>
        <w:tabs>
          <w:tab w:val="num" w:pos="720"/>
        </w:tabs>
        <w:spacing w:after="200" w:line="360" w:lineRule="auto"/>
        <w:ind w:left="0" w:firstLine="0"/>
        <w:jc w:val="both"/>
        <w:rPr>
          <w:rFonts w:ascii="Times" w:hAnsi="Times"/>
          <w:noProof w:val="0"/>
          <w:sz w:val="26"/>
          <w:szCs w:val="26"/>
          <w:lang w:eastAsia="he-IL"/>
        </w:rPr>
      </w:pPr>
      <w:r>
        <w:rPr>
          <w:rFonts w:ascii="Times" w:hAnsi="Times"/>
          <w:noProof w:val="0"/>
          <w:sz w:val="26"/>
          <w:szCs w:val="26"/>
          <w:rtl/>
          <w:lang w:eastAsia="he-IL"/>
        </w:rPr>
        <w:t>המאשימה הגישה את הרישום הפלילי של הנאשם וגזר דין בעניינו, שמהם עולה כי הנאשם הורשע בעבירה של הריגה, והוא ריצה בגינה עונש של 10 שנות מאסר בפועל. בנוסף על כך, בשנים 2001 ו-2003 הורשע הנאשם בעבירות אלימות נוספות.</w:t>
      </w:r>
    </w:p>
    <w:p w14:paraId="43FEBBB4" w14:textId="77777777" w:rsidR="00035899" w:rsidRDefault="000259C4">
      <w:pPr>
        <w:numPr>
          <w:ilvl w:val="0"/>
          <w:numId w:val="1"/>
        </w:numPr>
        <w:tabs>
          <w:tab w:val="num" w:pos="720"/>
        </w:tabs>
        <w:spacing w:after="200" w:line="360" w:lineRule="auto"/>
        <w:ind w:left="0" w:firstLine="0"/>
        <w:jc w:val="both"/>
        <w:rPr>
          <w:rFonts w:ascii="Times" w:hAnsi="Times"/>
          <w:noProof w:val="0"/>
          <w:sz w:val="26"/>
          <w:szCs w:val="26"/>
          <w:lang w:eastAsia="he-IL"/>
        </w:rPr>
      </w:pPr>
      <w:r>
        <w:rPr>
          <w:rFonts w:ascii="Times" w:hAnsi="Times"/>
          <w:noProof w:val="0"/>
          <w:sz w:val="26"/>
          <w:szCs w:val="26"/>
          <w:rtl/>
          <w:lang w:eastAsia="he-IL"/>
        </w:rPr>
        <w:t>מטעם ההגנה הוגשו מכתב שכתבה אשת הנאשם ואישור רפואי הנוגע למחלת ניוון שרירים שממנה סובל בנו של הנאשם.</w:t>
      </w:r>
    </w:p>
    <w:p w14:paraId="1E73B319" w14:textId="77777777" w:rsidR="00035899" w:rsidRDefault="000259C4">
      <w:pPr>
        <w:keepNext/>
        <w:spacing w:before="240" w:after="60" w:line="360" w:lineRule="auto"/>
        <w:outlineLvl w:val="1"/>
        <w:rPr>
          <w:rFonts w:ascii="Helvetica" w:hAnsi="Helvetica" w:cs="FrankRuehl"/>
          <w:b/>
          <w:noProof w:val="0"/>
          <w:spacing w:val="20"/>
          <w:sz w:val="32"/>
          <w:szCs w:val="32"/>
          <w:u w:val="single"/>
          <w:rtl/>
          <w:lang w:eastAsia="he-IL"/>
        </w:rPr>
      </w:pPr>
      <w:r>
        <w:rPr>
          <w:rFonts w:ascii="Helvetica" w:hAnsi="Helvetica" w:cs="FrankRuehl"/>
          <w:b/>
          <w:noProof w:val="0"/>
          <w:spacing w:val="20"/>
          <w:sz w:val="32"/>
          <w:szCs w:val="32"/>
          <w:u w:val="single"/>
          <w:rtl/>
          <w:lang w:eastAsia="he-IL"/>
        </w:rPr>
        <w:t>עיקרי טענות הצדדים</w:t>
      </w:r>
    </w:p>
    <w:p w14:paraId="57AA7D3A" w14:textId="77777777" w:rsidR="00035899" w:rsidRDefault="000259C4">
      <w:pPr>
        <w:numPr>
          <w:ilvl w:val="0"/>
          <w:numId w:val="1"/>
        </w:numPr>
        <w:tabs>
          <w:tab w:val="num" w:pos="720"/>
        </w:tabs>
        <w:spacing w:after="200" w:line="360" w:lineRule="auto"/>
        <w:ind w:left="0" w:firstLine="0"/>
        <w:jc w:val="both"/>
        <w:rPr>
          <w:rFonts w:ascii="Times" w:hAnsi="Times"/>
          <w:noProof w:val="0"/>
          <w:sz w:val="26"/>
          <w:szCs w:val="26"/>
          <w:lang w:eastAsia="he-IL"/>
        </w:rPr>
      </w:pPr>
      <w:r>
        <w:rPr>
          <w:rFonts w:ascii="Times" w:hAnsi="Times"/>
          <w:noProof w:val="0"/>
          <w:sz w:val="26"/>
          <w:szCs w:val="26"/>
          <w:rtl/>
          <w:lang w:eastAsia="he-IL"/>
        </w:rPr>
        <w:t>על פי הסדר הטיעון שאליו הגיעו הצדדים, הוסכם כי הנאשם יודה ויורשע בעובדות כתב האישום המתוקן; כי לגבי האישום השלישי ולגבי האישום החמישי לא תעמוד המאשימה על הוכחת העבירה של ניסיון לרצח (הגם שהעובדות נותרו על כנן) ותסתפק בהרשעה בעבירות האחרות הנזכרות לעיל, מושא האישום השלישי והאישום החמישי; וכי המאשימה תגביל את עתירתה לעונש שלא יעלה על 7.5 שנות מאסר לריצוי בפועל וכן תטען לרכיבים עונשיים נוספים (מאסר על תנאי, קנס).</w:t>
      </w:r>
    </w:p>
    <w:p w14:paraId="42930E49" w14:textId="77777777" w:rsidR="00035899" w:rsidRDefault="000259C4">
      <w:pPr>
        <w:numPr>
          <w:ilvl w:val="0"/>
          <w:numId w:val="1"/>
        </w:numPr>
        <w:tabs>
          <w:tab w:val="num" w:pos="720"/>
        </w:tabs>
        <w:spacing w:after="200" w:line="360" w:lineRule="auto"/>
        <w:ind w:left="0" w:firstLine="0"/>
        <w:jc w:val="both"/>
        <w:rPr>
          <w:rFonts w:ascii="Times" w:hAnsi="Times"/>
          <w:noProof w:val="0"/>
          <w:sz w:val="26"/>
          <w:szCs w:val="26"/>
          <w:lang w:eastAsia="he-IL"/>
        </w:rPr>
      </w:pPr>
      <w:r>
        <w:rPr>
          <w:rFonts w:ascii="Times" w:hAnsi="Times"/>
          <w:b/>
          <w:bCs/>
          <w:noProof w:val="0"/>
          <w:sz w:val="26"/>
          <w:szCs w:val="26"/>
          <w:rtl/>
          <w:lang w:eastAsia="he-IL"/>
        </w:rPr>
        <w:t>ב"כ המאשימה</w:t>
      </w:r>
      <w:r>
        <w:rPr>
          <w:rFonts w:ascii="Times" w:hAnsi="Times"/>
          <w:noProof w:val="0"/>
          <w:sz w:val="26"/>
          <w:szCs w:val="26"/>
          <w:rtl/>
          <w:lang w:eastAsia="he-IL"/>
        </w:rPr>
        <w:t xml:space="preserve"> עמדה על השיקולים שעמדו בבסיס הסכמתה להגיע להסדר הטיעון: שיקולי יעילות, עומס וחיסכון בזמן שיפוטי; האינטרס הציבורי שבהודאת הנאשם במעשים המיוחסים לו, חרטה ולקיחת אחריות מצדו; וקושי ראייתי, בקשר לתיזה המשפטית שהיא תומכת בה, שלפיה ההתנהגות המתוארת באישומים השלישי והחמישי מהווה עבירה של ניסיון לרצח. ב"כ המאשימה הסבירה כי אף שהיא עומדת על התיזה המשפטית האמורה, וכך נותרו העובדות בכתב האישום המתוקן, היא עומדת מאחורי הסדר הטיעון, שלפיו היא לא תטען במקרה זה לעבירות של ניסיון לרצח. ב"כ המאשימה הדגישה כי אלמלא מכלול שיקולים אלו ובהעדר הסדר טיעון, היא הייתה עותרת למתחמי ענישה ולתוצאה עונשית החמורים בהרבה מהעונש שלו היא עותרת.</w:t>
      </w:r>
    </w:p>
    <w:p w14:paraId="1E97D5CC" w14:textId="77777777" w:rsidR="00035899" w:rsidRDefault="000259C4">
      <w:pPr>
        <w:numPr>
          <w:ilvl w:val="0"/>
          <w:numId w:val="1"/>
        </w:numPr>
        <w:tabs>
          <w:tab w:val="num" w:pos="720"/>
        </w:tabs>
        <w:spacing w:after="200" w:line="360" w:lineRule="auto"/>
        <w:ind w:left="0" w:firstLine="0"/>
        <w:jc w:val="both"/>
        <w:rPr>
          <w:rFonts w:ascii="Times" w:hAnsi="Times"/>
          <w:noProof w:val="0"/>
          <w:sz w:val="26"/>
          <w:szCs w:val="26"/>
          <w:lang w:eastAsia="he-IL"/>
        </w:rPr>
      </w:pPr>
      <w:r>
        <w:rPr>
          <w:rFonts w:ascii="Times" w:hAnsi="Times"/>
          <w:noProof w:val="0"/>
          <w:sz w:val="26"/>
          <w:szCs w:val="26"/>
          <w:rtl/>
          <w:lang w:eastAsia="he-IL"/>
        </w:rPr>
        <w:t>כאמור, המאשימה עתרה להטלת 7.5 שנות מאסר לריצוי בפועל, וכמו כן למאסר על תנאי ולקנס לפי שיקול דעת בית המשפט.</w:t>
      </w:r>
    </w:p>
    <w:p w14:paraId="41F1AD54" w14:textId="77777777" w:rsidR="00035899" w:rsidRDefault="000259C4">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בטיעוניה עמדה ב"כ המאשימה על כך שכתב האישום מגולל סיפור של התארגנות עבריינית ל"חיסול חשבונות" בעולם התחתון. הנאשם קשר עם אחרים קשר לצורך רציחתם של מומי קסנטיני, של שלום דומראני ושל אחרים הקשורים בארגונו של דומראני. לשם כך הצטייד הנאשם באמל"ח וביצע מהלכים של ממש לקראת הוצאת התוכניות הרצחניות מן הכוח אל הפועל. הנאשם אף עשה שימוש באמל"ח, קרי זרק רימון רסס, כמתואר באישום הראשון, במקום שבו נכחו חפים מפשע. </w:t>
      </w:r>
    </w:p>
    <w:p w14:paraId="6F934E86" w14:textId="77777777" w:rsidR="00035899" w:rsidRDefault="000259C4">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לגבי האישום הראשון הוטעם כי אסון כבד נמנע אך בשל העובדה כי הרימון לא התפוצץ בשל תקלה ברימון עצמו. עוד הודגש כי הגם שהמאשימה ויתרה על טענתה שמעשי הנאשם באישום השלישי מתגבשים לכדי עבירה של ניסיון לרצח, הרי אם מעשיו של הנאשם לא היו מופסקים בשל "תקלות" (באישום השלישי, על ידי משטרת ישראל), היה בהם כדי לגרום לרצח של מומי קסנטיני. </w:t>
      </w:r>
    </w:p>
    <w:p w14:paraId="013850D0" w14:textId="77777777" w:rsidR="00035899" w:rsidRDefault="000259C4">
      <w:pPr>
        <w:spacing w:line="360" w:lineRule="auto"/>
        <w:jc w:val="both"/>
        <w:rPr>
          <w:rFonts w:ascii="Times" w:hAnsi="Times"/>
          <w:noProof w:val="0"/>
          <w:sz w:val="26"/>
          <w:szCs w:val="26"/>
          <w:rtl/>
          <w:lang w:eastAsia="he-IL"/>
        </w:rPr>
      </w:pPr>
      <w:r>
        <w:rPr>
          <w:rFonts w:ascii="Times" w:hAnsi="Times"/>
          <w:noProof w:val="0"/>
          <w:sz w:val="26"/>
          <w:szCs w:val="26"/>
          <w:rtl/>
          <w:lang w:eastAsia="he-IL"/>
        </w:rPr>
        <w:t>ב"כ המאשימה ציינה כי הנאשם פעל בצורה עבריינית כאילו לית דין ולית דיין. הנאשם ראה באמל"ח ובשימוש בו דרך לפתרון סכסוכים. הוא הצטייד באמל"ח, ושינע אותו ממקום למקום. הנאשם לא חש מורא, אף כאשר הגיעו שוטרים לבת-ים (כמתואר באישום השלישי). גם כאשר הרפה הנאשם מהרעיון של ביצוע הרצח של מומי באותו היום, הוא לא זנח את תכניתו הפלילית.</w:t>
      </w:r>
    </w:p>
    <w:p w14:paraId="6880DEDA" w14:textId="77777777" w:rsidR="00035899" w:rsidRDefault="000259C4">
      <w:pPr>
        <w:spacing w:line="360" w:lineRule="auto"/>
        <w:jc w:val="both"/>
        <w:rPr>
          <w:rFonts w:ascii="Times" w:hAnsi="Times"/>
          <w:noProof w:val="0"/>
          <w:sz w:val="26"/>
          <w:szCs w:val="26"/>
          <w:rtl/>
          <w:lang w:eastAsia="he-IL"/>
        </w:rPr>
      </w:pPr>
      <w:r>
        <w:rPr>
          <w:rFonts w:ascii="Times" w:hAnsi="Times"/>
          <w:noProof w:val="0"/>
          <w:sz w:val="26"/>
          <w:szCs w:val="26"/>
          <w:rtl/>
          <w:lang w:eastAsia="he-IL"/>
        </w:rPr>
        <w:t>הודגש כי הנאשם פעל בנחישות, בעזות מצח, בתחכום וביוזמה פלילית. הוא לא נמנע משימוש באמל"ח מכל סוג שהוא: רימון רסס, אקדח ברטה ומחסנית, רובה צלפים וכו'. לא הייתה מבחינתו של הנאשם מניעה לבצע רצח של אדם בדם קר, לאור היום. כל אלו מלמדים על המסוכנות מן הנאשם אשר חמוש באמצעי לחימה שונים ובנחישות להמית את אויביו. העבירות החוזרות ונשנות ממחישות את נחישות הנאשם ואת עקביותו בהוצאת התוכניות הרצחניות מן הכוח אל הפועל.</w:t>
      </w:r>
    </w:p>
    <w:p w14:paraId="32F2403E" w14:textId="77777777" w:rsidR="00035899" w:rsidRDefault="000259C4">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הנאשם פגע בערך העליון של קדושת החיים ושל שלמות הגוף. העובדה שבפועל לא אירע נזק מפעולות הנאשם, אינה יכולה להיזקף לזכות הנאשם, שכן אלו אינם דברים שאירעו מרצונו של הנאשם, אלא מדובר בתקלות אשר שיבשו את תוכניותיו של הנאשם. </w:t>
      </w:r>
    </w:p>
    <w:p w14:paraId="129750CF" w14:textId="77777777" w:rsidR="00035899" w:rsidRDefault="000259C4">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הודגש כי על גורמי אכיפת החוק, על רשויות התביעה ועל בתי המשפט, לתרום תרומתם למלחמה בתופעה של החזקת אמצעי לחימה ושל חיסול חשבונות בעולם התחתון, שכתוצאה ממנה נקלעים גם חפים מפשע לקו האש. </w:t>
      </w:r>
    </w:p>
    <w:p w14:paraId="5203D736" w14:textId="77777777" w:rsidR="00035899" w:rsidRDefault="000259C4">
      <w:pPr>
        <w:spacing w:line="360" w:lineRule="auto"/>
        <w:jc w:val="both"/>
        <w:rPr>
          <w:rFonts w:ascii="Times" w:hAnsi="Times"/>
          <w:noProof w:val="0"/>
          <w:sz w:val="26"/>
          <w:szCs w:val="26"/>
          <w:rtl/>
          <w:lang w:eastAsia="he-IL"/>
        </w:rPr>
      </w:pPr>
      <w:r>
        <w:rPr>
          <w:rFonts w:ascii="Times" w:hAnsi="Times"/>
          <w:noProof w:val="0"/>
          <w:sz w:val="26"/>
          <w:szCs w:val="26"/>
          <w:rtl/>
          <w:lang w:eastAsia="he-IL"/>
        </w:rPr>
        <w:t>בהקשר לאישום הראשון הפנתה ב"כ המאשימה ל</w:t>
      </w:r>
      <w:hyperlink r:id="rId32" w:history="1">
        <w:r w:rsidRPr="000259C4">
          <w:rPr>
            <w:rFonts w:ascii="Times" w:hAnsi="Times"/>
            <w:noProof w:val="0"/>
            <w:color w:val="0000FF"/>
            <w:sz w:val="26"/>
            <w:szCs w:val="26"/>
            <w:u w:val="single"/>
            <w:rtl/>
            <w:lang w:eastAsia="he-IL"/>
          </w:rPr>
          <w:t>תפ"ח (ב"ש) 1078/08</w:t>
        </w:r>
      </w:hyperlink>
      <w:r>
        <w:rPr>
          <w:rFonts w:ascii="Times" w:hAnsi="Times"/>
          <w:noProof w:val="0"/>
          <w:sz w:val="26"/>
          <w:szCs w:val="26"/>
          <w:rtl/>
          <w:lang w:eastAsia="he-IL"/>
        </w:rPr>
        <w:t xml:space="preserve"> </w:t>
      </w:r>
      <w:r>
        <w:rPr>
          <w:rFonts w:ascii="Times" w:hAnsi="Times"/>
          <w:b/>
          <w:bCs/>
          <w:noProof w:val="0"/>
          <w:sz w:val="26"/>
          <w:szCs w:val="26"/>
          <w:rtl/>
          <w:lang w:eastAsia="he-IL"/>
        </w:rPr>
        <w:t>מדינת ישראל נ' זגורי</w:t>
      </w:r>
      <w:r>
        <w:rPr>
          <w:rFonts w:ascii="Times" w:hAnsi="Times"/>
          <w:noProof w:val="0"/>
          <w:sz w:val="26"/>
          <w:szCs w:val="26"/>
          <w:rtl/>
          <w:lang w:eastAsia="he-IL"/>
        </w:rPr>
        <w:t xml:space="preserve"> ול</w:t>
      </w:r>
      <w:hyperlink r:id="rId33" w:history="1">
        <w:r w:rsidRPr="000259C4">
          <w:rPr>
            <w:rFonts w:ascii="Times" w:hAnsi="Times"/>
            <w:noProof w:val="0"/>
            <w:color w:val="0000FF"/>
            <w:sz w:val="26"/>
            <w:szCs w:val="26"/>
            <w:u w:val="single"/>
            <w:rtl/>
            <w:lang w:eastAsia="he-IL"/>
          </w:rPr>
          <w:t>ע"פ 1361/10</w:t>
        </w:r>
      </w:hyperlink>
      <w:r>
        <w:rPr>
          <w:rFonts w:ascii="Times" w:hAnsi="Times"/>
          <w:noProof w:val="0"/>
          <w:sz w:val="26"/>
          <w:szCs w:val="26"/>
          <w:rtl/>
          <w:lang w:eastAsia="he-IL"/>
        </w:rPr>
        <w:t xml:space="preserve"> </w:t>
      </w:r>
      <w:r>
        <w:rPr>
          <w:rFonts w:ascii="Times" w:hAnsi="Times"/>
          <w:b/>
          <w:bCs/>
          <w:noProof w:val="0"/>
          <w:sz w:val="26"/>
          <w:szCs w:val="26"/>
          <w:rtl/>
          <w:lang w:eastAsia="he-IL"/>
        </w:rPr>
        <w:t>מדינת ישראל נ' זגורי</w:t>
      </w:r>
      <w:r>
        <w:rPr>
          <w:rFonts w:ascii="Times" w:hAnsi="Times"/>
          <w:noProof w:val="0"/>
          <w:sz w:val="26"/>
          <w:szCs w:val="26"/>
          <w:rtl/>
          <w:lang w:eastAsia="he-IL"/>
        </w:rPr>
        <w:t>, בעניינו של נאשם 2 שם (להלן: "</w:t>
      </w:r>
      <w:r>
        <w:rPr>
          <w:rFonts w:ascii="Times" w:hAnsi="Times"/>
          <w:b/>
          <w:bCs/>
          <w:noProof w:val="0"/>
          <w:sz w:val="26"/>
          <w:szCs w:val="26"/>
          <w:rtl/>
          <w:lang w:eastAsia="he-IL"/>
        </w:rPr>
        <w:t>עניינו של</w:t>
      </w:r>
      <w:r>
        <w:rPr>
          <w:rFonts w:ascii="Times" w:hAnsi="Times"/>
          <w:noProof w:val="0"/>
          <w:sz w:val="26"/>
          <w:szCs w:val="26"/>
          <w:rtl/>
          <w:lang w:eastAsia="he-IL"/>
        </w:rPr>
        <w:t xml:space="preserve"> </w:t>
      </w:r>
      <w:r>
        <w:rPr>
          <w:rFonts w:ascii="Times" w:hAnsi="Times"/>
          <w:b/>
          <w:bCs/>
          <w:noProof w:val="0"/>
          <w:sz w:val="26"/>
          <w:szCs w:val="26"/>
          <w:rtl/>
          <w:lang w:eastAsia="he-IL"/>
        </w:rPr>
        <w:t>בוחבוט</w:t>
      </w:r>
      <w:r>
        <w:rPr>
          <w:rFonts w:ascii="Times" w:hAnsi="Times"/>
          <w:noProof w:val="0"/>
          <w:sz w:val="26"/>
          <w:szCs w:val="26"/>
          <w:rtl/>
          <w:lang w:eastAsia="he-IL"/>
        </w:rPr>
        <w:t xml:space="preserve">"), אשר שימש נהג מילוט באירוע של השלכת רימון רסס לעבר חצר מגורים ואשר הורשע בעבירות של קשירת קשר לפשע, ניסיון להרוס נכס בחומר נפץ, היזק בזדון, היזק לבעל חיים והובלת נשק. בית המשפט המחוזי גזר בעניינו של </w:t>
      </w:r>
      <w:r>
        <w:rPr>
          <w:rFonts w:ascii="Times" w:hAnsi="Times"/>
          <w:b/>
          <w:bCs/>
          <w:noProof w:val="0"/>
          <w:sz w:val="26"/>
          <w:szCs w:val="26"/>
          <w:rtl/>
          <w:lang w:eastAsia="he-IL"/>
        </w:rPr>
        <w:t>בוחבוט</w:t>
      </w:r>
      <w:r>
        <w:rPr>
          <w:rFonts w:ascii="Times" w:hAnsi="Times"/>
          <w:noProof w:val="0"/>
          <w:sz w:val="26"/>
          <w:szCs w:val="26"/>
          <w:rtl/>
          <w:lang w:eastAsia="he-IL"/>
        </w:rPr>
        <w:t xml:space="preserve"> עונש מאסר בפועל של 4.5 שנים, ובית המשפט העליון הפחית 8 חודשים מעונש זה עקב מחדלי חקירה. ב"כ המאשימה הטעימה כי הנסיבות במקרה דנן חמורות יותר מעניינו של </w:t>
      </w:r>
      <w:r>
        <w:rPr>
          <w:rFonts w:ascii="Times" w:hAnsi="Times"/>
          <w:b/>
          <w:bCs/>
          <w:noProof w:val="0"/>
          <w:sz w:val="26"/>
          <w:szCs w:val="26"/>
          <w:rtl/>
          <w:lang w:eastAsia="he-IL"/>
        </w:rPr>
        <w:t>בוחבוט</w:t>
      </w:r>
      <w:r>
        <w:rPr>
          <w:rFonts w:ascii="Times" w:hAnsi="Times"/>
          <w:noProof w:val="0"/>
          <w:sz w:val="26"/>
          <w:szCs w:val="26"/>
          <w:rtl/>
          <w:lang w:eastAsia="he-IL"/>
        </w:rPr>
        <w:t>, הן מכיוון שהנאשם במקרה דנן פתח, בעזות מצח, את החלון והשליך את הרימון פנימה, הן נוכח עברו הפלילי המכביד של הנאשם, ובשים לב לריבוי עבירות האמל"ח המיוחסות לנאשם במקרה דנן.</w:t>
      </w:r>
    </w:p>
    <w:p w14:paraId="78640D6D" w14:textId="77777777" w:rsidR="00035899" w:rsidRDefault="000259C4">
      <w:pPr>
        <w:spacing w:line="360" w:lineRule="auto"/>
        <w:jc w:val="both"/>
        <w:rPr>
          <w:rFonts w:ascii="Times" w:hAnsi="Times"/>
          <w:noProof w:val="0"/>
          <w:sz w:val="26"/>
          <w:szCs w:val="26"/>
          <w:rtl/>
          <w:lang w:eastAsia="he-IL"/>
        </w:rPr>
      </w:pPr>
      <w:r>
        <w:rPr>
          <w:rFonts w:ascii="Times" w:hAnsi="Times"/>
          <w:noProof w:val="0"/>
          <w:sz w:val="26"/>
          <w:szCs w:val="26"/>
          <w:rtl/>
          <w:lang w:eastAsia="he-IL"/>
        </w:rPr>
        <w:t>בהקשר לאישום השישי, המתאר קשירת קשר עם דודו מגידיש לביצוע עסקה של רכישת רובה צלפים, הציגה ב"כ המאשימה את גזר הדין שניתן בעניינו של דודו מגידיש ב</w:t>
      </w:r>
      <w:hyperlink r:id="rId34" w:history="1">
        <w:r w:rsidRPr="000259C4">
          <w:rPr>
            <w:rFonts w:ascii="Times" w:hAnsi="Times"/>
            <w:noProof w:val="0"/>
            <w:color w:val="0000FF"/>
            <w:sz w:val="26"/>
            <w:szCs w:val="26"/>
            <w:u w:val="single"/>
            <w:rtl/>
            <w:lang w:eastAsia="he-IL"/>
          </w:rPr>
          <w:t>תפ"ח 12866-10-12</w:t>
        </w:r>
      </w:hyperlink>
      <w:r>
        <w:rPr>
          <w:rFonts w:ascii="Times" w:hAnsi="Times"/>
          <w:noProof w:val="0"/>
          <w:sz w:val="26"/>
          <w:szCs w:val="26"/>
          <w:rtl/>
          <w:lang w:eastAsia="he-IL"/>
        </w:rPr>
        <w:t xml:space="preserve"> </w:t>
      </w:r>
      <w:r>
        <w:rPr>
          <w:rFonts w:ascii="Times" w:hAnsi="Times"/>
          <w:b/>
          <w:bCs/>
          <w:noProof w:val="0"/>
          <w:sz w:val="26"/>
          <w:szCs w:val="26"/>
          <w:rtl/>
          <w:lang w:eastAsia="he-IL"/>
        </w:rPr>
        <w:t>מדינת ישראל נ' מגידיש</w:t>
      </w:r>
      <w:r>
        <w:rPr>
          <w:rFonts w:ascii="Times" w:hAnsi="Times"/>
          <w:noProof w:val="0"/>
          <w:sz w:val="26"/>
          <w:szCs w:val="26"/>
          <w:rtl/>
          <w:lang w:eastAsia="he-IL"/>
        </w:rPr>
        <w:t xml:space="preserve">, אשר הורשע, בין היתר, בעבירה של קשירת קשר לפשע לגבי רכישת רובה הצלפים, ושבגינה, ובגין עבירה נוספת של מתן אמצעים לביצוע פשע (בכך שייעץ כיצד להשמיש את האקדח התקול), הוטל עליו עונש של 30 חודשי מאסר בפועל. </w:t>
      </w:r>
    </w:p>
    <w:p w14:paraId="3164147F" w14:textId="77777777" w:rsidR="00035899" w:rsidRDefault="000259C4">
      <w:pPr>
        <w:spacing w:line="360" w:lineRule="auto"/>
        <w:jc w:val="both"/>
        <w:rPr>
          <w:rFonts w:ascii="Times" w:hAnsi="Times"/>
          <w:noProof w:val="0"/>
          <w:sz w:val="26"/>
          <w:szCs w:val="26"/>
          <w:rtl/>
          <w:lang w:eastAsia="he-IL"/>
        </w:rPr>
      </w:pPr>
      <w:r>
        <w:rPr>
          <w:rFonts w:ascii="Times" w:hAnsi="Times"/>
          <w:noProof w:val="0"/>
          <w:sz w:val="26"/>
          <w:szCs w:val="26"/>
          <w:rtl/>
          <w:lang w:eastAsia="he-IL"/>
        </w:rPr>
        <w:t>ב"כ המאשימה הדגישה כי לנאשם עבר פלילי מכביד, וכי הוא סיים לרצות עונש של 10 שנות מאסר בפועל בגין עבירה של הריגה שביצע בגיל 21. בנוסף על כך, בשנים 2001 ו-2003 הורשע הנאשם בעבירות אלימות נוספות: תקיפת עובד ציבור ופציעה ונידון לעונש של 20 חודשי מאסר בפועל. כמו כן הורשע הנאשם בעבירות של חבלה כשהעבריין מזוין ושל פציעה, ונידון ל-18 חודשי מאסר בפועל.</w:t>
      </w:r>
    </w:p>
    <w:p w14:paraId="67731663" w14:textId="77777777" w:rsidR="00035899" w:rsidRDefault="00035899">
      <w:pPr>
        <w:spacing w:line="360" w:lineRule="auto"/>
        <w:jc w:val="both"/>
        <w:rPr>
          <w:rFonts w:ascii="Times" w:hAnsi="Times"/>
          <w:noProof w:val="0"/>
          <w:sz w:val="26"/>
          <w:szCs w:val="26"/>
          <w:rtl/>
          <w:lang w:eastAsia="he-IL"/>
        </w:rPr>
      </w:pPr>
    </w:p>
    <w:p w14:paraId="452ED464" w14:textId="77777777" w:rsidR="00035899" w:rsidRDefault="000259C4">
      <w:pPr>
        <w:numPr>
          <w:ilvl w:val="0"/>
          <w:numId w:val="1"/>
        </w:numPr>
        <w:tabs>
          <w:tab w:val="num" w:pos="720"/>
        </w:tabs>
        <w:spacing w:after="200" w:line="360" w:lineRule="auto"/>
        <w:ind w:left="0" w:firstLine="0"/>
        <w:jc w:val="both"/>
        <w:rPr>
          <w:rFonts w:ascii="Times" w:hAnsi="Times"/>
          <w:noProof w:val="0"/>
          <w:sz w:val="26"/>
          <w:szCs w:val="26"/>
          <w:lang w:eastAsia="he-IL"/>
        </w:rPr>
      </w:pPr>
      <w:r>
        <w:rPr>
          <w:rFonts w:ascii="Times" w:hAnsi="Times"/>
          <w:noProof w:val="0"/>
          <w:sz w:val="26"/>
          <w:szCs w:val="26"/>
          <w:rtl/>
          <w:lang w:eastAsia="he-IL"/>
        </w:rPr>
        <w:t>מנגד,</w:t>
      </w:r>
      <w:r>
        <w:rPr>
          <w:rFonts w:ascii="Times" w:hAnsi="Times"/>
          <w:b/>
          <w:bCs/>
          <w:noProof w:val="0"/>
          <w:sz w:val="26"/>
          <w:szCs w:val="26"/>
          <w:rtl/>
          <w:lang w:eastAsia="he-IL"/>
        </w:rPr>
        <w:t xml:space="preserve"> </w:t>
      </w:r>
      <w:r>
        <w:rPr>
          <w:rFonts w:ascii="Times" w:hAnsi="Times"/>
          <w:noProof w:val="0"/>
          <w:sz w:val="26"/>
          <w:szCs w:val="26"/>
          <w:rtl/>
          <w:lang w:eastAsia="he-IL"/>
        </w:rPr>
        <w:t xml:space="preserve">עתר </w:t>
      </w:r>
      <w:r>
        <w:rPr>
          <w:rFonts w:ascii="Times" w:hAnsi="Times"/>
          <w:b/>
          <w:bCs/>
          <w:noProof w:val="0"/>
          <w:sz w:val="26"/>
          <w:szCs w:val="26"/>
          <w:rtl/>
          <w:lang w:eastAsia="he-IL"/>
        </w:rPr>
        <w:t>ב"כ הנאשם</w:t>
      </w:r>
      <w:r>
        <w:rPr>
          <w:rFonts w:ascii="Times" w:hAnsi="Times"/>
          <w:noProof w:val="0"/>
          <w:sz w:val="26"/>
          <w:szCs w:val="26"/>
          <w:rtl/>
          <w:lang w:eastAsia="he-IL"/>
        </w:rPr>
        <w:t xml:space="preserve"> שלא להחמיר עם הנאשם, וטען כי העונש צריך לעמוד "בנקודת האמצע מהרף העליון", דהיינו 45 חודשים.</w:t>
      </w:r>
    </w:p>
    <w:p w14:paraId="3096E6E8" w14:textId="77777777" w:rsidR="00035899" w:rsidRDefault="000259C4">
      <w:pPr>
        <w:spacing w:line="360" w:lineRule="auto"/>
        <w:jc w:val="both"/>
        <w:rPr>
          <w:rFonts w:ascii="Times" w:hAnsi="Times"/>
          <w:noProof w:val="0"/>
          <w:sz w:val="26"/>
          <w:szCs w:val="26"/>
          <w:rtl/>
          <w:lang w:eastAsia="he-IL"/>
        </w:rPr>
      </w:pPr>
      <w:r>
        <w:rPr>
          <w:rFonts w:ascii="Times" w:hAnsi="Times"/>
          <w:noProof w:val="0"/>
          <w:sz w:val="26"/>
          <w:szCs w:val="26"/>
          <w:rtl/>
          <w:lang w:eastAsia="he-IL"/>
        </w:rPr>
        <w:t>ב"כ הנאשם הדגיש את התיקון המשמעותי בכתב האישום המתוקן, לאחר מחיקת 3 עבירות של ניסיונות לרצח. הוא התייחס לקשיים הראייתיים שבכתב האישום המקורי, שלדבריו קיבלו ביסוס בפסק דין של מותב אחר בבית משפט זה, ולכך שהמאשימה נקטה תיזה משפטית בעייתית. עוד הוסף כי הבעייתיות בעדותו של עד המדינה היא שהובילה להסדר הטיעון.</w:t>
      </w:r>
    </w:p>
    <w:p w14:paraId="28251F4F" w14:textId="77777777" w:rsidR="00035899" w:rsidRDefault="000259C4">
      <w:pPr>
        <w:spacing w:line="360" w:lineRule="auto"/>
        <w:jc w:val="both"/>
        <w:rPr>
          <w:rFonts w:ascii="Times" w:hAnsi="Times"/>
          <w:noProof w:val="0"/>
          <w:sz w:val="26"/>
          <w:szCs w:val="26"/>
          <w:rtl/>
          <w:lang w:eastAsia="he-IL"/>
        </w:rPr>
      </w:pPr>
      <w:r>
        <w:rPr>
          <w:rFonts w:ascii="Times" w:hAnsi="Times"/>
          <w:noProof w:val="0"/>
          <w:sz w:val="26"/>
          <w:szCs w:val="26"/>
          <w:rtl/>
          <w:lang w:eastAsia="he-IL"/>
        </w:rPr>
        <w:t>ב"כ הנאשם ביקש לזקוף לטובת הנאשם את השיקולים שלהלן:</w:t>
      </w:r>
    </w:p>
    <w:p w14:paraId="332EE90D" w14:textId="77777777" w:rsidR="00035899" w:rsidRDefault="000259C4">
      <w:pPr>
        <w:spacing w:line="360" w:lineRule="auto"/>
        <w:jc w:val="both"/>
        <w:rPr>
          <w:rFonts w:ascii="Times" w:hAnsi="Times"/>
          <w:noProof w:val="0"/>
          <w:sz w:val="26"/>
          <w:szCs w:val="26"/>
          <w:rtl/>
          <w:lang w:eastAsia="he-IL"/>
        </w:rPr>
      </w:pPr>
      <w:r>
        <w:rPr>
          <w:rFonts w:ascii="Times" w:hAnsi="Times"/>
          <w:noProof w:val="0"/>
          <w:sz w:val="26"/>
          <w:szCs w:val="26"/>
          <w:rtl/>
          <w:lang w:eastAsia="he-IL"/>
        </w:rPr>
        <w:t>מעשי הנאשם לא גרמו כל נזק, לא לגוף ולא לרכוש.</w:t>
      </w:r>
    </w:p>
    <w:p w14:paraId="29AF58E9" w14:textId="77777777" w:rsidR="00035899" w:rsidRDefault="000259C4">
      <w:pPr>
        <w:spacing w:line="360" w:lineRule="auto"/>
        <w:jc w:val="both"/>
        <w:rPr>
          <w:rFonts w:ascii="Times" w:hAnsi="Times"/>
          <w:noProof w:val="0"/>
          <w:sz w:val="26"/>
          <w:szCs w:val="26"/>
          <w:rtl/>
          <w:lang w:eastAsia="he-IL"/>
        </w:rPr>
      </w:pPr>
      <w:r>
        <w:rPr>
          <w:rFonts w:ascii="Times" w:hAnsi="Times"/>
          <w:noProof w:val="0"/>
          <w:sz w:val="26"/>
          <w:szCs w:val="26"/>
          <w:rtl/>
          <w:lang w:eastAsia="he-IL"/>
        </w:rPr>
        <w:t>העבירות בחלקן הגדול, היו פרי עידודו ויצירתו של עד המדינה. כך, למשל מהאישום השישי עולה כי המשטרה יזמה באמצעות עד המדינה ביצוע עבירות פליליות עצמאיות. ב"כ הנאשם הטעים כי פעילות סוכן משטרתי מהווה עילה להקלה בעונש. כל אשר התנהל בפרק הזמן הרלוונטי לאישום הרביעי ואילך (7-19/9/14) היה בידיעתה ובשליטתה של המשטרה. עד המדינה הוא ששלט בנסיעות להעברת הנשק.</w:t>
      </w:r>
    </w:p>
    <w:p w14:paraId="46F2BD88" w14:textId="77777777" w:rsidR="00035899" w:rsidRDefault="000259C4">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חלק ניכר מעדי התביעה טרם נשמע. </w:t>
      </w:r>
    </w:p>
    <w:p w14:paraId="695DF0E8" w14:textId="77777777" w:rsidR="00035899" w:rsidRDefault="000259C4">
      <w:pPr>
        <w:spacing w:line="360" w:lineRule="auto"/>
        <w:jc w:val="both"/>
        <w:rPr>
          <w:rFonts w:ascii="Times" w:hAnsi="Times"/>
          <w:noProof w:val="0"/>
          <w:sz w:val="26"/>
          <w:szCs w:val="26"/>
          <w:rtl/>
          <w:lang w:eastAsia="he-IL"/>
        </w:rPr>
      </w:pPr>
      <w:r>
        <w:rPr>
          <w:rFonts w:ascii="Times" w:hAnsi="Times"/>
          <w:noProof w:val="0"/>
          <w:sz w:val="26"/>
          <w:szCs w:val="26"/>
          <w:rtl/>
          <w:lang w:eastAsia="he-IL"/>
        </w:rPr>
        <w:t>אם התיק היה ממשיך להישמע היו נדרשות עוד עשרות ישיבות. הודאת הנאשם חסכה זמן שיפוטי יקר ואף הוצאות הקלטה וליווי, לרבות אלו הכרוכים ביציאה לביקור בשטח, וכן הוצאות האבטחה והשכר ששולם לעד המדינה.</w:t>
      </w:r>
    </w:p>
    <w:p w14:paraId="53EFE0B4" w14:textId="77777777" w:rsidR="00035899" w:rsidRDefault="000259C4">
      <w:pPr>
        <w:spacing w:line="360" w:lineRule="auto"/>
        <w:jc w:val="both"/>
        <w:rPr>
          <w:rFonts w:ascii="Times" w:hAnsi="Times"/>
          <w:noProof w:val="0"/>
          <w:sz w:val="26"/>
          <w:szCs w:val="26"/>
          <w:rtl/>
          <w:lang w:eastAsia="he-IL"/>
        </w:rPr>
      </w:pPr>
      <w:r>
        <w:rPr>
          <w:rFonts w:ascii="Times" w:hAnsi="Times"/>
          <w:noProof w:val="0"/>
          <w:sz w:val="26"/>
          <w:szCs w:val="26"/>
          <w:rtl/>
          <w:lang w:eastAsia="he-IL"/>
        </w:rPr>
        <w:t>הנאשם ויתר על ניהול הגנתו וקיבל אחריות למעשיו. הנאשם הודה והתחרט.</w:t>
      </w:r>
    </w:p>
    <w:p w14:paraId="348C2CDD" w14:textId="77777777" w:rsidR="00035899" w:rsidRDefault="000259C4">
      <w:pPr>
        <w:spacing w:line="360" w:lineRule="auto"/>
        <w:jc w:val="both"/>
        <w:rPr>
          <w:rFonts w:ascii="Times" w:hAnsi="Times"/>
          <w:noProof w:val="0"/>
          <w:sz w:val="26"/>
          <w:szCs w:val="26"/>
          <w:rtl/>
          <w:lang w:eastAsia="he-IL"/>
        </w:rPr>
      </w:pPr>
      <w:r>
        <w:rPr>
          <w:rFonts w:ascii="Times" w:hAnsi="Times"/>
          <w:noProof w:val="0"/>
          <w:sz w:val="26"/>
          <w:szCs w:val="26"/>
          <w:rtl/>
          <w:lang w:eastAsia="he-IL"/>
        </w:rPr>
        <w:t>הנאשם נמצא מזה שנתיים במעצר, בתנאי בידוד ובהפרדה ארצית בתנאים קשים ביותר.</w:t>
      </w:r>
    </w:p>
    <w:p w14:paraId="00A1DB1A" w14:textId="77777777" w:rsidR="00035899" w:rsidRDefault="000259C4">
      <w:pPr>
        <w:spacing w:line="360" w:lineRule="auto"/>
        <w:jc w:val="both"/>
        <w:rPr>
          <w:rFonts w:ascii="Times" w:hAnsi="Times"/>
          <w:noProof w:val="0"/>
          <w:sz w:val="26"/>
          <w:szCs w:val="26"/>
          <w:rtl/>
          <w:lang w:eastAsia="he-IL"/>
        </w:rPr>
      </w:pPr>
      <w:r>
        <w:rPr>
          <w:rFonts w:ascii="Times" w:hAnsi="Times"/>
          <w:noProof w:val="0"/>
          <w:sz w:val="26"/>
          <w:szCs w:val="26"/>
          <w:rtl/>
          <w:lang w:eastAsia="he-IL"/>
        </w:rPr>
        <w:t>אשר לעברו של הנאשם נטען כי הנאשם נשפט ושילם את עונשו כמעט במלואו.</w:t>
      </w:r>
    </w:p>
    <w:p w14:paraId="5C5F2C7E" w14:textId="77777777" w:rsidR="00035899" w:rsidRDefault="000259C4">
      <w:pPr>
        <w:spacing w:line="360" w:lineRule="auto"/>
        <w:jc w:val="both"/>
        <w:rPr>
          <w:rFonts w:ascii="Times" w:hAnsi="Times"/>
          <w:noProof w:val="0"/>
          <w:sz w:val="26"/>
          <w:szCs w:val="26"/>
          <w:lang w:eastAsia="he-IL"/>
        </w:rPr>
      </w:pPr>
      <w:r>
        <w:rPr>
          <w:rFonts w:ascii="Times" w:hAnsi="Times"/>
          <w:noProof w:val="0"/>
          <w:sz w:val="26"/>
          <w:szCs w:val="26"/>
          <w:rtl/>
          <w:lang w:eastAsia="he-IL"/>
        </w:rPr>
        <w:t xml:space="preserve">לבסוף הודגש כי הנאשם כבר אינו צעיר, ויש להתחשב בנסיבותיו המשפחתיות, על מנת שבסופו של דבר יחזור הנאשם למוטב, וינהל את החלק השני של חייו, כאב, כאיש משפחה וכאזרח שומר חוק. </w:t>
      </w:r>
    </w:p>
    <w:p w14:paraId="4A3AB285" w14:textId="77777777" w:rsidR="00035899" w:rsidRDefault="000259C4">
      <w:pPr>
        <w:spacing w:line="360" w:lineRule="auto"/>
        <w:jc w:val="both"/>
        <w:rPr>
          <w:rFonts w:ascii="Times" w:hAnsi="Times"/>
          <w:noProof w:val="0"/>
          <w:sz w:val="26"/>
          <w:szCs w:val="26"/>
          <w:rtl/>
          <w:lang w:eastAsia="he-IL"/>
        </w:rPr>
      </w:pPr>
      <w:r>
        <w:rPr>
          <w:rFonts w:ascii="Times" w:hAnsi="Times"/>
          <w:noProof w:val="0"/>
          <w:sz w:val="26"/>
          <w:szCs w:val="26"/>
          <w:rtl/>
          <w:lang w:eastAsia="he-IL"/>
        </w:rPr>
        <w:t>הודגש כי לגבי האישום הראשון, אין מדובר בעבירה של ניסיון לרצח או בכוונה לפגוע באדם. מדובר ברימון אשר נזרק לחדר ריק. הרימון לא התפוצץ.</w:t>
      </w:r>
    </w:p>
    <w:p w14:paraId="48DF67F7" w14:textId="77777777" w:rsidR="00035899" w:rsidRDefault="000259C4">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הסנגור הפנה גם הוא לעניינו של </w:t>
      </w:r>
      <w:r>
        <w:rPr>
          <w:rFonts w:ascii="Times" w:hAnsi="Times"/>
          <w:b/>
          <w:bCs/>
          <w:noProof w:val="0"/>
          <w:sz w:val="26"/>
          <w:szCs w:val="26"/>
          <w:rtl/>
          <w:lang w:eastAsia="he-IL"/>
        </w:rPr>
        <w:t>בוחבוט</w:t>
      </w:r>
      <w:r>
        <w:rPr>
          <w:rFonts w:ascii="Times" w:hAnsi="Times"/>
          <w:noProof w:val="0"/>
          <w:sz w:val="26"/>
          <w:szCs w:val="26"/>
          <w:rtl/>
          <w:lang w:eastAsia="he-IL"/>
        </w:rPr>
        <w:t>, ואבחן אותו בכך שטען כי התיק שם נוהל עד תום שמיעת הראיות, וכי שם נזרק רימון לעבר בית עיתונאי, והרימון התפוצץ.</w:t>
      </w:r>
    </w:p>
    <w:p w14:paraId="3DA44BCB" w14:textId="77777777" w:rsidR="00035899" w:rsidRDefault="000259C4">
      <w:pPr>
        <w:spacing w:line="360" w:lineRule="auto"/>
        <w:jc w:val="both"/>
        <w:rPr>
          <w:rFonts w:ascii="Times" w:hAnsi="Times"/>
          <w:noProof w:val="0"/>
          <w:sz w:val="26"/>
          <w:szCs w:val="26"/>
          <w:rtl/>
          <w:lang w:eastAsia="he-IL"/>
        </w:rPr>
      </w:pPr>
      <w:r>
        <w:rPr>
          <w:rFonts w:ascii="Times" w:hAnsi="Times"/>
          <w:noProof w:val="0"/>
          <w:sz w:val="26"/>
          <w:szCs w:val="26"/>
          <w:rtl/>
          <w:lang w:eastAsia="he-IL"/>
        </w:rPr>
        <w:t>כמו כן הפנה ב"כ הנאשם ל</w:t>
      </w:r>
      <w:hyperlink r:id="rId35" w:history="1">
        <w:r w:rsidRPr="000259C4">
          <w:rPr>
            <w:rFonts w:ascii="Times" w:hAnsi="Times"/>
            <w:noProof w:val="0"/>
            <w:color w:val="0000FF"/>
            <w:sz w:val="26"/>
            <w:szCs w:val="26"/>
            <w:u w:val="single"/>
            <w:rtl/>
            <w:lang w:eastAsia="he-IL"/>
          </w:rPr>
          <w:t>תפ"ח (ב"ש) 1121/09</w:t>
        </w:r>
      </w:hyperlink>
      <w:r>
        <w:rPr>
          <w:rFonts w:ascii="Times" w:hAnsi="Times"/>
          <w:noProof w:val="0"/>
          <w:sz w:val="26"/>
          <w:szCs w:val="26"/>
          <w:rtl/>
          <w:lang w:eastAsia="he-IL"/>
        </w:rPr>
        <w:t xml:space="preserve"> </w:t>
      </w:r>
      <w:r>
        <w:rPr>
          <w:rFonts w:ascii="Times" w:hAnsi="Times"/>
          <w:b/>
          <w:bCs/>
          <w:noProof w:val="0"/>
          <w:sz w:val="26"/>
          <w:szCs w:val="26"/>
          <w:rtl/>
          <w:lang w:eastAsia="he-IL"/>
        </w:rPr>
        <w:t>מדינת ישראל נ' לוי</w:t>
      </w:r>
      <w:r>
        <w:rPr>
          <w:rFonts w:ascii="Times" w:hAnsi="Times"/>
          <w:noProof w:val="0"/>
          <w:sz w:val="26"/>
          <w:szCs w:val="26"/>
          <w:rtl/>
          <w:lang w:eastAsia="he-IL"/>
        </w:rPr>
        <w:t xml:space="preserve"> שבו נגזרו 40 חודשי מאסר לריצוי בפועל, בגין עבירות של נשיאת נשק, של חבלה בכוונה מחמירה ושל היזק בחומר נפיץ. לטענת ב"כ הנאשם, ניתן ללמוד מפסקי דין אלו, כי "כאשר כתב האישום או חומר הראיות מגלה קושי ראייתי וכאשר הנסיבות אינן כה ברורות, יש לכך ביטוי בגזר הדין". </w:t>
      </w:r>
    </w:p>
    <w:p w14:paraId="62FC7526" w14:textId="77777777" w:rsidR="00035899" w:rsidRDefault="000259C4">
      <w:pPr>
        <w:spacing w:line="360" w:lineRule="auto"/>
        <w:jc w:val="both"/>
        <w:rPr>
          <w:rFonts w:ascii="Times" w:hAnsi="Times"/>
          <w:noProof w:val="0"/>
          <w:sz w:val="26"/>
          <w:szCs w:val="26"/>
          <w:rtl/>
          <w:lang w:eastAsia="he-IL"/>
        </w:rPr>
      </w:pPr>
      <w:r>
        <w:rPr>
          <w:rFonts w:ascii="Times" w:hAnsi="Times"/>
          <w:noProof w:val="0"/>
          <w:sz w:val="26"/>
          <w:szCs w:val="26"/>
          <w:rtl/>
          <w:lang w:eastAsia="he-IL"/>
        </w:rPr>
        <w:t>לטענת ב"כ הנאשם, אין להשוות את עניינו של הנאשם לזה של דודו מגידיש, שכן בעניינו של מגידיש נוהל המשפט עד תום.</w:t>
      </w:r>
    </w:p>
    <w:p w14:paraId="0A271ACF" w14:textId="77777777" w:rsidR="00035899" w:rsidRDefault="00035899">
      <w:pPr>
        <w:spacing w:line="360" w:lineRule="auto"/>
        <w:jc w:val="both"/>
        <w:rPr>
          <w:rFonts w:ascii="Times" w:hAnsi="Times"/>
          <w:noProof w:val="0"/>
          <w:sz w:val="26"/>
          <w:szCs w:val="26"/>
          <w:rtl/>
          <w:lang w:eastAsia="he-IL"/>
        </w:rPr>
      </w:pPr>
    </w:p>
    <w:p w14:paraId="193C2F2C" w14:textId="77777777" w:rsidR="00035899" w:rsidRDefault="000259C4">
      <w:pPr>
        <w:numPr>
          <w:ilvl w:val="0"/>
          <w:numId w:val="1"/>
        </w:numPr>
        <w:tabs>
          <w:tab w:val="num" w:pos="720"/>
        </w:tabs>
        <w:spacing w:after="200" w:line="360" w:lineRule="auto"/>
        <w:ind w:left="0" w:firstLine="0"/>
        <w:jc w:val="both"/>
        <w:rPr>
          <w:rFonts w:ascii="Times" w:hAnsi="Times"/>
          <w:noProof w:val="0"/>
          <w:sz w:val="26"/>
          <w:szCs w:val="26"/>
          <w:rtl/>
          <w:lang w:eastAsia="he-IL"/>
        </w:rPr>
      </w:pPr>
      <w:r>
        <w:rPr>
          <w:rFonts w:ascii="Times" w:hAnsi="Times"/>
          <w:noProof w:val="0"/>
          <w:sz w:val="26"/>
          <w:szCs w:val="26"/>
          <w:rtl/>
          <w:lang w:eastAsia="he-IL"/>
        </w:rPr>
        <w:t>הנאשם מסר בבית המשפט כי יש לו ילדים קטנים, וכי הוא מבקש רחמים מבית המשפט.</w:t>
      </w:r>
    </w:p>
    <w:p w14:paraId="34EA78C3" w14:textId="77777777" w:rsidR="00035899" w:rsidRDefault="000259C4">
      <w:pPr>
        <w:keepNext/>
        <w:spacing w:before="240" w:after="60" w:line="360" w:lineRule="auto"/>
        <w:outlineLvl w:val="1"/>
        <w:rPr>
          <w:rFonts w:ascii="Helvetica" w:hAnsi="Helvetica" w:cs="FrankRuehl"/>
          <w:b/>
          <w:noProof w:val="0"/>
          <w:spacing w:val="20"/>
          <w:sz w:val="32"/>
          <w:szCs w:val="32"/>
          <w:u w:val="single"/>
          <w:rtl/>
          <w:lang w:eastAsia="he-IL"/>
        </w:rPr>
      </w:pPr>
      <w:r>
        <w:rPr>
          <w:rFonts w:ascii="Helvetica" w:hAnsi="Helvetica" w:cs="FrankRuehl"/>
          <w:b/>
          <w:noProof w:val="0"/>
          <w:spacing w:val="20"/>
          <w:sz w:val="32"/>
          <w:szCs w:val="32"/>
          <w:u w:val="single"/>
          <w:rtl/>
          <w:lang w:eastAsia="he-IL"/>
        </w:rPr>
        <w:t>דיון והכרעה</w:t>
      </w:r>
    </w:p>
    <w:p w14:paraId="22279926" w14:textId="77777777" w:rsidR="00035899" w:rsidRDefault="000259C4">
      <w:pPr>
        <w:numPr>
          <w:ilvl w:val="0"/>
          <w:numId w:val="1"/>
        </w:numPr>
        <w:tabs>
          <w:tab w:val="num" w:pos="720"/>
        </w:tabs>
        <w:spacing w:after="200" w:line="360" w:lineRule="auto"/>
        <w:ind w:left="0" w:firstLine="0"/>
        <w:jc w:val="both"/>
        <w:rPr>
          <w:rFonts w:ascii="Times" w:hAnsi="Times"/>
          <w:noProof w:val="0"/>
          <w:sz w:val="26"/>
          <w:szCs w:val="26"/>
          <w:rtl/>
          <w:lang w:eastAsia="he-IL"/>
        </w:rPr>
      </w:pPr>
      <w:r>
        <w:rPr>
          <w:rFonts w:ascii="Times" w:hAnsi="Times"/>
          <w:noProof w:val="0"/>
          <w:sz w:val="26"/>
          <w:szCs w:val="26"/>
          <w:rtl/>
          <w:lang w:eastAsia="he-IL"/>
        </w:rPr>
        <w:t>העבירות שבהן הורשע הנאשם הן עבירות חמורות, כל אחת כשלעצמה, ובוודאי שעה שהן מצטרפות זו לזו.</w:t>
      </w:r>
    </w:p>
    <w:p w14:paraId="642B0525" w14:textId="77777777" w:rsidR="00035899" w:rsidRDefault="000259C4">
      <w:pPr>
        <w:spacing w:line="360" w:lineRule="auto"/>
        <w:jc w:val="both"/>
        <w:rPr>
          <w:rFonts w:ascii="Times" w:hAnsi="Times"/>
          <w:noProof w:val="0"/>
          <w:sz w:val="26"/>
          <w:szCs w:val="26"/>
          <w:rtl/>
          <w:lang w:eastAsia="he-IL"/>
        </w:rPr>
      </w:pPr>
      <w:r>
        <w:rPr>
          <w:rFonts w:ascii="Times" w:hAnsi="Times"/>
          <w:noProof w:val="0"/>
          <w:sz w:val="26"/>
          <w:szCs w:val="26"/>
          <w:rtl/>
          <w:lang w:eastAsia="he-IL"/>
        </w:rPr>
        <w:t>בגין האישום הראשון, שבו השליך הנאשם רימון רסס אל ביתו של רזיאל, הורשע הנאשם, בכך שקשר קשר להשליך את הרימון, בהובלה ובנשיאה של הרימון, בהנחת חומר נפיץ בביתו של רזיאל ובאיומים.</w:t>
      </w:r>
    </w:p>
    <w:p w14:paraId="61713B13" w14:textId="77777777" w:rsidR="00035899" w:rsidRDefault="000259C4">
      <w:pPr>
        <w:spacing w:line="360" w:lineRule="auto"/>
        <w:jc w:val="both"/>
        <w:rPr>
          <w:rFonts w:ascii="Times" w:hAnsi="Times"/>
          <w:noProof w:val="0"/>
          <w:sz w:val="26"/>
          <w:szCs w:val="26"/>
          <w:rtl/>
          <w:lang w:eastAsia="he-IL"/>
        </w:rPr>
      </w:pPr>
      <w:r>
        <w:rPr>
          <w:rFonts w:ascii="Times" w:hAnsi="Times"/>
          <w:noProof w:val="0"/>
          <w:sz w:val="26"/>
          <w:szCs w:val="26"/>
          <w:rtl/>
          <w:lang w:eastAsia="he-IL"/>
        </w:rPr>
        <w:t>בגין האישום השני הורשע הנאשם בכך שקשר קשר לרצוח את מומי קסנטיני ואת דומראני, בכך שקשר קשר להעביר נשק ובנשיאה ובהובלה של אקדח ובהסתייעות ברכב לביצוע פשע.</w:t>
      </w:r>
    </w:p>
    <w:p w14:paraId="4FF4318D" w14:textId="77777777" w:rsidR="00035899" w:rsidRDefault="000259C4">
      <w:pPr>
        <w:spacing w:line="360" w:lineRule="auto"/>
        <w:jc w:val="both"/>
        <w:rPr>
          <w:rFonts w:ascii="Times" w:hAnsi="Times"/>
          <w:noProof w:val="0"/>
          <w:sz w:val="26"/>
          <w:szCs w:val="26"/>
          <w:rtl/>
          <w:lang w:eastAsia="he-IL"/>
        </w:rPr>
      </w:pPr>
      <w:r>
        <w:rPr>
          <w:rFonts w:ascii="Times" w:hAnsi="Times"/>
          <w:noProof w:val="0"/>
          <w:sz w:val="26"/>
          <w:szCs w:val="26"/>
          <w:rtl/>
          <w:lang w:eastAsia="he-IL"/>
        </w:rPr>
        <w:t>בגין האישום השלישי הורשע הנאשם בכך שנשא נשק ותחמושת ובכך שהסתייע ברכב לביצוע פשע, וזאת בהמשך לקשירת הקשר לרצוח את מומי קסנטיני כמתואר באישום השני.</w:t>
      </w:r>
    </w:p>
    <w:p w14:paraId="661DCC68" w14:textId="77777777" w:rsidR="00035899" w:rsidRDefault="000259C4">
      <w:pPr>
        <w:spacing w:line="360" w:lineRule="auto"/>
        <w:jc w:val="both"/>
        <w:rPr>
          <w:rFonts w:ascii="Times" w:hAnsi="Times"/>
          <w:noProof w:val="0"/>
          <w:sz w:val="26"/>
          <w:szCs w:val="26"/>
          <w:rtl/>
          <w:lang w:eastAsia="he-IL"/>
        </w:rPr>
      </w:pPr>
      <w:r>
        <w:rPr>
          <w:rFonts w:ascii="Times" w:hAnsi="Times"/>
          <w:noProof w:val="0"/>
          <w:sz w:val="26"/>
          <w:szCs w:val="26"/>
          <w:rtl/>
          <w:lang w:eastAsia="he-IL"/>
        </w:rPr>
        <w:t>בגין האישום הרביעי הורשע הנאשם בכך שקשר קשר להובלת האקדח ובכך שהוביל את האקדח, וזאת בהמשך לקשירת הקשר לרצוח את מומי קסנטיני או את דומראני כמתואר באישום השני.</w:t>
      </w:r>
    </w:p>
    <w:p w14:paraId="203797FC" w14:textId="77777777" w:rsidR="00035899" w:rsidRDefault="000259C4">
      <w:pPr>
        <w:spacing w:line="360" w:lineRule="auto"/>
        <w:jc w:val="both"/>
        <w:rPr>
          <w:rFonts w:ascii="Times" w:hAnsi="Times"/>
          <w:noProof w:val="0"/>
          <w:sz w:val="26"/>
          <w:szCs w:val="26"/>
          <w:rtl/>
          <w:lang w:eastAsia="he-IL"/>
        </w:rPr>
      </w:pPr>
      <w:r>
        <w:rPr>
          <w:rFonts w:ascii="Times" w:hAnsi="Times"/>
          <w:noProof w:val="0"/>
          <w:sz w:val="26"/>
          <w:szCs w:val="26"/>
          <w:rtl/>
          <w:lang w:eastAsia="he-IL"/>
        </w:rPr>
        <w:t>בגין האישום החמישי הורשע הנאשם בכך שהוביל אקדח תוך הסתייעות ברכב לביצוע פשע, וזאת בהמשך לקשירת הקשר לרצוח את דומראני כמתואר באישום השני.</w:t>
      </w:r>
    </w:p>
    <w:p w14:paraId="0FCE6F19" w14:textId="77777777" w:rsidR="00035899" w:rsidRDefault="000259C4">
      <w:pPr>
        <w:spacing w:line="360" w:lineRule="auto"/>
        <w:jc w:val="both"/>
        <w:rPr>
          <w:rFonts w:ascii="Times" w:hAnsi="Times"/>
          <w:noProof w:val="0"/>
          <w:sz w:val="26"/>
          <w:szCs w:val="26"/>
          <w:rtl/>
          <w:lang w:eastAsia="he-IL"/>
        </w:rPr>
      </w:pPr>
      <w:r>
        <w:rPr>
          <w:rFonts w:ascii="Times" w:hAnsi="Times"/>
          <w:noProof w:val="0"/>
          <w:sz w:val="26"/>
          <w:szCs w:val="26"/>
          <w:rtl/>
          <w:lang w:eastAsia="he-IL"/>
        </w:rPr>
        <w:t>בגין האישום השישי הורשע הנאשם בכך שהחזיק אקדח ובכך שקשר קשר לרכוש נשק, וזאת בהמשך לקשירת הקשר לרצוח את מומי קסנטיני או את דומראני כמתואר באישום השני.</w:t>
      </w:r>
    </w:p>
    <w:p w14:paraId="7D88CFAB" w14:textId="77777777" w:rsidR="00035899" w:rsidRDefault="000259C4">
      <w:pPr>
        <w:spacing w:line="360" w:lineRule="auto"/>
        <w:jc w:val="both"/>
        <w:rPr>
          <w:rFonts w:ascii="Times" w:hAnsi="Times"/>
          <w:noProof w:val="0"/>
          <w:sz w:val="26"/>
          <w:szCs w:val="26"/>
          <w:rtl/>
          <w:lang w:eastAsia="he-IL"/>
        </w:rPr>
      </w:pPr>
      <w:r>
        <w:rPr>
          <w:rFonts w:ascii="Times" w:hAnsi="Times"/>
          <w:noProof w:val="0"/>
          <w:sz w:val="26"/>
          <w:szCs w:val="26"/>
          <w:rtl/>
          <w:lang w:eastAsia="he-IL"/>
        </w:rPr>
        <w:t>בגין האישום השביעי הורשע הנאשם בכך שקשר קשר להובלת האקדח ובכך שניסה להוביל את האקדח, וזאת בהמשך לקשירת הקשר לרצוח את מומי קסנטיני או את דומראני כמתואר באישום השני.</w:t>
      </w:r>
    </w:p>
    <w:p w14:paraId="0493DF2B" w14:textId="77777777" w:rsidR="00035899" w:rsidRDefault="00035899">
      <w:pPr>
        <w:spacing w:line="360" w:lineRule="auto"/>
        <w:jc w:val="both"/>
        <w:rPr>
          <w:rFonts w:ascii="Times" w:hAnsi="Times"/>
          <w:noProof w:val="0"/>
          <w:sz w:val="26"/>
          <w:szCs w:val="26"/>
          <w:rtl/>
          <w:lang w:eastAsia="he-IL"/>
        </w:rPr>
      </w:pPr>
    </w:p>
    <w:p w14:paraId="37E51477" w14:textId="77777777" w:rsidR="00035899" w:rsidRDefault="000259C4">
      <w:pPr>
        <w:numPr>
          <w:ilvl w:val="0"/>
          <w:numId w:val="1"/>
        </w:numPr>
        <w:tabs>
          <w:tab w:val="num" w:pos="720"/>
        </w:tabs>
        <w:spacing w:after="200" w:line="360" w:lineRule="auto"/>
        <w:ind w:left="0" w:firstLine="0"/>
        <w:jc w:val="both"/>
        <w:rPr>
          <w:rFonts w:ascii="Times" w:hAnsi="Times"/>
          <w:noProof w:val="0"/>
          <w:sz w:val="26"/>
          <w:szCs w:val="26"/>
          <w:lang w:eastAsia="he-IL"/>
        </w:rPr>
      </w:pPr>
      <w:r>
        <w:rPr>
          <w:rFonts w:ascii="Times" w:hAnsi="Times"/>
          <w:b/>
          <w:bCs/>
          <w:noProof w:val="0"/>
          <w:sz w:val="26"/>
          <w:szCs w:val="26"/>
          <w:rtl/>
          <w:lang w:eastAsia="he-IL"/>
        </w:rPr>
        <w:t>מספר האירועים</w:t>
      </w:r>
      <w:r>
        <w:rPr>
          <w:rFonts w:ascii="Times" w:hAnsi="Times"/>
          <w:noProof w:val="0"/>
          <w:sz w:val="26"/>
          <w:szCs w:val="26"/>
          <w:rtl/>
          <w:lang w:eastAsia="he-IL"/>
        </w:rPr>
        <w:t xml:space="preserve"> – על פי </w:t>
      </w:r>
      <w:hyperlink r:id="rId36" w:history="1">
        <w:r w:rsidR="00C46F4A" w:rsidRPr="00C46F4A">
          <w:rPr>
            <w:rFonts w:ascii="Times" w:hAnsi="Times"/>
            <w:noProof w:val="0"/>
            <w:color w:val="0000FF"/>
            <w:sz w:val="26"/>
            <w:szCs w:val="26"/>
            <w:u w:val="single"/>
            <w:rtl/>
            <w:lang w:eastAsia="he-IL"/>
          </w:rPr>
          <w:t>סעיף 40יג</w:t>
        </w:r>
      </w:hyperlink>
      <w:r>
        <w:rPr>
          <w:rFonts w:ascii="Times" w:hAnsi="Times"/>
          <w:noProof w:val="0"/>
          <w:sz w:val="26"/>
          <w:szCs w:val="26"/>
          <w:rtl/>
          <w:lang w:eastAsia="he-IL"/>
        </w:rPr>
        <w:t xml:space="preserve"> ל</w:t>
      </w:r>
      <w:hyperlink r:id="rId37" w:history="1">
        <w:r w:rsidRPr="000259C4">
          <w:rPr>
            <w:rFonts w:ascii="Times" w:hAnsi="Times"/>
            <w:noProof w:val="0"/>
            <w:color w:val="0000FF"/>
            <w:sz w:val="26"/>
            <w:szCs w:val="26"/>
            <w:u w:val="single"/>
            <w:rtl/>
            <w:lang w:eastAsia="he-IL"/>
          </w:rPr>
          <w:t>חוק העונשין</w:t>
        </w:r>
      </w:hyperlink>
      <w:r>
        <w:rPr>
          <w:rFonts w:ascii="Times" w:hAnsi="Times"/>
          <w:noProof w:val="0"/>
          <w:sz w:val="26"/>
          <w:szCs w:val="26"/>
          <w:rtl/>
          <w:lang w:eastAsia="he-IL"/>
        </w:rPr>
        <w:t>, תחילה יש לקבוע האם מדובר ב"אירוע אחד", כך שייקבע מתחם עונש הולם אחד לאירוע כולו, או שמא מדובר ב"כמה אירועים", כך שייקבע מתחם עונש הולם לכל אירוע בנפרד.</w:t>
      </w:r>
      <w:r>
        <w:rPr>
          <w:rFonts w:ascii="Times" w:hAnsi="Times" w:hint="cs"/>
          <w:noProof w:val="0"/>
          <w:sz w:val="26"/>
          <w:szCs w:val="26"/>
          <w:rtl/>
          <w:lang w:eastAsia="he-IL"/>
        </w:rPr>
        <w:t xml:space="preserve"> כן ראו בעניין זה: </w:t>
      </w:r>
      <w:hyperlink r:id="rId38" w:history="1">
        <w:r w:rsidRPr="000259C4">
          <w:rPr>
            <w:rFonts w:ascii="Times" w:hAnsi="Times"/>
            <w:noProof w:val="0"/>
            <w:color w:val="0000FF"/>
            <w:sz w:val="26"/>
            <w:szCs w:val="26"/>
            <w:u w:val="single"/>
            <w:rtl/>
            <w:lang w:eastAsia="he-IL"/>
          </w:rPr>
          <w:t>ע"פ 1605/13</w:t>
        </w:r>
      </w:hyperlink>
      <w:r>
        <w:rPr>
          <w:rFonts w:ascii="Times" w:hAnsi="Times" w:hint="cs"/>
          <w:noProof w:val="0"/>
          <w:sz w:val="26"/>
          <w:szCs w:val="26"/>
          <w:rtl/>
          <w:lang w:eastAsia="he-IL"/>
        </w:rPr>
        <w:t xml:space="preserve"> </w:t>
      </w:r>
      <w:r>
        <w:rPr>
          <w:rFonts w:ascii="Times" w:hAnsi="Times" w:hint="cs"/>
          <w:b/>
          <w:bCs/>
          <w:noProof w:val="0"/>
          <w:sz w:val="26"/>
          <w:szCs w:val="26"/>
          <w:rtl/>
          <w:lang w:eastAsia="he-IL"/>
        </w:rPr>
        <w:t>פלוני נ' מדינת ישראל</w:t>
      </w:r>
      <w:r>
        <w:rPr>
          <w:rFonts w:ascii="Times" w:hAnsi="Times" w:hint="cs"/>
          <w:noProof w:val="0"/>
          <w:sz w:val="26"/>
          <w:szCs w:val="26"/>
          <w:rtl/>
          <w:lang w:eastAsia="he-IL"/>
        </w:rPr>
        <w:t>, בפסקאות 18-15 לחוות דעתו של השופט ס' ג'ובראן (27.8.2014).</w:t>
      </w:r>
    </w:p>
    <w:p w14:paraId="6A4EFAA3" w14:textId="77777777" w:rsidR="00035899" w:rsidRDefault="000259C4">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באי כוח הצדדים לא התייחסו לכך מפורשות בטיעוניהם, למעט טענתו של ב"כ הנאשם כי יש להתייחס לעבירות של נשיאת נשק כאל מכלול אחד. </w:t>
      </w:r>
    </w:p>
    <w:p w14:paraId="72F21E25" w14:textId="77777777" w:rsidR="00035899" w:rsidRDefault="000259C4">
      <w:pPr>
        <w:spacing w:line="360" w:lineRule="auto"/>
        <w:jc w:val="both"/>
        <w:rPr>
          <w:rFonts w:ascii="Times" w:hAnsi="Times"/>
          <w:noProof w:val="0"/>
          <w:sz w:val="26"/>
          <w:szCs w:val="26"/>
          <w:rtl/>
          <w:lang w:eastAsia="he-IL"/>
        </w:rPr>
      </w:pPr>
      <w:r>
        <w:rPr>
          <w:rFonts w:ascii="Times" w:hAnsi="Times"/>
          <w:noProof w:val="0"/>
          <w:sz w:val="26"/>
          <w:szCs w:val="26"/>
          <w:rtl/>
          <w:lang w:eastAsia="he-IL"/>
        </w:rPr>
        <w:t>בנסיבותיו של התיק דנן נראה כי נכון יהיה להתייחס לאירוע שבאישום הראשון כאירוע אחד ולאירועים שביתר האישומים (השני עד השביעי) כאירוע אחר נוסף, נוכח הדמיון שבהתנהלותו של הנאשם באותם אישומים ובשים לב לכך שכל מעשיו ביתר האישומים היו במסגרת הקשר המתואר באישום השני. לפנינו אפוא שני אירועים, האחד, השלכת הרימון לביתו של רזיאל (להלן: "</w:t>
      </w:r>
      <w:r>
        <w:rPr>
          <w:rFonts w:ascii="Times" w:hAnsi="Times"/>
          <w:b/>
          <w:bCs/>
          <w:noProof w:val="0"/>
          <w:sz w:val="26"/>
          <w:szCs w:val="26"/>
          <w:rtl/>
          <w:lang w:eastAsia="he-IL"/>
        </w:rPr>
        <w:t>האירוע הראשון</w:t>
      </w:r>
      <w:r>
        <w:rPr>
          <w:rFonts w:ascii="Times" w:hAnsi="Times"/>
          <w:noProof w:val="0"/>
          <w:sz w:val="26"/>
          <w:szCs w:val="26"/>
          <w:rtl/>
          <w:lang w:eastAsia="he-IL"/>
        </w:rPr>
        <w:t>"); והשני, הקשר לרצוח את מומי קסנטיני או את שלום דומראני, העבירות בנשק שבוצעו במסגרת קשר זה וכך גם העבירות של הסתייעות ברכב לביצוע פשע (להלן: "</w:t>
      </w:r>
      <w:r>
        <w:rPr>
          <w:rFonts w:ascii="Times" w:hAnsi="Times"/>
          <w:b/>
          <w:bCs/>
          <w:noProof w:val="0"/>
          <w:sz w:val="26"/>
          <w:szCs w:val="26"/>
          <w:rtl/>
          <w:lang w:eastAsia="he-IL"/>
        </w:rPr>
        <w:t>האירוע השני</w:t>
      </w:r>
      <w:r>
        <w:rPr>
          <w:rFonts w:ascii="Times" w:hAnsi="Times"/>
          <w:noProof w:val="0"/>
          <w:sz w:val="26"/>
          <w:szCs w:val="26"/>
          <w:rtl/>
          <w:lang w:eastAsia="he-IL"/>
        </w:rPr>
        <w:t>").</w:t>
      </w:r>
    </w:p>
    <w:p w14:paraId="4D7B76F7" w14:textId="77777777" w:rsidR="00035899" w:rsidRDefault="00035899">
      <w:pPr>
        <w:spacing w:line="360" w:lineRule="auto"/>
        <w:jc w:val="both"/>
        <w:rPr>
          <w:rFonts w:ascii="Times" w:hAnsi="Times"/>
          <w:noProof w:val="0"/>
          <w:sz w:val="26"/>
          <w:szCs w:val="26"/>
          <w:rtl/>
          <w:lang w:eastAsia="he-IL"/>
        </w:rPr>
      </w:pPr>
    </w:p>
    <w:p w14:paraId="148FAF95" w14:textId="77777777" w:rsidR="00035899" w:rsidRDefault="000259C4">
      <w:pPr>
        <w:numPr>
          <w:ilvl w:val="0"/>
          <w:numId w:val="1"/>
        </w:numPr>
        <w:tabs>
          <w:tab w:val="num" w:pos="720"/>
        </w:tabs>
        <w:spacing w:after="200" w:line="360" w:lineRule="auto"/>
        <w:ind w:left="0" w:firstLine="0"/>
        <w:jc w:val="both"/>
        <w:rPr>
          <w:rFonts w:ascii="Times" w:hAnsi="Times"/>
          <w:noProof w:val="0"/>
          <w:sz w:val="26"/>
          <w:szCs w:val="26"/>
          <w:lang w:eastAsia="he-IL"/>
        </w:rPr>
      </w:pPr>
      <w:r>
        <w:rPr>
          <w:rFonts w:ascii="Times" w:hAnsi="Times"/>
          <w:noProof w:val="0"/>
          <w:sz w:val="26"/>
          <w:szCs w:val="26"/>
          <w:rtl/>
          <w:lang w:eastAsia="he-IL"/>
        </w:rPr>
        <w:t xml:space="preserve">באי כוח הצדדים הציגו לפנינו הסדר טיעון של "טווח ענישה", שלפיו המאשימה תגביל עצמה בטיעוניה לעונש מאסר בפועל של 7.5 שנים. ההגנה לא הוגבלה בטיעוניה. ב"כ הנאשם טען לפנינו כי יש להטיל על הנאשם עונש מאסר בפועל של 45 חודשים בלבד. </w:t>
      </w:r>
    </w:p>
    <w:p w14:paraId="674FB667" w14:textId="77777777" w:rsidR="00035899" w:rsidRDefault="000259C4">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על פי פסיקת בית המשפט העליון </w:t>
      </w:r>
      <w:r>
        <w:rPr>
          <w:rFonts w:ascii="Times" w:hAnsi="Times"/>
          <w:b/>
          <w:bCs/>
          <w:noProof w:val="0"/>
          <w:sz w:val="26"/>
          <w:szCs w:val="26"/>
          <w:rtl/>
          <w:lang w:eastAsia="he-IL"/>
        </w:rPr>
        <w:t>בסוגיה של בחינת הסדרי טיעון לאחר תיקון 113 ל</w:t>
      </w:r>
      <w:hyperlink r:id="rId39" w:history="1">
        <w:r w:rsidRPr="000259C4">
          <w:rPr>
            <w:rFonts w:ascii="Times" w:hAnsi="Times"/>
            <w:b/>
            <w:bCs/>
            <w:noProof w:val="0"/>
            <w:color w:val="0000FF"/>
            <w:sz w:val="26"/>
            <w:szCs w:val="26"/>
            <w:u w:val="single"/>
            <w:rtl/>
            <w:lang w:eastAsia="he-IL"/>
          </w:rPr>
          <w:t>חוק העונשין</w:t>
        </w:r>
      </w:hyperlink>
      <w:r>
        <w:rPr>
          <w:rFonts w:ascii="Times" w:hAnsi="Times"/>
          <w:noProof w:val="0"/>
          <w:sz w:val="26"/>
          <w:szCs w:val="26"/>
          <w:rtl/>
          <w:lang w:eastAsia="he-IL"/>
        </w:rPr>
        <w:t xml:space="preserve">, על בית המשפט לקבוע תחילה את מתחם העונש ההולם ואת העונש בתוך המתחם שהיו נקבעים אלמלא הסדר הטיעון, ולאחר מכן להשוות בין העונש בתוך המתחם ללא ההסדר לבין העונש המוסכם בהסדר הטיעון. באותה דרך, כאשר מדובר בטווח ענישה מוסכם, יש לקבוע תחילה את מתחם העונש ההולם ולאחר מכן לבחון אותו לעומת טווח הענישה המוסכם, ולאחר שהאחרון יאושר, לקבוע את העונש המדויק בתוך הטווח (ראו: </w:t>
      </w:r>
      <w:hyperlink r:id="rId40" w:history="1">
        <w:r w:rsidRPr="000259C4">
          <w:rPr>
            <w:rFonts w:ascii="Times" w:hAnsi="Times"/>
            <w:noProof w:val="0"/>
            <w:color w:val="0000FF"/>
            <w:sz w:val="26"/>
            <w:szCs w:val="26"/>
            <w:u w:val="single"/>
            <w:rtl/>
            <w:lang w:eastAsia="he-IL"/>
          </w:rPr>
          <w:t>ע"פ 512/13</w:t>
        </w:r>
      </w:hyperlink>
      <w:r>
        <w:rPr>
          <w:rFonts w:ascii="Times" w:hAnsi="Times"/>
          <w:noProof w:val="0"/>
          <w:sz w:val="26"/>
          <w:szCs w:val="26"/>
          <w:rtl/>
          <w:lang w:eastAsia="he-IL"/>
        </w:rPr>
        <w:t xml:space="preserve"> </w:t>
      </w:r>
      <w:r>
        <w:rPr>
          <w:rFonts w:ascii="Times" w:hAnsi="Times"/>
          <w:b/>
          <w:bCs/>
          <w:noProof w:val="0"/>
          <w:sz w:val="26"/>
          <w:szCs w:val="26"/>
          <w:rtl/>
          <w:lang w:eastAsia="he-IL"/>
        </w:rPr>
        <w:t>פלוני נ' מדינת ישראל</w:t>
      </w:r>
      <w:r>
        <w:rPr>
          <w:rFonts w:ascii="Times" w:hAnsi="Times"/>
          <w:noProof w:val="0"/>
          <w:sz w:val="26"/>
          <w:szCs w:val="26"/>
          <w:rtl/>
          <w:lang w:eastAsia="he-IL"/>
        </w:rPr>
        <w:t xml:space="preserve">, בעיקר בפסקה 19 לחוות הדעת של השופט ח' מלצר (4/12/13); </w:t>
      </w:r>
      <w:hyperlink r:id="rId41" w:history="1">
        <w:r w:rsidRPr="000259C4">
          <w:rPr>
            <w:rFonts w:ascii="Times" w:hAnsi="Times"/>
            <w:noProof w:val="0"/>
            <w:color w:val="0000FF"/>
            <w:sz w:val="26"/>
            <w:szCs w:val="26"/>
            <w:u w:val="single"/>
            <w:rtl/>
            <w:lang w:eastAsia="he-IL"/>
          </w:rPr>
          <w:t>ע"פ 3856/13</w:t>
        </w:r>
      </w:hyperlink>
      <w:r>
        <w:rPr>
          <w:rFonts w:ascii="Times" w:hAnsi="Times"/>
          <w:noProof w:val="0"/>
          <w:sz w:val="26"/>
          <w:szCs w:val="26"/>
          <w:rtl/>
          <w:lang w:eastAsia="he-IL"/>
        </w:rPr>
        <w:t xml:space="preserve"> </w:t>
      </w:r>
      <w:r>
        <w:rPr>
          <w:rFonts w:ascii="Times" w:hAnsi="Times"/>
          <w:b/>
          <w:bCs/>
          <w:noProof w:val="0"/>
          <w:sz w:val="26"/>
          <w:szCs w:val="26"/>
          <w:rtl/>
          <w:lang w:eastAsia="he-IL"/>
        </w:rPr>
        <w:t>גוני נ' מדינת ישראל</w:t>
      </w:r>
      <w:r>
        <w:rPr>
          <w:rFonts w:ascii="Times" w:hAnsi="Times"/>
          <w:noProof w:val="0"/>
          <w:sz w:val="26"/>
          <w:szCs w:val="26"/>
          <w:rtl/>
          <w:lang w:eastAsia="he-IL"/>
        </w:rPr>
        <w:t xml:space="preserve">, בעיקר בפסקה 12 לחוות דעתה של השופטת ע' ארבל (3/2/14); </w:t>
      </w:r>
      <w:hyperlink r:id="rId42" w:history="1">
        <w:r w:rsidRPr="000259C4">
          <w:rPr>
            <w:rFonts w:ascii="Times" w:hAnsi="Times"/>
            <w:noProof w:val="0"/>
            <w:color w:val="0000FF"/>
            <w:sz w:val="26"/>
            <w:szCs w:val="26"/>
            <w:u w:val="single"/>
            <w:rtl/>
            <w:lang w:eastAsia="he-IL"/>
          </w:rPr>
          <w:t>ע"פ 9246/12</w:t>
        </w:r>
      </w:hyperlink>
      <w:r>
        <w:rPr>
          <w:rFonts w:ascii="Times" w:hAnsi="Times"/>
          <w:noProof w:val="0"/>
          <w:sz w:val="26"/>
          <w:szCs w:val="26"/>
          <w:rtl/>
          <w:lang w:eastAsia="he-IL"/>
        </w:rPr>
        <w:t xml:space="preserve"> </w:t>
      </w:r>
      <w:r>
        <w:rPr>
          <w:rFonts w:ascii="Times" w:hAnsi="Times"/>
          <w:b/>
          <w:bCs/>
          <w:noProof w:val="0"/>
          <w:sz w:val="26"/>
          <w:szCs w:val="26"/>
          <w:rtl/>
          <w:lang w:eastAsia="he-IL"/>
        </w:rPr>
        <w:t>חמאיסה נ' מדינת ישראל</w:t>
      </w:r>
      <w:r>
        <w:rPr>
          <w:rFonts w:ascii="Times" w:hAnsi="Times"/>
          <w:noProof w:val="0"/>
          <w:sz w:val="26"/>
          <w:szCs w:val="26"/>
          <w:rtl/>
          <w:lang w:eastAsia="he-IL"/>
        </w:rPr>
        <w:t xml:space="preserve"> (24/3/14)). </w:t>
      </w:r>
    </w:p>
    <w:p w14:paraId="78156DFF" w14:textId="77777777" w:rsidR="00035899" w:rsidRDefault="00035899">
      <w:pPr>
        <w:spacing w:line="360" w:lineRule="auto"/>
        <w:jc w:val="both"/>
        <w:rPr>
          <w:rFonts w:ascii="Times" w:hAnsi="Times"/>
          <w:noProof w:val="0"/>
          <w:sz w:val="26"/>
          <w:szCs w:val="26"/>
          <w:rtl/>
          <w:lang w:eastAsia="he-IL"/>
        </w:rPr>
      </w:pPr>
    </w:p>
    <w:p w14:paraId="6929D502" w14:textId="77777777" w:rsidR="00035899" w:rsidRDefault="000259C4">
      <w:pPr>
        <w:numPr>
          <w:ilvl w:val="0"/>
          <w:numId w:val="1"/>
        </w:numPr>
        <w:tabs>
          <w:tab w:val="num" w:pos="720"/>
        </w:tabs>
        <w:spacing w:after="200" w:line="360" w:lineRule="auto"/>
        <w:ind w:left="0" w:firstLine="0"/>
        <w:jc w:val="both"/>
        <w:rPr>
          <w:rFonts w:ascii="Times" w:hAnsi="Times"/>
          <w:noProof w:val="0"/>
          <w:sz w:val="26"/>
          <w:szCs w:val="26"/>
          <w:lang w:eastAsia="he-IL"/>
        </w:rPr>
      </w:pPr>
      <w:r>
        <w:rPr>
          <w:rFonts w:ascii="Times" w:hAnsi="Times"/>
          <w:b/>
          <w:bCs/>
          <w:noProof w:val="0"/>
          <w:sz w:val="26"/>
          <w:szCs w:val="26"/>
          <w:rtl/>
          <w:lang w:eastAsia="he-IL"/>
        </w:rPr>
        <w:t>מתחם העונש</w:t>
      </w:r>
      <w:r>
        <w:rPr>
          <w:rFonts w:ascii="Times" w:hAnsi="Times"/>
          <w:noProof w:val="0"/>
          <w:sz w:val="26"/>
          <w:szCs w:val="26"/>
          <w:rtl/>
          <w:lang w:eastAsia="he-IL"/>
        </w:rPr>
        <w:t xml:space="preserve"> </w:t>
      </w:r>
      <w:r>
        <w:rPr>
          <w:rFonts w:ascii="Times" w:hAnsi="Times"/>
          <w:b/>
          <w:bCs/>
          <w:noProof w:val="0"/>
          <w:sz w:val="26"/>
          <w:szCs w:val="26"/>
          <w:rtl/>
          <w:lang w:eastAsia="he-IL"/>
        </w:rPr>
        <w:t>ההולם</w:t>
      </w:r>
      <w:r>
        <w:rPr>
          <w:rFonts w:ascii="Times" w:hAnsi="Times"/>
          <w:noProof w:val="0"/>
          <w:sz w:val="26"/>
          <w:szCs w:val="26"/>
          <w:rtl/>
          <w:lang w:eastAsia="he-IL"/>
        </w:rPr>
        <w:t xml:space="preserve"> </w:t>
      </w:r>
      <w:r>
        <w:rPr>
          <w:rFonts w:ascii="Times" w:hAnsi="Times"/>
          <w:b/>
          <w:bCs/>
          <w:noProof w:val="0"/>
          <w:sz w:val="26"/>
          <w:szCs w:val="26"/>
          <w:rtl/>
          <w:lang w:eastAsia="he-IL"/>
        </w:rPr>
        <w:t>בשני האירועים</w:t>
      </w:r>
      <w:r>
        <w:rPr>
          <w:rFonts w:ascii="Times" w:hAnsi="Times"/>
          <w:noProof w:val="0"/>
          <w:sz w:val="26"/>
          <w:szCs w:val="26"/>
          <w:rtl/>
          <w:lang w:eastAsia="he-IL"/>
        </w:rPr>
        <w:t xml:space="preserve"> – בהתאם </w:t>
      </w:r>
      <w:hyperlink r:id="rId43" w:history="1">
        <w:r w:rsidR="00C46F4A" w:rsidRPr="00C46F4A">
          <w:rPr>
            <w:rFonts w:ascii="Times" w:hAnsi="Times"/>
            <w:noProof w:val="0"/>
            <w:color w:val="0000FF"/>
            <w:sz w:val="26"/>
            <w:szCs w:val="26"/>
            <w:u w:val="single"/>
            <w:rtl/>
            <w:lang w:eastAsia="he-IL"/>
          </w:rPr>
          <w:t>לסעיף 40ג(א)</w:t>
        </w:r>
      </w:hyperlink>
      <w:r>
        <w:rPr>
          <w:rFonts w:ascii="Times" w:hAnsi="Times"/>
          <w:noProof w:val="0"/>
          <w:sz w:val="26"/>
          <w:szCs w:val="26"/>
          <w:rtl/>
          <w:lang w:eastAsia="he-IL"/>
        </w:rPr>
        <w:t xml:space="preserve"> ל</w:t>
      </w:r>
      <w:hyperlink r:id="rId44" w:history="1">
        <w:r w:rsidRPr="000259C4">
          <w:rPr>
            <w:rFonts w:ascii="Times" w:hAnsi="Times"/>
            <w:noProof w:val="0"/>
            <w:color w:val="0000FF"/>
            <w:sz w:val="26"/>
            <w:szCs w:val="26"/>
            <w:u w:val="single"/>
            <w:rtl/>
            <w:lang w:eastAsia="he-IL"/>
          </w:rPr>
          <w:t>חוק העונשין</w:t>
        </w:r>
      </w:hyperlink>
      <w:r>
        <w:rPr>
          <w:rFonts w:ascii="Times" w:hAnsi="Times"/>
          <w:noProof w:val="0"/>
          <w:sz w:val="26"/>
          <w:szCs w:val="26"/>
          <w:rtl/>
          <w:lang w:eastAsia="he-IL"/>
        </w:rPr>
        <w:t xml:space="preserve">, בקביעת מתחם העונש ההולם על בית המשפט להתחשב בפרמטרים הבאים: הערך החברתי שנפגע מביצוע העבירה ומידת הפגיעה בו, נסיבות הקשורות בביצוע העבירה, כמפורט </w:t>
      </w:r>
      <w:hyperlink r:id="rId45" w:history="1">
        <w:r w:rsidR="00C46F4A" w:rsidRPr="00C46F4A">
          <w:rPr>
            <w:rFonts w:ascii="Times" w:hAnsi="Times"/>
            <w:noProof w:val="0"/>
            <w:color w:val="0000FF"/>
            <w:sz w:val="26"/>
            <w:szCs w:val="26"/>
            <w:u w:val="single"/>
            <w:rtl/>
            <w:lang w:eastAsia="he-IL"/>
          </w:rPr>
          <w:t>בסעיף 40ט</w:t>
        </w:r>
      </w:hyperlink>
      <w:r>
        <w:rPr>
          <w:rFonts w:ascii="Times" w:hAnsi="Times"/>
          <w:noProof w:val="0"/>
          <w:sz w:val="26"/>
          <w:szCs w:val="26"/>
          <w:rtl/>
          <w:lang w:eastAsia="he-IL"/>
        </w:rPr>
        <w:t xml:space="preserve"> לחוק העונשין, ומדיניות הענישה הנהוגה (ראו, למשל, </w:t>
      </w:r>
      <w:hyperlink r:id="rId46" w:history="1">
        <w:r w:rsidRPr="000259C4">
          <w:rPr>
            <w:rFonts w:ascii="Times" w:hAnsi="Times"/>
            <w:noProof w:val="0"/>
            <w:color w:val="0000FF"/>
            <w:sz w:val="26"/>
            <w:szCs w:val="26"/>
            <w:u w:val="single"/>
            <w:rtl/>
            <w:lang w:eastAsia="he-IL"/>
          </w:rPr>
          <w:t>ע"פ 2918/13</w:t>
        </w:r>
      </w:hyperlink>
      <w:r>
        <w:rPr>
          <w:rFonts w:ascii="Times" w:hAnsi="Times"/>
          <w:noProof w:val="0"/>
          <w:sz w:val="26"/>
          <w:szCs w:val="26"/>
          <w:rtl/>
          <w:lang w:eastAsia="he-IL"/>
        </w:rPr>
        <w:t xml:space="preserve"> </w:t>
      </w:r>
      <w:r>
        <w:rPr>
          <w:rFonts w:ascii="Times" w:hAnsi="Times"/>
          <w:b/>
          <w:bCs/>
          <w:noProof w:val="0"/>
          <w:sz w:val="26"/>
          <w:szCs w:val="26"/>
          <w:rtl/>
          <w:lang w:eastAsia="he-IL"/>
        </w:rPr>
        <w:t>דבס נ' מדינת ישראל</w:t>
      </w:r>
      <w:r>
        <w:rPr>
          <w:rFonts w:ascii="Times" w:hAnsi="Times"/>
          <w:noProof w:val="0"/>
          <w:sz w:val="26"/>
          <w:szCs w:val="26"/>
          <w:rtl/>
          <w:lang w:eastAsia="he-IL"/>
        </w:rPr>
        <w:t xml:space="preserve">, בפסקה 6 (18/7/13); </w:t>
      </w:r>
      <w:hyperlink r:id="rId47" w:history="1">
        <w:r w:rsidRPr="000259C4">
          <w:rPr>
            <w:rFonts w:ascii="Times" w:hAnsi="Times"/>
            <w:noProof w:val="0"/>
            <w:color w:val="0000FF"/>
            <w:sz w:val="26"/>
            <w:szCs w:val="26"/>
            <w:u w:val="single"/>
            <w:rtl/>
            <w:lang w:eastAsia="he-IL"/>
          </w:rPr>
          <w:t>ע"פ 8641/12</w:t>
        </w:r>
      </w:hyperlink>
      <w:r>
        <w:rPr>
          <w:rFonts w:ascii="Times" w:hAnsi="Times"/>
          <w:b/>
          <w:bCs/>
          <w:noProof w:val="0"/>
          <w:sz w:val="26"/>
          <w:szCs w:val="26"/>
          <w:rtl/>
          <w:lang w:eastAsia="he-IL"/>
        </w:rPr>
        <w:t xml:space="preserve"> סעד נ' מדינת ישראל</w:t>
      </w:r>
      <w:r>
        <w:rPr>
          <w:rFonts w:ascii="Times" w:hAnsi="Times"/>
          <w:noProof w:val="0"/>
          <w:sz w:val="26"/>
          <w:szCs w:val="26"/>
          <w:rtl/>
          <w:lang w:eastAsia="he-IL"/>
        </w:rPr>
        <w:t>, בפסקאות 29-18 לחוות דעתו של השופט נ' סולברג (5/8/13) (להלן: "</w:t>
      </w:r>
      <w:r>
        <w:rPr>
          <w:rFonts w:ascii="Times" w:hAnsi="Times"/>
          <w:b/>
          <w:bCs/>
          <w:noProof w:val="0"/>
          <w:sz w:val="26"/>
          <w:szCs w:val="26"/>
          <w:rtl/>
          <w:lang w:eastAsia="he-IL"/>
        </w:rPr>
        <w:t>עניין סעד</w:t>
      </w:r>
      <w:r>
        <w:rPr>
          <w:rFonts w:ascii="Times" w:hAnsi="Times"/>
          <w:noProof w:val="0"/>
          <w:sz w:val="26"/>
          <w:szCs w:val="26"/>
          <w:rtl/>
          <w:lang w:eastAsia="he-IL"/>
        </w:rPr>
        <w:t xml:space="preserve">"); </w:t>
      </w:r>
      <w:hyperlink r:id="rId48" w:history="1">
        <w:r w:rsidRPr="000259C4">
          <w:rPr>
            <w:rFonts w:ascii="Times" w:hAnsi="Times"/>
            <w:noProof w:val="0"/>
            <w:color w:val="0000FF"/>
            <w:sz w:val="26"/>
            <w:szCs w:val="26"/>
            <w:u w:val="single"/>
            <w:rtl/>
            <w:lang w:eastAsia="he-IL"/>
          </w:rPr>
          <w:t>ע"פ 4741/13</w:t>
        </w:r>
      </w:hyperlink>
      <w:r>
        <w:rPr>
          <w:rFonts w:ascii="Times" w:hAnsi="Times"/>
          <w:noProof w:val="0"/>
          <w:sz w:val="26"/>
          <w:szCs w:val="26"/>
          <w:rtl/>
          <w:lang w:eastAsia="he-IL"/>
        </w:rPr>
        <w:t xml:space="preserve"> </w:t>
      </w:r>
      <w:r>
        <w:rPr>
          <w:rFonts w:ascii="Times" w:hAnsi="Times"/>
          <w:b/>
          <w:bCs/>
          <w:noProof w:val="0"/>
          <w:sz w:val="26"/>
          <w:szCs w:val="26"/>
          <w:rtl/>
          <w:lang w:eastAsia="he-IL"/>
        </w:rPr>
        <w:t>מדינת ישראל נ' נעאמנה</w:t>
      </w:r>
      <w:r>
        <w:rPr>
          <w:rFonts w:ascii="Times" w:hAnsi="Times"/>
          <w:noProof w:val="0"/>
          <w:sz w:val="26"/>
          <w:szCs w:val="26"/>
          <w:rtl/>
          <w:lang w:eastAsia="he-IL"/>
        </w:rPr>
        <w:t>, בפסקה 13 (10/6/14)).</w:t>
      </w:r>
    </w:p>
    <w:p w14:paraId="04DD93DC" w14:textId="77777777" w:rsidR="00035899" w:rsidRDefault="000259C4">
      <w:pPr>
        <w:numPr>
          <w:ilvl w:val="0"/>
          <w:numId w:val="1"/>
        </w:numPr>
        <w:tabs>
          <w:tab w:val="num" w:pos="720"/>
        </w:tabs>
        <w:spacing w:after="200" w:line="360" w:lineRule="auto"/>
        <w:ind w:left="0" w:firstLine="0"/>
        <w:jc w:val="both"/>
        <w:rPr>
          <w:rFonts w:ascii="Times" w:hAnsi="Times"/>
          <w:noProof w:val="0"/>
          <w:sz w:val="26"/>
          <w:szCs w:val="26"/>
          <w:rtl/>
          <w:lang w:eastAsia="he-IL"/>
        </w:rPr>
      </w:pPr>
      <w:r>
        <w:rPr>
          <w:rFonts w:ascii="Times" w:hAnsi="Times"/>
          <w:noProof w:val="0"/>
          <w:sz w:val="26"/>
          <w:szCs w:val="26"/>
          <w:rtl/>
          <w:lang w:eastAsia="he-IL"/>
        </w:rPr>
        <w:t xml:space="preserve">לגבי </w:t>
      </w:r>
      <w:r>
        <w:rPr>
          <w:rFonts w:ascii="Times" w:hAnsi="Times"/>
          <w:b/>
          <w:bCs/>
          <w:noProof w:val="0"/>
          <w:sz w:val="26"/>
          <w:szCs w:val="26"/>
          <w:rtl/>
          <w:lang w:eastAsia="he-IL"/>
        </w:rPr>
        <w:t>האירוע הראשון</w:t>
      </w:r>
      <w:r>
        <w:rPr>
          <w:rFonts w:ascii="Times" w:hAnsi="Times"/>
          <w:noProof w:val="0"/>
          <w:sz w:val="26"/>
          <w:szCs w:val="26"/>
          <w:rtl/>
          <w:lang w:eastAsia="he-IL"/>
        </w:rPr>
        <w:t xml:space="preserve">, יש לזכור כי במקרה דנן העבירות שבהן הורשע הנאשם הן קשירת קשר לביצוע פשע, הובלה ונשיאה של נשק שלא כדין, הנחת חומר נפיץ בכוונה להרוס נכס או להזיק לו ואיומים. על פי כתב האישום המתוקן, מטרת הקשר ומטרת השימוש ברימון הרסס הייתה בכוונה להפחיד את רזיאל, שעמו הסתכסך הנאשם, ולגרום נזק לביתו. אמנם, לא הייתה כוונה לפגוע בגוף, אולם ברי כי יש בהשלכת רימון רסס לתוך בית מגורים סיכון לפגיעה גם ביושבי הבית, כך שהערכים החברתיים שנפגעו מביצוע העבירות הם שלום הציבור וקדושת הגוף והחיים. הנאשם לא ביצע את מעשיו בחמת זעם רגעית, אלא על פי תכנון ומחשבה. אין משמעות רבה לטענת ההגנה כי בסופו של יום הרימון לא התפוצץ ולא נגרם כל נזק. כזכור, הרימון לא התפוצץ בשל תקלה טכנית, ולא מסיבה הקשורה לנאשם. </w:t>
      </w:r>
    </w:p>
    <w:p w14:paraId="437E0223" w14:textId="77777777" w:rsidR="00035899" w:rsidRDefault="000259C4">
      <w:pPr>
        <w:spacing w:line="360" w:lineRule="auto"/>
        <w:jc w:val="both"/>
        <w:rPr>
          <w:rFonts w:ascii="Times" w:hAnsi="Times"/>
          <w:noProof w:val="0"/>
          <w:sz w:val="26"/>
          <w:szCs w:val="26"/>
          <w:rtl/>
          <w:lang w:eastAsia="he-IL"/>
        </w:rPr>
      </w:pPr>
      <w:r>
        <w:rPr>
          <w:rFonts w:ascii="Times" w:hAnsi="Times"/>
          <w:noProof w:val="0"/>
          <w:sz w:val="26"/>
          <w:szCs w:val="26"/>
          <w:rtl/>
          <w:lang w:eastAsia="he-IL"/>
        </w:rPr>
        <w:t>המניע שהביא את הנאשם לבצע את העבירות היה כאמור חיסול חשבונות, ותופעה זו יש להוקיע מכל וכל. ראו, למשל, ב</w:t>
      </w:r>
      <w:r>
        <w:rPr>
          <w:noProof w:val="0"/>
          <w:sz w:val="26"/>
          <w:szCs w:val="26"/>
          <w:rtl/>
          <w:lang w:eastAsia="he-IL"/>
        </w:rPr>
        <w:t xml:space="preserve">עניין </w:t>
      </w:r>
      <w:r>
        <w:rPr>
          <w:b/>
          <w:bCs/>
          <w:noProof w:val="0"/>
          <w:sz w:val="26"/>
          <w:szCs w:val="26"/>
          <w:rtl/>
          <w:lang w:eastAsia="he-IL"/>
        </w:rPr>
        <w:t>סעד</w:t>
      </w:r>
      <w:r>
        <w:rPr>
          <w:noProof w:val="0"/>
          <w:sz w:val="26"/>
          <w:szCs w:val="26"/>
          <w:rtl/>
          <w:lang w:eastAsia="he-IL"/>
        </w:rPr>
        <w:t>, בפסקה 36: "</w:t>
      </w:r>
      <w:r>
        <w:rPr>
          <w:b/>
          <w:bCs/>
          <w:noProof w:val="0"/>
          <w:sz w:val="26"/>
          <w:szCs w:val="26"/>
          <w:rtl/>
          <w:lang w:eastAsia="he-IL"/>
        </w:rPr>
        <w:t xml:space="preserve">אחד מן השיקולים אשר ניתן לשקול בעת גזירת הדין (שאין בכוחו להביא לחריגה ממתחם הענישה) הריהו רלוונטי לאירוע נושא דיוננו – </w:t>
      </w:r>
      <w:r>
        <w:rPr>
          <w:rFonts w:cs="Miriam"/>
          <w:b/>
          <w:bCs/>
          <w:noProof w:val="0"/>
          <w:sz w:val="28"/>
          <w:rtl/>
          <w:lang w:eastAsia="he-IL"/>
        </w:rPr>
        <w:t>הצורך בהרתעת הציבור</w:t>
      </w:r>
      <w:r>
        <w:rPr>
          <w:b/>
          <w:bCs/>
          <w:noProof w:val="0"/>
          <w:sz w:val="26"/>
          <w:szCs w:val="26"/>
          <w:rtl/>
          <w:lang w:eastAsia="he-IL"/>
        </w:rPr>
        <w:t>. האלימות הגואה במקומותינו אינה גזירת-גורל ולא כורח המציאות. יש צורך לשנות את המאזן. במקום שאזרחים ישרים תמימי-דרך יִרְאו ויִרָאו, יחששו לבטחונם, יהיו אלה העבריינים האלימים – בכוח ובפועל – שאימת הדין תיפול עליהם, והם יֵרתעו מפני שימוש בנשק קר וחם לשם חיסול חשבונות בעשיית דין עצמית. שינוי המאזן – הסבת יראת האנשים התמימים לאימת אנשי-המדון – צריך להעשות גם באכיפה ובענישה קשה</w:t>
      </w:r>
      <w:r>
        <w:rPr>
          <w:noProof w:val="0"/>
          <w:sz w:val="26"/>
          <w:szCs w:val="26"/>
          <w:rtl/>
          <w:lang w:eastAsia="he-IL"/>
        </w:rPr>
        <w:t>".</w:t>
      </w:r>
    </w:p>
    <w:p w14:paraId="5424E0CA" w14:textId="77777777" w:rsidR="00035899" w:rsidRDefault="000259C4">
      <w:pPr>
        <w:spacing w:line="360" w:lineRule="auto"/>
        <w:jc w:val="both"/>
        <w:rPr>
          <w:rFonts w:ascii="Times" w:hAnsi="Times"/>
          <w:noProof w:val="0"/>
          <w:sz w:val="26"/>
          <w:szCs w:val="26"/>
          <w:rtl/>
          <w:lang w:eastAsia="he-IL"/>
        </w:rPr>
      </w:pPr>
      <w:r>
        <w:rPr>
          <w:rFonts w:ascii="Times" w:hAnsi="Times"/>
          <w:noProof w:val="0"/>
          <w:sz w:val="26"/>
          <w:szCs w:val="26"/>
          <w:rtl/>
          <w:lang w:eastAsia="he-IL"/>
        </w:rPr>
        <w:t>בשים לב למכלול שיקולים אלו אנו קובעים כי מתחם העונש ההולם בגין האירוע הראשון הוא 6-3 שנות מאסר בפועל.</w:t>
      </w:r>
    </w:p>
    <w:p w14:paraId="25D08AB0" w14:textId="77777777" w:rsidR="00035899" w:rsidRDefault="00035899">
      <w:pPr>
        <w:spacing w:line="360" w:lineRule="auto"/>
        <w:jc w:val="both"/>
        <w:rPr>
          <w:rFonts w:ascii="Times" w:hAnsi="Times"/>
          <w:noProof w:val="0"/>
          <w:sz w:val="26"/>
          <w:szCs w:val="26"/>
          <w:rtl/>
          <w:lang w:eastAsia="he-IL"/>
        </w:rPr>
      </w:pPr>
    </w:p>
    <w:p w14:paraId="4C654B97" w14:textId="77777777" w:rsidR="00035899" w:rsidRDefault="000259C4">
      <w:pPr>
        <w:numPr>
          <w:ilvl w:val="0"/>
          <w:numId w:val="1"/>
        </w:numPr>
        <w:tabs>
          <w:tab w:val="num" w:pos="720"/>
        </w:tabs>
        <w:spacing w:after="200" w:line="360" w:lineRule="auto"/>
        <w:ind w:left="0" w:firstLine="0"/>
        <w:jc w:val="both"/>
        <w:rPr>
          <w:rFonts w:ascii="Times" w:hAnsi="Times"/>
          <w:noProof w:val="0"/>
          <w:sz w:val="26"/>
          <w:szCs w:val="26"/>
          <w:rtl/>
          <w:lang w:eastAsia="he-IL"/>
        </w:rPr>
      </w:pPr>
      <w:r>
        <w:rPr>
          <w:rFonts w:ascii="Times" w:hAnsi="Times"/>
          <w:noProof w:val="0"/>
          <w:sz w:val="26"/>
          <w:szCs w:val="26"/>
          <w:rtl/>
          <w:lang w:eastAsia="he-IL"/>
        </w:rPr>
        <w:t xml:space="preserve">לגבי </w:t>
      </w:r>
      <w:r>
        <w:rPr>
          <w:rFonts w:ascii="Times" w:hAnsi="Times"/>
          <w:b/>
          <w:bCs/>
          <w:noProof w:val="0"/>
          <w:sz w:val="26"/>
          <w:szCs w:val="26"/>
          <w:rtl/>
          <w:lang w:eastAsia="he-IL"/>
        </w:rPr>
        <w:t>האירוע השני</w:t>
      </w:r>
      <w:r>
        <w:rPr>
          <w:rFonts w:ascii="Times" w:hAnsi="Times"/>
          <w:noProof w:val="0"/>
          <w:sz w:val="26"/>
          <w:szCs w:val="26"/>
          <w:rtl/>
          <w:lang w:eastAsia="he-IL"/>
        </w:rPr>
        <w:t xml:space="preserve">, כאמור מדובר בקשר לרצוח את מומי קסנטיני ואת שלום דומראני ובעבירות בנשק שבוצעו במסגרת קשר זה, לרבות הובלת נשק ותחמושת וקשירת הקשר לרכוש רובה צלפים. גם בהקשר זה אין משמעות לכך שמעשי הנאשם לא צלחו, שכן קשירת הקשר כשלעצמה היא עבירה מוגמרת, והתקיימות העבירה אינה מותנית בביצוע הפשע שלגביו נקשר הקשר. במקרה דנן מדובר בקשר המכוון לרצוח בני אדם ובהצטיידות באמל"ח בשל כך. הערכים החברתיים שנפגעו מפעילות זו הם קדושת החיים והגוף וההגנה על שלום הציבור. גם כאן, הנאשם לא ביצע את מעשיו בחמת זעם רגעית אלא על פי תכנון ומחשבה, ומדובר בשרשרת ארוכה של מעשים המלמדים על נחישותו של הנאשם לממש את מטרתו. הנזק שהיה עלול להיגרם מביצוע העבירות הוא חמור ביותר, וחיי אדם עלולים היו להיפגע. אכן, בפועל לא נגרם כל נזק, אולם לא הנאשם הוא שהשפיע על כך. </w:t>
      </w:r>
    </w:p>
    <w:p w14:paraId="6511CEE6" w14:textId="77777777" w:rsidR="00035899" w:rsidRDefault="000259C4">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בניגוד לטענות הסנגור, כתב האישום המתוקן אינו מצביע על כך שעד המדינה השפיע על הנאשם בביצוע העבירות (ראו </w:t>
      </w:r>
      <w:hyperlink r:id="rId49" w:history="1">
        <w:r w:rsidR="00C46F4A" w:rsidRPr="00C46F4A">
          <w:rPr>
            <w:rFonts w:ascii="Times" w:hAnsi="Times"/>
            <w:noProof w:val="0"/>
            <w:color w:val="0000FF"/>
            <w:sz w:val="26"/>
            <w:szCs w:val="26"/>
            <w:u w:val="single"/>
            <w:rtl/>
            <w:lang w:eastAsia="he-IL"/>
          </w:rPr>
          <w:t>סעיף 40י(ד)</w:t>
        </w:r>
      </w:hyperlink>
      <w:r>
        <w:rPr>
          <w:rFonts w:ascii="Times" w:hAnsi="Times"/>
          <w:noProof w:val="0"/>
          <w:sz w:val="26"/>
          <w:szCs w:val="26"/>
          <w:rtl/>
          <w:lang w:eastAsia="he-IL"/>
        </w:rPr>
        <w:t xml:space="preserve"> ל</w:t>
      </w:r>
      <w:hyperlink r:id="rId50" w:history="1">
        <w:r w:rsidRPr="000259C4">
          <w:rPr>
            <w:rFonts w:ascii="Times" w:hAnsi="Times"/>
            <w:noProof w:val="0"/>
            <w:color w:val="0000FF"/>
            <w:sz w:val="26"/>
            <w:szCs w:val="26"/>
            <w:u w:val="single"/>
            <w:rtl/>
            <w:lang w:eastAsia="he-IL"/>
          </w:rPr>
          <w:t>חוק העונשין</w:t>
        </w:r>
      </w:hyperlink>
      <w:r>
        <w:rPr>
          <w:rFonts w:ascii="Times" w:hAnsi="Times"/>
          <w:noProof w:val="0"/>
          <w:sz w:val="26"/>
          <w:szCs w:val="26"/>
          <w:rtl/>
          <w:lang w:eastAsia="he-IL"/>
        </w:rPr>
        <w:t xml:space="preserve">, שלפיו כתב האישום שבעובדותיו הודה הנאשם, יכלול "את כל העובדות והנסיבות הקשורות בביצוע העבירה"). </w:t>
      </w:r>
    </w:p>
    <w:p w14:paraId="773B2EBC" w14:textId="77777777" w:rsidR="00035899" w:rsidRDefault="000259C4">
      <w:pPr>
        <w:spacing w:line="360" w:lineRule="auto"/>
        <w:jc w:val="both"/>
        <w:rPr>
          <w:rFonts w:ascii="Times" w:hAnsi="Times"/>
          <w:noProof w:val="0"/>
          <w:sz w:val="26"/>
          <w:szCs w:val="26"/>
          <w:rtl/>
          <w:lang w:eastAsia="he-IL"/>
        </w:rPr>
      </w:pPr>
      <w:r>
        <w:rPr>
          <w:rFonts w:ascii="Times" w:hAnsi="Times"/>
          <w:noProof w:val="0"/>
          <w:sz w:val="26"/>
          <w:szCs w:val="26"/>
          <w:rtl/>
          <w:lang w:eastAsia="he-IL"/>
        </w:rPr>
        <w:t xml:space="preserve">בשים לב למכלול הנסיבות, אנו קובעים כי מתחם העונש ההולם בגין האירוע השני (האישומים השני עד השביעי) הוא 10-6 שנות מאסר בפועל. </w:t>
      </w:r>
    </w:p>
    <w:p w14:paraId="347CD2B1" w14:textId="77777777" w:rsidR="00035899" w:rsidRDefault="00035899">
      <w:pPr>
        <w:spacing w:line="360" w:lineRule="auto"/>
        <w:jc w:val="both"/>
        <w:rPr>
          <w:rFonts w:ascii="Times" w:hAnsi="Times"/>
          <w:noProof w:val="0"/>
          <w:sz w:val="26"/>
          <w:szCs w:val="26"/>
          <w:rtl/>
          <w:lang w:eastAsia="he-IL"/>
        </w:rPr>
      </w:pPr>
    </w:p>
    <w:p w14:paraId="33AB9576" w14:textId="77777777" w:rsidR="00035899" w:rsidRDefault="000259C4">
      <w:pPr>
        <w:numPr>
          <w:ilvl w:val="0"/>
          <w:numId w:val="1"/>
        </w:numPr>
        <w:tabs>
          <w:tab w:val="num" w:pos="720"/>
        </w:tabs>
        <w:spacing w:after="200" w:line="360" w:lineRule="auto"/>
        <w:ind w:left="0" w:firstLine="0"/>
        <w:jc w:val="both"/>
        <w:rPr>
          <w:rFonts w:ascii="Times" w:hAnsi="Times"/>
          <w:noProof w:val="0"/>
          <w:sz w:val="26"/>
          <w:szCs w:val="26"/>
          <w:lang w:eastAsia="he-IL"/>
        </w:rPr>
      </w:pPr>
      <w:r>
        <w:rPr>
          <w:rFonts w:ascii="Times" w:hAnsi="Times"/>
          <w:b/>
          <w:bCs/>
          <w:noProof w:val="0"/>
          <w:sz w:val="26"/>
          <w:szCs w:val="26"/>
          <w:rtl/>
          <w:lang w:eastAsia="he-IL"/>
        </w:rPr>
        <w:t>בחינת הסדר הטיעון על פי מבחן האיזון</w:t>
      </w:r>
      <w:r>
        <w:rPr>
          <w:rFonts w:ascii="Times" w:hAnsi="Times"/>
          <w:noProof w:val="0"/>
          <w:sz w:val="26"/>
          <w:szCs w:val="26"/>
          <w:rtl/>
          <w:lang w:eastAsia="he-IL"/>
        </w:rPr>
        <w:t xml:space="preserve"> – מכלול השיקולים שהובילו את הצדדים להגיע להסדר טיעון, כפי שפורט בטיעוניהם, מוביל למסקנה שהסדר הטיעון הוא סביר בנסיבות הכוללות, הגם שאלמלא הסדר הטיעון היה מקום להטיל על הנאשם עונש חמור יותר, ולפיכך החלטנו לכבדו.</w:t>
      </w:r>
    </w:p>
    <w:p w14:paraId="58919C71" w14:textId="77777777" w:rsidR="00035899" w:rsidRDefault="000259C4">
      <w:pPr>
        <w:spacing w:line="360" w:lineRule="auto"/>
        <w:jc w:val="both"/>
        <w:rPr>
          <w:noProof w:val="0"/>
          <w:sz w:val="26"/>
          <w:szCs w:val="26"/>
          <w:rtl/>
          <w:lang w:eastAsia="he-IL"/>
        </w:rPr>
      </w:pPr>
      <w:r>
        <w:rPr>
          <w:noProof w:val="0"/>
          <w:sz w:val="26"/>
          <w:szCs w:val="26"/>
          <w:rtl/>
          <w:lang w:eastAsia="he-IL"/>
        </w:rPr>
        <w:t xml:space="preserve">לאור נסיבות מקרה זה ונוכח הסדר הטיעון שנערך בין הצדדים, ושיש בדעתנו לכבדו, בהיותו כאמור סביר בנסיבות העניין, אנו סבורים כי ראוי לעשות שימוש בסמכותנו לפי </w:t>
      </w:r>
      <w:hyperlink r:id="rId51" w:history="1">
        <w:r w:rsidR="00C46F4A" w:rsidRPr="00C46F4A">
          <w:rPr>
            <w:noProof w:val="0"/>
            <w:color w:val="0000FF"/>
            <w:sz w:val="26"/>
            <w:szCs w:val="26"/>
            <w:u w:val="single"/>
            <w:rtl/>
            <w:lang w:eastAsia="he-IL"/>
          </w:rPr>
          <w:t>סעיף 40יג(ב)</w:t>
        </w:r>
      </w:hyperlink>
      <w:r>
        <w:rPr>
          <w:noProof w:val="0"/>
          <w:sz w:val="26"/>
          <w:szCs w:val="26"/>
          <w:rtl/>
          <w:lang w:eastAsia="he-IL"/>
        </w:rPr>
        <w:t xml:space="preserve"> ל</w:t>
      </w:r>
      <w:hyperlink r:id="rId52" w:history="1">
        <w:r w:rsidRPr="000259C4">
          <w:rPr>
            <w:noProof w:val="0"/>
            <w:color w:val="0000FF"/>
            <w:sz w:val="26"/>
            <w:szCs w:val="26"/>
            <w:u w:val="single"/>
            <w:rtl/>
            <w:lang w:eastAsia="he-IL"/>
          </w:rPr>
          <w:t>חוק העונשין</w:t>
        </w:r>
      </w:hyperlink>
      <w:r>
        <w:rPr>
          <w:noProof w:val="0"/>
          <w:sz w:val="26"/>
          <w:szCs w:val="26"/>
          <w:rtl/>
          <w:lang w:eastAsia="he-IL"/>
        </w:rPr>
        <w:t xml:space="preserve"> ולגזור על הנאשם עונש כולל לכל (לשני) האירועים.</w:t>
      </w:r>
    </w:p>
    <w:p w14:paraId="652B8D51" w14:textId="77777777" w:rsidR="00035899" w:rsidRDefault="00035899">
      <w:pPr>
        <w:spacing w:line="360" w:lineRule="auto"/>
        <w:jc w:val="both"/>
        <w:rPr>
          <w:noProof w:val="0"/>
          <w:sz w:val="26"/>
          <w:szCs w:val="26"/>
          <w:rtl/>
          <w:lang w:eastAsia="he-IL"/>
        </w:rPr>
      </w:pPr>
    </w:p>
    <w:p w14:paraId="52D93657" w14:textId="77777777" w:rsidR="00035899" w:rsidRDefault="000259C4">
      <w:pPr>
        <w:numPr>
          <w:ilvl w:val="0"/>
          <w:numId w:val="1"/>
        </w:numPr>
        <w:tabs>
          <w:tab w:val="num" w:pos="720"/>
        </w:tabs>
        <w:spacing w:after="200" w:line="360" w:lineRule="auto"/>
        <w:ind w:left="0" w:firstLine="0"/>
        <w:jc w:val="both"/>
        <w:rPr>
          <w:rFonts w:ascii="Times" w:hAnsi="Times"/>
          <w:noProof w:val="0"/>
          <w:sz w:val="26"/>
          <w:szCs w:val="26"/>
          <w:lang w:eastAsia="he-IL"/>
        </w:rPr>
      </w:pPr>
      <w:r>
        <w:rPr>
          <w:rFonts w:ascii="Times" w:hAnsi="Times"/>
          <w:b/>
          <w:bCs/>
          <w:noProof w:val="0"/>
          <w:sz w:val="26"/>
          <w:szCs w:val="26"/>
          <w:rtl/>
          <w:lang w:eastAsia="he-IL"/>
        </w:rPr>
        <w:t>גזירת העונש המתאים</w:t>
      </w:r>
      <w:r>
        <w:rPr>
          <w:rFonts w:ascii="Times" w:hAnsi="Times"/>
          <w:noProof w:val="0"/>
          <w:sz w:val="26"/>
          <w:szCs w:val="26"/>
          <w:rtl/>
          <w:lang w:eastAsia="he-IL"/>
        </w:rPr>
        <w:t xml:space="preserve"> –בגזירת העונש המתאים לנאשם, רשאי בית המשפט להתחשב בהתקיימות נסיבות שאינן קשורות בביצוע העבירה, כמפורט </w:t>
      </w:r>
      <w:hyperlink r:id="rId53" w:history="1">
        <w:r w:rsidR="00C46F4A" w:rsidRPr="00C46F4A">
          <w:rPr>
            <w:rFonts w:ascii="Times" w:hAnsi="Times"/>
            <w:noProof w:val="0"/>
            <w:color w:val="0000FF"/>
            <w:sz w:val="26"/>
            <w:szCs w:val="26"/>
            <w:u w:val="single"/>
            <w:rtl/>
            <w:lang w:eastAsia="he-IL"/>
          </w:rPr>
          <w:t>בסעיף 40יא</w:t>
        </w:r>
      </w:hyperlink>
      <w:r>
        <w:rPr>
          <w:rFonts w:ascii="Times" w:hAnsi="Times"/>
          <w:noProof w:val="0"/>
          <w:sz w:val="26"/>
          <w:szCs w:val="26"/>
          <w:rtl/>
          <w:lang w:eastAsia="he-IL"/>
        </w:rPr>
        <w:t xml:space="preserve"> ל</w:t>
      </w:r>
      <w:hyperlink r:id="rId54" w:history="1">
        <w:r w:rsidRPr="000259C4">
          <w:rPr>
            <w:rFonts w:ascii="Times" w:hAnsi="Times"/>
            <w:noProof w:val="0"/>
            <w:color w:val="0000FF"/>
            <w:sz w:val="26"/>
            <w:szCs w:val="26"/>
            <w:u w:val="single"/>
            <w:rtl/>
            <w:lang w:eastAsia="he-IL"/>
          </w:rPr>
          <w:t>חוק העונשין</w:t>
        </w:r>
      </w:hyperlink>
      <w:r>
        <w:rPr>
          <w:rFonts w:ascii="Times" w:hAnsi="Times"/>
          <w:noProof w:val="0"/>
          <w:sz w:val="26"/>
          <w:szCs w:val="26"/>
          <w:rtl/>
          <w:lang w:eastAsia="he-IL"/>
        </w:rPr>
        <w:t>. כמו כן רשאי בית המשפט להתחשב בשיקולי הרתעה אישית (</w:t>
      </w:r>
      <w:hyperlink r:id="rId55" w:history="1">
        <w:r w:rsidR="00C46F4A" w:rsidRPr="00C46F4A">
          <w:rPr>
            <w:rFonts w:ascii="Times" w:hAnsi="Times"/>
            <w:noProof w:val="0"/>
            <w:color w:val="0000FF"/>
            <w:sz w:val="26"/>
            <w:szCs w:val="26"/>
            <w:u w:val="single"/>
            <w:rtl/>
            <w:lang w:eastAsia="he-IL"/>
          </w:rPr>
          <w:t>סעיף 40ו</w:t>
        </w:r>
      </w:hyperlink>
      <w:r>
        <w:rPr>
          <w:rFonts w:ascii="Times" w:hAnsi="Times"/>
          <w:noProof w:val="0"/>
          <w:sz w:val="26"/>
          <w:szCs w:val="26"/>
          <w:rtl/>
          <w:lang w:eastAsia="he-IL"/>
        </w:rPr>
        <w:t xml:space="preserve"> ל</w:t>
      </w:r>
      <w:hyperlink r:id="rId56" w:history="1">
        <w:r w:rsidRPr="000259C4">
          <w:rPr>
            <w:rFonts w:ascii="Times" w:hAnsi="Times"/>
            <w:noProof w:val="0"/>
            <w:color w:val="0000FF"/>
            <w:sz w:val="26"/>
            <w:szCs w:val="26"/>
            <w:u w:val="single"/>
            <w:rtl/>
            <w:lang w:eastAsia="he-IL"/>
          </w:rPr>
          <w:t>חוק העונשין</w:t>
        </w:r>
      </w:hyperlink>
      <w:r>
        <w:rPr>
          <w:rFonts w:ascii="Times" w:hAnsi="Times"/>
          <w:noProof w:val="0"/>
          <w:sz w:val="26"/>
          <w:szCs w:val="26"/>
          <w:rtl/>
          <w:lang w:eastAsia="he-IL"/>
        </w:rPr>
        <w:t>) והרתעת הרבים (</w:t>
      </w:r>
      <w:hyperlink r:id="rId57" w:history="1">
        <w:r w:rsidR="00C46F4A" w:rsidRPr="00C46F4A">
          <w:rPr>
            <w:rFonts w:ascii="Times" w:hAnsi="Times"/>
            <w:noProof w:val="0"/>
            <w:color w:val="0000FF"/>
            <w:sz w:val="26"/>
            <w:szCs w:val="26"/>
            <w:u w:val="single"/>
            <w:rtl/>
            <w:lang w:eastAsia="he-IL"/>
          </w:rPr>
          <w:t>סעיף 40ז</w:t>
        </w:r>
      </w:hyperlink>
      <w:r>
        <w:rPr>
          <w:rFonts w:ascii="Times" w:hAnsi="Times"/>
          <w:noProof w:val="0"/>
          <w:sz w:val="26"/>
          <w:szCs w:val="26"/>
          <w:rtl/>
          <w:lang w:eastAsia="he-IL"/>
        </w:rPr>
        <w:t xml:space="preserve"> לחוק העונשין), ובלבד שהעונש לא יחרוג ממתחם העונש ההולם.</w:t>
      </w:r>
    </w:p>
    <w:p w14:paraId="7206803E" w14:textId="77777777" w:rsidR="00035899" w:rsidRDefault="000259C4">
      <w:pPr>
        <w:numPr>
          <w:ilvl w:val="0"/>
          <w:numId w:val="1"/>
        </w:numPr>
        <w:tabs>
          <w:tab w:val="num" w:pos="720"/>
        </w:tabs>
        <w:spacing w:after="200" w:line="360" w:lineRule="auto"/>
        <w:ind w:left="0" w:firstLine="0"/>
        <w:jc w:val="both"/>
        <w:rPr>
          <w:rFonts w:ascii="Times" w:hAnsi="Times"/>
          <w:noProof w:val="0"/>
          <w:sz w:val="26"/>
          <w:szCs w:val="26"/>
          <w:lang w:eastAsia="he-IL"/>
        </w:rPr>
      </w:pPr>
      <w:r>
        <w:rPr>
          <w:rFonts w:ascii="Times" w:hAnsi="Times"/>
          <w:noProof w:val="0"/>
          <w:sz w:val="26"/>
          <w:szCs w:val="26"/>
          <w:rtl/>
          <w:lang w:eastAsia="he-IL"/>
        </w:rPr>
        <w:t xml:space="preserve">אין לקבל את הטענה של ההגנה כי יש להקל בעונשו של הנאשם בשל הקשיים הראייתיים. כבר נפסק כי הסדר טיעון מגלם בתוכו את המשקל שנתנו הצדדים לקשיים הראייתיים בתיק, וכי אין מקום שבית המשפט ייתן להם משקל נוסף לקולא. על בית המשפט לבחון את הסדר הטיעון על פי עובדות כתב האישום המתוקן שבהן הודה הנאשם, והקשיים הראייתיים אינם צריכים לבוא בגדר שיקוליו, שכן אין כל סיבה שהנאשם ייהנה פעם נוספת מאותם קשיים ראייתיים (ראו: </w:t>
      </w:r>
      <w:hyperlink r:id="rId58" w:history="1">
        <w:r w:rsidRPr="000259C4">
          <w:rPr>
            <w:rFonts w:ascii="Times" w:hAnsi="Times"/>
            <w:noProof w:val="0"/>
            <w:color w:val="0000FF"/>
            <w:sz w:val="26"/>
            <w:szCs w:val="26"/>
            <w:u w:val="single"/>
            <w:rtl/>
            <w:lang w:eastAsia="he-IL"/>
          </w:rPr>
          <w:t>ע"פ 2562/10</w:t>
        </w:r>
      </w:hyperlink>
      <w:r>
        <w:rPr>
          <w:rFonts w:ascii="Times" w:hAnsi="Times"/>
          <w:noProof w:val="0"/>
          <w:sz w:val="26"/>
          <w:szCs w:val="26"/>
          <w:rtl/>
          <w:lang w:eastAsia="he-IL"/>
        </w:rPr>
        <w:t xml:space="preserve"> </w:t>
      </w:r>
      <w:r>
        <w:rPr>
          <w:rFonts w:ascii="Times" w:hAnsi="Times"/>
          <w:b/>
          <w:bCs/>
          <w:noProof w:val="0"/>
          <w:sz w:val="26"/>
          <w:szCs w:val="26"/>
          <w:rtl/>
          <w:lang w:eastAsia="he-IL"/>
        </w:rPr>
        <w:t>באדיר נ' מדינת ישראל</w:t>
      </w:r>
      <w:r>
        <w:rPr>
          <w:rFonts w:ascii="Times" w:hAnsi="Times"/>
          <w:noProof w:val="0"/>
          <w:sz w:val="26"/>
          <w:szCs w:val="26"/>
          <w:rtl/>
          <w:lang w:eastAsia="he-IL"/>
        </w:rPr>
        <w:t xml:space="preserve">, בפסקה 8 לחוות דעתה של השופטת ע' ארבל (2/4/12); </w:t>
      </w:r>
      <w:hyperlink r:id="rId59" w:history="1">
        <w:r w:rsidRPr="000259C4">
          <w:rPr>
            <w:rFonts w:ascii="Times" w:hAnsi="Times"/>
            <w:noProof w:val="0"/>
            <w:color w:val="0000FF"/>
            <w:sz w:val="26"/>
            <w:szCs w:val="26"/>
            <w:u w:val="single"/>
            <w:rtl/>
            <w:lang w:eastAsia="he-IL"/>
          </w:rPr>
          <w:t>ע"פ 8750/12</w:t>
        </w:r>
      </w:hyperlink>
      <w:r>
        <w:rPr>
          <w:rFonts w:ascii="Times" w:hAnsi="Times"/>
          <w:noProof w:val="0"/>
          <w:sz w:val="26"/>
          <w:szCs w:val="26"/>
          <w:rtl/>
          <w:lang w:eastAsia="he-IL"/>
        </w:rPr>
        <w:t xml:space="preserve"> </w:t>
      </w:r>
      <w:r>
        <w:rPr>
          <w:rFonts w:ascii="Times" w:hAnsi="Times"/>
          <w:b/>
          <w:bCs/>
          <w:noProof w:val="0"/>
          <w:sz w:val="26"/>
          <w:szCs w:val="26"/>
          <w:rtl/>
          <w:lang w:eastAsia="he-IL"/>
        </w:rPr>
        <w:t>טומשצ'וק נ' מדינת ישראל</w:t>
      </w:r>
      <w:r>
        <w:rPr>
          <w:rFonts w:ascii="Times" w:hAnsi="Times"/>
          <w:noProof w:val="0"/>
          <w:sz w:val="26"/>
          <w:szCs w:val="26"/>
          <w:rtl/>
          <w:lang w:eastAsia="he-IL"/>
        </w:rPr>
        <w:t xml:space="preserve">, בפסקה 16 (12/5/14)). </w:t>
      </w:r>
    </w:p>
    <w:p w14:paraId="7E72C627" w14:textId="77777777" w:rsidR="00035899" w:rsidRDefault="000259C4">
      <w:pPr>
        <w:numPr>
          <w:ilvl w:val="0"/>
          <w:numId w:val="1"/>
        </w:numPr>
        <w:tabs>
          <w:tab w:val="num" w:pos="720"/>
        </w:tabs>
        <w:spacing w:after="200" w:line="360" w:lineRule="auto"/>
        <w:ind w:left="0" w:firstLine="0"/>
        <w:jc w:val="both"/>
        <w:rPr>
          <w:rFonts w:ascii="Times" w:hAnsi="Times"/>
          <w:noProof w:val="0"/>
          <w:sz w:val="26"/>
          <w:szCs w:val="26"/>
          <w:rtl/>
          <w:lang w:eastAsia="he-IL"/>
        </w:rPr>
      </w:pPr>
      <w:r>
        <w:rPr>
          <w:noProof w:val="0"/>
          <w:sz w:val="26"/>
          <w:szCs w:val="26"/>
          <w:rtl/>
          <w:lang w:eastAsia="he-IL"/>
        </w:rPr>
        <w:t xml:space="preserve">במקרה דנן מדובר בעבירות רבות, ואף אין מדובר בהסתבכות הפלילית הראשונה של הנאשם. לחובתו הרשעות בעבירת הריגה ובעבירות אלימות נוספות שבגינן ריצה עונשי מאסר בפועל שאינם קצרים. </w:t>
      </w:r>
      <w:r>
        <w:rPr>
          <w:rFonts w:ascii="Times" w:hAnsi="Times"/>
          <w:noProof w:val="0"/>
          <w:sz w:val="26"/>
          <w:szCs w:val="26"/>
          <w:rtl/>
          <w:lang w:eastAsia="he-IL"/>
        </w:rPr>
        <w:t>כמו כן שקלנו את שיקולי הרתעת היחיד והרתעת הרבים, בהקשר זה של שימוש באלימות ובנשק כאמצעי לפתרון סכסוכים.</w:t>
      </w:r>
    </w:p>
    <w:p w14:paraId="1428BB49" w14:textId="77777777" w:rsidR="00035899" w:rsidRDefault="000259C4">
      <w:pPr>
        <w:spacing w:line="360" w:lineRule="auto"/>
        <w:jc w:val="both"/>
        <w:rPr>
          <w:rFonts w:ascii="Times" w:hAnsi="Times"/>
          <w:noProof w:val="0"/>
          <w:sz w:val="26"/>
          <w:szCs w:val="26"/>
          <w:rtl/>
          <w:lang w:eastAsia="he-IL"/>
        </w:rPr>
      </w:pPr>
      <w:r>
        <w:rPr>
          <w:noProof w:val="0"/>
          <w:sz w:val="26"/>
          <w:szCs w:val="26"/>
          <w:rtl/>
          <w:lang w:eastAsia="he-IL"/>
        </w:rPr>
        <w:t xml:space="preserve">מנגד, שקלנו לקולא את הודאת הנאשם, את נטילת האחריות שלו על מעשיו, את החיסכון בזמן השיפוטי </w:t>
      </w:r>
      <w:r>
        <w:rPr>
          <w:rFonts w:ascii="Times" w:hAnsi="Times"/>
          <w:noProof w:val="0"/>
          <w:sz w:val="26"/>
          <w:szCs w:val="26"/>
          <w:rtl/>
          <w:lang w:eastAsia="he-IL"/>
        </w:rPr>
        <w:t>ובמשאבים הודות להודאתו, ואת נסיבותיו האישיות והמשפחתיות, בהיותו בעל משפחה ואב לילדים קטנים, ש</w:t>
      </w:r>
      <w:r>
        <w:rPr>
          <w:rFonts w:ascii="Times" w:hAnsi="Times"/>
          <w:b/>
          <w:bCs/>
          <w:noProof w:val="0"/>
          <w:sz w:val="26"/>
          <w:szCs w:val="26"/>
          <w:rtl/>
          <w:lang w:eastAsia="he-IL"/>
        </w:rPr>
        <w:t>אחד מהם חולה במחלה גנטית קשה</w:t>
      </w:r>
      <w:r>
        <w:rPr>
          <w:rFonts w:ascii="Times" w:hAnsi="Times"/>
          <w:noProof w:val="0"/>
          <w:sz w:val="26"/>
          <w:szCs w:val="26"/>
          <w:rtl/>
          <w:lang w:eastAsia="he-IL"/>
        </w:rPr>
        <w:t xml:space="preserve"> </w:t>
      </w:r>
      <w:r>
        <w:rPr>
          <w:rFonts w:ascii="Times" w:hAnsi="Times"/>
          <w:b/>
          <w:bCs/>
          <w:noProof w:val="0"/>
          <w:sz w:val="26"/>
          <w:szCs w:val="26"/>
          <w:rtl/>
          <w:lang w:eastAsia="he-IL"/>
        </w:rPr>
        <w:t>של ניוון שרירים</w:t>
      </w:r>
      <w:r>
        <w:rPr>
          <w:rFonts w:ascii="Times" w:hAnsi="Times"/>
          <w:noProof w:val="0"/>
          <w:sz w:val="26"/>
          <w:szCs w:val="26"/>
          <w:rtl/>
          <w:lang w:eastAsia="he-IL"/>
        </w:rPr>
        <w:t>.</w:t>
      </w:r>
    </w:p>
    <w:p w14:paraId="79A58F65" w14:textId="77777777" w:rsidR="00035899" w:rsidRDefault="00035899">
      <w:pPr>
        <w:spacing w:line="360" w:lineRule="auto"/>
        <w:jc w:val="both"/>
        <w:rPr>
          <w:rFonts w:ascii="Times" w:hAnsi="Times"/>
          <w:noProof w:val="0"/>
          <w:sz w:val="26"/>
          <w:szCs w:val="26"/>
          <w:rtl/>
          <w:lang w:eastAsia="he-IL"/>
        </w:rPr>
      </w:pPr>
    </w:p>
    <w:p w14:paraId="5F7B1884" w14:textId="77777777" w:rsidR="00035899" w:rsidRDefault="000259C4">
      <w:pPr>
        <w:numPr>
          <w:ilvl w:val="0"/>
          <w:numId w:val="1"/>
        </w:numPr>
        <w:tabs>
          <w:tab w:val="num" w:pos="720"/>
        </w:tabs>
        <w:spacing w:after="200" w:line="360" w:lineRule="auto"/>
        <w:ind w:left="0" w:firstLine="0"/>
        <w:jc w:val="both"/>
        <w:rPr>
          <w:rFonts w:ascii="Times" w:hAnsi="Times"/>
          <w:noProof w:val="0"/>
          <w:sz w:val="26"/>
          <w:szCs w:val="26"/>
          <w:rtl/>
          <w:lang w:eastAsia="he-IL"/>
        </w:rPr>
      </w:pPr>
      <w:r>
        <w:rPr>
          <w:rFonts w:ascii="Times" w:hAnsi="Times"/>
          <w:noProof w:val="0"/>
          <w:sz w:val="26"/>
          <w:szCs w:val="26"/>
          <w:rtl/>
          <w:lang w:eastAsia="he-IL"/>
        </w:rPr>
        <w:t xml:space="preserve">סוף דבר, לאחר </w:t>
      </w:r>
      <w:r>
        <w:rPr>
          <w:noProof w:val="0"/>
          <w:sz w:val="26"/>
          <w:szCs w:val="26"/>
          <w:rtl/>
          <w:lang w:eastAsia="he-IL"/>
        </w:rPr>
        <w:t>שנתנו</w:t>
      </w:r>
      <w:r>
        <w:rPr>
          <w:rFonts w:ascii="Times" w:hAnsi="Times"/>
          <w:noProof w:val="0"/>
          <w:sz w:val="26"/>
          <w:szCs w:val="26"/>
          <w:rtl/>
          <w:lang w:eastAsia="he-IL"/>
        </w:rPr>
        <w:t xml:space="preserve"> </w:t>
      </w:r>
      <w:r>
        <w:rPr>
          <w:noProof w:val="0"/>
          <w:sz w:val="26"/>
          <w:szCs w:val="26"/>
          <w:rtl/>
          <w:lang w:eastAsia="he-IL"/>
        </w:rPr>
        <w:t>דעתנו</w:t>
      </w:r>
      <w:r>
        <w:rPr>
          <w:rFonts w:ascii="Times" w:hAnsi="Times"/>
          <w:noProof w:val="0"/>
          <w:sz w:val="26"/>
          <w:szCs w:val="26"/>
          <w:rtl/>
          <w:lang w:eastAsia="he-IL"/>
        </w:rPr>
        <w:t xml:space="preserve"> למכלול שיקולי הענישה ולכל הנסיבות לחומרה ולקולה וכן לאיזון הראוי ביניהם, החלטנו להטיל על הנאשם </w:t>
      </w:r>
      <w:r>
        <w:rPr>
          <w:rFonts w:ascii="Times" w:hAnsi="Times"/>
          <w:b/>
          <w:bCs/>
          <w:noProof w:val="0"/>
          <w:sz w:val="26"/>
          <w:szCs w:val="26"/>
          <w:rtl/>
          <w:lang w:eastAsia="he-IL"/>
        </w:rPr>
        <w:t>עונש כולל</w:t>
      </w:r>
      <w:r>
        <w:rPr>
          <w:rFonts w:ascii="Times" w:hAnsi="Times"/>
          <w:noProof w:val="0"/>
          <w:sz w:val="26"/>
          <w:szCs w:val="26"/>
          <w:rtl/>
          <w:lang w:eastAsia="he-IL"/>
        </w:rPr>
        <w:t xml:space="preserve"> כדלהלן:</w:t>
      </w:r>
    </w:p>
    <w:p w14:paraId="10685F7D" w14:textId="77777777" w:rsidR="00035899" w:rsidRDefault="000259C4">
      <w:pPr>
        <w:numPr>
          <w:ilvl w:val="1"/>
          <w:numId w:val="1"/>
        </w:numPr>
        <w:spacing w:after="200" w:line="360" w:lineRule="auto"/>
        <w:contextualSpacing/>
        <w:jc w:val="both"/>
        <w:rPr>
          <w:rFonts w:ascii="Calibri" w:hAnsi="Calibri"/>
          <w:noProof w:val="0"/>
          <w:sz w:val="26"/>
          <w:szCs w:val="26"/>
        </w:rPr>
      </w:pPr>
      <w:r>
        <w:rPr>
          <w:rFonts w:ascii="Calibri" w:hAnsi="Calibri" w:hint="eastAsia"/>
          <w:b/>
          <w:bCs/>
          <w:noProof w:val="0"/>
          <w:sz w:val="26"/>
          <w:szCs w:val="26"/>
          <w:rtl/>
        </w:rPr>
        <w:t>שבע</w:t>
      </w:r>
      <w:r>
        <w:rPr>
          <w:rFonts w:ascii="Calibri" w:hAnsi="Calibri"/>
          <w:b/>
          <w:bCs/>
          <w:noProof w:val="0"/>
          <w:sz w:val="26"/>
          <w:szCs w:val="26"/>
          <w:rtl/>
        </w:rPr>
        <w:t xml:space="preserve"> </w:t>
      </w:r>
      <w:r>
        <w:rPr>
          <w:rFonts w:ascii="Calibri" w:hAnsi="Calibri" w:hint="eastAsia"/>
          <w:b/>
          <w:bCs/>
          <w:noProof w:val="0"/>
          <w:sz w:val="26"/>
          <w:szCs w:val="26"/>
          <w:rtl/>
        </w:rPr>
        <w:t>שנות</w:t>
      </w:r>
      <w:r>
        <w:rPr>
          <w:rFonts w:ascii="Calibri" w:hAnsi="Calibri"/>
          <w:b/>
          <w:bCs/>
          <w:noProof w:val="0"/>
          <w:sz w:val="26"/>
          <w:szCs w:val="26"/>
          <w:rtl/>
        </w:rPr>
        <w:t xml:space="preserve"> </w:t>
      </w:r>
      <w:r>
        <w:rPr>
          <w:rFonts w:ascii="Calibri" w:hAnsi="Calibri" w:hint="eastAsia"/>
          <w:b/>
          <w:bCs/>
          <w:noProof w:val="0"/>
          <w:sz w:val="26"/>
          <w:szCs w:val="26"/>
          <w:rtl/>
        </w:rPr>
        <w:t>מאסר</w:t>
      </w:r>
      <w:r>
        <w:rPr>
          <w:rFonts w:ascii="Calibri" w:hAnsi="Calibri"/>
          <w:b/>
          <w:bCs/>
          <w:noProof w:val="0"/>
          <w:sz w:val="26"/>
          <w:szCs w:val="26"/>
          <w:rtl/>
        </w:rPr>
        <w:t xml:space="preserve"> </w:t>
      </w:r>
      <w:r>
        <w:rPr>
          <w:rFonts w:ascii="Calibri" w:hAnsi="Calibri" w:hint="eastAsia"/>
          <w:b/>
          <w:bCs/>
          <w:noProof w:val="0"/>
          <w:sz w:val="26"/>
          <w:szCs w:val="26"/>
          <w:rtl/>
        </w:rPr>
        <w:t>בפועל</w:t>
      </w:r>
      <w:r>
        <w:rPr>
          <w:rFonts w:ascii="Calibri" w:hAnsi="Calibri"/>
          <w:noProof w:val="0"/>
          <w:sz w:val="26"/>
          <w:szCs w:val="26"/>
          <w:rtl/>
        </w:rPr>
        <w:t xml:space="preserve">, </w:t>
      </w:r>
      <w:r>
        <w:rPr>
          <w:rFonts w:ascii="Calibri" w:hAnsi="Calibri" w:hint="eastAsia"/>
          <w:noProof w:val="0"/>
          <w:sz w:val="26"/>
          <w:szCs w:val="26"/>
          <w:rtl/>
        </w:rPr>
        <w:t>שמניינן</w:t>
      </w:r>
      <w:r>
        <w:rPr>
          <w:rFonts w:ascii="Calibri" w:hAnsi="Calibri"/>
          <w:noProof w:val="0"/>
          <w:sz w:val="26"/>
          <w:szCs w:val="26"/>
          <w:rtl/>
        </w:rPr>
        <w:t xml:space="preserve"> </w:t>
      </w:r>
      <w:r>
        <w:rPr>
          <w:rFonts w:ascii="Calibri" w:hAnsi="Calibri" w:hint="eastAsia"/>
          <w:noProof w:val="0"/>
          <w:sz w:val="26"/>
          <w:szCs w:val="26"/>
          <w:rtl/>
        </w:rPr>
        <w:t>מיום</w:t>
      </w:r>
      <w:r>
        <w:rPr>
          <w:rFonts w:ascii="Calibri" w:hAnsi="Calibri"/>
          <w:noProof w:val="0"/>
          <w:sz w:val="26"/>
          <w:szCs w:val="26"/>
          <w:rtl/>
        </w:rPr>
        <w:t xml:space="preserve"> </w:t>
      </w:r>
      <w:r>
        <w:rPr>
          <w:rFonts w:ascii="Calibri" w:hAnsi="Calibri" w:hint="eastAsia"/>
          <w:noProof w:val="0"/>
          <w:sz w:val="26"/>
          <w:szCs w:val="26"/>
          <w:rtl/>
        </w:rPr>
        <w:t>מעצרו</w:t>
      </w:r>
      <w:r>
        <w:rPr>
          <w:rFonts w:ascii="Calibri" w:hAnsi="Calibri"/>
          <w:noProof w:val="0"/>
          <w:sz w:val="26"/>
          <w:szCs w:val="26"/>
          <w:rtl/>
        </w:rPr>
        <w:t xml:space="preserve"> 19/9/12.</w:t>
      </w:r>
    </w:p>
    <w:p w14:paraId="0F240898" w14:textId="77777777" w:rsidR="00035899" w:rsidRDefault="000259C4">
      <w:pPr>
        <w:numPr>
          <w:ilvl w:val="1"/>
          <w:numId w:val="1"/>
        </w:numPr>
        <w:spacing w:after="200" w:line="360" w:lineRule="auto"/>
        <w:contextualSpacing/>
        <w:jc w:val="both"/>
        <w:rPr>
          <w:rFonts w:ascii="Calibri" w:hAnsi="Calibri"/>
          <w:noProof w:val="0"/>
          <w:sz w:val="26"/>
          <w:szCs w:val="26"/>
        </w:rPr>
      </w:pPr>
      <w:r>
        <w:rPr>
          <w:rFonts w:ascii="Calibri" w:hAnsi="Calibri" w:hint="eastAsia"/>
          <w:noProof w:val="0"/>
          <w:sz w:val="26"/>
          <w:szCs w:val="26"/>
          <w:rtl/>
        </w:rPr>
        <w:t>מאסר</w:t>
      </w:r>
      <w:r>
        <w:rPr>
          <w:rFonts w:ascii="Calibri" w:hAnsi="Calibri"/>
          <w:noProof w:val="0"/>
          <w:sz w:val="26"/>
          <w:szCs w:val="26"/>
          <w:rtl/>
        </w:rPr>
        <w:t xml:space="preserve"> </w:t>
      </w:r>
      <w:r>
        <w:rPr>
          <w:rFonts w:ascii="Calibri" w:hAnsi="Calibri" w:hint="eastAsia"/>
          <w:noProof w:val="0"/>
          <w:sz w:val="26"/>
          <w:szCs w:val="26"/>
          <w:rtl/>
        </w:rPr>
        <w:t>על</w:t>
      </w:r>
      <w:r>
        <w:rPr>
          <w:rFonts w:ascii="Calibri" w:hAnsi="Calibri"/>
          <w:noProof w:val="0"/>
          <w:sz w:val="26"/>
          <w:szCs w:val="26"/>
          <w:rtl/>
        </w:rPr>
        <w:t xml:space="preserve"> </w:t>
      </w:r>
      <w:r>
        <w:rPr>
          <w:rFonts w:ascii="Calibri" w:hAnsi="Calibri" w:hint="eastAsia"/>
          <w:noProof w:val="0"/>
          <w:sz w:val="26"/>
          <w:szCs w:val="26"/>
          <w:rtl/>
        </w:rPr>
        <w:t>תנאי</w:t>
      </w:r>
      <w:r>
        <w:rPr>
          <w:rFonts w:ascii="Calibri" w:hAnsi="Calibri"/>
          <w:noProof w:val="0"/>
          <w:sz w:val="26"/>
          <w:szCs w:val="26"/>
          <w:rtl/>
        </w:rPr>
        <w:t xml:space="preserve"> </w:t>
      </w:r>
      <w:r>
        <w:rPr>
          <w:rFonts w:ascii="Calibri" w:hAnsi="Calibri" w:hint="eastAsia"/>
          <w:noProof w:val="0"/>
          <w:sz w:val="26"/>
          <w:szCs w:val="26"/>
          <w:rtl/>
        </w:rPr>
        <w:t>למשך</w:t>
      </w:r>
      <w:r>
        <w:rPr>
          <w:rFonts w:ascii="Calibri" w:hAnsi="Calibri"/>
          <w:noProof w:val="0"/>
          <w:sz w:val="26"/>
          <w:szCs w:val="26"/>
          <w:rtl/>
        </w:rPr>
        <w:t xml:space="preserve"> </w:t>
      </w:r>
      <w:r>
        <w:rPr>
          <w:rFonts w:ascii="Calibri" w:hAnsi="Calibri" w:hint="eastAsia"/>
          <w:noProof w:val="0"/>
          <w:sz w:val="26"/>
          <w:szCs w:val="26"/>
          <w:rtl/>
        </w:rPr>
        <w:t>שנתיים</w:t>
      </w:r>
      <w:r>
        <w:rPr>
          <w:rFonts w:ascii="Calibri" w:hAnsi="Calibri"/>
          <w:noProof w:val="0"/>
          <w:sz w:val="26"/>
          <w:szCs w:val="26"/>
          <w:rtl/>
        </w:rPr>
        <w:t xml:space="preserve">, </w:t>
      </w:r>
      <w:r>
        <w:rPr>
          <w:rFonts w:ascii="Calibri" w:hAnsi="Calibri" w:hint="eastAsia"/>
          <w:noProof w:val="0"/>
          <w:sz w:val="26"/>
          <w:szCs w:val="26"/>
          <w:rtl/>
        </w:rPr>
        <w:t>והתנאי</w:t>
      </w:r>
      <w:r>
        <w:rPr>
          <w:rFonts w:ascii="Calibri" w:hAnsi="Calibri"/>
          <w:noProof w:val="0"/>
          <w:sz w:val="26"/>
          <w:szCs w:val="26"/>
          <w:rtl/>
        </w:rPr>
        <w:t xml:space="preserve"> </w:t>
      </w:r>
      <w:r>
        <w:rPr>
          <w:rFonts w:ascii="Calibri" w:hAnsi="Calibri" w:hint="eastAsia"/>
          <w:noProof w:val="0"/>
          <w:sz w:val="26"/>
          <w:szCs w:val="26"/>
          <w:rtl/>
        </w:rPr>
        <w:t>הוא</w:t>
      </w:r>
      <w:r>
        <w:rPr>
          <w:rFonts w:ascii="Calibri" w:hAnsi="Calibri"/>
          <w:noProof w:val="0"/>
          <w:sz w:val="26"/>
          <w:szCs w:val="26"/>
          <w:rtl/>
        </w:rPr>
        <w:t xml:space="preserve"> </w:t>
      </w:r>
      <w:r>
        <w:rPr>
          <w:rFonts w:ascii="Calibri" w:hAnsi="Calibri" w:hint="eastAsia"/>
          <w:noProof w:val="0"/>
          <w:sz w:val="26"/>
          <w:szCs w:val="26"/>
          <w:rtl/>
        </w:rPr>
        <w:t>שהנאשם</w:t>
      </w:r>
      <w:r>
        <w:rPr>
          <w:rFonts w:ascii="Calibri" w:hAnsi="Calibri"/>
          <w:noProof w:val="0"/>
          <w:sz w:val="26"/>
          <w:szCs w:val="26"/>
          <w:rtl/>
        </w:rPr>
        <w:t xml:space="preserve"> </w:t>
      </w:r>
      <w:r>
        <w:rPr>
          <w:rFonts w:ascii="Calibri" w:hAnsi="Calibri" w:hint="eastAsia"/>
          <w:noProof w:val="0"/>
          <w:sz w:val="26"/>
          <w:szCs w:val="26"/>
          <w:rtl/>
        </w:rPr>
        <w:t>לא</w:t>
      </w:r>
      <w:r>
        <w:rPr>
          <w:rFonts w:ascii="Calibri" w:hAnsi="Calibri"/>
          <w:noProof w:val="0"/>
          <w:sz w:val="26"/>
          <w:szCs w:val="26"/>
          <w:rtl/>
        </w:rPr>
        <w:t xml:space="preserve"> </w:t>
      </w:r>
      <w:r>
        <w:rPr>
          <w:rFonts w:ascii="Calibri" w:hAnsi="Calibri" w:hint="eastAsia"/>
          <w:noProof w:val="0"/>
          <w:sz w:val="26"/>
          <w:szCs w:val="26"/>
          <w:rtl/>
        </w:rPr>
        <w:t>יעבור</w:t>
      </w:r>
      <w:r>
        <w:rPr>
          <w:rFonts w:ascii="Calibri" w:hAnsi="Calibri"/>
          <w:noProof w:val="0"/>
          <w:sz w:val="26"/>
          <w:szCs w:val="26"/>
          <w:rtl/>
        </w:rPr>
        <w:t xml:space="preserve"> </w:t>
      </w:r>
      <w:r>
        <w:rPr>
          <w:rFonts w:ascii="Calibri" w:hAnsi="Calibri" w:hint="eastAsia"/>
          <w:noProof w:val="0"/>
          <w:sz w:val="26"/>
          <w:szCs w:val="26"/>
          <w:rtl/>
        </w:rPr>
        <w:t>כל</w:t>
      </w:r>
      <w:r>
        <w:rPr>
          <w:rFonts w:ascii="Calibri" w:hAnsi="Calibri"/>
          <w:noProof w:val="0"/>
          <w:sz w:val="26"/>
          <w:szCs w:val="26"/>
          <w:rtl/>
        </w:rPr>
        <w:t xml:space="preserve"> </w:t>
      </w:r>
      <w:r>
        <w:rPr>
          <w:rFonts w:ascii="Calibri" w:hAnsi="Calibri" w:hint="eastAsia"/>
          <w:noProof w:val="0"/>
          <w:sz w:val="26"/>
          <w:szCs w:val="26"/>
          <w:rtl/>
        </w:rPr>
        <w:t>עבירה</w:t>
      </w:r>
      <w:r>
        <w:rPr>
          <w:rFonts w:ascii="Calibri" w:hAnsi="Calibri"/>
          <w:noProof w:val="0"/>
          <w:sz w:val="26"/>
          <w:szCs w:val="26"/>
          <w:rtl/>
        </w:rPr>
        <w:t xml:space="preserve"> </w:t>
      </w:r>
      <w:r>
        <w:rPr>
          <w:rFonts w:ascii="Calibri" w:hAnsi="Calibri" w:hint="eastAsia"/>
          <w:noProof w:val="0"/>
          <w:sz w:val="26"/>
          <w:szCs w:val="26"/>
          <w:rtl/>
        </w:rPr>
        <w:t>מסוג</w:t>
      </w:r>
      <w:r>
        <w:rPr>
          <w:rFonts w:ascii="Calibri" w:hAnsi="Calibri"/>
          <w:noProof w:val="0"/>
          <w:sz w:val="26"/>
          <w:szCs w:val="26"/>
          <w:rtl/>
        </w:rPr>
        <w:t xml:space="preserve"> </w:t>
      </w:r>
      <w:r>
        <w:rPr>
          <w:rFonts w:ascii="Calibri" w:hAnsi="Calibri" w:hint="eastAsia"/>
          <w:noProof w:val="0"/>
          <w:sz w:val="26"/>
          <w:szCs w:val="26"/>
          <w:rtl/>
        </w:rPr>
        <w:t>פשע</w:t>
      </w:r>
      <w:r>
        <w:rPr>
          <w:rFonts w:ascii="Calibri" w:hAnsi="Calibri"/>
          <w:noProof w:val="0"/>
          <w:sz w:val="26"/>
          <w:szCs w:val="26"/>
          <w:rtl/>
        </w:rPr>
        <w:t xml:space="preserve"> </w:t>
      </w:r>
      <w:r>
        <w:rPr>
          <w:rFonts w:ascii="Calibri" w:hAnsi="Calibri" w:hint="eastAsia"/>
          <w:noProof w:val="0"/>
          <w:sz w:val="26"/>
          <w:szCs w:val="26"/>
          <w:rtl/>
        </w:rPr>
        <w:t>תוך</w:t>
      </w:r>
      <w:r>
        <w:rPr>
          <w:rFonts w:ascii="Calibri" w:hAnsi="Calibri"/>
          <w:noProof w:val="0"/>
          <w:sz w:val="26"/>
          <w:szCs w:val="26"/>
          <w:rtl/>
        </w:rPr>
        <w:t xml:space="preserve"> 3 </w:t>
      </w:r>
      <w:r>
        <w:rPr>
          <w:rFonts w:ascii="Calibri" w:hAnsi="Calibri" w:hint="eastAsia"/>
          <w:noProof w:val="0"/>
          <w:sz w:val="26"/>
          <w:szCs w:val="26"/>
          <w:rtl/>
        </w:rPr>
        <w:t>שנים</w:t>
      </w:r>
      <w:r>
        <w:rPr>
          <w:rFonts w:ascii="Calibri" w:hAnsi="Calibri"/>
          <w:noProof w:val="0"/>
          <w:sz w:val="26"/>
          <w:szCs w:val="26"/>
          <w:rtl/>
        </w:rPr>
        <w:t xml:space="preserve"> </w:t>
      </w:r>
      <w:r>
        <w:rPr>
          <w:rFonts w:ascii="Calibri" w:hAnsi="Calibri" w:hint="eastAsia"/>
          <w:noProof w:val="0"/>
          <w:sz w:val="26"/>
          <w:szCs w:val="26"/>
          <w:rtl/>
        </w:rPr>
        <w:t>מיום</w:t>
      </w:r>
      <w:r>
        <w:rPr>
          <w:rFonts w:ascii="Calibri" w:hAnsi="Calibri"/>
          <w:noProof w:val="0"/>
          <w:sz w:val="26"/>
          <w:szCs w:val="26"/>
          <w:rtl/>
        </w:rPr>
        <w:t xml:space="preserve"> </w:t>
      </w:r>
      <w:r>
        <w:rPr>
          <w:rFonts w:ascii="Calibri" w:hAnsi="Calibri" w:hint="eastAsia"/>
          <w:noProof w:val="0"/>
          <w:sz w:val="26"/>
          <w:szCs w:val="26"/>
          <w:rtl/>
        </w:rPr>
        <w:t>שחרורו</w:t>
      </w:r>
      <w:r>
        <w:rPr>
          <w:rFonts w:ascii="Calibri" w:hAnsi="Calibri"/>
          <w:noProof w:val="0"/>
          <w:sz w:val="26"/>
          <w:szCs w:val="26"/>
          <w:rtl/>
        </w:rPr>
        <w:t>.</w:t>
      </w:r>
    </w:p>
    <w:p w14:paraId="746A5BF3" w14:textId="77777777" w:rsidR="00035899" w:rsidRDefault="000259C4">
      <w:pPr>
        <w:numPr>
          <w:ilvl w:val="1"/>
          <w:numId w:val="1"/>
        </w:numPr>
        <w:spacing w:after="200" w:line="360" w:lineRule="auto"/>
        <w:contextualSpacing/>
        <w:jc w:val="both"/>
        <w:rPr>
          <w:rFonts w:ascii="Calibri" w:hAnsi="Calibri"/>
          <w:noProof w:val="0"/>
          <w:sz w:val="26"/>
          <w:szCs w:val="26"/>
          <w:rtl/>
        </w:rPr>
      </w:pPr>
      <w:r>
        <w:rPr>
          <w:rFonts w:ascii="Calibri" w:hAnsi="Calibri" w:hint="eastAsia"/>
          <w:noProof w:val="0"/>
          <w:sz w:val="26"/>
          <w:szCs w:val="26"/>
          <w:rtl/>
        </w:rPr>
        <w:t>קנס</w:t>
      </w:r>
      <w:r>
        <w:rPr>
          <w:rFonts w:ascii="Calibri" w:hAnsi="Calibri"/>
          <w:noProof w:val="0"/>
          <w:sz w:val="26"/>
          <w:szCs w:val="26"/>
          <w:rtl/>
        </w:rPr>
        <w:t xml:space="preserve"> </w:t>
      </w:r>
      <w:r>
        <w:rPr>
          <w:rFonts w:ascii="Calibri" w:hAnsi="Calibri" w:hint="eastAsia"/>
          <w:noProof w:val="0"/>
          <w:sz w:val="26"/>
          <w:szCs w:val="26"/>
          <w:rtl/>
        </w:rPr>
        <w:t>בסך</w:t>
      </w:r>
      <w:r>
        <w:rPr>
          <w:rFonts w:ascii="Calibri" w:hAnsi="Calibri"/>
          <w:noProof w:val="0"/>
          <w:sz w:val="26"/>
          <w:szCs w:val="26"/>
          <w:rtl/>
        </w:rPr>
        <w:t xml:space="preserve"> 15,000 </w:t>
      </w:r>
      <w:r>
        <w:rPr>
          <w:rFonts w:ascii="Calibri" w:hAnsi="Calibri" w:hint="eastAsia"/>
          <w:noProof w:val="0"/>
          <w:sz w:val="26"/>
          <w:szCs w:val="26"/>
          <w:rtl/>
        </w:rPr>
        <w:t>ש</w:t>
      </w:r>
      <w:r>
        <w:rPr>
          <w:rFonts w:ascii="Calibri" w:hAnsi="Calibri"/>
          <w:noProof w:val="0"/>
          <w:sz w:val="26"/>
          <w:szCs w:val="26"/>
          <w:rtl/>
        </w:rPr>
        <w:t>"</w:t>
      </w:r>
      <w:r>
        <w:rPr>
          <w:rFonts w:ascii="Calibri" w:hAnsi="Calibri" w:hint="eastAsia"/>
          <w:noProof w:val="0"/>
          <w:sz w:val="26"/>
          <w:szCs w:val="26"/>
          <w:rtl/>
        </w:rPr>
        <w:t>ח</w:t>
      </w:r>
      <w:r>
        <w:rPr>
          <w:rFonts w:ascii="Calibri" w:hAnsi="Calibri"/>
          <w:noProof w:val="0"/>
          <w:sz w:val="26"/>
          <w:szCs w:val="26"/>
          <w:rtl/>
        </w:rPr>
        <w:t xml:space="preserve"> </w:t>
      </w:r>
      <w:r>
        <w:rPr>
          <w:rFonts w:ascii="Calibri" w:hAnsi="Calibri" w:hint="eastAsia"/>
          <w:noProof w:val="0"/>
          <w:sz w:val="26"/>
          <w:szCs w:val="26"/>
          <w:rtl/>
        </w:rPr>
        <w:t>או</w:t>
      </w:r>
      <w:r>
        <w:rPr>
          <w:rFonts w:ascii="Calibri" w:hAnsi="Calibri"/>
          <w:noProof w:val="0"/>
          <w:sz w:val="26"/>
          <w:szCs w:val="26"/>
          <w:rtl/>
        </w:rPr>
        <w:t xml:space="preserve"> 90 </w:t>
      </w:r>
      <w:r>
        <w:rPr>
          <w:rFonts w:ascii="Calibri" w:hAnsi="Calibri" w:hint="eastAsia"/>
          <w:noProof w:val="0"/>
          <w:sz w:val="26"/>
          <w:szCs w:val="26"/>
          <w:rtl/>
        </w:rPr>
        <w:t>ימי</w:t>
      </w:r>
      <w:r>
        <w:rPr>
          <w:rFonts w:ascii="Calibri" w:hAnsi="Calibri"/>
          <w:noProof w:val="0"/>
          <w:sz w:val="26"/>
          <w:szCs w:val="26"/>
          <w:rtl/>
        </w:rPr>
        <w:t xml:space="preserve"> </w:t>
      </w:r>
      <w:r>
        <w:rPr>
          <w:rFonts w:ascii="Calibri" w:hAnsi="Calibri" w:hint="eastAsia"/>
          <w:noProof w:val="0"/>
          <w:sz w:val="26"/>
          <w:szCs w:val="26"/>
          <w:rtl/>
        </w:rPr>
        <w:t>מאסר</w:t>
      </w:r>
      <w:r>
        <w:rPr>
          <w:rFonts w:ascii="Calibri" w:hAnsi="Calibri"/>
          <w:noProof w:val="0"/>
          <w:sz w:val="26"/>
          <w:szCs w:val="26"/>
          <w:rtl/>
        </w:rPr>
        <w:t xml:space="preserve"> </w:t>
      </w:r>
      <w:r>
        <w:rPr>
          <w:rFonts w:ascii="Calibri" w:hAnsi="Calibri" w:hint="eastAsia"/>
          <w:noProof w:val="0"/>
          <w:sz w:val="26"/>
          <w:szCs w:val="26"/>
          <w:rtl/>
        </w:rPr>
        <w:t>תמורתו</w:t>
      </w:r>
      <w:r>
        <w:rPr>
          <w:rFonts w:ascii="Calibri" w:hAnsi="Calibri"/>
          <w:noProof w:val="0"/>
          <w:sz w:val="26"/>
          <w:szCs w:val="26"/>
          <w:rtl/>
        </w:rPr>
        <w:t>.</w:t>
      </w:r>
    </w:p>
    <w:p w14:paraId="2F5663FA" w14:textId="77777777" w:rsidR="00035899" w:rsidRDefault="00035899">
      <w:pPr>
        <w:spacing w:line="360" w:lineRule="auto"/>
        <w:jc w:val="both"/>
        <w:rPr>
          <w:rFonts w:ascii="Times" w:hAnsi="Times"/>
          <w:noProof w:val="0"/>
          <w:sz w:val="26"/>
          <w:szCs w:val="26"/>
          <w:rtl/>
          <w:lang w:eastAsia="he-IL"/>
        </w:rPr>
      </w:pPr>
    </w:p>
    <w:p w14:paraId="20463A79" w14:textId="77777777" w:rsidR="00035899" w:rsidRDefault="000259C4">
      <w:pPr>
        <w:spacing w:line="360" w:lineRule="auto"/>
        <w:jc w:val="both"/>
        <w:rPr>
          <w:rFonts w:ascii="Times" w:hAnsi="Times"/>
          <w:noProof w:val="0"/>
          <w:sz w:val="26"/>
          <w:szCs w:val="26"/>
          <w:rtl/>
          <w:lang w:eastAsia="he-IL"/>
        </w:rPr>
      </w:pPr>
      <w:r>
        <w:rPr>
          <w:rFonts w:ascii="Times" w:hAnsi="Times"/>
          <w:noProof w:val="0"/>
          <w:sz w:val="26"/>
          <w:szCs w:val="26"/>
          <w:rtl/>
          <w:lang w:eastAsia="he-IL"/>
        </w:rPr>
        <w:t>זכות ערעור תוך 45 ימים מהיום</w:t>
      </w:r>
    </w:p>
    <w:p w14:paraId="413E06D4" w14:textId="77777777" w:rsidR="00C46F4A" w:rsidRPr="000259C4" w:rsidRDefault="000259C4" w:rsidP="00C46F4A">
      <w:pPr>
        <w:rPr>
          <w:rFonts w:ascii="Arial" w:hAnsi="Arial"/>
          <w:sz w:val="26"/>
          <w:szCs w:val="26"/>
          <w:rtl/>
        </w:rPr>
      </w:pPr>
      <w:r>
        <w:rPr>
          <w:rFonts w:ascii="Arial" w:hAnsi="Arial"/>
          <w:sz w:val="26"/>
          <w:szCs w:val="26"/>
          <w:rtl/>
        </w:rPr>
        <w:t>ניתן היום,  ז' תשרי תשע"ה, 01 אוקטוב</w:t>
      </w:r>
      <w:bookmarkStart w:id="6" w:name="LawTable"/>
      <w:bookmarkEnd w:id="6"/>
      <w:r w:rsidR="00C46F4A" w:rsidRPr="00C46F4A">
        <w:rPr>
          <w:rFonts w:ascii="Arial" w:hAnsi="Arial"/>
          <w:sz w:val="26"/>
          <w:szCs w:val="26"/>
          <w:rtl/>
        </w:rPr>
        <w:t>ר</w:t>
      </w:r>
    </w:p>
    <w:p w14:paraId="0398C8D0" w14:textId="77777777" w:rsidR="00C46F4A" w:rsidRDefault="00C46F4A">
      <w:pPr>
        <w:rPr>
          <w:rFonts w:ascii="Arial" w:hAnsi="Arial"/>
          <w:sz w:val="26"/>
          <w:szCs w:val="26"/>
          <w:rtl/>
        </w:rPr>
      </w:pPr>
    </w:p>
    <w:p w14:paraId="175C8638" w14:textId="77777777" w:rsidR="00C46F4A" w:rsidRPr="00C46F4A" w:rsidRDefault="00C46F4A" w:rsidP="00C46F4A">
      <w:pPr>
        <w:spacing w:after="120" w:line="240" w:lineRule="exact"/>
        <w:ind w:left="283" w:hanging="283"/>
        <w:jc w:val="both"/>
        <w:rPr>
          <w:rFonts w:ascii="FrankRuehl" w:hAnsi="FrankRuehl" w:cs="FrankRuehl"/>
          <w:rtl/>
        </w:rPr>
      </w:pPr>
    </w:p>
    <w:p w14:paraId="5395BDBA" w14:textId="77777777" w:rsidR="00C46F4A" w:rsidRPr="00C46F4A" w:rsidRDefault="00C46F4A">
      <w:pPr>
        <w:rPr>
          <w:rFonts w:ascii="Arial" w:hAnsi="Arial"/>
          <w:sz w:val="26"/>
          <w:szCs w:val="26"/>
          <w:rtl/>
        </w:rPr>
      </w:pPr>
      <w:bookmarkStart w:id="7" w:name="LawTable_End"/>
      <w:bookmarkEnd w:id="7"/>
    </w:p>
    <w:p w14:paraId="329C68EE" w14:textId="77777777" w:rsidR="00C46F4A" w:rsidRPr="00C46F4A" w:rsidRDefault="00C46F4A">
      <w:pPr>
        <w:rPr>
          <w:rFonts w:ascii="Arial" w:hAnsi="Arial"/>
          <w:sz w:val="26"/>
          <w:szCs w:val="26"/>
          <w:rtl/>
        </w:rPr>
      </w:pPr>
    </w:p>
    <w:p w14:paraId="35723C91" w14:textId="77777777" w:rsidR="000259C4" w:rsidRPr="000259C4" w:rsidRDefault="000259C4">
      <w:pPr>
        <w:rPr>
          <w:rFonts w:ascii="Arial" w:hAnsi="Arial"/>
          <w:sz w:val="26"/>
          <w:szCs w:val="26"/>
          <w:rtl/>
        </w:rPr>
      </w:pPr>
    </w:p>
    <w:p w14:paraId="7A8A52CD" w14:textId="77777777" w:rsidR="00035899" w:rsidRDefault="000259C4">
      <w:pPr>
        <w:rPr>
          <w:sz w:val="26"/>
          <w:szCs w:val="26"/>
          <w:rtl/>
        </w:rPr>
      </w:pPr>
      <w:r w:rsidRPr="000259C4">
        <w:rPr>
          <w:rFonts w:ascii="Arial" w:hAnsi="Arial"/>
          <w:sz w:val="26"/>
          <w:szCs w:val="26"/>
          <w:rtl/>
        </w:rPr>
        <w:t xml:space="preserve"> </w:t>
      </w:r>
      <w:r>
        <w:rPr>
          <w:rFonts w:ascii="Arial" w:hAnsi="Arial"/>
          <w:sz w:val="26"/>
          <w:szCs w:val="26"/>
          <w:rtl/>
        </w:rPr>
        <w:t xml:space="preserve">2014, במעמד הצדדים. </w:t>
      </w:r>
    </w:p>
    <w:p w14:paraId="2797714B" w14:textId="77777777" w:rsidR="00035899" w:rsidRPr="000259C4" w:rsidRDefault="000259C4">
      <w:pPr>
        <w:rPr>
          <w:color w:val="FFFFFF"/>
          <w:sz w:val="2"/>
          <w:szCs w:val="2"/>
          <w:rtl/>
        </w:rPr>
      </w:pPr>
      <w:r w:rsidRPr="000259C4">
        <w:rPr>
          <w:color w:val="FFFFFF"/>
          <w:sz w:val="2"/>
          <w:szCs w:val="2"/>
          <w:rtl/>
        </w:rPr>
        <w:t>5129371</w:t>
      </w:r>
    </w:p>
    <w:tbl>
      <w:tblPr>
        <w:bidiVisual/>
        <w:tblW w:w="0" w:type="auto"/>
        <w:tblLook w:val="01E0" w:firstRow="1" w:lastRow="1" w:firstColumn="1" w:lastColumn="1" w:noHBand="0" w:noVBand="0"/>
      </w:tblPr>
      <w:tblGrid>
        <w:gridCol w:w="2960"/>
        <w:gridCol w:w="236"/>
        <w:gridCol w:w="2289"/>
        <w:gridCol w:w="300"/>
        <w:gridCol w:w="2737"/>
      </w:tblGrid>
      <w:tr w:rsidR="00035899" w14:paraId="27DD1A9F" w14:textId="77777777">
        <w:tc>
          <w:tcPr>
            <w:tcW w:w="2960" w:type="dxa"/>
            <w:tcBorders>
              <w:top w:val="nil"/>
              <w:left w:val="nil"/>
              <w:bottom w:val="single" w:sz="4" w:space="0" w:color="auto"/>
              <w:right w:val="nil"/>
            </w:tcBorders>
            <w:vAlign w:val="center"/>
          </w:tcPr>
          <w:p w14:paraId="77E21698" w14:textId="77777777" w:rsidR="00035899" w:rsidRPr="000259C4" w:rsidRDefault="000259C4">
            <w:pPr>
              <w:jc w:val="center"/>
              <w:rPr>
                <w:rFonts w:ascii="Courier New" w:hAnsi="Courier New"/>
                <w:b/>
                <w:bCs/>
                <w:color w:val="FFFFFF"/>
                <w:sz w:val="2"/>
                <w:szCs w:val="2"/>
              </w:rPr>
            </w:pPr>
            <w:r w:rsidRPr="000259C4">
              <w:rPr>
                <w:rFonts w:ascii="Courier New" w:hAnsi="Courier New"/>
                <w:b/>
                <w:bCs/>
                <w:color w:val="FFFFFF"/>
                <w:sz w:val="2"/>
                <w:szCs w:val="2"/>
                <w:rtl/>
              </w:rPr>
              <w:t>54678313</w:t>
            </w:r>
          </w:p>
        </w:tc>
        <w:tc>
          <w:tcPr>
            <w:tcW w:w="236" w:type="dxa"/>
            <w:vAlign w:val="center"/>
          </w:tcPr>
          <w:p w14:paraId="3789C8F2" w14:textId="77777777" w:rsidR="00035899" w:rsidRDefault="00035899">
            <w:pPr>
              <w:jc w:val="center"/>
              <w:rPr>
                <w:rFonts w:ascii="Courier New" w:hAnsi="Courier New"/>
                <w:b/>
                <w:bCs/>
              </w:rPr>
            </w:pPr>
          </w:p>
        </w:tc>
        <w:tc>
          <w:tcPr>
            <w:tcW w:w="2289" w:type="dxa"/>
            <w:tcBorders>
              <w:top w:val="nil"/>
              <w:left w:val="nil"/>
              <w:bottom w:val="single" w:sz="4" w:space="0" w:color="auto"/>
              <w:right w:val="nil"/>
            </w:tcBorders>
            <w:vAlign w:val="center"/>
          </w:tcPr>
          <w:p w14:paraId="3BEEABFA" w14:textId="77777777" w:rsidR="00035899" w:rsidRDefault="00035899">
            <w:pPr>
              <w:jc w:val="center"/>
              <w:rPr>
                <w:rFonts w:ascii="Courier New" w:hAnsi="Courier New"/>
                <w:b/>
                <w:bCs/>
                <w:sz w:val="20"/>
                <w:szCs w:val="20"/>
              </w:rPr>
            </w:pPr>
          </w:p>
        </w:tc>
        <w:tc>
          <w:tcPr>
            <w:tcW w:w="300" w:type="dxa"/>
            <w:vAlign w:val="center"/>
          </w:tcPr>
          <w:p w14:paraId="4E487B46" w14:textId="77777777" w:rsidR="00035899" w:rsidRDefault="00035899">
            <w:pPr>
              <w:jc w:val="center"/>
              <w:rPr>
                <w:rFonts w:ascii="Courier New" w:hAnsi="Courier New"/>
                <w:b/>
                <w:bCs/>
              </w:rPr>
            </w:pPr>
          </w:p>
        </w:tc>
        <w:tc>
          <w:tcPr>
            <w:tcW w:w="2737" w:type="dxa"/>
            <w:tcBorders>
              <w:top w:val="nil"/>
              <w:left w:val="nil"/>
              <w:bottom w:val="single" w:sz="4" w:space="0" w:color="auto"/>
              <w:right w:val="nil"/>
            </w:tcBorders>
            <w:vAlign w:val="center"/>
          </w:tcPr>
          <w:p w14:paraId="4DAE0405" w14:textId="77777777" w:rsidR="00035899" w:rsidRDefault="00035899">
            <w:pPr>
              <w:jc w:val="center"/>
              <w:rPr>
                <w:rFonts w:ascii="Courier New" w:hAnsi="Courier New"/>
                <w:b/>
                <w:bCs/>
                <w:sz w:val="20"/>
                <w:szCs w:val="20"/>
              </w:rPr>
            </w:pPr>
          </w:p>
        </w:tc>
      </w:tr>
      <w:tr w:rsidR="00035899" w14:paraId="4BE10009" w14:textId="77777777">
        <w:tc>
          <w:tcPr>
            <w:tcW w:w="2960" w:type="dxa"/>
            <w:tcBorders>
              <w:top w:val="single" w:sz="4" w:space="0" w:color="auto"/>
              <w:left w:val="nil"/>
              <w:bottom w:val="nil"/>
              <w:right w:val="nil"/>
            </w:tcBorders>
            <w:vAlign w:val="bottom"/>
          </w:tcPr>
          <w:p w14:paraId="68530154" w14:textId="77777777" w:rsidR="00035899" w:rsidRDefault="000259C4">
            <w:pPr>
              <w:jc w:val="center"/>
              <w:rPr>
                <w:rFonts w:ascii="Courier New" w:hAnsi="Courier New"/>
                <w:b/>
                <w:bCs/>
                <w:rtl/>
              </w:rPr>
            </w:pPr>
            <w:r>
              <w:rPr>
                <w:rFonts w:ascii="Courier New" w:hAnsi="Courier New" w:hint="cs"/>
                <w:b/>
                <w:bCs/>
                <w:rtl/>
              </w:rPr>
              <w:t>חני סלוטקי, שופטת</w:t>
            </w:r>
          </w:p>
          <w:p w14:paraId="5366DCDD" w14:textId="77777777" w:rsidR="00035899" w:rsidRDefault="000259C4">
            <w:pPr>
              <w:jc w:val="center"/>
              <w:rPr>
                <w:rFonts w:ascii="Courier New" w:hAnsi="Courier New"/>
                <w:b/>
                <w:bCs/>
              </w:rPr>
            </w:pPr>
            <w:r>
              <w:rPr>
                <w:rFonts w:ascii="Courier New" w:hAnsi="Courier New" w:hint="cs"/>
                <w:b/>
                <w:bCs/>
                <w:rtl/>
              </w:rPr>
              <w:t>אב"ד</w:t>
            </w:r>
          </w:p>
        </w:tc>
        <w:tc>
          <w:tcPr>
            <w:tcW w:w="236" w:type="dxa"/>
            <w:vAlign w:val="bottom"/>
          </w:tcPr>
          <w:p w14:paraId="2C33F2F6" w14:textId="77777777" w:rsidR="00035899" w:rsidRDefault="00035899">
            <w:pPr>
              <w:jc w:val="center"/>
              <w:rPr>
                <w:rFonts w:ascii="Courier New" w:hAnsi="Courier New"/>
                <w:b/>
                <w:bCs/>
              </w:rPr>
            </w:pPr>
          </w:p>
        </w:tc>
        <w:tc>
          <w:tcPr>
            <w:tcW w:w="2289" w:type="dxa"/>
            <w:tcBorders>
              <w:top w:val="single" w:sz="4" w:space="0" w:color="auto"/>
              <w:left w:val="nil"/>
              <w:bottom w:val="nil"/>
              <w:right w:val="nil"/>
            </w:tcBorders>
          </w:tcPr>
          <w:p w14:paraId="5FFC97B0" w14:textId="77777777" w:rsidR="00035899" w:rsidRDefault="000259C4">
            <w:pPr>
              <w:jc w:val="center"/>
              <w:rPr>
                <w:rFonts w:ascii="Courier New" w:hAnsi="Courier New"/>
                <w:b/>
                <w:bCs/>
              </w:rPr>
            </w:pPr>
            <w:r>
              <w:rPr>
                <w:rFonts w:ascii="Courier New" w:hAnsi="Courier New" w:hint="cs"/>
                <w:b/>
                <w:bCs/>
                <w:rtl/>
              </w:rPr>
              <w:t>מרדכי לוי, שופט</w:t>
            </w:r>
          </w:p>
        </w:tc>
        <w:tc>
          <w:tcPr>
            <w:tcW w:w="300" w:type="dxa"/>
          </w:tcPr>
          <w:p w14:paraId="78543059" w14:textId="77777777" w:rsidR="00035899" w:rsidRDefault="00035899">
            <w:pPr>
              <w:jc w:val="center"/>
              <w:rPr>
                <w:rFonts w:ascii="Courier New" w:hAnsi="Courier New"/>
                <w:b/>
                <w:bCs/>
              </w:rPr>
            </w:pPr>
          </w:p>
        </w:tc>
        <w:tc>
          <w:tcPr>
            <w:tcW w:w="2737" w:type="dxa"/>
            <w:tcBorders>
              <w:top w:val="single" w:sz="4" w:space="0" w:color="auto"/>
              <w:left w:val="nil"/>
              <w:bottom w:val="nil"/>
              <w:right w:val="nil"/>
            </w:tcBorders>
          </w:tcPr>
          <w:p w14:paraId="50CFB85F" w14:textId="77777777" w:rsidR="00035899" w:rsidRDefault="000259C4">
            <w:pPr>
              <w:jc w:val="center"/>
              <w:rPr>
                <w:rFonts w:ascii="Courier New" w:hAnsi="Courier New"/>
                <w:b/>
                <w:bCs/>
              </w:rPr>
            </w:pPr>
            <w:r>
              <w:rPr>
                <w:rFonts w:ascii="Courier New" w:hAnsi="Courier New" w:hint="cs"/>
                <w:b/>
                <w:bCs/>
                <w:rtl/>
              </w:rPr>
              <w:t>אריאל חזק, שופט</w:t>
            </w:r>
          </w:p>
        </w:tc>
      </w:tr>
    </w:tbl>
    <w:p w14:paraId="11CB25D9" w14:textId="77777777" w:rsidR="00035899" w:rsidRDefault="00035899">
      <w:pPr>
        <w:rPr>
          <w:rFonts w:ascii="Arial" w:hAnsi="Arial"/>
          <w:rtl/>
        </w:rPr>
      </w:pPr>
    </w:p>
    <w:p w14:paraId="3977C1BC" w14:textId="77777777" w:rsidR="000259C4" w:rsidRPr="000259C4" w:rsidRDefault="000259C4" w:rsidP="000259C4">
      <w:pPr>
        <w:keepNext/>
        <w:rPr>
          <w:rFonts w:ascii="David" w:hAnsi="David"/>
          <w:color w:val="000000"/>
          <w:sz w:val="22"/>
          <w:szCs w:val="22"/>
          <w:rtl/>
        </w:rPr>
      </w:pPr>
    </w:p>
    <w:p w14:paraId="42502336" w14:textId="77777777" w:rsidR="000259C4" w:rsidRPr="000259C4" w:rsidRDefault="000259C4" w:rsidP="000259C4">
      <w:pPr>
        <w:keepNext/>
        <w:rPr>
          <w:rFonts w:ascii="David" w:hAnsi="David"/>
          <w:color w:val="000000"/>
          <w:sz w:val="22"/>
          <w:szCs w:val="22"/>
          <w:rtl/>
        </w:rPr>
      </w:pPr>
      <w:r w:rsidRPr="000259C4">
        <w:rPr>
          <w:rFonts w:ascii="David" w:hAnsi="David"/>
          <w:color w:val="000000"/>
          <w:sz w:val="22"/>
          <w:szCs w:val="22"/>
          <w:rtl/>
        </w:rPr>
        <w:t>חני סלוטקי 54678313</w:t>
      </w:r>
    </w:p>
    <w:p w14:paraId="1763A743" w14:textId="77777777" w:rsidR="000259C4" w:rsidRDefault="000259C4" w:rsidP="000259C4">
      <w:r w:rsidRPr="000259C4">
        <w:rPr>
          <w:color w:val="000000"/>
          <w:rtl/>
        </w:rPr>
        <w:t>נוסח מסמך זה כפוף לשינויי ניסוח ועריכה</w:t>
      </w:r>
    </w:p>
    <w:p w14:paraId="6514643E" w14:textId="77777777" w:rsidR="000259C4" w:rsidRDefault="000259C4" w:rsidP="000259C4">
      <w:pPr>
        <w:rPr>
          <w:rtl/>
        </w:rPr>
      </w:pPr>
    </w:p>
    <w:p w14:paraId="5A56937C" w14:textId="77777777" w:rsidR="000259C4" w:rsidRDefault="000259C4" w:rsidP="000259C4">
      <w:pPr>
        <w:jc w:val="center"/>
        <w:rPr>
          <w:color w:val="0000FF"/>
          <w:u w:val="single"/>
        </w:rPr>
      </w:pPr>
      <w:hyperlink r:id="rId60" w:history="1">
        <w:r>
          <w:rPr>
            <w:color w:val="0000FF"/>
            <w:u w:val="single"/>
            <w:rtl/>
          </w:rPr>
          <w:t>בעניין עריכה ושינויים במסמכי פסיקה, חקיקה ועוד באתר נבו – הקש כאן</w:t>
        </w:r>
      </w:hyperlink>
    </w:p>
    <w:p w14:paraId="4664EAA4" w14:textId="77777777" w:rsidR="00035899" w:rsidRPr="000259C4" w:rsidRDefault="00035899" w:rsidP="000259C4">
      <w:pPr>
        <w:jc w:val="center"/>
        <w:rPr>
          <w:color w:val="0000FF"/>
          <w:u w:val="single"/>
        </w:rPr>
      </w:pPr>
    </w:p>
    <w:sectPr w:rsidR="00035899" w:rsidRPr="000259C4" w:rsidSect="000259C4">
      <w:headerReference w:type="even" r:id="rId61"/>
      <w:headerReference w:type="default" r:id="rId62"/>
      <w:footerReference w:type="even" r:id="rId63"/>
      <w:footerReference w:type="default" r:id="rId6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D74633" w14:textId="77777777" w:rsidR="00E837F6" w:rsidRPr="001312D3" w:rsidRDefault="00E837F6">
      <w:pPr>
        <w:rPr>
          <w:rFonts w:cs="Arial"/>
          <w:szCs w:val="20"/>
        </w:rPr>
      </w:pPr>
      <w:r>
        <w:separator/>
      </w:r>
    </w:p>
  </w:endnote>
  <w:endnote w:type="continuationSeparator" w:id="0">
    <w:p w14:paraId="7D6235EC" w14:textId="77777777" w:rsidR="00E837F6" w:rsidRPr="001312D3" w:rsidRDefault="00E837F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ED966" w14:textId="77777777" w:rsidR="000259C4" w:rsidRDefault="000259C4" w:rsidP="000259C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15</w:t>
    </w:r>
    <w:r>
      <w:rPr>
        <w:rFonts w:ascii="FrankRuehl" w:hAnsi="FrankRuehl" w:cs="FrankRuehl"/>
        <w:rtl/>
      </w:rPr>
      <w:fldChar w:fldCharType="end"/>
    </w:r>
  </w:p>
  <w:p w14:paraId="4887127E" w14:textId="77777777" w:rsidR="000259C4" w:rsidRPr="000259C4" w:rsidRDefault="000259C4" w:rsidP="000259C4">
    <w:pPr>
      <w:pStyle w:val="a4"/>
      <w:pBdr>
        <w:top w:val="single" w:sz="4" w:space="1" w:color="auto"/>
        <w:between w:val="single" w:sz="4" w:space="0" w:color="auto"/>
      </w:pBdr>
      <w:spacing w:after="60"/>
      <w:jc w:val="center"/>
      <w:rPr>
        <w:rFonts w:ascii="FrankRuehl" w:hAnsi="FrankRuehl" w:cs="FrankRuehl"/>
        <w:color w:val="000000"/>
      </w:rPr>
    </w:pPr>
    <w:r w:rsidRPr="000259C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117DC" w14:textId="77777777" w:rsidR="000259C4" w:rsidRDefault="000259C4" w:rsidP="000259C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72FC9">
      <w:rPr>
        <w:rFonts w:ascii="FrankRuehl" w:hAnsi="FrankRuehl" w:cs="FrankRuehl"/>
        <w:rtl/>
      </w:rPr>
      <w:t>1</w:t>
    </w:r>
    <w:r>
      <w:rPr>
        <w:rFonts w:ascii="FrankRuehl" w:hAnsi="FrankRuehl" w:cs="FrankRuehl"/>
        <w:rtl/>
      </w:rPr>
      <w:fldChar w:fldCharType="end"/>
    </w:r>
  </w:p>
  <w:p w14:paraId="530D330E" w14:textId="77777777" w:rsidR="00035899" w:rsidRPr="000259C4" w:rsidRDefault="000259C4" w:rsidP="000259C4">
    <w:pPr>
      <w:pStyle w:val="a4"/>
      <w:pBdr>
        <w:top w:val="single" w:sz="4" w:space="1" w:color="auto"/>
        <w:between w:val="single" w:sz="4" w:space="0" w:color="auto"/>
      </w:pBdr>
      <w:spacing w:after="60"/>
      <w:jc w:val="center"/>
      <w:rPr>
        <w:rFonts w:ascii="FrankRuehl" w:hAnsi="FrankRuehl" w:cs="FrankRuehl"/>
        <w:color w:val="000000"/>
      </w:rPr>
    </w:pPr>
    <w:r w:rsidRPr="000259C4">
      <w:rPr>
        <w:rFonts w:ascii="FrankRuehl" w:hAnsi="FrankRuehl" w:cs="FrankRuehl"/>
        <w:color w:val="000000"/>
      </w:rPr>
      <w:pict w14:anchorId="46400D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76A6D1" w14:textId="77777777" w:rsidR="00E837F6" w:rsidRPr="001312D3" w:rsidRDefault="00E837F6">
      <w:pPr>
        <w:rPr>
          <w:rFonts w:cs="Arial"/>
          <w:szCs w:val="20"/>
        </w:rPr>
      </w:pPr>
      <w:r>
        <w:separator/>
      </w:r>
    </w:p>
  </w:footnote>
  <w:footnote w:type="continuationSeparator" w:id="0">
    <w:p w14:paraId="4C9E4B3C" w14:textId="77777777" w:rsidR="00E837F6" w:rsidRPr="001312D3" w:rsidRDefault="00E837F6">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56D20" w14:textId="77777777" w:rsidR="00035899" w:rsidRPr="000259C4" w:rsidRDefault="000259C4" w:rsidP="000259C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12968-10-12</w:t>
    </w:r>
    <w:r>
      <w:rPr>
        <w:rFonts w:ascii="David" w:hAnsi="David"/>
        <w:color w:val="000000"/>
        <w:sz w:val="22"/>
        <w:szCs w:val="22"/>
        <w:rtl/>
      </w:rPr>
      <w:tab/>
      <w:t xml:space="preserve"> מדינת ישראל נ' פיני מזרחי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5A304" w14:textId="77777777" w:rsidR="000259C4" w:rsidRPr="000259C4" w:rsidRDefault="000259C4" w:rsidP="000259C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12968-10-12</w:t>
    </w:r>
    <w:r>
      <w:rPr>
        <w:rFonts w:ascii="David" w:hAnsi="David"/>
        <w:color w:val="000000"/>
        <w:sz w:val="22"/>
        <w:szCs w:val="22"/>
        <w:rtl/>
      </w:rPr>
      <w:tab/>
      <w:t xml:space="preserve"> מדינת ישראל נ' פיני מזרחי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A028D5"/>
    <w:multiLevelType w:val="hybridMultilevel"/>
    <w:tmpl w:val="A9FA58CA"/>
    <w:lvl w:ilvl="0" w:tplc="01207EFA">
      <w:start w:val="1"/>
      <w:numFmt w:val="decimal"/>
      <w:lvlText w:val="%1."/>
      <w:lvlJc w:val="left"/>
      <w:pPr>
        <w:ind w:left="720" w:hanging="720"/>
      </w:pPr>
      <w:rPr>
        <w:rFonts w:cs="Times New Roman" w:hint="default"/>
      </w:rPr>
    </w:lvl>
    <w:lvl w:ilvl="1" w:tplc="63F6356C">
      <w:start w:val="1"/>
      <w:numFmt w:val="hebrew1"/>
      <w:lvlText w:val="%2."/>
      <w:lvlJc w:val="left"/>
      <w:pPr>
        <w:ind w:left="1080" w:hanging="360"/>
      </w:pPr>
      <w:rPr>
        <w:rFonts w:cs="Times New Roman"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16cid:durableId="632253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35899"/>
    <w:rsid w:val="00016E62"/>
    <w:rsid w:val="000259C4"/>
    <w:rsid w:val="00035899"/>
    <w:rsid w:val="00A16518"/>
    <w:rsid w:val="00C46F4A"/>
    <w:rsid w:val="00C72FC9"/>
    <w:rsid w:val="00E837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4A64522"/>
  <w15:chartTrackingRefBased/>
  <w15:docId w15:val="{FDD047B6-80DA-4134-8619-7CCDA03FF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5899"/>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35899"/>
    <w:pPr>
      <w:tabs>
        <w:tab w:val="center" w:pos="4153"/>
        <w:tab w:val="right" w:pos="8306"/>
      </w:tabs>
    </w:pPr>
  </w:style>
  <w:style w:type="paragraph" w:styleId="a4">
    <w:name w:val="footer"/>
    <w:basedOn w:val="a"/>
    <w:rsid w:val="00035899"/>
    <w:pPr>
      <w:tabs>
        <w:tab w:val="center" w:pos="4153"/>
        <w:tab w:val="right" w:pos="8306"/>
      </w:tabs>
    </w:pPr>
  </w:style>
  <w:style w:type="character" w:styleId="a5">
    <w:name w:val="page number"/>
    <w:basedOn w:val="a0"/>
    <w:rsid w:val="00035899"/>
  </w:style>
  <w:style w:type="character" w:styleId="Hyperlink">
    <w:name w:val="Hyperlink"/>
    <w:basedOn w:val="a0"/>
    <w:rsid w:val="000259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b." TargetMode="External"/><Relationship Id="rId21" Type="http://schemas.openxmlformats.org/officeDocument/2006/relationships/hyperlink" Target="http://www.nevo.co.il/law/5227" TargetMode="External"/><Relationship Id="rId34" Type="http://schemas.openxmlformats.org/officeDocument/2006/relationships/hyperlink" Target="http://www.nevo.co.il/case/3970789" TargetMode="External"/><Relationship Id="rId42" Type="http://schemas.openxmlformats.org/officeDocument/2006/relationships/hyperlink" Target="http://www.nevo.co.il/case/5581017" TargetMode="External"/><Relationship Id="rId47" Type="http://schemas.openxmlformats.org/officeDocument/2006/relationships/hyperlink" Target="http://www.nevo.co.il/case/5573417"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40f" TargetMode="External"/><Relationship Id="rId63"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ja" TargetMode="External"/><Relationship Id="rId29" Type="http://schemas.openxmlformats.org/officeDocument/2006/relationships/hyperlink" Target="http://www.nevo.co.il/law/70301/192" TargetMode="External"/><Relationship Id="rId11" Type="http://schemas.openxmlformats.org/officeDocument/2006/relationships/hyperlink" Target="http://www.nevo.co.il/law/70301/40g"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250101"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5569233" TargetMode="External"/><Relationship Id="rId45" Type="http://schemas.openxmlformats.org/officeDocument/2006/relationships/hyperlink" Target="http://www.nevo.co.il/law/70301/40i" TargetMode="External"/><Relationship Id="rId53" Type="http://schemas.openxmlformats.org/officeDocument/2006/relationships/hyperlink" Target="http://www.nevo.co.il/law/70301/40ja" TargetMode="External"/><Relationship Id="rId58" Type="http://schemas.openxmlformats.org/officeDocument/2006/relationships/hyperlink" Target="http://www.nevo.co.il/case/5757857"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www.nevo.co.il/law/70301/456"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5227/43" TargetMode="External"/><Relationship Id="rId27" Type="http://schemas.openxmlformats.org/officeDocument/2006/relationships/hyperlink" Target="http://www.nevo.co.il/law/70301/25" TargetMode="External"/><Relationship Id="rId30" Type="http://schemas.openxmlformats.org/officeDocument/2006/relationships/hyperlink" Target="http://www.nevo.co.il/law/5227/43" TargetMode="External"/><Relationship Id="rId35" Type="http://schemas.openxmlformats.org/officeDocument/2006/relationships/hyperlink" Target="http://www.nevo.co.il/case/3619230" TargetMode="External"/><Relationship Id="rId43" Type="http://schemas.openxmlformats.org/officeDocument/2006/relationships/hyperlink" Target="http://www.nevo.co.il/law/70301/40c.a." TargetMode="External"/><Relationship Id="rId48" Type="http://schemas.openxmlformats.org/officeDocument/2006/relationships/hyperlink" Target="http://www.nevo.co.il/case/7730704" TargetMode="External"/><Relationship Id="rId56" Type="http://schemas.openxmlformats.org/officeDocument/2006/relationships/hyperlink" Target="http://www.nevo.co.il/law/70301" TargetMode="External"/><Relationship Id="rId64" Type="http://schemas.openxmlformats.org/officeDocument/2006/relationships/footer" Target="footer2.xml"/><Relationship Id="rId8" Type="http://schemas.openxmlformats.org/officeDocument/2006/relationships/hyperlink" Target="http://www.nevo.co.il/law/70301/25" TargetMode="External"/><Relationship Id="rId51" Type="http://schemas.openxmlformats.org/officeDocument/2006/relationships/hyperlink" Target="http://www.nevo.co.il/law/70301/40jc.b."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70301/40jc" TargetMode="External"/><Relationship Id="rId25" Type="http://schemas.openxmlformats.org/officeDocument/2006/relationships/hyperlink" Target="http://www.nevo.co.il/law/70301/144.b." TargetMode="External"/><Relationship Id="rId33" Type="http://schemas.openxmlformats.org/officeDocument/2006/relationships/hyperlink" Target="http://www.nevo.co.il/case/5716667" TargetMode="External"/><Relationship Id="rId38" Type="http://schemas.openxmlformats.org/officeDocument/2006/relationships/hyperlink" Target="http://www.nevo.co.il/case/6708658" TargetMode="External"/><Relationship Id="rId46" Type="http://schemas.openxmlformats.org/officeDocument/2006/relationships/hyperlink" Target="http://www.nevo.co.il/case/6950458" TargetMode="External"/><Relationship Id="rId59" Type="http://schemas.openxmlformats.org/officeDocument/2006/relationships/hyperlink" Target="http://www.nevo.co.il/case/6248633" TargetMode="External"/><Relationship Id="rId20" Type="http://schemas.openxmlformats.org/officeDocument/2006/relationships/hyperlink" Target="http://www.nevo.co.il/law/70301/499.a.1." TargetMode="External"/><Relationship Id="rId41" Type="http://schemas.openxmlformats.org/officeDocument/2006/relationships/hyperlink" Target="http://www.nevo.co.il/case/7029339" TargetMode="External"/><Relationship Id="rId54" Type="http://schemas.openxmlformats.org/officeDocument/2006/relationships/hyperlink" Target="http://www.nevo.co.il/law/70301" TargetMode="External"/><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92" TargetMode="External"/><Relationship Id="rId23" Type="http://schemas.openxmlformats.org/officeDocument/2006/relationships/hyperlink" Target="http://www.nevo.co.il/law/70301/499.a.1." TargetMode="External"/><Relationship Id="rId28" Type="http://schemas.openxmlformats.org/officeDocument/2006/relationships/hyperlink" Target="http://www.nevo.co.il/law/70301/456" TargetMode="External"/><Relationship Id="rId36" Type="http://schemas.openxmlformats.org/officeDocument/2006/relationships/hyperlink" Target="http://www.nevo.co.il/law/70301/40jc" TargetMode="External"/><Relationship Id="rId49" Type="http://schemas.openxmlformats.org/officeDocument/2006/relationships/hyperlink" Target="http://www.nevo.co.il/law/70301/40j.d." TargetMode="External"/><Relationship Id="rId57" Type="http://schemas.openxmlformats.org/officeDocument/2006/relationships/hyperlink" Target="http://www.nevo.co.il/law/70301/40g" TargetMode="External"/><Relationship Id="rId10" Type="http://schemas.openxmlformats.org/officeDocument/2006/relationships/hyperlink" Target="http://www.nevo.co.il/law/70301/40f" TargetMode="External"/><Relationship Id="rId31" Type="http://schemas.openxmlformats.org/officeDocument/2006/relationships/hyperlink" Target="http://www.nevo.co.il/law/5227"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 TargetMode="External"/><Relationship Id="rId60" Type="http://schemas.openxmlformats.org/officeDocument/2006/relationships/hyperlink" Target="http://www.nevo.co.il/advertisements/nevo-100.doc"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40c.a." TargetMode="External"/><Relationship Id="rId13" Type="http://schemas.openxmlformats.org/officeDocument/2006/relationships/hyperlink" Target="http://www.nevo.co.il/law/70301/40j.d." TargetMode="External"/><Relationship Id="rId18" Type="http://schemas.openxmlformats.org/officeDocument/2006/relationships/hyperlink" Target="http://www.nevo.co.il/law/70301/40jc.b." TargetMode="External"/><Relationship Id="rId39"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5137</Words>
  <Characters>25690</Characters>
  <Application>Microsoft Office Word</Application>
  <DocSecurity>0</DocSecurity>
  <Lines>214</Lines>
  <Paragraphs>61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30766</CharactersWithSpaces>
  <SharedDoc>false</SharedDoc>
  <HLinks>
    <vt:vector size="324" baseType="variant">
      <vt:variant>
        <vt:i4>393283</vt:i4>
      </vt:variant>
      <vt:variant>
        <vt:i4>159</vt:i4>
      </vt:variant>
      <vt:variant>
        <vt:i4>0</vt:i4>
      </vt:variant>
      <vt:variant>
        <vt:i4>5</vt:i4>
      </vt:variant>
      <vt:variant>
        <vt:lpwstr>http://www.nevo.co.il/advertisements/nevo-100.doc</vt:lpwstr>
      </vt:variant>
      <vt:variant>
        <vt:lpwstr/>
      </vt:variant>
      <vt:variant>
        <vt:i4>3604605</vt:i4>
      </vt:variant>
      <vt:variant>
        <vt:i4>156</vt:i4>
      </vt:variant>
      <vt:variant>
        <vt:i4>0</vt:i4>
      </vt:variant>
      <vt:variant>
        <vt:i4>5</vt:i4>
      </vt:variant>
      <vt:variant>
        <vt:lpwstr>http://www.nevo.co.il/case/6248633</vt:lpwstr>
      </vt:variant>
      <vt:variant>
        <vt:lpwstr/>
      </vt:variant>
      <vt:variant>
        <vt:i4>4128881</vt:i4>
      </vt:variant>
      <vt:variant>
        <vt:i4>153</vt:i4>
      </vt:variant>
      <vt:variant>
        <vt:i4>0</vt:i4>
      </vt:variant>
      <vt:variant>
        <vt:i4>5</vt:i4>
      </vt:variant>
      <vt:variant>
        <vt:lpwstr>http://www.nevo.co.il/case/5757857</vt:lpwstr>
      </vt:variant>
      <vt:variant>
        <vt:lpwstr/>
      </vt:variant>
      <vt:variant>
        <vt:i4>6619233</vt:i4>
      </vt:variant>
      <vt:variant>
        <vt:i4>150</vt:i4>
      </vt:variant>
      <vt:variant>
        <vt:i4>0</vt:i4>
      </vt:variant>
      <vt:variant>
        <vt:i4>5</vt:i4>
      </vt:variant>
      <vt:variant>
        <vt:lpwstr>http://www.nevo.co.il/law/70301/40g</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6619233</vt:i4>
      </vt:variant>
      <vt:variant>
        <vt:i4>144</vt:i4>
      </vt:variant>
      <vt:variant>
        <vt:i4>0</vt:i4>
      </vt:variant>
      <vt:variant>
        <vt:i4>5</vt:i4>
      </vt:variant>
      <vt:variant>
        <vt:lpwstr>http://www.nevo.co.il/law/70301/40f</vt:lpwstr>
      </vt:variant>
      <vt:variant>
        <vt:lpwstr/>
      </vt:variant>
      <vt:variant>
        <vt:i4>7995492</vt:i4>
      </vt:variant>
      <vt:variant>
        <vt:i4>141</vt:i4>
      </vt:variant>
      <vt:variant>
        <vt:i4>0</vt:i4>
      </vt:variant>
      <vt:variant>
        <vt:i4>5</vt:i4>
      </vt:variant>
      <vt:variant>
        <vt:lpwstr>http://www.nevo.co.il/law/70301</vt:lpwstr>
      </vt:variant>
      <vt:variant>
        <vt:lpwstr/>
      </vt:variant>
      <vt:variant>
        <vt:i4>262155</vt:i4>
      </vt:variant>
      <vt:variant>
        <vt:i4>138</vt:i4>
      </vt:variant>
      <vt:variant>
        <vt:i4>0</vt:i4>
      </vt:variant>
      <vt:variant>
        <vt:i4>5</vt:i4>
      </vt:variant>
      <vt:variant>
        <vt:lpwstr>http://www.nevo.co.il/law/70301/40ja</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6553637</vt:i4>
      </vt:variant>
      <vt:variant>
        <vt:i4>132</vt:i4>
      </vt:variant>
      <vt:variant>
        <vt:i4>0</vt:i4>
      </vt:variant>
      <vt:variant>
        <vt:i4>5</vt:i4>
      </vt:variant>
      <vt:variant>
        <vt:lpwstr>http://www.nevo.co.il/law/70301/40jc.b.</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6619247</vt:i4>
      </vt:variant>
      <vt:variant>
        <vt:i4>126</vt:i4>
      </vt:variant>
      <vt:variant>
        <vt:i4>0</vt:i4>
      </vt:variant>
      <vt:variant>
        <vt:i4>5</vt:i4>
      </vt:variant>
      <vt:variant>
        <vt:lpwstr>http://www.nevo.co.il/law/70301/40j.d.</vt:lpwstr>
      </vt:variant>
      <vt:variant>
        <vt:lpwstr/>
      </vt:variant>
      <vt:variant>
        <vt:i4>3604595</vt:i4>
      </vt:variant>
      <vt:variant>
        <vt:i4>123</vt:i4>
      </vt:variant>
      <vt:variant>
        <vt:i4>0</vt:i4>
      </vt:variant>
      <vt:variant>
        <vt:i4>5</vt:i4>
      </vt:variant>
      <vt:variant>
        <vt:lpwstr>http://www.nevo.co.il/case/7730704</vt:lpwstr>
      </vt:variant>
      <vt:variant>
        <vt:lpwstr/>
      </vt:variant>
      <vt:variant>
        <vt:i4>3211379</vt:i4>
      </vt:variant>
      <vt:variant>
        <vt:i4>120</vt:i4>
      </vt:variant>
      <vt:variant>
        <vt:i4>0</vt:i4>
      </vt:variant>
      <vt:variant>
        <vt:i4>5</vt:i4>
      </vt:variant>
      <vt:variant>
        <vt:lpwstr>http://www.nevo.co.il/case/5573417</vt:lpwstr>
      </vt:variant>
      <vt:variant>
        <vt:lpwstr/>
      </vt:variant>
      <vt:variant>
        <vt:i4>4128888</vt:i4>
      </vt:variant>
      <vt:variant>
        <vt:i4>117</vt:i4>
      </vt:variant>
      <vt:variant>
        <vt:i4>0</vt:i4>
      </vt:variant>
      <vt:variant>
        <vt:i4>5</vt:i4>
      </vt:variant>
      <vt:variant>
        <vt:lpwstr>http://www.nevo.co.il/case/6950458</vt:lpwstr>
      </vt:variant>
      <vt:variant>
        <vt:lpwstr/>
      </vt:variant>
      <vt:variant>
        <vt:i4>6619233</vt:i4>
      </vt:variant>
      <vt:variant>
        <vt:i4>114</vt:i4>
      </vt:variant>
      <vt:variant>
        <vt:i4>0</vt:i4>
      </vt:variant>
      <vt:variant>
        <vt:i4>5</vt:i4>
      </vt:variant>
      <vt:variant>
        <vt:lpwstr>http://www.nevo.co.il/law/70301/40i</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6619235</vt:i4>
      </vt:variant>
      <vt:variant>
        <vt:i4>108</vt:i4>
      </vt:variant>
      <vt:variant>
        <vt:i4>0</vt:i4>
      </vt:variant>
      <vt:variant>
        <vt:i4>5</vt:i4>
      </vt:variant>
      <vt:variant>
        <vt:lpwstr>http://www.nevo.co.il/law/70301/40c.a.</vt:lpwstr>
      </vt:variant>
      <vt:variant>
        <vt:lpwstr/>
      </vt:variant>
      <vt:variant>
        <vt:i4>3801201</vt:i4>
      </vt:variant>
      <vt:variant>
        <vt:i4>105</vt:i4>
      </vt:variant>
      <vt:variant>
        <vt:i4>0</vt:i4>
      </vt:variant>
      <vt:variant>
        <vt:i4>5</vt:i4>
      </vt:variant>
      <vt:variant>
        <vt:lpwstr>http://www.nevo.co.il/case/5581017</vt:lpwstr>
      </vt:variant>
      <vt:variant>
        <vt:lpwstr/>
      </vt:variant>
      <vt:variant>
        <vt:i4>4128894</vt:i4>
      </vt:variant>
      <vt:variant>
        <vt:i4>102</vt:i4>
      </vt:variant>
      <vt:variant>
        <vt:i4>0</vt:i4>
      </vt:variant>
      <vt:variant>
        <vt:i4>5</vt:i4>
      </vt:variant>
      <vt:variant>
        <vt:lpwstr>http://www.nevo.co.il/case/7029339</vt:lpwstr>
      </vt:variant>
      <vt:variant>
        <vt:lpwstr/>
      </vt:variant>
      <vt:variant>
        <vt:i4>3276923</vt:i4>
      </vt:variant>
      <vt:variant>
        <vt:i4>99</vt:i4>
      </vt:variant>
      <vt:variant>
        <vt:i4>0</vt:i4>
      </vt:variant>
      <vt:variant>
        <vt:i4>5</vt:i4>
      </vt:variant>
      <vt:variant>
        <vt:lpwstr>http://www.nevo.co.il/case/5569233</vt:lpwstr>
      </vt:variant>
      <vt:variant>
        <vt:lpwstr/>
      </vt:variant>
      <vt:variant>
        <vt:i4>7995492</vt:i4>
      </vt:variant>
      <vt:variant>
        <vt:i4>96</vt:i4>
      </vt:variant>
      <vt:variant>
        <vt:i4>0</vt:i4>
      </vt:variant>
      <vt:variant>
        <vt:i4>5</vt:i4>
      </vt:variant>
      <vt:variant>
        <vt:lpwstr>http://www.nevo.co.il/law/70301</vt:lpwstr>
      </vt:variant>
      <vt:variant>
        <vt:lpwstr/>
      </vt:variant>
      <vt:variant>
        <vt:i4>3670142</vt:i4>
      </vt:variant>
      <vt:variant>
        <vt:i4>93</vt:i4>
      </vt:variant>
      <vt:variant>
        <vt:i4>0</vt:i4>
      </vt:variant>
      <vt:variant>
        <vt:i4>5</vt:i4>
      </vt:variant>
      <vt:variant>
        <vt:lpwstr>http://www.nevo.co.il/case/6708658</vt:lpwstr>
      </vt:variant>
      <vt:variant>
        <vt:lpwstr/>
      </vt:variant>
      <vt:variant>
        <vt:i4>7995492</vt:i4>
      </vt:variant>
      <vt:variant>
        <vt:i4>90</vt:i4>
      </vt:variant>
      <vt:variant>
        <vt:i4>0</vt:i4>
      </vt:variant>
      <vt:variant>
        <vt:i4>5</vt:i4>
      </vt:variant>
      <vt:variant>
        <vt:lpwstr>http://www.nevo.co.il/law/70301</vt:lpwstr>
      </vt:variant>
      <vt:variant>
        <vt:lpwstr/>
      </vt:variant>
      <vt:variant>
        <vt:i4>393227</vt:i4>
      </vt:variant>
      <vt:variant>
        <vt:i4>87</vt:i4>
      </vt:variant>
      <vt:variant>
        <vt:i4>0</vt:i4>
      </vt:variant>
      <vt:variant>
        <vt:i4>5</vt:i4>
      </vt:variant>
      <vt:variant>
        <vt:lpwstr>http://www.nevo.co.il/law/70301/40jc</vt:lpwstr>
      </vt:variant>
      <vt:variant>
        <vt:lpwstr/>
      </vt:variant>
      <vt:variant>
        <vt:i4>3145848</vt:i4>
      </vt:variant>
      <vt:variant>
        <vt:i4>84</vt:i4>
      </vt:variant>
      <vt:variant>
        <vt:i4>0</vt:i4>
      </vt:variant>
      <vt:variant>
        <vt:i4>5</vt:i4>
      </vt:variant>
      <vt:variant>
        <vt:lpwstr>http://www.nevo.co.il/case/3619230</vt:lpwstr>
      </vt:variant>
      <vt:variant>
        <vt:lpwstr/>
      </vt:variant>
      <vt:variant>
        <vt:i4>3801205</vt:i4>
      </vt:variant>
      <vt:variant>
        <vt:i4>81</vt:i4>
      </vt:variant>
      <vt:variant>
        <vt:i4>0</vt:i4>
      </vt:variant>
      <vt:variant>
        <vt:i4>5</vt:i4>
      </vt:variant>
      <vt:variant>
        <vt:lpwstr>http://www.nevo.co.il/case/3970789</vt:lpwstr>
      </vt:variant>
      <vt:variant>
        <vt:lpwstr/>
      </vt:variant>
      <vt:variant>
        <vt:i4>3473523</vt:i4>
      </vt:variant>
      <vt:variant>
        <vt:i4>78</vt:i4>
      </vt:variant>
      <vt:variant>
        <vt:i4>0</vt:i4>
      </vt:variant>
      <vt:variant>
        <vt:i4>5</vt:i4>
      </vt:variant>
      <vt:variant>
        <vt:lpwstr>http://www.nevo.co.il/case/5716667</vt:lpwstr>
      </vt:variant>
      <vt:variant>
        <vt:lpwstr/>
      </vt:variant>
      <vt:variant>
        <vt:i4>3604598</vt:i4>
      </vt:variant>
      <vt:variant>
        <vt:i4>75</vt:i4>
      </vt:variant>
      <vt:variant>
        <vt:i4>0</vt:i4>
      </vt:variant>
      <vt:variant>
        <vt:i4>5</vt:i4>
      </vt:variant>
      <vt:variant>
        <vt:lpwstr>http://www.nevo.co.il/case/2250101</vt:lpwstr>
      </vt:variant>
      <vt:variant>
        <vt:lpwstr/>
      </vt:variant>
      <vt:variant>
        <vt:i4>8323175</vt:i4>
      </vt:variant>
      <vt:variant>
        <vt:i4>72</vt:i4>
      </vt:variant>
      <vt:variant>
        <vt:i4>0</vt:i4>
      </vt:variant>
      <vt:variant>
        <vt:i4>5</vt:i4>
      </vt:variant>
      <vt:variant>
        <vt:lpwstr>http://www.nevo.co.il/law/5227</vt:lpwstr>
      </vt:variant>
      <vt:variant>
        <vt:lpwstr/>
      </vt:variant>
      <vt:variant>
        <vt:i4>4915272</vt:i4>
      </vt:variant>
      <vt:variant>
        <vt:i4>69</vt:i4>
      </vt:variant>
      <vt:variant>
        <vt:i4>0</vt:i4>
      </vt:variant>
      <vt:variant>
        <vt:i4>5</vt:i4>
      </vt:variant>
      <vt:variant>
        <vt:lpwstr>http://www.nevo.co.il/law/5227/43</vt:lpwstr>
      </vt:variant>
      <vt:variant>
        <vt:lpwstr/>
      </vt:variant>
      <vt:variant>
        <vt:i4>7077988</vt:i4>
      </vt:variant>
      <vt:variant>
        <vt:i4>66</vt:i4>
      </vt:variant>
      <vt:variant>
        <vt:i4>0</vt:i4>
      </vt:variant>
      <vt:variant>
        <vt:i4>5</vt:i4>
      </vt:variant>
      <vt:variant>
        <vt:lpwstr>http://www.nevo.co.il/law/70301/192</vt:lpwstr>
      </vt:variant>
      <vt:variant>
        <vt:lpwstr/>
      </vt:variant>
      <vt:variant>
        <vt:i4>6291553</vt:i4>
      </vt:variant>
      <vt:variant>
        <vt:i4>63</vt:i4>
      </vt:variant>
      <vt:variant>
        <vt:i4>0</vt:i4>
      </vt:variant>
      <vt:variant>
        <vt:i4>5</vt:i4>
      </vt:variant>
      <vt:variant>
        <vt:lpwstr>http://www.nevo.co.il/law/70301/456</vt:lpwstr>
      </vt:variant>
      <vt:variant>
        <vt:lpwstr/>
      </vt:variant>
      <vt:variant>
        <vt:i4>6291559</vt:i4>
      </vt:variant>
      <vt:variant>
        <vt:i4>60</vt:i4>
      </vt:variant>
      <vt:variant>
        <vt:i4>0</vt:i4>
      </vt:variant>
      <vt:variant>
        <vt:i4>5</vt:i4>
      </vt:variant>
      <vt:variant>
        <vt:lpwstr>http://www.nevo.co.il/law/70301/25</vt:lpwstr>
      </vt:variant>
      <vt:variant>
        <vt:lpwstr/>
      </vt:variant>
      <vt:variant>
        <vt:i4>6357042</vt:i4>
      </vt:variant>
      <vt:variant>
        <vt:i4>57</vt:i4>
      </vt:variant>
      <vt:variant>
        <vt:i4>0</vt:i4>
      </vt:variant>
      <vt:variant>
        <vt:i4>5</vt:i4>
      </vt:variant>
      <vt:variant>
        <vt:lpwstr>http://www.nevo.co.il/law/70301/144.b.</vt:lpwstr>
      </vt:variant>
      <vt:variant>
        <vt:lpwstr/>
      </vt:variant>
      <vt:variant>
        <vt:i4>6357042</vt:i4>
      </vt:variant>
      <vt:variant>
        <vt:i4>54</vt:i4>
      </vt:variant>
      <vt:variant>
        <vt:i4>0</vt:i4>
      </vt:variant>
      <vt:variant>
        <vt:i4>5</vt:i4>
      </vt:variant>
      <vt:variant>
        <vt:lpwstr>http://www.nevo.co.il/law/70301/144.b.</vt:lpwstr>
      </vt:variant>
      <vt:variant>
        <vt:lpwstr/>
      </vt:variant>
      <vt:variant>
        <vt:i4>7995492</vt:i4>
      </vt:variant>
      <vt:variant>
        <vt:i4>51</vt:i4>
      </vt:variant>
      <vt:variant>
        <vt:i4>0</vt:i4>
      </vt:variant>
      <vt:variant>
        <vt:i4>5</vt:i4>
      </vt:variant>
      <vt:variant>
        <vt:lpwstr>http://www.nevo.co.il/law/70301</vt:lpwstr>
      </vt:variant>
      <vt:variant>
        <vt:lpwstr/>
      </vt:variant>
      <vt:variant>
        <vt:i4>4325384</vt:i4>
      </vt:variant>
      <vt:variant>
        <vt:i4>48</vt:i4>
      </vt:variant>
      <vt:variant>
        <vt:i4>0</vt:i4>
      </vt:variant>
      <vt:variant>
        <vt:i4>5</vt:i4>
      </vt:variant>
      <vt:variant>
        <vt:lpwstr>http://www.nevo.co.il/law/70301/499.a.1.</vt:lpwstr>
      </vt:variant>
      <vt:variant>
        <vt:lpwstr/>
      </vt:variant>
      <vt:variant>
        <vt:i4>4915272</vt:i4>
      </vt:variant>
      <vt:variant>
        <vt:i4>45</vt:i4>
      </vt:variant>
      <vt:variant>
        <vt:i4>0</vt:i4>
      </vt:variant>
      <vt:variant>
        <vt:i4>5</vt:i4>
      </vt:variant>
      <vt:variant>
        <vt:lpwstr>http://www.nevo.co.il/law/5227/43</vt:lpwstr>
      </vt:variant>
      <vt:variant>
        <vt:lpwstr/>
      </vt:variant>
      <vt:variant>
        <vt:i4>8323175</vt:i4>
      </vt:variant>
      <vt:variant>
        <vt:i4>42</vt:i4>
      </vt:variant>
      <vt:variant>
        <vt:i4>0</vt:i4>
      </vt:variant>
      <vt:variant>
        <vt:i4>5</vt:i4>
      </vt:variant>
      <vt:variant>
        <vt:lpwstr>http://www.nevo.co.il/law/5227</vt:lpwstr>
      </vt:variant>
      <vt:variant>
        <vt:lpwstr/>
      </vt:variant>
      <vt:variant>
        <vt:i4>4325384</vt:i4>
      </vt:variant>
      <vt:variant>
        <vt:i4>39</vt:i4>
      </vt:variant>
      <vt:variant>
        <vt:i4>0</vt:i4>
      </vt:variant>
      <vt:variant>
        <vt:i4>5</vt:i4>
      </vt:variant>
      <vt:variant>
        <vt:lpwstr>http://www.nevo.co.il/law/70301/499.a.1.</vt:lpwstr>
      </vt:variant>
      <vt:variant>
        <vt:lpwstr/>
      </vt:variant>
      <vt:variant>
        <vt:i4>6291553</vt:i4>
      </vt:variant>
      <vt:variant>
        <vt:i4>36</vt:i4>
      </vt:variant>
      <vt:variant>
        <vt:i4>0</vt:i4>
      </vt:variant>
      <vt:variant>
        <vt:i4>5</vt:i4>
      </vt:variant>
      <vt:variant>
        <vt:lpwstr>http://www.nevo.co.il/law/70301/456</vt:lpwstr>
      </vt:variant>
      <vt:variant>
        <vt:lpwstr/>
      </vt:variant>
      <vt:variant>
        <vt:i4>6553637</vt:i4>
      </vt:variant>
      <vt:variant>
        <vt:i4>33</vt:i4>
      </vt:variant>
      <vt:variant>
        <vt:i4>0</vt:i4>
      </vt:variant>
      <vt:variant>
        <vt:i4>5</vt:i4>
      </vt:variant>
      <vt:variant>
        <vt:lpwstr>http://www.nevo.co.il/law/70301/40jc.b.</vt:lpwstr>
      </vt:variant>
      <vt:variant>
        <vt:lpwstr/>
      </vt:variant>
      <vt:variant>
        <vt:i4>393227</vt:i4>
      </vt:variant>
      <vt:variant>
        <vt:i4>30</vt:i4>
      </vt:variant>
      <vt:variant>
        <vt:i4>0</vt:i4>
      </vt:variant>
      <vt:variant>
        <vt:i4>5</vt:i4>
      </vt:variant>
      <vt:variant>
        <vt:lpwstr>http://www.nevo.co.il/law/70301/40jc</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7077988</vt:i4>
      </vt:variant>
      <vt:variant>
        <vt:i4>24</vt:i4>
      </vt:variant>
      <vt:variant>
        <vt:i4>0</vt:i4>
      </vt:variant>
      <vt:variant>
        <vt:i4>5</vt:i4>
      </vt:variant>
      <vt:variant>
        <vt:lpwstr>http://www.nevo.co.il/law/70301/192</vt:lpwstr>
      </vt:variant>
      <vt:variant>
        <vt:lpwstr/>
      </vt:variant>
      <vt:variant>
        <vt:i4>6357042</vt:i4>
      </vt:variant>
      <vt:variant>
        <vt:i4>21</vt:i4>
      </vt:variant>
      <vt:variant>
        <vt:i4>0</vt:i4>
      </vt:variant>
      <vt:variant>
        <vt:i4>5</vt:i4>
      </vt:variant>
      <vt:variant>
        <vt:lpwstr>http://www.nevo.co.il/law/70301/144.b.</vt:lpwstr>
      </vt:variant>
      <vt:variant>
        <vt:lpwstr/>
      </vt:variant>
      <vt:variant>
        <vt:i4>6619247</vt:i4>
      </vt:variant>
      <vt:variant>
        <vt:i4>18</vt:i4>
      </vt:variant>
      <vt:variant>
        <vt:i4>0</vt:i4>
      </vt:variant>
      <vt:variant>
        <vt:i4>5</vt:i4>
      </vt:variant>
      <vt:variant>
        <vt:lpwstr>http://www.nevo.co.il/law/70301/40j.d.</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6619233</vt:i4>
      </vt:variant>
      <vt:variant>
        <vt:i4>12</vt:i4>
      </vt:variant>
      <vt:variant>
        <vt:i4>0</vt:i4>
      </vt:variant>
      <vt:variant>
        <vt:i4>5</vt:i4>
      </vt:variant>
      <vt:variant>
        <vt:lpwstr>http://www.nevo.co.il/law/70301/40g</vt:lpwstr>
      </vt:variant>
      <vt:variant>
        <vt:lpwstr/>
      </vt:variant>
      <vt:variant>
        <vt:i4>6619233</vt:i4>
      </vt:variant>
      <vt:variant>
        <vt:i4>9</vt:i4>
      </vt:variant>
      <vt:variant>
        <vt:i4>0</vt:i4>
      </vt:variant>
      <vt:variant>
        <vt:i4>5</vt:i4>
      </vt:variant>
      <vt:variant>
        <vt:lpwstr>http://www.nevo.co.il/law/70301/40f</vt:lpwstr>
      </vt:variant>
      <vt:variant>
        <vt:lpwstr/>
      </vt:variant>
      <vt:variant>
        <vt:i4>6619235</vt:i4>
      </vt:variant>
      <vt:variant>
        <vt:i4>6</vt:i4>
      </vt:variant>
      <vt:variant>
        <vt:i4>0</vt:i4>
      </vt:variant>
      <vt:variant>
        <vt:i4>5</vt:i4>
      </vt:variant>
      <vt:variant>
        <vt:lpwstr>http://www.nevo.co.il/law/70301/40c.a.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2025-04-25T10:28:00Z</dcterms:created>
  <dcterms:modified xsi:type="dcterms:W3CDTF">2025-04-25T10:28:00Z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12968</vt:lpwstr>
  </property>
  <property fmtid="{D5CDD505-2E9C-101B-9397-08002B2CF9AE}" pid="6" name="NEWPARTB">
    <vt:lpwstr>10</vt:lpwstr>
  </property>
  <property fmtid="{D5CDD505-2E9C-101B-9397-08002B2CF9AE}" pid="7" name="NEWPARTC">
    <vt:lpwstr>12</vt:lpwstr>
  </property>
  <property fmtid="{D5CDD505-2E9C-101B-9397-08002B2CF9AE}" pid="8" name="APPELLANT">
    <vt:lpwstr>מדינת ישראל;פרקליטות מחוז דרום-פלילי</vt:lpwstr>
  </property>
  <property fmtid="{D5CDD505-2E9C-101B-9397-08002B2CF9AE}" pid="9" name="APPELLEE">
    <vt:lpwstr>פיני מזרחי;מאיר משה מגידיש נדון;גבי אטדגי נדון</vt:lpwstr>
  </property>
  <property fmtid="{D5CDD505-2E9C-101B-9397-08002B2CF9AE}" pid="10" name="LAWYER">
    <vt:lpwstr>מדינת ישראל מירב עמר כהן פרקליטות מחוז דרום פלילי;אהוד בן יהודה</vt:lpwstr>
  </property>
  <property fmtid="{D5CDD505-2E9C-101B-9397-08002B2CF9AE}" pid="11" name="JUDGE">
    <vt:lpwstr>חני סלוטקי;מרדכי לוי;אריאל חזק</vt:lpwstr>
  </property>
  <property fmtid="{D5CDD505-2E9C-101B-9397-08002B2CF9AE}" pid="12" name="CITY">
    <vt:lpwstr>ב"ש</vt:lpwstr>
  </property>
  <property fmtid="{D5CDD505-2E9C-101B-9397-08002B2CF9AE}" pid="13" name="DATE">
    <vt:lpwstr>20141001</vt:lpwstr>
  </property>
  <property fmtid="{D5CDD505-2E9C-101B-9397-08002B2CF9AE}" pid="14" name="TYPE_N_DATE">
    <vt:lpwstr>39020141001</vt:lpwstr>
  </property>
  <property fmtid="{D5CDD505-2E9C-101B-9397-08002B2CF9AE}" pid="15" name="CASESLISTTMP1">
    <vt:lpwstr>2250101;5716667;3970789;3619230;6708658;5569233;7029339;5581017;6950458;5573417;7730704;5757857;6248633</vt:lpwstr>
  </property>
  <property fmtid="{D5CDD505-2E9C-101B-9397-08002B2CF9AE}" pid="16" name="CASENOTES1">
    <vt:lpwstr>ProcID=213&amp;PartA=18&amp;PartC=15</vt:lpwstr>
  </property>
  <property fmtid="{D5CDD505-2E9C-101B-9397-08002B2CF9AE}" pid="17" name="CASENOTES2">
    <vt:lpwstr>ProcID=213&amp;PartA=29&amp;PartC=18</vt:lpwstr>
  </property>
  <property fmtid="{D5CDD505-2E9C-101B-9397-08002B2CF9AE}" pid="18" name="WORDNUMPAGES">
    <vt:lpwstr>15</vt:lpwstr>
  </property>
  <property fmtid="{D5CDD505-2E9C-101B-9397-08002B2CF9AE}" pid="19" name="TYPE_ABS_DATE">
    <vt:lpwstr>390020141001</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70301/499.a.1.:2;144.b.:3;025:2;456:2;192:2;40jc:2;040c.a.:2;040i:2;040j.d.:2;40jc.b.:2;40ja:2;040f:2;040g:2</vt:lpwstr>
  </property>
  <property fmtid="{D5CDD505-2E9C-101B-9397-08002B2CF9AE}" pid="39" name="LAWLISTTMP2">
    <vt:lpwstr>5227/043:2</vt:lpwstr>
  </property>
</Properties>
</file>