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CA705F" w:rsidRPr="005C2E5F" w14:paraId="4745BB08" w14:textId="77777777">
        <w:trPr>
          <w:trHeight w:hRule="exact" w:val="418"/>
          <w:jc w:val="center"/>
        </w:trPr>
        <w:tc>
          <w:tcPr>
            <w:tcW w:w="8721" w:type="dxa"/>
            <w:gridSpan w:val="2"/>
          </w:tcPr>
          <w:p w14:paraId="71543A19" w14:textId="77777777" w:rsidR="00CA705F" w:rsidRPr="005C2E5F" w:rsidRDefault="005C2E5F">
            <w:pPr>
              <w:pStyle w:val="a3"/>
              <w:jc w:val="center"/>
              <w:rPr>
                <w:rFonts w:ascii="Tahoma" w:hAnsi="Tahoma" w:cs="Tahoma"/>
                <w:color w:val="000080"/>
                <w:rtl/>
              </w:rPr>
            </w:pPr>
            <w:bookmarkStart w:id="0" w:name="LastJudge"/>
            <w:r w:rsidRPr="005C2E5F">
              <w:rPr>
                <w:rFonts w:ascii="Tahoma" w:hAnsi="Tahoma" w:cs="Tahoma"/>
                <w:b/>
                <w:bCs/>
                <w:color w:val="000080"/>
                <w:rtl/>
              </w:rPr>
              <w:t>בית המשפט המחוזי בתל אביב - יפו</w:t>
            </w:r>
          </w:p>
        </w:tc>
      </w:tr>
      <w:tr w:rsidR="00CA705F" w:rsidRPr="005C2E5F" w14:paraId="3A3A2196" w14:textId="77777777">
        <w:trPr>
          <w:trHeight w:val="337"/>
          <w:jc w:val="center"/>
        </w:trPr>
        <w:tc>
          <w:tcPr>
            <w:tcW w:w="5053" w:type="dxa"/>
          </w:tcPr>
          <w:p w14:paraId="5924F5C0" w14:textId="77777777" w:rsidR="00CA705F" w:rsidRPr="005C2E5F" w:rsidRDefault="005C2E5F">
            <w:pPr>
              <w:rPr>
                <w:rFonts w:cs="FrankRuehl"/>
                <w:sz w:val="28"/>
                <w:szCs w:val="28"/>
                <w:rtl/>
              </w:rPr>
            </w:pPr>
            <w:r w:rsidRPr="005C2E5F">
              <w:rPr>
                <w:rFonts w:cs="FrankRuehl"/>
                <w:sz w:val="28"/>
                <w:szCs w:val="28"/>
                <w:rtl/>
              </w:rPr>
              <w:t>ת"פ</w:t>
            </w:r>
            <w:r w:rsidRPr="005C2E5F">
              <w:rPr>
                <w:rFonts w:cs="FrankRuehl" w:hint="cs"/>
                <w:sz w:val="28"/>
                <w:szCs w:val="28"/>
                <w:rtl/>
              </w:rPr>
              <w:t xml:space="preserve"> </w:t>
            </w:r>
            <w:r w:rsidRPr="005C2E5F">
              <w:rPr>
                <w:rFonts w:cs="FrankRuehl"/>
                <w:sz w:val="28"/>
                <w:szCs w:val="28"/>
                <w:rtl/>
              </w:rPr>
              <w:t>15198-11-12</w:t>
            </w:r>
            <w:r w:rsidRPr="005C2E5F">
              <w:rPr>
                <w:rFonts w:cs="FrankRuehl" w:hint="cs"/>
                <w:sz w:val="28"/>
                <w:szCs w:val="28"/>
                <w:rtl/>
              </w:rPr>
              <w:t xml:space="preserve"> </w:t>
            </w:r>
            <w:r w:rsidRPr="005C2E5F">
              <w:rPr>
                <w:rFonts w:cs="FrankRuehl"/>
                <w:sz w:val="28"/>
                <w:szCs w:val="28"/>
                <w:rtl/>
              </w:rPr>
              <w:t>מדינת ישראל נ' סניור(עציר)</w:t>
            </w:r>
          </w:p>
        </w:tc>
        <w:tc>
          <w:tcPr>
            <w:tcW w:w="3668" w:type="dxa"/>
          </w:tcPr>
          <w:p w14:paraId="79F4AA67" w14:textId="77777777" w:rsidR="00CA705F" w:rsidRPr="005C2E5F" w:rsidRDefault="005C2E5F">
            <w:pPr>
              <w:pStyle w:val="a3"/>
              <w:jc w:val="right"/>
              <w:rPr>
                <w:rFonts w:cs="FrankRuehl"/>
                <w:sz w:val="28"/>
                <w:szCs w:val="28"/>
                <w:rtl/>
              </w:rPr>
            </w:pPr>
            <w:r w:rsidRPr="005C2E5F">
              <w:rPr>
                <w:rFonts w:cs="FrankRuehl" w:hint="cs"/>
                <w:sz w:val="28"/>
                <w:szCs w:val="28"/>
                <w:rtl/>
              </w:rPr>
              <w:t xml:space="preserve">16 </w:t>
            </w:r>
            <w:r w:rsidRPr="005C2E5F">
              <w:rPr>
                <w:rFonts w:cs="FrankRuehl"/>
                <w:sz w:val="28"/>
                <w:szCs w:val="28"/>
                <w:rtl/>
              </w:rPr>
              <w:t>מאי 2013</w:t>
            </w:r>
          </w:p>
        </w:tc>
      </w:tr>
    </w:tbl>
    <w:p w14:paraId="63274E2F" w14:textId="77777777" w:rsidR="00CA705F" w:rsidRPr="005C2E5F" w:rsidRDefault="005C2E5F">
      <w:pPr>
        <w:pStyle w:val="a3"/>
        <w:rPr>
          <w:rtl/>
        </w:rPr>
      </w:pPr>
      <w:r w:rsidRPr="005C2E5F">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A705F" w:rsidRPr="005C2E5F" w14:paraId="1BE6728B" w14:textId="77777777">
        <w:trPr>
          <w:trHeight w:val="295"/>
          <w:jc w:val="center"/>
        </w:trPr>
        <w:tc>
          <w:tcPr>
            <w:tcW w:w="923" w:type="dxa"/>
            <w:tcBorders>
              <w:top w:val="nil"/>
              <w:left w:val="nil"/>
              <w:bottom w:val="nil"/>
              <w:right w:val="nil"/>
            </w:tcBorders>
          </w:tcPr>
          <w:p w14:paraId="75EF40FB" w14:textId="77777777" w:rsidR="00CA705F" w:rsidRPr="005C2E5F" w:rsidRDefault="005C2E5F">
            <w:pPr>
              <w:jc w:val="both"/>
              <w:rPr>
                <w:rFonts w:ascii="Arial" w:hAnsi="Arial" w:cs="FrankRuehl"/>
                <w:sz w:val="28"/>
                <w:szCs w:val="28"/>
              </w:rPr>
            </w:pPr>
            <w:r w:rsidRPr="005C2E5F">
              <w:rPr>
                <w:rFonts w:ascii="Arial" w:hAnsi="Arial" w:cs="FrankRuehl" w:hint="cs"/>
                <w:sz w:val="28"/>
                <w:szCs w:val="28"/>
                <w:rtl/>
              </w:rPr>
              <w:t>ב</w:t>
            </w:r>
            <w:r w:rsidRPr="005C2E5F">
              <w:rPr>
                <w:rFonts w:ascii="Arial" w:hAnsi="Arial" w:cs="FrankRuehl"/>
                <w:sz w:val="28"/>
                <w:szCs w:val="28"/>
                <w:rtl/>
              </w:rPr>
              <w:t xml:space="preserve">פני </w:t>
            </w:r>
          </w:p>
        </w:tc>
        <w:tc>
          <w:tcPr>
            <w:tcW w:w="7897" w:type="dxa"/>
            <w:gridSpan w:val="2"/>
            <w:tcBorders>
              <w:top w:val="nil"/>
              <w:left w:val="nil"/>
              <w:bottom w:val="nil"/>
              <w:right w:val="nil"/>
            </w:tcBorders>
          </w:tcPr>
          <w:p w14:paraId="769CCA34" w14:textId="77777777" w:rsidR="00CA705F" w:rsidRPr="005C2E5F" w:rsidRDefault="005C2E5F">
            <w:pPr>
              <w:rPr>
                <w:rFonts w:ascii="Arial" w:hAnsi="Arial"/>
                <w:b/>
                <w:bCs/>
                <w:rtl/>
              </w:rPr>
            </w:pPr>
            <w:r w:rsidRPr="005C2E5F">
              <w:rPr>
                <w:rFonts w:ascii="Arial" w:hAnsi="Arial" w:hint="cs"/>
                <w:b/>
                <w:bCs/>
                <w:rtl/>
              </w:rPr>
              <w:t>כב' ה</w:t>
            </w:r>
            <w:r w:rsidRPr="005C2E5F">
              <w:rPr>
                <w:rFonts w:hint="cs"/>
                <w:rtl/>
              </w:rPr>
              <w:t>שופטת</w:t>
            </w:r>
            <w:r w:rsidRPr="005C2E5F">
              <w:rPr>
                <w:rFonts w:ascii="Arial" w:hAnsi="Arial" w:hint="cs"/>
                <w:b/>
                <w:bCs/>
                <w:rtl/>
              </w:rPr>
              <w:t xml:space="preserve">  </w:t>
            </w:r>
            <w:r w:rsidRPr="005C2E5F">
              <w:rPr>
                <w:rFonts w:hint="cs"/>
                <w:rtl/>
              </w:rPr>
              <w:t>יהודית אמסטרדם</w:t>
            </w:r>
          </w:p>
          <w:p w14:paraId="780611D1" w14:textId="77777777" w:rsidR="00CA705F" w:rsidRPr="005C2E5F" w:rsidRDefault="00CA705F">
            <w:pPr>
              <w:jc w:val="both"/>
              <w:rPr>
                <w:rFonts w:ascii="Arial" w:hAnsi="Arial" w:cs="FrankRuehl"/>
                <w:sz w:val="28"/>
                <w:szCs w:val="28"/>
              </w:rPr>
            </w:pPr>
          </w:p>
        </w:tc>
      </w:tr>
      <w:tr w:rsidR="00CA705F" w:rsidRPr="005C2E5F" w14:paraId="5B0D1997" w14:textId="77777777">
        <w:trPr>
          <w:trHeight w:val="355"/>
          <w:jc w:val="center"/>
        </w:trPr>
        <w:tc>
          <w:tcPr>
            <w:tcW w:w="923" w:type="dxa"/>
            <w:tcBorders>
              <w:top w:val="nil"/>
              <w:left w:val="nil"/>
              <w:bottom w:val="nil"/>
              <w:right w:val="nil"/>
            </w:tcBorders>
          </w:tcPr>
          <w:p w14:paraId="72C4FC76" w14:textId="77777777" w:rsidR="00CA705F" w:rsidRPr="005C2E5F" w:rsidRDefault="005C2E5F">
            <w:pPr>
              <w:jc w:val="both"/>
              <w:rPr>
                <w:rFonts w:ascii="Arial" w:hAnsi="Arial" w:cs="FrankRuehl"/>
                <w:sz w:val="28"/>
                <w:szCs w:val="28"/>
              </w:rPr>
            </w:pPr>
            <w:bookmarkStart w:id="1" w:name="FirstAppellant"/>
            <w:r w:rsidRPr="005C2E5F">
              <w:rPr>
                <w:rFonts w:ascii="Arial" w:hAnsi="Arial" w:cs="FrankRuehl" w:hint="cs"/>
                <w:sz w:val="28"/>
                <w:szCs w:val="28"/>
                <w:rtl/>
              </w:rPr>
              <w:t>בעניין:</w:t>
            </w:r>
          </w:p>
        </w:tc>
        <w:tc>
          <w:tcPr>
            <w:tcW w:w="4126" w:type="dxa"/>
            <w:tcBorders>
              <w:top w:val="nil"/>
              <w:left w:val="nil"/>
              <w:bottom w:val="nil"/>
              <w:right w:val="nil"/>
            </w:tcBorders>
          </w:tcPr>
          <w:p w14:paraId="0A161D07" w14:textId="77777777" w:rsidR="00CA705F" w:rsidRPr="005C2E5F" w:rsidRDefault="005C2E5F">
            <w:r w:rsidRPr="005C2E5F">
              <w:rPr>
                <w:rFonts w:hint="cs"/>
                <w:rtl/>
              </w:rPr>
              <w:t>מדינת ישראל</w:t>
            </w:r>
          </w:p>
        </w:tc>
        <w:tc>
          <w:tcPr>
            <w:tcW w:w="3771" w:type="dxa"/>
            <w:tcBorders>
              <w:top w:val="nil"/>
              <w:left w:val="nil"/>
              <w:bottom w:val="nil"/>
              <w:right w:val="nil"/>
            </w:tcBorders>
          </w:tcPr>
          <w:p w14:paraId="0D644739" w14:textId="77777777" w:rsidR="00CA705F" w:rsidRPr="005C2E5F" w:rsidRDefault="00CA705F">
            <w:pPr>
              <w:jc w:val="both"/>
              <w:rPr>
                <w:rFonts w:ascii="Arial" w:hAnsi="Arial" w:cs="FrankRuehl"/>
                <w:sz w:val="28"/>
                <w:szCs w:val="28"/>
              </w:rPr>
            </w:pPr>
          </w:p>
        </w:tc>
      </w:tr>
      <w:bookmarkEnd w:id="1"/>
      <w:tr w:rsidR="00CA705F" w:rsidRPr="005C2E5F" w14:paraId="05A2F4E2" w14:textId="77777777">
        <w:trPr>
          <w:trHeight w:val="355"/>
          <w:jc w:val="center"/>
        </w:trPr>
        <w:tc>
          <w:tcPr>
            <w:tcW w:w="923" w:type="dxa"/>
            <w:tcBorders>
              <w:top w:val="nil"/>
              <w:left w:val="nil"/>
              <w:bottom w:val="nil"/>
              <w:right w:val="nil"/>
            </w:tcBorders>
          </w:tcPr>
          <w:p w14:paraId="209BA56D" w14:textId="77777777" w:rsidR="00CA705F" w:rsidRPr="005C2E5F" w:rsidRDefault="00CA705F">
            <w:pPr>
              <w:jc w:val="both"/>
              <w:rPr>
                <w:rFonts w:ascii="Arial" w:hAnsi="Arial" w:cs="FrankRuehl"/>
                <w:sz w:val="28"/>
                <w:szCs w:val="28"/>
                <w:rtl/>
              </w:rPr>
            </w:pPr>
          </w:p>
        </w:tc>
        <w:tc>
          <w:tcPr>
            <w:tcW w:w="4126" w:type="dxa"/>
            <w:tcBorders>
              <w:top w:val="nil"/>
              <w:left w:val="nil"/>
              <w:bottom w:val="nil"/>
              <w:right w:val="nil"/>
            </w:tcBorders>
          </w:tcPr>
          <w:p w14:paraId="0E260BD6" w14:textId="77777777" w:rsidR="00CA705F" w:rsidRPr="005C2E5F" w:rsidRDefault="005C2E5F">
            <w:pPr>
              <w:jc w:val="both"/>
              <w:rPr>
                <w:rtl/>
              </w:rPr>
            </w:pPr>
            <w:r w:rsidRPr="005C2E5F">
              <w:rPr>
                <w:rFonts w:hint="cs"/>
                <w:rtl/>
              </w:rPr>
              <w:t>ע"י ב"כ עו"ד</w:t>
            </w:r>
          </w:p>
        </w:tc>
        <w:tc>
          <w:tcPr>
            <w:tcW w:w="3771" w:type="dxa"/>
            <w:tcBorders>
              <w:top w:val="nil"/>
              <w:left w:val="nil"/>
              <w:bottom w:val="nil"/>
              <w:right w:val="nil"/>
            </w:tcBorders>
          </w:tcPr>
          <w:p w14:paraId="64A0BDEC" w14:textId="77777777" w:rsidR="00CA705F" w:rsidRPr="005C2E5F" w:rsidRDefault="005C2E5F">
            <w:pPr>
              <w:jc w:val="right"/>
              <w:rPr>
                <w:rFonts w:ascii="Arial" w:hAnsi="Arial" w:cs="FrankRuehl"/>
                <w:sz w:val="28"/>
                <w:szCs w:val="28"/>
                <w:rtl/>
              </w:rPr>
            </w:pPr>
            <w:r w:rsidRPr="005C2E5F">
              <w:rPr>
                <w:rFonts w:ascii="Arial" w:hAnsi="Arial" w:cs="FrankRuehl" w:hint="cs"/>
                <w:sz w:val="28"/>
                <w:szCs w:val="28"/>
                <w:rtl/>
              </w:rPr>
              <w:t>ה</w:t>
            </w:r>
            <w:r w:rsidRPr="005C2E5F">
              <w:rPr>
                <w:rFonts w:hint="cs"/>
                <w:rtl/>
              </w:rPr>
              <w:t>מאשימה</w:t>
            </w:r>
          </w:p>
        </w:tc>
      </w:tr>
      <w:tr w:rsidR="00CA705F" w:rsidRPr="005C2E5F" w14:paraId="4D3CA4BD" w14:textId="77777777">
        <w:trPr>
          <w:trHeight w:val="355"/>
          <w:jc w:val="center"/>
        </w:trPr>
        <w:tc>
          <w:tcPr>
            <w:tcW w:w="923" w:type="dxa"/>
            <w:tcBorders>
              <w:top w:val="nil"/>
              <w:left w:val="nil"/>
              <w:bottom w:val="nil"/>
              <w:right w:val="nil"/>
            </w:tcBorders>
          </w:tcPr>
          <w:p w14:paraId="57993607" w14:textId="77777777" w:rsidR="00CA705F" w:rsidRPr="005C2E5F" w:rsidRDefault="00CA705F">
            <w:pPr>
              <w:jc w:val="both"/>
              <w:rPr>
                <w:rFonts w:ascii="Arial" w:hAnsi="Arial" w:cs="FrankRuehl"/>
                <w:sz w:val="28"/>
                <w:szCs w:val="28"/>
                <w:rtl/>
              </w:rPr>
            </w:pPr>
          </w:p>
        </w:tc>
        <w:tc>
          <w:tcPr>
            <w:tcW w:w="7897" w:type="dxa"/>
            <w:gridSpan w:val="2"/>
            <w:tcBorders>
              <w:top w:val="nil"/>
              <w:left w:val="nil"/>
              <w:bottom w:val="nil"/>
              <w:right w:val="nil"/>
            </w:tcBorders>
          </w:tcPr>
          <w:p w14:paraId="2BBA7FAA" w14:textId="77777777" w:rsidR="00CA705F" w:rsidRPr="005C2E5F" w:rsidRDefault="00CA705F">
            <w:pPr>
              <w:jc w:val="center"/>
              <w:rPr>
                <w:rFonts w:ascii="Arial" w:hAnsi="Arial" w:cs="FrankRuehl"/>
                <w:b/>
                <w:bCs/>
                <w:sz w:val="28"/>
                <w:szCs w:val="28"/>
                <w:rtl/>
              </w:rPr>
            </w:pPr>
          </w:p>
          <w:p w14:paraId="2CC05D6C" w14:textId="77777777" w:rsidR="00CA705F" w:rsidRPr="005C2E5F" w:rsidRDefault="005C2E5F">
            <w:pPr>
              <w:jc w:val="center"/>
              <w:rPr>
                <w:rFonts w:ascii="Arial" w:hAnsi="Arial" w:cs="FrankRuehl"/>
                <w:b/>
                <w:bCs/>
                <w:sz w:val="28"/>
                <w:szCs w:val="28"/>
                <w:rtl/>
              </w:rPr>
            </w:pPr>
            <w:r w:rsidRPr="005C2E5F">
              <w:rPr>
                <w:rFonts w:ascii="Arial" w:hAnsi="Arial" w:cs="FrankRuehl"/>
                <w:b/>
                <w:bCs/>
                <w:sz w:val="28"/>
                <w:szCs w:val="28"/>
                <w:rtl/>
              </w:rPr>
              <w:t>נגד</w:t>
            </w:r>
          </w:p>
          <w:p w14:paraId="6ACCC8B4" w14:textId="77777777" w:rsidR="00CA705F" w:rsidRPr="005C2E5F" w:rsidRDefault="00CA705F">
            <w:pPr>
              <w:jc w:val="both"/>
              <w:rPr>
                <w:rFonts w:ascii="Arial" w:hAnsi="Arial" w:cs="FrankRuehl"/>
                <w:sz w:val="28"/>
                <w:szCs w:val="28"/>
              </w:rPr>
            </w:pPr>
          </w:p>
        </w:tc>
      </w:tr>
      <w:tr w:rsidR="00CA705F" w:rsidRPr="005C2E5F" w14:paraId="6C88097D" w14:textId="77777777">
        <w:trPr>
          <w:trHeight w:val="355"/>
          <w:jc w:val="center"/>
        </w:trPr>
        <w:tc>
          <w:tcPr>
            <w:tcW w:w="923" w:type="dxa"/>
            <w:tcBorders>
              <w:top w:val="nil"/>
              <w:left w:val="nil"/>
              <w:bottom w:val="nil"/>
              <w:right w:val="nil"/>
            </w:tcBorders>
          </w:tcPr>
          <w:p w14:paraId="2A88D089" w14:textId="77777777" w:rsidR="00CA705F" w:rsidRPr="005C2E5F" w:rsidRDefault="00CA705F">
            <w:pPr>
              <w:rPr>
                <w:rFonts w:ascii="Arial" w:hAnsi="Arial" w:cs="FrankRuehl"/>
                <w:sz w:val="28"/>
                <w:szCs w:val="28"/>
                <w:rtl/>
              </w:rPr>
            </w:pPr>
          </w:p>
        </w:tc>
        <w:tc>
          <w:tcPr>
            <w:tcW w:w="4126" w:type="dxa"/>
            <w:tcBorders>
              <w:top w:val="nil"/>
              <w:left w:val="nil"/>
              <w:bottom w:val="nil"/>
              <w:right w:val="nil"/>
            </w:tcBorders>
          </w:tcPr>
          <w:p w14:paraId="5DB4E47F" w14:textId="77777777" w:rsidR="00CA705F" w:rsidRPr="005C2E5F" w:rsidRDefault="005C2E5F">
            <w:pPr>
              <w:rPr>
                <w:rtl/>
              </w:rPr>
            </w:pPr>
            <w:r w:rsidRPr="005C2E5F">
              <w:rPr>
                <w:rFonts w:hint="cs"/>
                <w:rtl/>
              </w:rPr>
              <w:t>מרדכי סניור (עציר)</w:t>
            </w:r>
          </w:p>
        </w:tc>
        <w:tc>
          <w:tcPr>
            <w:tcW w:w="3771" w:type="dxa"/>
            <w:tcBorders>
              <w:top w:val="nil"/>
              <w:left w:val="nil"/>
              <w:bottom w:val="nil"/>
              <w:right w:val="nil"/>
            </w:tcBorders>
          </w:tcPr>
          <w:p w14:paraId="7FAEB5F9" w14:textId="77777777" w:rsidR="00CA705F" w:rsidRPr="005C2E5F" w:rsidRDefault="00CA705F">
            <w:pPr>
              <w:jc w:val="right"/>
              <w:rPr>
                <w:rFonts w:ascii="Arial" w:hAnsi="Arial" w:cs="FrankRuehl"/>
                <w:sz w:val="28"/>
                <w:szCs w:val="28"/>
              </w:rPr>
            </w:pPr>
          </w:p>
        </w:tc>
      </w:tr>
      <w:tr w:rsidR="00CA705F" w:rsidRPr="005C2E5F" w14:paraId="7E890FBE" w14:textId="77777777">
        <w:trPr>
          <w:trHeight w:val="355"/>
          <w:jc w:val="center"/>
        </w:trPr>
        <w:tc>
          <w:tcPr>
            <w:tcW w:w="923" w:type="dxa"/>
            <w:tcBorders>
              <w:top w:val="nil"/>
              <w:left w:val="nil"/>
              <w:bottom w:val="nil"/>
              <w:right w:val="nil"/>
            </w:tcBorders>
          </w:tcPr>
          <w:p w14:paraId="39E10050" w14:textId="77777777" w:rsidR="00CA705F" w:rsidRPr="005C2E5F" w:rsidRDefault="00CA705F">
            <w:pPr>
              <w:jc w:val="both"/>
              <w:rPr>
                <w:rFonts w:ascii="Arial" w:hAnsi="Arial" w:cs="FrankRuehl"/>
                <w:sz w:val="28"/>
                <w:szCs w:val="28"/>
                <w:rtl/>
              </w:rPr>
            </w:pPr>
            <w:bookmarkStart w:id="2" w:name="FirstLawyer"/>
          </w:p>
        </w:tc>
        <w:tc>
          <w:tcPr>
            <w:tcW w:w="4126" w:type="dxa"/>
            <w:tcBorders>
              <w:top w:val="nil"/>
              <w:left w:val="nil"/>
              <w:bottom w:val="nil"/>
              <w:right w:val="nil"/>
            </w:tcBorders>
          </w:tcPr>
          <w:p w14:paraId="07D5D94E" w14:textId="77777777" w:rsidR="00CA705F" w:rsidRPr="005C2E5F" w:rsidRDefault="005C2E5F">
            <w:pPr>
              <w:jc w:val="both"/>
              <w:rPr>
                <w:rtl/>
              </w:rPr>
            </w:pPr>
            <w:r w:rsidRPr="005C2E5F">
              <w:rPr>
                <w:rFonts w:hint="cs"/>
                <w:rtl/>
              </w:rPr>
              <w:t>ע"י ב"כ עו"ד אורי קינן</w:t>
            </w:r>
          </w:p>
        </w:tc>
        <w:tc>
          <w:tcPr>
            <w:tcW w:w="3771" w:type="dxa"/>
            <w:tcBorders>
              <w:top w:val="nil"/>
              <w:left w:val="nil"/>
              <w:bottom w:val="nil"/>
              <w:right w:val="nil"/>
            </w:tcBorders>
          </w:tcPr>
          <w:p w14:paraId="31FE2974" w14:textId="77777777" w:rsidR="00CA705F" w:rsidRPr="005C2E5F" w:rsidRDefault="005C2E5F">
            <w:pPr>
              <w:jc w:val="right"/>
              <w:rPr>
                <w:rFonts w:ascii="Arial" w:hAnsi="Arial" w:cs="FrankRuehl"/>
                <w:sz w:val="28"/>
                <w:szCs w:val="28"/>
              </w:rPr>
            </w:pPr>
            <w:r w:rsidRPr="005C2E5F">
              <w:rPr>
                <w:rFonts w:ascii="Arial" w:hAnsi="Arial" w:cs="FrankRuehl" w:hint="cs"/>
                <w:sz w:val="28"/>
                <w:szCs w:val="28"/>
                <w:rtl/>
              </w:rPr>
              <w:t>ה</w:t>
            </w:r>
            <w:r w:rsidRPr="005C2E5F">
              <w:rPr>
                <w:rFonts w:hint="cs"/>
                <w:rtl/>
              </w:rPr>
              <w:t>נאשם</w:t>
            </w:r>
          </w:p>
        </w:tc>
      </w:tr>
    </w:tbl>
    <w:p w14:paraId="6B2DEC99" w14:textId="77777777" w:rsidR="001548B4" w:rsidRDefault="001548B4">
      <w:pPr>
        <w:rPr>
          <w:rtl/>
        </w:rPr>
      </w:pPr>
      <w:bookmarkStart w:id="3" w:name="LawTable"/>
      <w:bookmarkEnd w:id="2"/>
      <w:bookmarkEnd w:id="3"/>
    </w:p>
    <w:p w14:paraId="5BDA9E18" w14:textId="77777777" w:rsidR="001548B4" w:rsidRPr="001548B4" w:rsidRDefault="001548B4" w:rsidP="001548B4">
      <w:pPr>
        <w:spacing w:after="120" w:line="240" w:lineRule="exact"/>
        <w:ind w:left="283" w:hanging="283"/>
        <w:jc w:val="both"/>
        <w:rPr>
          <w:rFonts w:ascii="FrankRuehl" w:hAnsi="FrankRuehl" w:cs="FrankRuehl"/>
          <w:rtl/>
        </w:rPr>
      </w:pPr>
    </w:p>
    <w:p w14:paraId="6CEFE9F0" w14:textId="77777777" w:rsidR="001548B4" w:rsidRPr="001548B4" w:rsidRDefault="001548B4" w:rsidP="001548B4">
      <w:pPr>
        <w:spacing w:after="120" w:line="240" w:lineRule="exact"/>
        <w:ind w:left="283" w:hanging="283"/>
        <w:jc w:val="both"/>
        <w:rPr>
          <w:rFonts w:ascii="FrankRuehl" w:hAnsi="FrankRuehl" w:cs="FrankRuehl"/>
          <w:rtl/>
        </w:rPr>
      </w:pPr>
      <w:r w:rsidRPr="001548B4">
        <w:rPr>
          <w:rFonts w:ascii="FrankRuehl" w:hAnsi="FrankRuehl" w:cs="FrankRuehl"/>
          <w:rtl/>
        </w:rPr>
        <w:t xml:space="preserve">חקיקה שאוזכרה: </w:t>
      </w:r>
    </w:p>
    <w:p w14:paraId="4AEE999E" w14:textId="77777777" w:rsidR="001548B4" w:rsidRPr="001548B4" w:rsidRDefault="001548B4" w:rsidP="001548B4">
      <w:pPr>
        <w:spacing w:after="120" w:line="240" w:lineRule="exact"/>
        <w:ind w:left="283" w:hanging="283"/>
        <w:jc w:val="both"/>
        <w:rPr>
          <w:rFonts w:ascii="FrankRuehl" w:hAnsi="FrankRuehl" w:cs="FrankRuehl"/>
          <w:rtl/>
        </w:rPr>
      </w:pPr>
      <w:hyperlink r:id="rId6" w:history="1">
        <w:r w:rsidRPr="001548B4">
          <w:rPr>
            <w:rFonts w:ascii="FrankRuehl" w:hAnsi="FrankRuehl" w:cs="FrankRuehl"/>
            <w:color w:val="0000FF"/>
            <w:u w:val="single"/>
            <w:rtl/>
          </w:rPr>
          <w:t>חוק העונשין, תשל"ז-1977</w:t>
        </w:r>
      </w:hyperlink>
      <w:r w:rsidRPr="001548B4">
        <w:rPr>
          <w:rFonts w:ascii="FrankRuehl" w:hAnsi="FrankRuehl" w:cs="FrankRuehl"/>
          <w:rtl/>
        </w:rPr>
        <w:t xml:space="preserve">: סע'  </w:t>
      </w:r>
      <w:hyperlink r:id="rId7" w:history="1">
        <w:r w:rsidRPr="001548B4">
          <w:rPr>
            <w:rFonts w:ascii="FrankRuehl" w:hAnsi="FrankRuehl" w:cs="FrankRuehl"/>
            <w:color w:val="0000FF"/>
            <w:u w:val="single"/>
            <w:rtl/>
          </w:rPr>
          <w:t>25</w:t>
        </w:r>
      </w:hyperlink>
      <w:r w:rsidRPr="001548B4">
        <w:rPr>
          <w:rFonts w:ascii="FrankRuehl" w:hAnsi="FrankRuehl" w:cs="FrankRuehl"/>
          <w:rtl/>
        </w:rPr>
        <w:t xml:space="preserve">, </w:t>
      </w:r>
      <w:hyperlink r:id="rId8" w:history="1">
        <w:r w:rsidRPr="001548B4">
          <w:rPr>
            <w:rFonts w:ascii="FrankRuehl" w:hAnsi="FrankRuehl" w:cs="FrankRuehl"/>
            <w:color w:val="0000FF"/>
            <w:u w:val="single"/>
            <w:rtl/>
          </w:rPr>
          <w:t>144(ב)(2)</w:t>
        </w:r>
      </w:hyperlink>
      <w:r w:rsidRPr="001548B4">
        <w:rPr>
          <w:rFonts w:ascii="FrankRuehl" w:hAnsi="FrankRuehl" w:cs="FrankRuehl"/>
          <w:rtl/>
        </w:rPr>
        <w:t xml:space="preserve">, </w:t>
      </w:r>
      <w:hyperlink r:id="rId9" w:history="1">
        <w:r w:rsidRPr="001548B4">
          <w:rPr>
            <w:rFonts w:ascii="FrankRuehl" w:hAnsi="FrankRuehl" w:cs="FrankRuehl"/>
            <w:color w:val="0000FF"/>
            <w:u w:val="single"/>
            <w:rtl/>
          </w:rPr>
          <w:t>144(ב2)</w:t>
        </w:r>
      </w:hyperlink>
      <w:r w:rsidRPr="001548B4">
        <w:rPr>
          <w:rFonts w:ascii="FrankRuehl" w:hAnsi="FrankRuehl" w:cs="FrankRuehl"/>
          <w:rtl/>
        </w:rPr>
        <w:t xml:space="preserve">, </w:t>
      </w:r>
      <w:hyperlink r:id="rId10" w:history="1">
        <w:r w:rsidRPr="001548B4">
          <w:rPr>
            <w:rFonts w:ascii="FrankRuehl" w:hAnsi="FrankRuehl" w:cs="FrankRuehl"/>
            <w:color w:val="0000FF"/>
            <w:u w:val="single"/>
            <w:rtl/>
          </w:rPr>
          <w:t>144(ג)(3)</w:t>
        </w:r>
      </w:hyperlink>
      <w:r w:rsidRPr="001548B4">
        <w:rPr>
          <w:rFonts w:ascii="FrankRuehl" w:hAnsi="FrankRuehl" w:cs="FrankRuehl"/>
          <w:rtl/>
        </w:rPr>
        <w:t xml:space="preserve">, </w:t>
      </w:r>
      <w:hyperlink r:id="rId11" w:history="1">
        <w:r w:rsidRPr="001548B4">
          <w:rPr>
            <w:rFonts w:ascii="FrankRuehl" w:hAnsi="FrankRuehl" w:cs="FrankRuehl"/>
            <w:color w:val="0000FF"/>
            <w:u w:val="single"/>
            <w:rtl/>
          </w:rPr>
          <w:t>40יד</w:t>
        </w:r>
      </w:hyperlink>
      <w:r w:rsidRPr="001548B4">
        <w:rPr>
          <w:rFonts w:ascii="FrankRuehl" w:hAnsi="FrankRuehl" w:cs="FrankRuehl"/>
          <w:rtl/>
        </w:rPr>
        <w:t xml:space="preserve">, </w:t>
      </w:r>
      <w:hyperlink r:id="rId12" w:history="1">
        <w:r w:rsidRPr="001548B4">
          <w:rPr>
            <w:rFonts w:ascii="FrankRuehl" w:hAnsi="FrankRuehl" w:cs="FrankRuehl"/>
            <w:color w:val="0000FF"/>
            <w:u w:val="single"/>
            <w:rtl/>
          </w:rPr>
          <w:t>499(א)(1)</w:t>
        </w:r>
      </w:hyperlink>
    </w:p>
    <w:p w14:paraId="3E881EEF" w14:textId="77777777" w:rsidR="001548B4" w:rsidRPr="001548B4" w:rsidRDefault="001548B4" w:rsidP="001548B4">
      <w:pPr>
        <w:spacing w:after="120" w:line="240" w:lineRule="exact"/>
        <w:ind w:left="283" w:hanging="283"/>
        <w:jc w:val="both"/>
        <w:rPr>
          <w:rFonts w:ascii="FrankRuehl" w:hAnsi="FrankRuehl" w:cs="FrankRuehl"/>
          <w:rtl/>
        </w:rPr>
      </w:pPr>
    </w:p>
    <w:p w14:paraId="07179D2E" w14:textId="77777777" w:rsidR="001548B4" w:rsidRPr="001548B4" w:rsidRDefault="001548B4">
      <w:pPr>
        <w:rPr>
          <w:rtl/>
        </w:rPr>
      </w:pPr>
      <w:bookmarkStart w:id="4" w:name="LawTable_End"/>
      <w:bookmarkEnd w:id="4"/>
    </w:p>
    <w:p w14:paraId="2FF5A5D5" w14:textId="77777777" w:rsidR="00087D17" w:rsidRPr="00087D17" w:rsidRDefault="00087D17">
      <w:pPr>
        <w:rPr>
          <w:rtl/>
        </w:rPr>
      </w:pPr>
    </w:p>
    <w:p w14:paraId="7DE7B816" w14:textId="77777777" w:rsidR="00087D17" w:rsidRPr="00087D17" w:rsidRDefault="00087D17">
      <w:pPr>
        <w:rPr>
          <w:rtl/>
        </w:rPr>
      </w:pPr>
    </w:p>
    <w:p w14:paraId="3D8E30C8" w14:textId="77777777" w:rsidR="00CA705F" w:rsidRPr="00087D17" w:rsidRDefault="00CA705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A705F" w14:paraId="5BCC0C88" w14:textId="77777777">
        <w:trPr>
          <w:trHeight w:val="355"/>
          <w:jc w:val="center"/>
        </w:trPr>
        <w:tc>
          <w:tcPr>
            <w:tcW w:w="8820" w:type="dxa"/>
            <w:tcBorders>
              <w:top w:val="nil"/>
              <w:left w:val="nil"/>
              <w:bottom w:val="nil"/>
              <w:right w:val="nil"/>
            </w:tcBorders>
          </w:tcPr>
          <w:p w14:paraId="12F24E30" w14:textId="77777777" w:rsidR="005C2E5F" w:rsidRPr="005C2E5F" w:rsidRDefault="005C2E5F" w:rsidP="005C2E5F">
            <w:pPr>
              <w:jc w:val="center"/>
              <w:rPr>
                <w:rFonts w:ascii="Arial" w:hAnsi="Arial" w:cs="FrankRuehl"/>
                <w:b/>
                <w:bCs/>
                <w:sz w:val="32"/>
                <w:szCs w:val="32"/>
                <w:u w:val="single"/>
                <w:rtl/>
              </w:rPr>
            </w:pPr>
            <w:bookmarkStart w:id="5" w:name="PsakDin" w:colFirst="0" w:colLast="0"/>
            <w:bookmarkEnd w:id="0"/>
            <w:r w:rsidRPr="005C2E5F">
              <w:rPr>
                <w:rFonts w:ascii="Arial" w:hAnsi="Arial" w:cs="FrankRuehl"/>
                <w:b/>
                <w:bCs/>
                <w:sz w:val="32"/>
                <w:szCs w:val="32"/>
                <w:u w:val="single"/>
                <w:rtl/>
              </w:rPr>
              <w:t>גזר דין</w:t>
            </w:r>
          </w:p>
          <w:p w14:paraId="74AE3FA1" w14:textId="77777777" w:rsidR="00CA705F" w:rsidRPr="005C2E5F" w:rsidRDefault="00CA705F" w:rsidP="005C2E5F">
            <w:pPr>
              <w:jc w:val="center"/>
              <w:rPr>
                <w:rFonts w:ascii="Arial" w:hAnsi="Arial" w:cs="FrankRuehl"/>
                <w:bCs/>
                <w:sz w:val="32"/>
                <w:szCs w:val="32"/>
                <w:u w:val="single"/>
                <w:rtl/>
              </w:rPr>
            </w:pPr>
          </w:p>
        </w:tc>
      </w:tr>
      <w:bookmarkEnd w:id="5"/>
    </w:tbl>
    <w:p w14:paraId="3E099FCA" w14:textId="77777777" w:rsidR="00CA705F" w:rsidRDefault="00CA705F">
      <w:pPr>
        <w:rPr>
          <w:rFonts w:ascii="Arial" w:hAnsi="Arial"/>
          <w:rtl/>
        </w:rPr>
      </w:pPr>
    </w:p>
    <w:p w14:paraId="1243CED2" w14:textId="77777777" w:rsidR="00CA705F" w:rsidRDefault="00CA705F">
      <w:pPr>
        <w:spacing w:line="360" w:lineRule="auto"/>
        <w:jc w:val="both"/>
        <w:rPr>
          <w:rtl/>
        </w:rPr>
      </w:pPr>
    </w:p>
    <w:p w14:paraId="4E61F7E0" w14:textId="77777777" w:rsidR="00CA705F" w:rsidRDefault="005C2E5F">
      <w:pPr>
        <w:spacing w:line="360" w:lineRule="auto"/>
        <w:jc w:val="both"/>
        <w:rPr>
          <w:b/>
          <w:bCs/>
          <w:sz w:val="28"/>
          <w:szCs w:val="28"/>
          <w:u w:val="single"/>
          <w:rtl/>
        </w:rPr>
      </w:pPr>
      <w:r>
        <w:rPr>
          <w:rFonts w:hint="cs"/>
          <w:sz w:val="28"/>
          <w:szCs w:val="28"/>
          <w:rtl/>
        </w:rPr>
        <w:t>א.</w:t>
      </w:r>
      <w:r>
        <w:rPr>
          <w:rFonts w:hint="cs"/>
          <w:sz w:val="28"/>
          <w:szCs w:val="28"/>
          <w:rtl/>
        </w:rPr>
        <w:tab/>
      </w:r>
      <w:r>
        <w:rPr>
          <w:rFonts w:hint="cs"/>
          <w:b/>
          <w:bCs/>
          <w:sz w:val="28"/>
          <w:szCs w:val="28"/>
          <w:u w:val="single"/>
          <w:rtl/>
        </w:rPr>
        <w:t>פתח דבר</w:t>
      </w:r>
    </w:p>
    <w:p w14:paraId="1F6F1EF3" w14:textId="77777777" w:rsidR="00CA705F" w:rsidRDefault="00CA705F">
      <w:pPr>
        <w:spacing w:line="360" w:lineRule="auto"/>
        <w:jc w:val="both"/>
        <w:rPr>
          <w:rtl/>
        </w:rPr>
      </w:pPr>
    </w:p>
    <w:p w14:paraId="05030A33" w14:textId="77777777" w:rsidR="00CA705F" w:rsidRDefault="005C2E5F">
      <w:pPr>
        <w:spacing w:line="360" w:lineRule="auto"/>
        <w:ind w:left="720"/>
        <w:jc w:val="both"/>
        <w:rPr>
          <w:rtl/>
        </w:rPr>
      </w:pPr>
      <w:r>
        <w:rPr>
          <w:rFonts w:hint="cs"/>
          <w:rtl/>
        </w:rPr>
        <w:t>1.</w:t>
      </w:r>
      <w:r>
        <w:rPr>
          <w:rFonts w:hint="cs"/>
          <w:rtl/>
        </w:rPr>
        <w:tab/>
      </w:r>
      <w:bookmarkStart w:id="6" w:name="ABSTRACT_START"/>
      <w:bookmarkEnd w:id="6"/>
      <w:r>
        <w:rPr>
          <w:rFonts w:hint="cs"/>
          <w:rtl/>
        </w:rPr>
        <w:t xml:space="preserve">הנאשם הורשע ע"פי הודאתו, במסגרת הסדר טיעון, בביצוע העבירות נשוא כתב האישום המתוקן בשלישית (על אף שנרשם על גביו כי הוא מתוקן בשנית): ייצור וסחר בנשק וקשירת קשר לביצוע פשע- עבירות לפי </w:t>
      </w:r>
      <w:hyperlink r:id="rId13" w:history="1">
        <w:r w:rsidR="001548B4" w:rsidRPr="001548B4">
          <w:rPr>
            <w:color w:val="0000FF"/>
            <w:u w:val="single"/>
            <w:rtl/>
          </w:rPr>
          <w:t>סעיפים 144(ב2)</w:t>
        </w:r>
      </w:hyperlink>
      <w:r>
        <w:rPr>
          <w:rFonts w:hint="cs"/>
          <w:rtl/>
        </w:rPr>
        <w:t xml:space="preserve"> יחד עם </w:t>
      </w:r>
      <w:hyperlink r:id="rId14" w:history="1">
        <w:r w:rsidR="001548B4" w:rsidRPr="001548B4">
          <w:rPr>
            <w:color w:val="0000FF"/>
            <w:u w:val="single"/>
            <w:rtl/>
          </w:rPr>
          <w:t>סעיף 144(ג)(3)</w:t>
        </w:r>
      </w:hyperlink>
      <w:r>
        <w:rPr>
          <w:rFonts w:hint="cs"/>
          <w:rtl/>
        </w:rPr>
        <w:t xml:space="preserve"> ו- </w:t>
      </w:r>
      <w:hyperlink r:id="rId15" w:history="1">
        <w:r w:rsidR="001548B4" w:rsidRPr="001548B4">
          <w:rPr>
            <w:color w:val="0000FF"/>
            <w:u w:val="single"/>
            <w:rtl/>
          </w:rPr>
          <w:t>499(א)(1)</w:t>
        </w:r>
      </w:hyperlink>
      <w:r>
        <w:rPr>
          <w:rFonts w:hint="cs"/>
          <w:rtl/>
        </w:rPr>
        <w:t xml:space="preserve"> ל</w:t>
      </w:r>
      <w:hyperlink r:id="rId16" w:history="1">
        <w:r w:rsidR="00087D17" w:rsidRPr="00087D17">
          <w:rPr>
            <w:rStyle w:val="Hyperlink"/>
            <w:rtl/>
          </w:rPr>
          <w:t>חוק העונשין</w:t>
        </w:r>
      </w:hyperlink>
      <w:r>
        <w:rPr>
          <w:rFonts w:hint="cs"/>
          <w:rtl/>
        </w:rPr>
        <w:t>, התשל"ז- 1977 (להלן: "</w:t>
      </w:r>
      <w:r>
        <w:rPr>
          <w:rFonts w:hint="cs"/>
          <w:b/>
          <w:bCs/>
          <w:rtl/>
        </w:rPr>
        <w:t>חוק העונשין</w:t>
      </w:r>
      <w:r>
        <w:rPr>
          <w:rFonts w:hint="cs"/>
          <w:rtl/>
        </w:rPr>
        <w:t>")- נשוא האישומים הראשון, השני והשישי</w:t>
      </w:r>
      <w:bookmarkStart w:id="7" w:name="ABSTRACT_END"/>
      <w:bookmarkEnd w:id="7"/>
      <w:r>
        <w:rPr>
          <w:rFonts w:hint="cs"/>
          <w:rtl/>
        </w:rPr>
        <w:t>.</w:t>
      </w:r>
    </w:p>
    <w:p w14:paraId="60AB09A9" w14:textId="77777777" w:rsidR="00CA705F" w:rsidRDefault="005C2E5F">
      <w:pPr>
        <w:spacing w:line="360" w:lineRule="auto"/>
        <w:ind w:firstLine="720"/>
        <w:jc w:val="both"/>
        <w:rPr>
          <w:rtl/>
        </w:rPr>
      </w:pPr>
      <w:r>
        <w:rPr>
          <w:rFonts w:hint="cs"/>
          <w:rtl/>
        </w:rPr>
        <w:t>עבירה של ייצור וסחר בנשק גם נשוא האישומים השלישי והרביעי.</w:t>
      </w:r>
    </w:p>
    <w:p w14:paraId="1C9E8F02" w14:textId="77777777" w:rsidR="00CA705F" w:rsidRDefault="005C2E5F">
      <w:pPr>
        <w:spacing w:line="360" w:lineRule="auto"/>
        <w:ind w:firstLine="720"/>
        <w:jc w:val="both"/>
        <w:rPr>
          <w:rtl/>
        </w:rPr>
      </w:pPr>
      <w:r>
        <w:rPr>
          <w:rFonts w:hint="cs"/>
          <w:rtl/>
        </w:rPr>
        <w:t>עבירה של קשירת קשר לביצוע פשע גם נשוא האישום החמישי.</w:t>
      </w:r>
    </w:p>
    <w:p w14:paraId="09E107D0" w14:textId="77777777" w:rsidR="00CA705F" w:rsidRDefault="005C2E5F">
      <w:pPr>
        <w:spacing w:line="360" w:lineRule="auto"/>
        <w:ind w:left="720"/>
        <w:jc w:val="both"/>
        <w:rPr>
          <w:rtl/>
        </w:rPr>
      </w:pPr>
      <w:r>
        <w:rPr>
          <w:rFonts w:hint="cs"/>
          <w:rtl/>
        </w:rPr>
        <w:t xml:space="preserve">כמו- כן, הורשע הנאשם בביצוע עבירה של ניסיון לסחר בנשק- עבירה לפי </w:t>
      </w:r>
      <w:hyperlink r:id="rId17" w:history="1">
        <w:r w:rsidR="001548B4" w:rsidRPr="001548B4">
          <w:rPr>
            <w:color w:val="0000FF"/>
            <w:u w:val="single"/>
            <w:rtl/>
          </w:rPr>
          <w:t>סעיף 144(ב2)</w:t>
        </w:r>
      </w:hyperlink>
      <w:r>
        <w:rPr>
          <w:rFonts w:hint="cs"/>
          <w:rtl/>
        </w:rPr>
        <w:t xml:space="preserve"> ביחד עם </w:t>
      </w:r>
      <w:hyperlink r:id="rId18" w:history="1">
        <w:r w:rsidR="001548B4" w:rsidRPr="001548B4">
          <w:rPr>
            <w:color w:val="0000FF"/>
            <w:u w:val="single"/>
            <w:rtl/>
          </w:rPr>
          <w:t>סעיף 144(ג)(3)</w:t>
        </w:r>
      </w:hyperlink>
      <w:r>
        <w:rPr>
          <w:rFonts w:hint="cs"/>
          <w:rtl/>
        </w:rPr>
        <w:t xml:space="preserve"> </w:t>
      </w:r>
      <w:hyperlink r:id="rId19" w:history="1">
        <w:r w:rsidR="001548B4" w:rsidRPr="001548B4">
          <w:rPr>
            <w:color w:val="0000FF"/>
            <w:u w:val="single"/>
            <w:rtl/>
          </w:rPr>
          <w:t>וסעיף 25</w:t>
        </w:r>
      </w:hyperlink>
      <w:r>
        <w:rPr>
          <w:rFonts w:hint="cs"/>
          <w:rtl/>
        </w:rPr>
        <w:t xml:space="preserve"> ל</w:t>
      </w:r>
      <w:hyperlink r:id="rId20" w:history="1">
        <w:r w:rsidR="00087D17" w:rsidRPr="00087D17">
          <w:rPr>
            <w:rStyle w:val="Hyperlink"/>
            <w:rtl/>
          </w:rPr>
          <w:t>חוק העונשין</w:t>
        </w:r>
      </w:hyperlink>
      <w:r>
        <w:rPr>
          <w:rFonts w:hint="cs"/>
          <w:rtl/>
        </w:rPr>
        <w:t>- נשוא האישום החמישי.</w:t>
      </w:r>
    </w:p>
    <w:p w14:paraId="18F56000" w14:textId="77777777" w:rsidR="00CA705F" w:rsidRDefault="005C2E5F">
      <w:pPr>
        <w:spacing w:line="360" w:lineRule="auto"/>
        <w:ind w:left="720"/>
        <w:jc w:val="both"/>
        <w:rPr>
          <w:rtl/>
        </w:rPr>
      </w:pPr>
      <w:r>
        <w:rPr>
          <w:rFonts w:hint="cs"/>
          <w:rtl/>
        </w:rPr>
        <w:t xml:space="preserve">עוד מואשם הנאשם בעבירה של עשיית עסקה אחרת בנשק- עבירה לפי </w:t>
      </w:r>
      <w:hyperlink r:id="rId21" w:history="1">
        <w:r w:rsidR="001548B4" w:rsidRPr="001548B4">
          <w:rPr>
            <w:color w:val="0000FF"/>
            <w:u w:val="single"/>
            <w:rtl/>
          </w:rPr>
          <w:t>סעיף 144(ב)(2)</w:t>
        </w:r>
      </w:hyperlink>
      <w:r>
        <w:rPr>
          <w:rFonts w:hint="cs"/>
          <w:rtl/>
        </w:rPr>
        <w:t xml:space="preserve"> ו- </w:t>
      </w:r>
      <w:hyperlink r:id="rId22" w:history="1">
        <w:r w:rsidR="001548B4" w:rsidRPr="001548B4">
          <w:rPr>
            <w:color w:val="0000FF"/>
            <w:u w:val="single"/>
            <w:rtl/>
          </w:rPr>
          <w:t>144(ג)(3)</w:t>
        </w:r>
      </w:hyperlink>
      <w:r>
        <w:rPr>
          <w:rFonts w:hint="cs"/>
          <w:rtl/>
        </w:rPr>
        <w:t xml:space="preserve"> ל</w:t>
      </w:r>
      <w:hyperlink r:id="rId23" w:history="1">
        <w:r w:rsidR="00087D17" w:rsidRPr="00087D17">
          <w:rPr>
            <w:rStyle w:val="Hyperlink"/>
            <w:rtl/>
          </w:rPr>
          <w:t>חוק העונשין</w:t>
        </w:r>
      </w:hyperlink>
      <w:r>
        <w:rPr>
          <w:rFonts w:hint="cs"/>
          <w:rtl/>
        </w:rPr>
        <w:t>- נשוא האישום השביעי.</w:t>
      </w:r>
    </w:p>
    <w:p w14:paraId="1870A4A3" w14:textId="77777777" w:rsidR="00CA705F" w:rsidRDefault="00CA705F">
      <w:pPr>
        <w:spacing w:line="360" w:lineRule="auto"/>
        <w:jc w:val="both"/>
        <w:rPr>
          <w:rtl/>
        </w:rPr>
      </w:pPr>
    </w:p>
    <w:p w14:paraId="3468C361" w14:textId="77777777" w:rsidR="00CA705F" w:rsidRDefault="005C2E5F">
      <w:pPr>
        <w:spacing w:line="360" w:lineRule="auto"/>
        <w:ind w:left="720"/>
        <w:jc w:val="both"/>
        <w:rPr>
          <w:rtl/>
        </w:rPr>
      </w:pPr>
      <w:r>
        <w:rPr>
          <w:rFonts w:hint="cs"/>
          <w:rtl/>
        </w:rPr>
        <w:t>2.</w:t>
      </w:r>
      <w:r>
        <w:rPr>
          <w:rFonts w:hint="cs"/>
          <w:rtl/>
        </w:rPr>
        <w:tab/>
        <w:t xml:space="preserve">על פי הנטען בכתב האישום בו הודה הנאשם, עובר לחודש אוגוסט 2012, הוא קשר קשר עם אחרים לביצוע פשע, קרי: להכין ולהפיץ מטעני חבלה שהוכנו על-ידו ב"תוצרת ביתית" </w:t>
      </w:r>
      <w:r>
        <w:rPr>
          <w:rtl/>
        </w:rPr>
        <w:t>–</w:t>
      </w:r>
      <w:r>
        <w:rPr>
          <w:rFonts w:hint="cs"/>
          <w:rtl/>
        </w:rPr>
        <w:t xml:space="preserve"> מטענים המהווים "נשק" כהגדרתו ב</w:t>
      </w:r>
      <w:hyperlink r:id="rId24" w:history="1">
        <w:r w:rsidR="00087D17" w:rsidRPr="00087D17">
          <w:rPr>
            <w:rStyle w:val="Hyperlink"/>
            <w:rtl/>
          </w:rPr>
          <w:t>חוק העונשין</w:t>
        </w:r>
      </w:hyperlink>
      <w:r>
        <w:rPr>
          <w:rFonts w:hint="cs"/>
          <w:rtl/>
        </w:rPr>
        <w:t xml:space="preserve"> להלן: "</w:t>
      </w:r>
      <w:r>
        <w:rPr>
          <w:rFonts w:hint="cs"/>
          <w:b/>
          <w:bCs/>
          <w:rtl/>
        </w:rPr>
        <w:t>המטענים</w:t>
      </w:r>
      <w:r>
        <w:rPr>
          <w:rFonts w:hint="cs"/>
          <w:rtl/>
        </w:rPr>
        <w:t>"), כמו-כן, הנאשם סחר במטעני החבלה ביחד עם אחר.</w:t>
      </w:r>
    </w:p>
    <w:p w14:paraId="321C22A0" w14:textId="77777777" w:rsidR="00CA705F" w:rsidRDefault="00CA705F">
      <w:pPr>
        <w:spacing w:line="360" w:lineRule="auto"/>
        <w:ind w:left="720"/>
        <w:jc w:val="both"/>
        <w:rPr>
          <w:rtl/>
        </w:rPr>
      </w:pPr>
    </w:p>
    <w:p w14:paraId="7C692B6A" w14:textId="77777777" w:rsidR="00CA705F" w:rsidRDefault="005C2E5F">
      <w:pPr>
        <w:spacing w:line="360" w:lineRule="auto"/>
        <w:ind w:left="720"/>
        <w:jc w:val="both"/>
        <w:rPr>
          <w:rtl/>
        </w:rPr>
      </w:pPr>
      <w:r>
        <w:rPr>
          <w:rFonts w:hint="cs"/>
          <w:rtl/>
        </w:rPr>
        <w:t xml:space="preserve">במסגרת הקשר ולצורך קידומו, למד הנאשם ובדק את נושא הכנת חומרי נפץ וחומרי חבלה באמצעות האינטרנט, ובמועד שאינו ידוע כ-3-4 חודשים עובר לתאריך 23.10.12, הוא החל בהכנה ובהפצת מטעני החבלה. </w:t>
      </w:r>
    </w:p>
    <w:p w14:paraId="69B372CC" w14:textId="77777777" w:rsidR="00CA705F" w:rsidRDefault="005C2E5F">
      <w:pPr>
        <w:spacing w:line="360" w:lineRule="auto"/>
        <w:ind w:left="720"/>
        <w:jc w:val="both"/>
        <w:rPr>
          <w:rtl/>
        </w:rPr>
      </w:pPr>
      <w:r>
        <w:rPr>
          <w:rFonts w:hint="cs"/>
          <w:rtl/>
        </w:rPr>
        <w:t>יהלום סקירא המכונה "יהלומי" היה שותפו של הנאשם בייצור המטענים, ותפקידו היה לרכוש חומרים אשר שימשו כמרכיבים של מטעני חבלה אותם ייצר הנאשם ובהם סחר.</w:t>
      </w:r>
    </w:p>
    <w:p w14:paraId="2447EE87" w14:textId="77777777" w:rsidR="00CA705F" w:rsidRDefault="00CA705F">
      <w:pPr>
        <w:spacing w:line="360" w:lineRule="auto"/>
        <w:ind w:left="720"/>
        <w:jc w:val="both"/>
        <w:rPr>
          <w:rtl/>
        </w:rPr>
      </w:pPr>
    </w:p>
    <w:p w14:paraId="76967287" w14:textId="77777777" w:rsidR="00CA705F" w:rsidRDefault="005C2E5F">
      <w:pPr>
        <w:spacing w:line="360" w:lineRule="auto"/>
        <w:ind w:left="720"/>
        <w:jc w:val="both"/>
        <w:rPr>
          <w:rtl/>
        </w:rPr>
      </w:pPr>
      <w:r>
        <w:rPr>
          <w:rFonts w:hint="cs"/>
          <w:rtl/>
        </w:rPr>
        <w:t>3.</w:t>
      </w:r>
      <w:r>
        <w:rPr>
          <w:rFonts w:hint="cs"/>
          <w:rtl/>
        </w:rPr>
        <w:tab/>
        <w:t>במסגרת הקשר, פנה הנאשם בתאריכים 14.8.2012</w:t>
      </w:r>
      <w:r>
        <w:t xml:space="preserve"> </w:t>
      </w:r>
      <w:r>
        <w:rPr>
          <w:rFonts w:hint="cs"/>
          <w:rtl/>
        </w:rPr>
        <w:t>ו-19.8.2012 למסגרייה וביקש שיוכנו עבורו קופסאות ממתכת שבאחת מהפאות שלהן יהיה חור שאליו ירותך צינור עפ"י מידות שמסר הנאשם (להלן: "</w:t>
      </w:r>
      <w:r>
        <w:rPr>
          <w:rFonts w:hint="cs"/>
          <w:b/>
          <w:bCs/>
          <w:rtl/>
        </w:rPr>
        <w:t>הקוביות</w:t>
      </w:r>
      <w:r>
        <w:rPr>
          <w:rFonts w:hint="cs"/>
          <w:rtl/>
        </w:rPr>
        <w:t xml:space="preserve">"). במועד שאינו ידוע הגיע הנאשם בעצמו או שלח אחר לאסוף את הקוביות הנ"ל. </w:t>
      </w:r>
    </w:p>
    <w:p w14:paraId="04B49BCF" w14:textId="77777777" w:rsidR="00CA705F" w:rsidRDefault="00CA705F">
      <w:pPr>
        <w:spacing w:line="360" w:lineRule="auto"/>
        <w:ind w:left="720"/>
        <w:jc w:val="both"/>
        <w:rPr>
          <w:rtl/>
        </w:rPr>
      </w:pPr>
    </w:p>
    <w:p w14:paraId="1FCA03EE" w14:textId="77777777" w:rsidR="00CA705F" w:rsidRDefault="005C2E5F">
      <w:pPr>
        <w:spacing w:line="360" w:lineRule="auto"/>
        <w:ind w:left="720"/>
        <w:jc w:val="both"/>
        <w:rPr>
          <w:rtl/>
        </w:rPr>
      </w:pPr>
      <w:r>
        <w:rPr>
          <w:rFonts w:hint="cs"/>
          <w:rtl/>
        </w:rPr>
        <w:t>4.</w:t>
      </w:r>
      <w:r>
        <w:rPr>
          <w:rFonts w:hint="cs"/>
          <w:rtl/>
        </w:rPr>
        <w:tab/>
        <w:t>בנוסף, במועדים שונים בין החודשים אוגוסט- אוקטובר 2012, רכש הנאשם מנגנוני הפעלה הכוללים משדר ושלט למרחקים של 300 מ' ו-2 ק"מ שנועדו להפעיל את מטעני החבלה מרחוק (להלן: "</w:t>
      </w:r>
      <w:r>
        <w:rPr>
          <w:rFonts w:hint="cs"/>
          <w:b/>
          <w:bCs/>
          <w:rtl/>
        </w:rPr>
        <w:t>מנגנוני ההפעלה</w:t>
      </w:r>
      <w:r>
        <w:rPr>
          <w:rFonts w:hint="cs"/>
          <w:rtl/>
        </w:rPr>
        <w:t xml:space="preserve">"). </w:t>
      </w:r>
    </w:p>
    <w:p w14:paraId="24058FFD" w14:textId="77777777" w:rsidR="00CA705F" w:rsidRDefault="00CA705F">
      <w:pPr>
        <w:spacing w:line="360" w:lineRule="auto"/>
        <w:ind w:left="720"/>
        <w:jc w:val="both"/>
        <w:rPr>
          <w:rtl/>
        </w:rPr>
      </w:pPr>
    </w:p>
    <w:p w14:paraId="04719E2D" w14:textId="77777777" w:rsidR="00CA705F" w:rsidRDefault="005C2E5F">
      <w:pPr>
        <w:spacing w:line="360" w:lineRule="auto"/>
        <w:ind w:left="720"/>
        <w:jc w:val="both"/>
        <w:rPr>
          <w:rtl/>
        </w:rPr>
      </w:pPr>
      <w:r>
        <w:rPr>
          <w:rFonts w:hint="cs"/>
          <w:rtl/>
        </w:rPr>
        <w:t>5.</w:t>
      </w:r>
      <w:r>
        <w:rPr>
          <w:rFonts w:hint="cs"/>
          <w:rtl/>
        </w:rPr>
        <w:tab/>
        <w:t xml:space="preserve">הנאשם אף הכין במסגרת הקשר ולשם קידומו בביתו ברח' התנאים 32 חולון, מטעני חבלה אותם מילא בחומר נפץ ועשה פעולות של חיבור ואיטום לקוביות עד שהיו למטענים המסוגלים להמית אדם. </w:t>
      </w:r>
    </w:p>
    <w:p w14:paraId="15CDDFD8" w14:textId="77777777" w:rsidR="00CA705F" w:rsidRDefault="005C2E5F">
      <w:pPr>
        <w:spacing w:line="360" w:lineRule="auto"/>
        <w:ind w:left="720"/>
        <w:jc w:val="both"/>
        <w:rPr>
          <w:rtl/>
        </w:rPr>
      </w:pPr>
      <w:r>
        <w:rPr>
          <w:rFonts w:hint="cs"/>
          <w:rtl/>
        </w:rPr>
        <w:t>לאחר הכנתם, מכר הנאשם ביחד עם אחר - הקטין נ.א. יליד 1996 (להלן: "</w:t>
      </w:r>
      <w:r>
        <w:rPr>
          <w:rFonts w:hint="cs"/>
          <w:b/>
          <w:bCs/>
          <w:rtl/>
        </w:rPr>
        <w:t>הקטין</w:t>
      </w:r>
      <w:r>
        <w:rPr>
          <w:rFonts w:hint="cs"/>
          <w:rtl/>
        </w:rPr>
        <w:t xml:space="preserve">"), מטעני חבלה בכמות בלתי ידועה תמורת אלפי שקלים. </w:t>
      </w:r>
    </w:p>
    <w:p w14:paraId="16111D7D" w14:textId="77777777" w:rsidR="00CA705F" w:rsidRDefault="00CA705F">
      <w:pPr>
        <w:spacing w:line="360" w:lineRule="auto"/>
        <w:jc w:val="both"/>
        <w:rPr>
          <w:rtl/>
        </w:rPr>
      </w:pPr>
    </w:p>
    <w:p w14:paraId="29A50AD8" w14:textId="77777777" w:rsidR="00CA705F" w:rsidRDefault="005C2E5F">
      <w:pPr>
        <w:spacing w:line="360" w:lineRule="auto"/>
        <w:ind w:left="720"/>
        <w:jc w:val="both"/>
        <w:rPr>
          <w:rtl/>
        </w:rPr>
      </w:pPr>
      <w:r>
        <w:rPr>
          <w:rFonts w:hint="cs"/>
          <w:rtl/>
        </w:rPr>
        <w:t>6.</w:t>
      </w:r>
      <w:r>
        <w:rPr>
          <w:rFonts w:hint="cs"/>
          <w:rtl/>
        </w:rPr>
        <w:tab/>
        <w:t xml:space="preserve">מעובדות האישום השני עולה, כי בתאריך 15.10.2012 הודיע הקטין לנאשם כי הוא מכר מטען נוסף במחיר של 4,500 ₪, ולנאשם ישולם עבור חלקו סך של 1,200 ש"ח. </w:t>
      </w:r>
    </w:p>
    <w:p w14:paraId="3B9DD06B" w14:textId="77777777" w:rsidR="00CA705F" w:rsidRDefault="005C2E5F">
      <w:pPr>
        <w:spacing w:line="360" w:lineRule="auto"/>
        <w:ind w:left="720"/>
        <w:jc w:val="both"/>
        <w:rPr>
          <w:rtl/>
        </w:rPr>
      </w:pPr>
      <w:r>
        <w:rPr>
          <w:rFonts w:hint="cs"/>
          <w:rtl/>
        </w:rPr>
        <w:t>בהמשך, סמוך לשעה 21:43, הגיע הקטין לביתו של הנאשם והתקשר לאחר (ויקטור בן שושן). הקטין ביקש מהאחר - ויקטור לרכוש בעבורו דבק דו צדדי כדי להשלים הכנת מטען חבלה אותו יעביר לו בהמשך. ויקטור לא סיפק הדבר והקטין מכר לאחר את מטען החבלה שייצר הנאשם.</w:t>
      </w:r>
    </w:p>
    <w:p w14:paraId="30516B71" w14:textId="77777777" w:rsidR="00CA705F" w:rsidRDefault="00CA705F">
      <w:pPr>
        <w:spacing w:line="360" w:lineRule="auto"/>
        <w:ind w:left="720"/>
        <w:jc w:val="both"/>
        <w:rPr>
          <w:rtl/>
        </w:rPr>
      </w:pPr>
    </w:p>
    <w:p w14:paraId="3E93AE56" w14:textId="77777777" w:rsidR="00CA705F" w:rsidRDefault="005C2E5F">
      <w:pPr>
        <w:spacing w:line="360" w:lineRule="auto"/>
        <w:ind w:left="720"/>
        <w:jc w:val="both"/>
        <w:rPr>
          <w:rtl/>
        </w:rPr>
      </w:pPr>
      <w:r>
        <w:rPr>
          <w:rFonts w:hint="cs"/>
          <w:rtl/>
        </w:rPr>
        <w:lastRenderedPageBreak/>
        <w:t>7.</w:t>
      </w:r>
      <w:r>
        <w:rPr>
          <w:rFonts w:hint="cs"/>
          <w:rtl/>
        </w:rPr>
        <w:tab/>
        <w:t>בהמשך, עובר לתאריך 17.1.2012 סיכם הנאשם באמצעות הקטין עם לירון טוויק וצדוק אברהם בתיווכו של אלעד כהן (להלן: "</w:t>
      </w:r>
      <w:r>
        <w:rPr>
          <w:rFonts w:hint="cs"/>
          <w:b/>
          <w:bCs/>
          <w:rtl/>
        </w:rPr>
        <w:t>אלעד</w:t>
      </w:r>
      <w:r>
        <w:rPr>
          <w:rFonts w:hint="cs"/>
          <w:rtl/>
        </w:rPr>
        <w:t>"), על מכירתם של שני מטעני חבלה, אותם ייצר הנאשם.</w:t>
      </w:r>
    </w:p>
    <w:p w14:paraId="4293DC61" w14:textId="77777777" w:rsidR="00CA705F" w:rsidRDefault="00CA705F">
      <w:pPr>
        <w:spacing w:line="360" w:lineRule="auto"/>
        <w:jc w:val="both"/>
        <w:rPr>
          <w:rtl/>
        </w:rPr>
      </w:pPr>
    </w:p>
    <w:p w14:paraId="3D7A457D" w14:textId="77777777" w:rsidR="00CA705F" w:rsidRDefault="005C2E5F">
      <w:pPr>
        <w:spacing w:line="360" w:lineRule="auto"/>
        <w:ind w:left="720" w:hanging="720"/>
        <w:jc w:val="both"/>
        <w:rPr>
          <w:rtl/>
        </w:rPr>
      </w:pPr>
      <w:r>
        <w:rPr>
          <w:rFonts w:hint="cs"/>
          <w:rtl/>
        </w:rPr>
        <w:tab/>
        <w:t>8.</w:t>
      </w:r>
      <w:r>
        <w:rPr>
          <w:rFonts w:hint="cs"/>
          <w:rtl/>
        </w:rPr>
        <w:tab/>
        <w:t>מעובדות האישום השלישי עולה כי בתאריך 23.9.2012, סמוך לשעה 17:30, ובהמשך לתיאום מוקדם בביתו של הנאשם , מכר הנאשם לסוכן משטרתי (להלן: "</w:t>
      </w:r>
      <w:r>
        <w:rPr>
          <w:rFonts w:hint="cs"/>
          <w:b/>
          <w:bCs/>
          <w:rtl/>
        </w:rPr>
        <w:t>הסוכן</w:t>
      </w:r>
      <w:r>
        <w:rPr>
          <w:rFonts w:hint="cs"/>
          <w:rtl/>
        </w:rPr>
        <w:t xml:space="preserve">") מטען חבלה שכלל מנגנון הפעלה, במחיר של 1,200 ₪. </w:t>
      </w:r>
    </w:p>
    <w:p w14:paraId="16C8947E" w14:textId="77777777" w:rsidR="00CA705F" w:rsidRDefault="005C2E5F">
      <w:pPr>
        <w:spacing w:line="360" w:lineRule="auto"/>
        <w:ind w:left="720" w:hanging="720"/>
        <w:jc w:val="both"/>
        <w:rPr>
          <w:rtl/>
        </w:rPr>
      </w:pPr>
      <w:r>
        <w:rPr>
          <w:rFonts w:hint="cs"/>
          <w:rtl/>
        </w:rPr>
        <w:tab/>
        <w:t>הנאשם הסביר לסוכן אודות מטען החבלה שכלל 300 גרם חומר נפץ וגולות רסס שיכולות להמית אדם או להזיק לו.</w:t>
      </w:r>
    </w:p>
    <w:p w14:paraId="27F57593" w14:textId="77777777" w:rsidR="00CA705F" w:rsidRDefault="00CA705F">
      <w:pPr>
        <w:spacing w:line="360" w:lineRule="auto"/>
        <w:jc w:val="both"/>
        <w:rPr>
          <w:rtl/>
        </w:rPr>
      </w:pPr>
    </w:p>
    <w:p w14:paraId="0EAC4D0A" w14:textId="77777777" w:rsidR="00CA705F" w:rsidRDefault="005C2E5F">
      <w:pPr>
        <w:spacing w:line="360" w:lineRule="auto"/>
        <w:ind w:left="720" w:hanging="720"/>
        <w:jc w:val="both"/>
        <w:rPr>
          <w:rtl/>
        </w:rPr>
      </w:pPr>
      <w:r>
        <w:rPr>
          <w:rFonts w:hint="cs"/>
          <w:rtl/>
        </w:rPr>
        <w:tab/>
        <w:t>9.</w:t>
      </w:r>
      <w:r>
        <w:rPr>
          <w:rFonts w:hint="cs"/>
          <w:rtl/>
        </w:rPr>
        <w:tab/>
        <w:t xml:space="preserve">מעובדות האישום הרביעי עולה, כי בתאריך 4.10.2012, סמוך לשעה 22:00, בביתו של הנאשם סחר הנאשם בנשק בכך שמכר לסוכן מטען חבלה כולל מנגון הפעלה ובתמורה קיבל עבורו 900 ₪. </w:t>
      </w:r>
    </w:p>
    <w:p w14:paraId="03143ACC" w14:textId="77777777" w:rsidR="00CA705F" w:rsidRDefault="00CA705F">
      <w:pPr>
        <w:spacing w:line="360" w:lineRule="auto"/>
        <w:ind w:left="720"/>
        <w:jc w:val="both"/>
        <w:rPr>
          <w:rtl/>
        </w:rPr>
      </w:pPr>
    </w:p>
    <w:p w14:paraId="3A20667F" w14:textId="77777777" w:rsidR="00CA705F" w:rsidRDefault="005C2E5F">
      <w:pPr>
        <w:spacing w:line="360" w:lineRule="auto"/>
        <w:ind w:left="720" w:hanging="720"/>
        <w:jc w:val="both"/>
        <w:rPr>
          <w:rtl/>
        </w:rPr>
      </w:pPr>
      <w:r>
        <w:rPr>
          <w:rFonts w:hint="cs"/>
          <w:rtl/>
        </w:rPr>
        <w:tab/>
        <w:t>10.</w:t>
      </w:r>
      <w:r>
        <w:rPr>
          <w:rFonts w:hint="cs"/>
          <w:rtl/>
        </w:rPr>
        <w:tab/>
        <w:t>מעובדות האישום החמישי עולה כי הנאשם ניסה לסחור במטען חבלה בכך שבתאריך 12.10.2012 סמוך לשעה 13:24, התקשר אריאל מרקוס לנאשם ושאל אותו באשר לחוב כספי שהנאשם חייב לו. בהמשך, הצטרף מנחם עמיאל ודחק בנאשם להשיב למרקוס את החוב הכספי. הנאשם רמז למרקוס ועמיאל כי הוא ממתין "</w:t>
      </w:r>
      <w:r>
        <w:rPr>
          <w:rFonts w:hint="cs"/>
          <w:b/>
          <w:bCs/>
          <w:rtl/>
        </w:rPr>
        <w:t>ללקוחות</w:t>
      </w:r>
      <w:r>
        <w:rPr>
          <w:rFonts w:hint="cs"/>
          <w:rtl/>
        </w:rPr>
        <w:t xml:space="preserve">", ואז תהיה לו היכולת להשיב את החוב הכספי למרכוס. </w:t>
      </w:r>
    </w:p>
    <w:p w14:paraId="0808ED6F" w14:textId="77777777" w:rsidR="00CA705F" w:rsidRDefault="005C2E5F">
      <w:pPr>
        <w:spacing w:line="360" w:lineRule="auto"/>
        <w:ind w:left="720"/>
        <w:jc w:val="both"/>
        <w:rPr>
          <w:rtl/>
        </w:rPr>
      </w:pPr>
      <w:r>
        <w:rPr>
          <w:rFonts w:hint="cs"/>
          <w:rtl/>
        </w:rPr>
        <w:t>בתאריך 17.10.2012 התקשרו מרכוס ועמיאל לנאשם ועמיאל ציין כי הוא: "</w:t>
      </w:r>
      <w:r>
        <w:rPr>
          <w:rFonts w:hint="cs"/>
          <w:b/>
          <w:bCs/>
          <w:rtl/>
        </w:rPr>
        <w:t>מעוניין ברכישה של יותר מ-15</w:t>
      </w:r>
      <w:r>
        <w:rPr>
          <w:rFonts w:hint="cs"/>
          <w:rtl/>
        </w:rPr>
        <w:t>". עמיאל הוסיף כי שמע ממרכוס ש"</w:t>
      </w:r>
      <w:r>
        <w:rPr>
          <w:rFonts w:hint="cs"/>
          <w:b/>
          <w:bCs/>
          <w:rtl/>
        </w:rPr>
        <w:t>זה קטלני</w:t>
      </w:r>
      <w:r>
        <w:rPr>
          <w:rFonts w:hint="cs"/>
          <w:rtl/>
        </w:rPr>
        <w:t>", והוא מבקש שהמטענים יהיו כאלה ש: "</w:t>
      </w:r>
      <w:r>
        <w:rPr>
          <w:rFonts w:hint="cs"/>
          <w:b/>
          <w:bCs/>
          <w:rtl/>
        </w:rPr>
        <w:t>שזה יהיה עם אפקט שלא לוקחים שבויים... שלא יישאר כלום</w:t>
      </w:r>
      <w:r>
        <w:rPr>
          <w:rFonts w:hint="cs"/>
          <w:rtl/>
        </w:rPr>
        <w:t xml:space="preserve">..." </w:t>
      </w:r>
    </w:p>
    <w:p w14:paraId="598976E4" w14:textId="77777777" w:rsidR="00CA705F" w:rsidRDefault="005C2E5F">
      <w:pPr>
        <w:spacing w:line="360" w:lineRule="auto"/>
        <w:ind w:firstLine="720"/>
        <w:jc w:val="both"/>
        <w:rPr>
          <w:rtl/>
        </w:rPr>
      </w:pPr>
      <w:r>
        <w:rPr>
          <w:rFonts w:hint="cs"/>
          <w:rtl/>
        </w:rPr>
        <w:t>עקב מעצרו של הנאשם ע"י המשטרה לא יצאה העסקה לפועל.</w:t>
      </w:r>
    </w:p>
    <w:p w14:paraId="09A2F22E" w14:textId="77777777" w:rsidR="00CA705F" w:rsidRDefault="00CA705F">
      <w:pPr>
        <w:spacing w:line="360" w:lineRule="auto"/>
        <w:jc w:val="both"/>
        <w:rPr>
          <w:rtl/>
        </w:rPr>
      </w:pPr>
    </w:p>
    <w:p w14:paraId="4B319106" w14:textId="77777777" w:rsidR="00CA705F" w:rsidRDefault="005C2E5F">
      <w:pPr>
        <w:spacing w:line="360" w:lineRule="auto"/>
        <w:ind w:left="720" w:hanging="720"/>
        <w:jc w:val="both"/>
        <w:rPr>
          <w:rtl/>
        </w:rPr>
      </w:pPr>
      <w:r>
        <w:rPr>
          <w:rFonts w:hint="cs"/>
          <w:rtl/>
        </w:rPr>
        <w:tab/>
        <w:t>11.</w:t>
      </w:r>
      <w:r>
        <w:rPr>
          <w:rFonts w:hint="cs"/>
          <w:rtl/>
        </w:rPr>
        <w:tab/>
        <w:t xml:space="preserve">מעובדות האישום השישי עולה כי עובר לתאריך 10.10.2012, קיבל </w:t>
      </w:r>
      <w:r>
        <w:rPr>
          <w:rFonts w:hint="cs"/>
          <w:b/>
          <w:bCs/>
          <w:rtl/>
        </w:rPr>
        <w:t>אלעד</w:t>
      </w:r>
      <w:r>
        <w:rPr>
          <w:rFonts w:hint="cs"/>
          <w:rtl/>
        </w:rPr>
        <w:t xml:space="preserve"> מטען חבלה מהנאשם בביתו, ובהמשך קיבל מטען נוסף יחד עם אחר (אסף גונן).</w:t>
      </w:r>
    </w:p>
    <w:p w14:paraId="47956381" w14:textId="77777777" w:rsidR="00CA705F" w:rsidRDefault="005C2E5F">
      <w:pPr>
        <w:spacing w:line="360" w:lineRule="auto"/>
        <w:ind w:left="720"/>
        <w:jc w:val="both"/>
        <w:rPr>
          <w:rtl/>
        </w:rPr>
      </w:pPr>
      <w:r>
        <w:rPr>
          <w:rFonts w:hint="cs"/>
          <w:rtl/>
        </w:rPr>
        <w:t xml:space="preserve">בתאריך 16.10.2012, התקשר </w:t>
      </w:r>
      <w:r>
        <w:rPr>
          <w:rFonts w:hint="cs"/>
          <w:b/>
          <w:bCs/>
          <w:rtl/>
        </w:rPr>
        <w:t>אסף</w:t>
      </w:r>
      <w:r>
        <w:rPr>
          <w:rFonts w:hint="cs"/>
          <w:rtl/>
        </w:rPr>
        <w:t xml:space="preserve"> לנאשם ואמר לו כי בכוונתו לדאוג למכירת שני המטענים. </w:t>
      </w:r>
    </w:p>
    <w:p w14:paraId="49171AEA" w14:textId="77777777" w:rsidR="00CA705F" w:rsidRDefault="00CA705F">
      <w:pPr>
        <w:spacing w:line="360" w:lineRule="auto"/>
        <w:jc w:val="both"/>
        <w:rPr>
          <w:rtl/>
        </w:rPr>
      </w:pPr>
    </w:p>
    <w:p w14:paraId="16704EB0" w14:textId="77777777" w:rsidR="00CA705F" w:rsidRDefault="005C2E5F">
      <w:pPr>
        <w:spacing w:line="360" w:lineRule="auto"/>
        <w:ind w:left="720"/>
        <w:jc w:val="both"/>
        <w:rPr>
          <w:rtl/>
        </w:rPr>
      </w:pPr>
      <w:r>
        <w:rPr>
          <w:rFonts w:hint="cs"/>
          <w:rtl/>
        </w:rPr>
        <w:t>12.</w:t>
      </w:r>
      <w:r>
        <w:rPr>
          <w:rFonts w:hint="cs"/>
          <w:rtl/>
        </w:rPr>
        <w:tab/>
        <w:t>מעובדות האישום השביעי עולה, כי עובר ליום 2.8.2012 העביר הנאשם לליאור גלם מטען חבלה, אלא שהמטען התפוצץ בשעות הערב בעת שהיה באמתחתו של ליאור, והלה נחבל כתוצאה מהפיצוץ.</w:t>
      </w:r>
    </w:p>
    <w:p w14:paraId="6D877AF2" w14:textId="77777777" w:rsidR="00CA705F" w:rsidRDefault="00CA705F">
      <w:pPr>
        <w:spacing w:line="360" w:lineRule="auto"/>
        <w:jc w:val="both"/>
        <w:rPr>
          <w:rtl/>
        </w:rPr>
      </w:pPr>
    </w:p>
    <w:p w14:paraId="01847AEC" w14:textId="77777777" w:rsidR="00CA705F" w:rsidRDefault="005C2E5F">
      <w:pPr>
        <w:spacing w:line="360" w:lineRule="auto"/>
        <w:jc w:val="both"/>
        <w:rPr>
          <w:b/>
          <w:bCs/>
          <w:sz w:val="28"/>
          <w:szCs w:val="28"/>
          <w:u w:val="single"/>
          <w:rtl/>
        </w:rPr>
      </w:pPr>
      <w:r>
        <w:rPr>
          <w:rFonts w:hint="cs"/>
          <w:b/>
          <w:bCs/>
          <w:sz w:val="28"/>
          <w:szCs w:val="28"/>
          <w:rtl/>
        </w:rPr>
        <w:t>ב.</w:t>
      </w:r>
      <w:r>
        <w:rPr>
          <w:rFonts w:hint="cs"/>
          <w:b/>
          <w:bCs/>
          <w:sz w:val="28"/>
          <w:szCs w:val="28"/>
          <w:rtl/>
        </w:rPr>
        <w:tab/>
      </w:r>
      <w:r>
        <w:rPr>
          <w:rFonts w:hint="cs"/>
          <w:b/>
          <w:bCs/>
          <w:sz w:val="28"/>
          <w:szCs w:val="28"/>
          <w:u w:val="single"/>
          <w:rtl/>
        </w:rPr>
        <w:t xml:space="preserve">הסדר טיעון </w:t>
      </w:r>
    </w:p>
    <w:p w14:paraId="526C5D84" w14:textId="77777777" w:rsidR="00CA705F" w:rsidRDefault="00CA705F">
      <w:pPr>
        <w:spacing w:line="360" w:lineRule="auto"/>
        <w:jc w:val="both"/>
        <w:rPr>
          <w:rtl/>
        </w:rPr>
      </w:pPr>
    </w:p>
    <w:p w14:paraId="224C6A1F" w14:textId="77777777" w:rsidR="00CA705F" w:rsidRDefault="005C2E5F">
      <w:pPr>
        <w:spacing w:line="360" w:lineRule="auto"/>
        <w:ind w:left="720" w:hanging="720"/>
        <w:jc w:val="both"/>
        <w:rPr>
          <w:rtl/>
        </w:rPr>
      </w:pPr>
      <w:r>
        <w:rPr>
          <w:rFonts w:hint="cs"/>
          <w:rtl/>
        </w:rPr>
        <w:tab/>
        <w:t>13.</w:t>
      </w:r>
      <w:r>
        <w:rPr>
          <w:rFonts w:hint="cs"/>
          <w:rtl/>
        </w:rPr>
        <w:tab/>
        <w:t>במסגרת הסדר טיעון בין המאשימה לנאשם ובא-כוחו, תוקן כתב האישום המקורי באופן שנמחקו ארבעה אישומים, ובנוסף, ארבעה אישומים אחרים בכתב האישום המתוקן צומצמו לשני אישומים.</w:t>
      </w:r>
    </w:p>
    <w:p w14:paraId="688FEC0B" w14:textId="77777777" w:rsidR="00CA705F" w:rsidRDefault="005C2E5F">
      <w:pPr>
        <w:spacing w:line="360" w:lineRule="auto"/>
        <w:ind w:left="720"/>
        <w:jc w:val="both"/>
        <w:rPr>
          <w:rtl/>
        </w:rPr>
      </w:pPr>
      <w:r>
        <w:rPr>
          <w:rFonts w:hint="cs"/>
          <w:rtl/>
        </w:rPr>
        <w:t xml:space="preserve">במסגרת הסדר הטיעון הוסכם בין הצדדים כי הם יעתרו לביהמ"ש במשותף להטיל על הנאשם 7 שנים וחודשיים ומחצה לריצוי בפועל החל מיום מעצרו בתאריך 23.10.2012. </w:t>
      </w:r>
    </w:p>
    <w:p w14:paraId="745F5874" w14:textId="77777777" w:rsidR="00CA705F" w:rsidRDefault="005C2E5F">
      <w:pPr>
        <w:spacing w:line="360" w:lineRule="auto"/>
        <w:ind w:left="720"/>
        <w:jc w:val="both"/>
        <w:rPr>
          <w:rtl/>
        </w:rPr>
      </w:pPr>
      <w:r>
        <w:rPr>
          <w:rFonts w:hint="cs"/>
          <w:rtl/>
        </w:rPr>
        <w:t xml:space="preserve">עוד הוסכם, כי המאשימה תטען לכך שעונש המאסר ירוצה כולו במצטבר לכל עונש מאסר אחר אותו מרצה הנאשם כיום, וההגנה תטען לחפיפת עונשי המאסר. </w:t>
      </w:r>
    </w:p>
    <w:p w14:paraId="08D16104" w14:textId="77777777" w:rsidR="00CA705F" w:rsidRDefault="005C2E5F">
      <w:pPr>
        <w:spacing w:line="360" w:lineRule="auto"/>
        <w:ind w:left="720"/>
        <w:jc w:val="both"/>
        <w:rPr>
          <w:rtl/>
        </w:rPr>
      </w:pPr>
      <w:r>
        <w:rPr>
          <w:rFonts w:hint="cs"/>
          <w:rtl/>
        </w:rPr>
        <w:t>כמו-כן, הוסכם כי ביהמ"ש יתבקש להטיל על הנאשם עונש של מאסר על-תנאי וקנס כספי בסך 10,000 ₪ שישולם ב-24 תשלומים חודשיים שווים.</w:t>
      </w:r>
    </w:p>
    <w:p w14:paraId="63838821" w14:textId="77777777" w:rsidR="00CA705F" w:rsidRDefault="00CA705F">
      <w:pPr>
        <w:spacing w:line="360" w:lineRule="auto"/>
        <w:jc w:val="both"/>
        <w:rPr>
          <w:rtl/>
        </w:rPr>
      </w:pPr>
    </w:p>
    <w:p w14:paraId="480A443D" w14:textId="77777777" w:rsidR="00CA705F" w:rsidRDefault="005C2E5F">
      <w:pPr>
        <w:spacing w:line="360" w:lineRule="auto"/>
        <w:jc w:val="both"/>
        <w:rPr>
          <w:b/>
          <w:bCs/>
          <w:sz w:val="28"/>
          <w:szCs w:val="28"/>
          <w:rtl/>
        </w:rPr>
      </w:pPr>
      <w:r>
        <w:rPr>
          <w:rFonts w:hint="cs"/>
          <w:b/>
          <w:bCs/>
          <w:sz w:val="28"/>
          <w:szCs w:val="28"/>
          <w:rtl/>
        </w:rPr>
        <w:t>ג.</w:t>
      </w:r>
      <w:r>
        <w:rPr>
          <w:rFonts w:hint="cs"/>
          <w:b/>
          <w:bCs/>
          <w:sz w:val="28"/>
          <w:szCs w:val="28"/>
          <w:rtl/>
        </w:rPr>
        <w:tab/>
      </w:r>
      <w:r>
        <w:rPr>
          <w:rFonts w:hint="cs"/>
          <w:b/>
          <w:bCs/>
          <w:sz w:val="28"/>
          <w:szCs w:val="28"/>
          <w:u w:val="single"/>
          <w:rtl/>
        </w:rPr>
        <w:t>תסקיר שירות המבחן</w:t>
      </w:r>
      <w:r>
        <w:rPr>
          <w:rFonts w:hint="cs"/>
          <w:b/>
          <w:bCs/>
          <w:sz w:val="28"/>
          <w:szCs w:val="28"/>
          <w:rtl/>
        </w:rPr>
        <w:t xml:space="preserve"> </w:t>
      </w:r>
    </w:p>
    <w:p w14:paraId="4CE8A15D" w14:textId="77777777" w:rsidR="00CA705F" w:rsidRDefault="00CA705F">
      <w:pPr>
        <w:spacing w:line="360" w:lineRule="auto"/>
        <w:jc w:val="both"/>
        <w:rPr>
          <w:rtl/>
        </w:rPr>
      </w:pPr>
    </w:p>
    <w:p w14:paraId="13835863" w14:textId="77777777" w:rsidR="00CA705F" w:rsidRDefault="005C2E5F">
      <w:pPr>
        <w:spacing w:line="360" w:lineRule="auto"/>
        <w:ind w:left="720"/>
        <w:jc w:val="both"/>
        <w:rPr>
          <w:rtl/>
        </w:rPr>
      </w:pPr>
      <w:r>
        <w:rPr>
          <w:rFonts w:hint="cs"/>
          <w:rtl/>
        </w:rPr>
        <w:t>14.</w:t>
      </w:r>
      <w:r>
        <w:rPr>
          <w:rFonts w:hint="cs"/>
          <w:rtl/>
        </w:rPr>
        <w:tab/>
        <w:t xml:space="preserve">מתסקיר שירות המבחן עולה, כי הנאשם, שהינו כיום בן 19 שנים גדל בתנאי הזנחה ובהיעדר הצבת גבולות בפניו. הוא נשר מלימודיו לאחר 9 שנות לימוד עקב קשיים לימודיים ובעיות קשב וריכוז, והחל לעבוד בחנות ירקות, וכשליח בחברת שליחויות. </w:t>
      </w:r>
    </w:p>
    <w:p w14:paraId="30E27B26" w14:textId="77777777" w:rsidR="00CA705F" w:rsidRDefault="005C2E5F">
      <w:pPr>
        <w:spacing w:line="360" w:lineRule="auto"/>
        <w:ind w:left="720"/>
        <w:jc w:val="both"/>
        <w:rPr>
          <w:rtl/>
        </w:rPr>
      </w:pPr>
      <w:r>
        <w:rPr>
          <w:rFonts w:hint="cs"/>
          <w:rtl/>
        </w:rPr>
        <w:t>בהיותו בן 16 שנים הסתובב בחברה שולית והחל להשתמש בסמים.</w:t>
      </w:r>
    </w:p>
    <w:p w14:paraId="7B9B2895" w14:textId="77777777" w:rsidR="00CA705F" w:rsidRDefault="00CA705F">
      <w:pPr>
        <w:spacing w:line="360" w:lineRule="auto"/>
        <w:jc w:val="both"/>
        <w:rPr>
          <w:rtl/>
        </w:rPr>
      </w:pPr>
    </w:p>
    <w:p w14:paraId="0A70DCC9" w14:textId="77777777" w:rsidR="00CA705F" w:rsidRDefault="005C2E5F">
      <w:pPr>
        <w:spacing w:line="360" w:lineRule="auto"/>
        <w:ind w:left="720"/>
        <w:jc w:val="both"/>
        <w:rPr>
          <w:rtl/>
        </w:rPr>
      </w:pPr>
      <w:r>
        <w:rPr>
          <w:rFonts w:hint="cs"/>
          <w:rtl/>
        </w:rPr>
        <w:t xml:space="preserve">עוד עלה מהתסקיר, כי העבירות נשוא כתב האישום בוצעו בתקופה בה היה הנאשם אמור לשהות במעצר בית בתנאים מגבילים </w:t>
      </w:r>
      <w:r>
        <w:rPr>
          <w:rtl/>
        </w:rPr>
        <w:t>–</w:t>
      </w:r>
      <w:r>
        <w:rPr>
          <w:rFonts w:hint="cs"/>
          <w:rtl/>
        </w:rPr>
        <w:t xml:space="preserve"> מעצר בית אליו נשלח בתיק אחר עפ"י הוראות ביהמ"ש. </w:t>
      </w:r>
    </w:p>
    <w:p w14:paraId="26D2B9DA" w14:textId="77777777" w:rsidR="00CA705F" w:rsidRDefault="00CA705F">
      <w:pPr>
        <w:spacing w:line="360" w:lineRule="auto"/>
        <w:jc w:val="both"/>
        <w:rPr>
          <w:rtl/>
        </w:rPr>
      </w:pPr>
    </w:p>
    <w:p w14:paraId="7D30A7D3" w14:textId="77777777" w:rsidR="00CA705F" w:rsidRDefault="005C2E5F">
      <w:pPr>
        <w:spacing w:line="360" w:lineRule="auto"/>
        <w:ind w:left="720"/>
        <w:jc w:val="both"/>
        <w:rPr>
          <w:rtl/>
        </w:rPr>
      </w:pPr>
      <w:r>
        <w:rPr>
          <w:rFonts w:hint="cs"/>
          <w:rtl/>
        </w:rPr>
        <w:t>בנוסף, בהתייחסותו לעבירות נשוא כתב האישום לא גילה הנאשם הבנה לחומרת התנהגותו או לסכנה שהסב לסביבתו. בהיותו במעצר הוא הסתבך בעבירות משמעת, קצינת המבחן התרשמה כי הוא מתקשה לתת אמון בגורמי טיפול, הוא בעל דפוסים עברייניים, יש לו קושי בקבלת סמכות, הוא אימפולסיבי והפכפך בהתנהגותו. אשר על כן, להערכתה, הנאשם אינו בשל להליך טיפולי ולהתמודדות עם דפוסי התנהגותו.</w:t>
      </w:r>
    </w:p>
    <w:p w14:paraId="4EA33C5E" w14:textId="77777777" w:rsidR="00CA705F" w:rsidRDefault="005C2E5F">
      <w:pPr>
        <w:spacing w:line="360" w:lineRule="auto"/>
        <w:ind w:left="720"/>
        <w:jc w:val="both"/>
        <w:rPr>
          <w:rtl/>
        </w:rPr>
      </w:pPr>
      <w:r>
        <w:rPr>
          <w:rtl/>
        </w:rPr>
        <w:t xml:space="preserve"> </w:t>
      </w:r>
    </w:p>
    <w:p w14:paraId="674FBF95" w14:textId="77777777" w:rsidR="00CA705F" w:rsidRDefault="005C2E5F">
      <w:pPr>
        <w:spacing w:line="360" w:lineRule="auto"/>
        <w:jc w:val="both"/>
        <w:rPr>
          <w:b/>
          <w:bCs/>
          <w:sz w:val="28"/>
          <w:szCs w:val="28"/>
          <w:u w:val="single"/>
          <w:rtl/>
        </w:rPr>
      </w:pPr>
      <w:r>
        <w:rPr>
          <w:rFonts w:hint="cs"/>
          <w:b/>
          <w:bCs/>
          <w:sz w:val="28"/>
          <w:szCs w:val="28"/>
          <w:rtl/>
        </w:rPr>
        <w:t>ד.</w:t>
      </w:r>
      <w:r>
        <w:rPr>
          <w:rFonts w:hint="cs"/>
          <w:b/>
          <w:bCs/>
          <w:sz w:val="28"/>
          <w:szCs w:val="28"/>
          <w:rtl/>
        </w:rPr>
        <w:tab/>
      </w:r>
      <w:r>
        <w:rPr>
          <w:rFonts w:hint="cs"/>
          <w:b/>
          <w:bCs/>
          <w:sz w:val="28"/>
          <w:szCs w:val="28"/>
          <w:u w:val="single"/>
          <w:rtl/>
        </w:rPr>
        <w:t xml:space="preserve">טיעוני ב"כ המאשימה </w:t>
      </w:r>
    </w:p>
    <w:p w14:paraId="7975A45F" w14:textId="77777777" w:rsidR="00CA705F" w:rsidRDefault="00CA705F">
      <w:pPr>
        <w:spacing w:line="360" w:lineRule="auto"/>
        <w:jc w:val="both"/>
        <w:rPr>
          <w:rtl/>
        </w:rPr>
      </w:pPr>
    </w:p>
    <w:p w14:paraId="312FCA45" w14:textId="77777777" w:rsidR="00CA705F" w:rsidRDefault="005C2E5F">
      <w:pPr>
        <w:spacing w:line="360" w:lineRule="auto"/>
        <w:ind w:left="720"/>
        <w:jc w:val="both"/>
        <w:rPr>
          <w:rtl/>
        </w:rPr>
      </w:pPr>
      <w:r>
        <w:rPr>
          <w:rFonts w:hint="cs"/>
          <w:rtl/>
        </w:rPr>
        <w:t>15.</w:t>
      </w:r>
      <w:r>
        <w:rPr>
          <w:rFonts w:hint="cs"/>
          <w:rtl/>
        </w:rPr>
        <w:tab/>
        <w:t xml:space="preserve">ב"כ המאשימה עתר לביהמ"ש לכבד את הסדר הטיעון, בציינו כי מדובר בעבירות חמורות ביותר, וכי כתב האישום שהוגש כנגד הנאשם מהווה חוליה בפרשייה בה מעורבים עשרה נאשמים נוספים שעניינם נידון בפני מותבים אחרים </w:t>
      </w:r>
      <w:r>
        <w:rPr>
          <w:rtl/>
        </w:rPr>
        <w:t>–</w:t>
      </w:r>
      <w:r>
        <w:rPr>
          <w:rFonts w:hint="cs"/>
          <w:rtl/>
        </w:rPr>
        <w:t xml:space="preserve"> פרשייה שהסתיימה בהסדרי טיעון. </w:t>
      </w:r>
    </w:p>
    <w:p w14:paraId="116F995A" w14:textId="77777777" w:rsidR="00CA705F" w:rsidRDefault="00CA705F">
      <w:pPr>
        <w:spacing w:line="360" w:lineRule="auto"/>
        <w:jc w:val="both"/>
        <w:rPr>
          <w:rtl/>
        </w:rPr>
      </w:pPr>
    </w:p>
    <w:p w14:paraId="015AD4D6" w14:textId="77777777" w:rsidR="00CA705F" w:rsidRDefault="005C2E5F">
      <w:pPr>
        <w:spacing w:line="360" w:lineRule="auto"/>
        <w:ind w:left="720"/>
        <w:jc w:val="both"/>
        <w:rPr>
          <w:rtl/>
        </w:rPr>
      </w:pPr>
      <w:r>
        <w:rPr>
          <w:rFonts w:hint="cs"/>
          <w:rtl/>
        </w:rPr>
        <w:t xml:space="preserve">עוד עמד ב"כ המאשימה על פוטנציאל הנזק הגלום בעבירות המיוחסות לנאשם, כמו גם על העובדה כי מדובר בעבירות שתוכננו ובוצעו בצוותא עם אחרים. בהסדרי הטיעון אליהם הגיעה התביעה עם שאר הנאשמים, נעה הענישה בין 22 חודשים ל-3 שנות מאסר בפועל, אך יוער, כי שם יוחסה לנאשמים מעורבות בקשר למטען אחד או שניים בצד עבירת קשירת קשר לביצוע פשע, בעוד שלנאשם מיוחסים שבעה אישומים המתייחסים למספר גדול של מטעני חבלה </w:t>
      </w:r>
      <w:r>
        <w:rPr>
          <w:rFonts w:hint="cs"/>
          <w:u w:val="single"/>
          <w:rtl/>
        </w:rPr>
        <w:t>שייצר</w:t>
      </w:r>
      <w:r>
        <w:rPr>
          <w:rFonts w:hint="cs"/>
          <w:rtl/>
        </w:rPr>
        <w:t xml:space="preserve"> בעצמו.               </w:t>
      </w:r>
    </w:p>
    <w:p w14:paraId="14A3BFA1" w14:textId="77777777" w:rsidR="00CA705F" w:rsidRDefault="00CA705F">
      <w:pPr>
        <w:spacing w:line="360" w:lineRule="auto"/>
        <w:jc w:val="both"/>
        <w:rPr>
          <w:rtl/>
        </w:rPr>
      </w:pPr>
    </w:p>
    <w:p w14:paraId="68FB4B91" w14:textId="77777777" w:rsidR="00CA705F" w:rsidRDefault="005C2E5F">
      <w:pPr>
        <w:spacing w:line="360" w:lineRule="auto"/>
        <w:ind w:left="720"/>
        <w:jc w:val="both"/>
        <w:rPr>
          <w:rtl/>
        </w:rPr>
      </w:pPr>
      <w:r>
        <w:rPr>
          <w:rFonts w:hint="cs"/>
          <w:rtl/>
        </w:rPr>
        <w:t xml:space="preserve">עוד ציין ב"כ המאשימה בטיעוניו, כי הנאשם היה היחידי שהודה עוד במהלך חקירתו הראשונה במשטרה, בעוד יתר המעורבים שמרו על זכות השתיקה. עובדה זו הקלה על החקירה המשטרתית ונלקחה בחשבון במסגרת הסדר הטיעון.        </w:t>
      </w:r>
    </w:p>
    <w:p w14:paraId="0B8EFB58" w14:textId="77777777" w:rsidR="00CA705F" w:rsidRDefault="00CA705F">
      <w:pPr>
        <w:spacing w:line="360" w:lineRule="auto"/>
        <w:jc w:val="both"/>
        <w:rPr>
          <w:rtl/>
        </w:rPr>
      </w:pPr>
    </w:p>
    <w:p w14:paraId="074D0BEE" w14:textId="77777777" w:rsidR="00CA705F" w:rsidRDefault="005C2E5F">
      <w:pPr>
        <w:spacing w:line="360" w:lineRule="auto"/>
        <w:jc w:val="both"/>
        <w:rPr>
          <w:b/>
          <w:bCs/>
          <w:sz w:val="28"/>
          <w:szCs w:val="28"/>
          <w:u w:val="single"/>
          <w:rtl/>
        </w:rPr>
      </w:pPr>
      <w:r>
        <w:rPr>
          <w:rFonts w:hint="cs"/>
          <w:b/>
          <w:bCs/>
          <w:sz w:val="28"/>
          <w:szCs w:val="28"/>
          <w:rtl/>
        </w:rPr>
        <w:t>ה.</w:t>
      </w:r>
      <w:r>
        <w:rPr>
          <w:rFonts w:hint="cs"/>
          <w:b/>
          <w:bCs/>
          <w:sz w:val="28"/>
          <w:szCs w:val="28"/>
          <w:rtl/>
        </w:rPr>
        <w:tab/>
      </w:r>
      <w:r>
        <w:rPr>
          <w:rFonts w:hint="cs"/>
          <w:b/>
          <w:bCs/>
          <w:sz w:val="28"/>
          <w:szCs w:val="28"/>
          <w:u w:val="single"/>
          <w:rtl/>
        </w:rPr>
        <w:t>טיעוני ב"כ הנאשם</w:t>
      </w:r>
    </w:p>
    <w:p w14:paraId="31CF5C57" w14:textId="77777777" w:rsidR="00CA705F" w:rsidRDefault="00CA705F">
      <w:pPr>
        <w:spacing w:line="360" w:lineRule="auto"/>
        <w:jc w:val="both"/>
        <w:rPr>
          <w:rtl/>
        </w:rPr>
      </w:pPr>
    </w:p>
    <w:p w14:paraId="7B1635E4" w14:textId="77777777" w:rsidR="00CA705F" w:rsidRDefault="005C2E5F">
      <w:pPr>
        <w:spacing w:line="360" w:lineRule="auto"/>
        <w:ind w:left="720"/>
        <w:jc w:val="both"/>
        <w:rPr>
          <w:rtl/>
        </w:rPr>
      </w:pPr>
      <w:r>
        <w:rPr>
          <w:rFonts w:hint="cs"/>
          <w:rtl/>
        </w:rPr>
        <w:t>16.</w:t>
      </w:r>
      <w:r>
        <w:rPr>
          <w:rFonts w:hint="cs"/>
          <w:rtl/>
        </w:rPr>
        <w:tab/>
        <w:t>ב"כ הנאשם עתר אף הוא לביהמ"ש לכבד את הסדר הטיעון בציינו, כי עונש המאסר נשוא ההסדר הינו ראוי ומאוזן, וזאת נוכח נטילת האחריות למעשים ע"י מרשו והבעת החרטה שלו , הודאתו המהירה, והחיסכון הרב בזמן שיפוטי.</w:t>
      </w:r>
    </w:p>
    <w:p w14:paraId="1E1E6630" w14:textId="77777777" w:rsidR="00CA705F" w:rsidRDefault="00CA705F">
      <w:pPr>
        <w:spacing w:line="360" w:lineRule="auto"/>
        <w:jc w:val="both"/>
        <w:rPr>
          <w:rtl/>
        </w:rPr>
      </w:pPr>
    </w:p>
    <w:p w14:paraId="0F430ABE" w14:textId="77777777" w:rsidR="00CA705F" w:rsidRDefault="005C2E5F">
      <w:pPr>
        <w:spacing w:line="360" w:lineRule="auto"/>
        <w:ind w:left="720"/>
        <w:jc w:val="both"/>
        <w:rPr>
          <w:rtl/>
        </w:rPr>
      </w:pPr>
      <w:r>
        <w:rPr>
          <w:rFonts w:hint="cs"/>
          <w:rtl/>
        </w:rPr>
        <w:t xml:space="preserve">עוד לטענת ב"כ הנאשם, הנאשם הינו בן למשפחה נורמטיבית, הסובל כיום ממצב נפשי ירוד, וזה לו מאסרו הראשון. </w:t>
      </w:r>
    </w:p>
    <w:p w14:paraId="19FFE38F" w14:textId="77777777" w:rsidR="00CA705F" w:rsidRDefault="00CA705F">
      <w:pPr>
        <w:spacing w:line="360" w:lineRule="auto"/>
        <w:jc w:val="both"/>
        <w:rPr>
          <w:rtl/>
        </w:rPr>
      </w:pPr>
    </w:p>
    <w:p w14:paraId="08C991D6" w14:textId="77777777" w:rsidR="00CA705F" w:rsidRDefault="005C2E5F">
      <w:pPr>
        <w:spacing w:line="360" w:lineRule="auto"/>
        <w:ind w:left="720"/>
        <w:jc w:val="both"/>
        <w:rPr>
          <w:rtl/>
        </w:rPr>
      </w:pPr>
      <w:r>
        <w:rPr>
          <w:rFonts w:hint="cs"/>
          <w:rtl/>
        </w:rPr>
        <w:t>17.</w:t>
      </w:r>
      <w:r>
        <w:rPr>
          <w:rFonts w:hint="cs"/>
          <w:rtl/>
        </w:rPr>
        <w:tab/>
        <w:t>הנאשם, נשא אף הוא דברו בביהמ"ש. הוא הסביר כי בזמן מעצר הבית בו שהה בתיק אחר, לא היה לו מה לעשות, ותוך גלישתו באינטרנט הוא למד אודות דרך ייצור מטעני החבלה.</w:t>
      </w:r>
    </w:p>
    <w:p w14:paraId="37EC6AA7" w14:textId="77777777" w:rsidR="00CA705F" w:rsidRDefault="00CA705F">
      <w:pPr>
        <w:spacing w:line="360" w:lineRule="auto"/>
        <w:ind w:left="720"/>
        <w:jc w:val="both"/>
        <w:rPr>
          <w:rtl/>
        </w:rPr>
      </w:pPr>
    </w:p>
    <w:p w14:paraId="03C44D15" w14:textId="77777777" w:rsidR="00CA705F" w:rsidRDefault="005C2E5F">
      <w:pPr>
        <w:spacing w:line="360" w:lineRule="auto"/>
        <w:jc w:val="both"/>
        <w:rPr>
          <w:b/>
          <w:bCs/>
          <w:sz w:val="28"/>
          <w:szCs w:val="28"/>
          <w:u w:val="single"/>
          <w:rtl/>
        </w:rPr>
      </w:pPr>
      <w:r>
        <w:rPr>
          <w:rFonts w:hint="cs"/>
          <w:b/>
          <w:bCs/>
          <w:sz w:val="28"/>
          <w:szCs w:val="28"/>
          <w:rtl/>
        </w:rPr>
        <w:t>ו.</w:t>
      </w:r>
      <w:r>
        <w:rPr>
          <w:rFonts w:hint="cs"/>
          <w:b/>
          <w:bCs/>
          <w:sz w:val="28"/>
          <w:szCs w:val="28"/>
          <w:rtl/>
        </w:rPr>
        <w:tab/>
      </w:r>
      <w:r>
        <w:rPr>
          <w:rFonts w:hint="cs"/>
          <w:b/>
          <w:bCs/>
          <w:sz w:val="28"/>
          <w:szCs w:val="28"/>
          <w:u w:val="single"/>
          <w:rtl/>
        </w:rPr>
        <w:t xml:space="preserve">דיון </w:t>
      </w:r>
    </w:p>
    <w:p w14:paraId="1CCDCBE3" w14:textId="77777777" w:rsidR="00CA705F" w:rsidRDefault="00CA705F">
      <w:pPr>
        <w:spacing w:line="360" w:lineRule="auto"/>
        <w:jc w:val="both"/>
        <w:rPr>
          <w:rtl/>
        </w:rPr>
      </w:pPr>
    </w:p>
    <w:p w14:paraId="1E139238" w14:textId="77777777" w:rsidR="00CA705F" w:rsidRDefault="005C2E5F">
      <w:pPr>
        <w:spacing w:line="360" w:lineRule="auto"/>
        <w:ind w:firstLine="720"/>
        <w:jc w:val="both"/>
        <w:rPr>
          <w:rtl/>
        </w:rPr>
      </w:pPr>
      <w:r>
        <w:rPr>
          <w:rFonts w:hint="cs"/>
          <w:rtl/>
        </w:rPr>
        <w:t>18.</w:t>
      </w:r>
      <w:r>
        <w:rPr>
          <w:rFonts w:hint="cs"/>
          <w:rtl/>
        </w:rPr>
        <w:tab/>
        <w:t>עסקינן בצעיר ללא עבר מכביד, שהסתבך בביצוע מעשים חמורים ביותר.</w:t>
      </w:r>
    </w:p>
    <w:p w14:paraId="6FDD1E25" w14:textId="77777777" w:rsidR="00CA705F" w:rsidRDefault="005C2E5F">
      <w:pPr>
        <w:spacing w:line="360" w:lineRule="auto"/>
        <w:ind w:left="720"/>
        <w:jc w:val="both"/>
        <w:rPr>
          <w:rtl/>
        </w:rPr>
      </w:pPr>
      <w:r>
        <w:rPr>
          <w:rFonts w:hint="cs"/>
          <w:rtl/>
        </w:rPr>
        <w:t xml:space="preserve">התמונה המצטיירת מהתיק דנן ומתיק קודם שעניינו עבירת שוד, כי עסקינן באדם ללא איפוק או ריסון, בעל יכולות טכניות טובות שאינו נרתע ממאומה והתנהגותו מסוכנת. </w:t>
      </w:r>
    </w:p>
    <w:p w14:paraId="10DA6D4D" w14:textId="77777777" w:rsidR="00CA705F" w:rsidRDefault="00CA705F">
      <w:pPr>
        <w:spacing w:line="360" w:lineRule="auto"/>
        <w:jc w:val="both"/>
        <w:rPr>
          <w:rtl/>
        </w:rPr>
      </w:pPr>
    </w:p>
    <w:p w14:paraId="269FE031" w14:textId="77777777" w:rsidR="00CA705F" w:rsidRDefault="005C2E5F">
      <w:pPr>
        <w:spacing w:line="360" w:lineRule="auto"/>
        <w:ind w:left="720"/>
        <w:jc w:val="both"/>
        <w:rPr>
          <w:rFonts w:ascii="Arial" w:hAnsi="Arial"/>
          <w:rtl/>
        </w:rPr>
      </w:pPr>
      <w:r>
        <w:rPr>
          <w:rFonts w:ascii="Arial" w:hAnsi="Arial" w:hint="cs"/>
          <w:rtl/>
        </w:rPr>
        <w:t>19.</w:t>
      </w:r>
      <w:r>
        <w:rPr>
          <w:rFonts w:ascii="Arial" w:hAnsi="Arial" w:hint="cs"/>
          <w:rtl/>
        </w:rPr>
        <w:tab/>
        <w:t xml:space="preserve">העבירות שעניינן יצור מטעני חבלה הן עבירות הקשורות לנשק עפ"י הגדרת החוק, והן מהחמורות שבספר החוקים. </w:t>
      </w:r>
    </w:p>
    <w:p w14:paraId="5E687AA3" w14:textId="77777777" w:rsidR="00CA705F" w:rsidRDefault="005C2E5F">
      <w:pPr>
        <w:spacing w:line="360" w:lineRule="auto"/>
        <w:ind w:left="720"/>
        <w:jc w:val="both"/>
        <w:rPr>
          <w:rFonts w:ascii="Arial" w:hAnsi="Arial"/>
          <w:rtl/>
        </w:rPr>
      </w:pPr>
      <w:r>
        <w:rPr>
          <w:rFonts w:ascii="Arial" w:hAnsi="Arial" w:hint="cs"/>
          <w:rtl/>
        </w:rPr>
        <w:t xml:space="preserve">לא אחת נפסק, כי המציאות הביטחונית והפלילית מחייבת נקיטת יד קשה כנגד עבריינים המתעסקים בנשק, וזאת נוכח פוטנציאל הסיכון העצום הגלום בעבירות אלו שעלול לסכן את שלומו ובטחונו של הציבור. </w:t>
      </w:r>
    </w:p>
    <w:p w14:paraId="693599F3" w14:textId="77777777" w:rsidR="00CA705F" w:rsidRDefault="005C2E5F">
      <w:pPr>
        <w:spacing w:line="360" w:lineRule="auto"/>
        <w:ind w:left="720"/>
        <w:jc w:val="both"/>
        <w:rPr>
          <w:rFonts w:ascii="Arial" w:hAnsi="Arial"/>
          <w:rtl/>
        </w:rPr>
      </w:pPr>
      <w:r>
        <w:rPr>
          <w:rFonts w:ascii="Arial" w:hAnsi="Arial" w:hint="cs"/>
          <w:rtl/>
        </w:rPr>
        <w:t xml:space="preserve">הקלות ביצור הנשק העלול ליפול לידיהם של גורמים המבקשים לבצע עבירות פליליות או ביטחוניות שמסכנות חיי </w:t>
      </w:r>
      <w:r>
        <w:rPr>
          <w:rFonts w:hint="cs"/>
          <w:rtl/>
        </w:rPr>
        <w:t xml:space="preserve">אזרחים חפים מפשע הנקלעים לטווח המטען המתפוצץ - מצריכה ענישה מרתיעה. </w:t>
      </w:r>
    </w:p>
    <w:p w14:paraId="485FFE35" w14:textId="77777777" w:rsidR="00CA705F" w:rsidRDefault="00CA705F">
      <w:pPr>
        <w:spacing w:line="360" w:lineRule="auto"/>
        <w:jc w:val="both"/>
        <w:rPr>
          <w:rFonts w:ascii="Arial" w:hAnsi="Arial"/>
          <w:rtl/>
        </w:rPr>
      </w:pPr>
    </w:p>
    <w:p w14:paraId="25A8058E" w14:textId="77777777" w:rsidR="00CA705F" w:rsidRDefault="005C2E5F">
      <w:pPr>
        <w:spacing w:line="360" w:lineRule="auto"/>
        <w:ind w:left="720"/>
        <w:jc w:val="both"/>
        <w:rPr>
          <w:rFonts w:ascii="Calibri" w:hAnsi="Calibri"/>
          <w:rtl/>
        </w:rPr>
      </w:pPr>
      <w:r>
        <w:rPr>
          <w:rFonts w:ascii="Arial" w:hAnsi="Arial" w:hint="cs"/>
          <w:rtl/>
        </w:rPr>
        <w:t>20.</w:t>
      </w:r>
      <w:r>
        <w:rPr>
          <w:rFonts w:ascii="Arial" w:hAnsi="Arial" w:hint="cs"/>
          <w:rtl/>
        </w:rPr>
        <w:tab/>
        <w:t>ב</w:t>
      </w:r>
      <w:hyperlink r:id="rId25" w:history="1">
        <w:r w:rsidR="00087D17" w:rsidRPr="00087D17">
          <w:rPr>
            <w:rStyle w:val="Hyperlink"/>
            <w:rtl/>
          </w:rPr>
          <w:t>ע"פ 4526/04</w:t>
        </w:r>
      </w:hyperlink>
      <w:r>
        <w:rPr>
          <w:rFonts w:ascii="Arial" w:hAnsi="Arial" w:hint="cs"/>
          <w:rtl/>
        </w:rPr>
        <w:t xml:space="preserve"> </w:t>
      </w:r>
      <w:r>
        <w:rPr>
          <w:rFonts w:ascii="Arial" w:hAnsi="Arial" w:hint="cs"/>
          <w:b/>
          <w:bCs/>
          <w:rtl/>
        </w:rPr>
        <w:t>זעתרי נ' מדינת ישראל</w:t>
      </w:r>
      <w:r>
        <w:rPr>
          <w:rFonts w:ascii="Arial" w:hAnsi="Arial" w:hint="cs"/>
          <w:rtl/>
        </w:rPr>
        <w:t xml:space="preserve"> (פורסם בנבו, 8.11.2004) </w:t>
      </w:r>
      <w:r>
        <w:rPr>
          <w:rFonts w:hint="cs"/>
          <w:rtl/>
        </w:rPr>
        <w:t>עמד ביהמ"ש על הצורך להרתיע עבריינים המורשעים בעבירות של סחר בנשק בציינו כי:</w:t>
      </w:r>
    </w:p>
    <w:p w14:paraId="39E9EB4F" w14:textId="77777777" w:rsidR="00CA705F" w:rsidRDefault="005C2E5F">
      <w:pPr>
        <w:tabs>
          <w:tab w:val="left" w:pos="566"/>
        </w:tabs>
        <w:spacing w:line="360" w:lineRule="auto"/>
        <w:ind w:left="1466" w:right="900"/>
        <w:jc w:val="both"/>
        <w:rPr>
          <w:rFonts w:ascii="Arial" w:hAnsi="Arial"/>
          <w:b/>
          <w:bCs/>
          <w:rtl/>
        </w:rPr>
      </w:pPr>
      <w:r>
        <w:rPr>
          <w:rFonts w:ascii="Arial" w:hAnsi="Arial" w:hint="cs"/>
          <w:rtl/>
        </w:rPr>
        <w:t>"</w:t>
      </w:r>
      <w:r>
        <w:rPr>
          <w:rFonts w:ascii="Arial" w:hAnsi="Arial" w:hint="cs"/>
          <w:b/>
          <w:bCs/>
          <w:rtl/>
        </w:rPr>
        <w:t>בימים אלה, כאשר נשק חם משמש בידי ארגוני טרור לפעולות חבלה והרג, או בידי עבריינים למטרות פליליות המסכנות חיי אדם, מצווים בתי המשפט להגיב בענישה חמורה על עבירות של סחר בנשק והחזקתו.</w:t>
      </w:r>
      <w:r>
        <w:rPr>
          <w:rFonts w:ascii="Arial" w:hAnsi="Arial" w:hint="cs"/>
          <w:rtl/>
        </w:rPr>
        <w:t>"</w:t>
      </w:r>
    </w:p>
    <w:p w14:paraId="5DF4FD8E" w14:textId="77777777" w:rsidR="00CA705F" w:rsidRDefault="005C2E5F">
      <w:pPr>
        <w:spacing w:line="360" w:lineRule="auto"/>
        <w:ind w:left="720"/>
        <w:jc w:val="both"/>
        <w:rPr>
          <w:rFonts w:ascii="Arial" w:hAnsi="Arial"/>
          <w:rtl/>
        </w:rPr>
      </w:pPr>
      <w:r>
        <w:rPr>
          <w:rFonts w:ascii="Arial" w:hAnsi="Arial" w:hint="cs"/>
          <w:rtl/>
        </w:rPr>
        <w:t xml:space="preserve">דברים אלה יפים גם בענייננו, שכן המגמה היא להחמיר עם כל חוליה בשרשרת הסחר בנשק: מיצרן הנשק עד הסוחרים בו. </w:t>
      </w:r>
    </w:p>
    <w:p w14:paraId="1AB011D8" w14:textId="77777777" w:rsidR="00CA705F" w:rsidRDefault="005C2E5F">
      <w:pPr>
        <w:spacing w:line="360" w:lineRule="auto"/>
        <w:ind w:left="720"/>
        <w:jc w:val="both"/>
        <w:rPr>
          <w:rFonts w:ascii="Arial" w:hAnsi="Arial"/>
          <w:rtl/>
        </w:rPr>
      </w:pPr>
      <w:r>
        <w:rPr>
          <w:rFonts w:ascii="Arial" w:hAnsi="Arial" w:hint="cs"/>
          <w:rtl/>
        </w:rPr>
        <w:t xml:space="preserve">מגמה זו מתעצמת בענייננו נוכח היכולת לייצר כיום מטענים רבי עוצמה ללא כל הכשרה מוקדמת, מחומרים שניתם להשיגם בנקל, וזאת רק בהסתמך על מידע זמין באינטרנט. </w:t>
      </w:r>
    </w:p>
    <w:p w14:paraId="6FA95C77" w14:textId="77777777" w:rsidR="00CA705F" w:rsidRDefault="00CA705F">
      <w:pPr>
        <w:spacing w:line="360" w:lineRule="auto"/>
        <w:jc w:val="both"/>
        <w:rPr>
          <w:rFonts w:ascii="Arial" w:hAnsi="Arial"/>
          <w:rtl/>
        </w:rPr>
      </w:pPr>
    </w:p>
    <w:p w14:paraId="4F4D28A2" w14:textId="77777777" w:rsidR="00CA705F" w:rsidRDefault="005C2E5F">
      <w:pPr>
        <w:spacing w:line="360" w:lineRule="auto"/>
        <w:ind w:firstLine="720"/>
        <w:jc w:val="both"/>
        <w:rPr>
          <w:rFonts w:ascii="Calibri" w:hAnsi="Calibri"/>
          <w:rtl/>
        </w:rPr>
      </w:pPr>
      <w:r w:rsidRPr="005C2E5F">
        <w:rPr>
          <w:rFonts w:hint="cs"/>
          <w:color w:val="000000"/>
          <w:rtl/>
        </w:rPr>
        <w:t>ב</w:t>
      </w:r>
      <w:hyperlink r:id="rId26" w:history="1">
        <w:r w:rsidR="00087D17" w:rsidRPr="00087D17">
          <w:rPr>
            <w:rStyle w:val="Hyperlink"/>
            <w:rtl/>
          </w:rPr>
          <w:t>רע"פ 2718/04</w:t>
        </w:r>
      </w:hyperlink>
      <w:r>
        <w:rPr>
          <w:rFonts w:hint="cs"/>
          <w:rtl/>
        </w:rPr>
        <w:t xml:space="preserve"> </w:t>
      </w:r>
      <w:r>
        <w:rPr>
          <w:rFonts w:hint="cs"/>
          <w:b/>
          <w:bCs/>
          <w:rtl/>
        </w:rPr>
        <w:t>פואד אבו דאחל נ' מדינת ישראל</w:t>
      </w:r>
      <w:r>
        <w:rPr>
          <w:rFonts w:hint="cs"/>
          <w:rtl/>
        </w:rPr>
        <w:t xml:space="preserve"> (פורסם בנבו, 29.3.2004) צוין, כי:</w:t>
      </w:r>
    </w:p>
    <w:p w14:paraId="5E1C9BCD" w14:textId="77777777" w:rsidR="00CA705F" w:rsidRDefault="005C2E5F">
      <w:pPr>
        <w:spacing w:line="360" w:lineRule="auto"/>
        <w:ind w:left="1440" w:right="540"/>
        <w:jc w:val="both"/>
        <w:rPr>
          <w:b/>
          <w:bCs/>
          <w:rtl/>
        </w:rPr>
      </w:pPr>
      <w:r>
        <w:rPr>
          <w:rFonts w:hint="cs"/>
          <w:b/>
          <w:bCs/>
          <w:rtl/>
        </w:rPr>
        <w:t>"...הסכנה הטמונה בעבירה חמורה של החזקת נשק מצדיקה הטלת עונשי מאסר לריצוי בפועל גם על מי שזו עבירתו הראשונה. בבוא בית 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p>
    <w:p w14:paraId="0A91F638" w14:textId="77777777" w:rsidR="00CA705F" w:rsidRDefault="00CA705F">
      <w:pPr>
        <w:spacing w:line="360" w:lineRule="auto"/>
        <w:jc w:val="both"/>
        <w:rPr>
          <w:highlight w:val="yellow"/>
          <w:rtl/>
        </w:rPr>
      </w:pPr>
    </w:p>
    <w:p w14:paraId="1C9F87A8" w14:textId="77777777" w:rsidR="00CA705F" w:rsidRDefault="005C2E5F">
      <w:pPr>
        <w:spacing w:line="360" w:lineRule="auto"/>
        <w:ind w:left="720"/>
        <w:jc w:val="both"/>
        <w:rPr>
          <w:rtl/>
        </w:rPr>
      </w:pPr>
      <w:r>
        <w:rPr>
          <w:rFonts w:hint="cs"/>
          <w:rtl/>
        </w:rPr>
        <w:t>21.</w:t>
      </w:r>
      <w:r>
        <w:rPr>
          <w:rFonts w:hint="cs"/>
          <w:rtl/>
        </w:rPr>
        <w:tab/>
        <w:t xml:space="preserve">בענייננו, מדובר במספר רב של עבירות, ואלו מצדיקות כי תקופתו של מאסר זה תהיה ארוכה במיוחד. </w:t>
      </w:r>
    </w:p>
    <w:p w14:paraId="2F23EC2F" w14:textId="77777777" w:rsidR="00CA705F" w:rsidRDefault="005C2E5F">
      <w:pPr>
        <w:spacing w:line="360" w:lineRule="auto"/>
        <w:ind w:left="720"/>
        <w:jc w:val="both"/>
        <w:rPr>
          <w:rtl/>
        </w:rPr>
      </w:pPr>
      <w:r>
        <w:rPr>
          <w:rFonts w:hint="cs"/>
          <w:rtl/>
        </w:rPr>
        <w:t>על אף האמור לעיל, לא ניתן להתעלם מכך, שהנאשם הודה וחסך העדת עדים רבים, נטל אחריות למעשיו והביע חרטה. עוד יש לציין לקולת העונש את גילו הצעיר של הנאשם, היעדר הרשעות מאותו סוג, וכי יהא זה לו מאסרו הראשון.</w:t>
      </w:r>
    </w:p>
    <w:p w14:paraId="10288ABD" w14:textId="77777777" w:rsidR="00CA705F" w:rsidRDefault="00CA705F">
      <w:pPr>
        <w:spacing w:line="360" w:lineRule="auto"/>
        <w:ind w:left="720"/>
        <w:jc w:val="both"/>
        <w:rPr>
          <w:rtl/>
        </w:rPr>
      </w:pPr>
    </w:p>
    <w:p w14:paraId="7E5F28F5" w14:textId="77777777" w:rsidR="00CA705F" w:rsidRDefault="005C2E5F">
      <w:pPr>
        <w:spacing w:line="360" w:lineRule="auto"/>
        <w:ind w:left="720"/>
        <w:jc w:val="both"/>
        <w:rPr>
          <w:rtl/>
        </w:rPr>
      </w:pPr>
      <w:r>
        <w:rPr>
          <w:rFonts w:hint="cs"/>
          <w:rtl/>
        </w:rPr>
        <w:t>22.</w:t>
      </w:r>
      <w:r>
        <w:rPr>
          <w:rFonts w:hint="cs"/>
          <w:rtl/>
        </w:rPr>
        <w:tab/>
        <w:t xml:space="preserve">משהוצג הסדר טיעון לעניין עונש, וטווח הענישה הינו הולם ואינו פוגע באינטרס הציבורי </w:t>
      </w:r>
      <w:r>
        <w:rPr>
          <w:rtl/>
        </w:rPr>
        <w:t>–</w:t>
      </w:r>
      <w:r>
        <w:rPr>
          <w:rFonts w:hint="cs"/>
          <w:rtl/>
        </w:rPr>
        <w:t xml:space="preserve"> ראוי שביהמ"ש יגזור את העונש בגידרו.</w:t>
      </w:r>
    </w:p>
    <w:p w14:paraId="23B336F7" w14:textId="77777777" w:rsidR="00CA705F" w:rsidRDefault="005C2E5F">
      <w:pPr>
        <w:spacing w:line="360" w:lineRule="auto"/>
        <w:ind w:left="720"/>
        <w:jc w:val="both"/>
        <w:rPr>
          <w:rtl/>
        </w:rPr>
      </w:pPr>
      <w:r>
        <w:rPr>
          <w:rFonts w:hint="cs"/>
          <w:rtl/>
        </w:rPr>
        <w:t xml:space="preserve">פועל יוצא מהאמור לעיל, שאין תחולה לחובת ההנמקה המפורטת </w:t>
      </w:r>
      <w:hyperlink r:id="rId27" w:history="1">
        <w:r w:rsidR="001548B4" w:rsidRPr="001548B4">
          <w:rPr>
            <w:b/>
            <w:bCs/>
            <w:color w:val="0000FF"/>
            <w:u w:val="single"/>
            <w:rtl/>
          </w:rPr>
          <w:t>בסעיף 40יד</w:t>
        </w:r>
      </w:hyperlink>
      <w:r>
        <w:rPr>
          <w:rFonts w:hint="cs"/>
          <w:b/>
          <w:bCs/>
          <w:rtl/>
        </w:rPr>
        <w:t xml:space="preserve"> לתיקון 113</w:t>
      </w:r>
      <w:r>
        <w:rPr>
          <w:rFonts w:hint="cs"/>
          <w:rtl/>
        </w:rPr>
        <w:t xml:space="preserve"> ל</w:t>
      </w:r>
      <w:hyperlink r:id="rId28" w:history="1">
        <w:r w:rsidR="00087D17" w:rsidRPr="00087D17">
          <w:rPr>
            <w:rStyle w:val="Hyperlink"/>
            <w:rtl/>
          </w:rPr>
          <w:t>חוק העונשין</w:t>
        </w:r>
      </w:hyperlink>
      <w:r>
        <w:rPr>
          <w:rFonts w:hint="cs"/>
          <w:rtl/>
        </w:rPr>
        <w:t xml:space="preserve"> התשע"ב-2012 </w:t>
      </w:r>
      <w:r>
        <w:rPr>
          <w:rtl/>
        </w:rPr>
        <w:t>–</w:t>
      </w:r>
      <w:r>
        <w:rPr>
          <w:rFonts w:hint="cs"/>
          <w:rtl/>
        </w:rPr>
        <w:t xml:space="preserve"> הבניית שיקול הדעת השיפוטי בענישה, ובית המשפט אינו נדרש עוד לקבוע מתחם ענישה הולם.</w:t>
      </w:r>
    </w:p>
    <w:p w14:paraId="2D50743A" w14:textId="77777777" w:rsidR="00CA705F" w:rsidRDefault="00CA705F">
      <w:pPr>
        <w:spacing w:line="360" w:lineRule="auto"/>
        <w:ind w:left="720"/>
        <w:jc w:val="both"/>
        <w:rPr>
          <w:rtl/>
        </w:rPr>
      </w:pPr>
    </w:p>
    <w:p w14:paraId="0287AE64" w14:textId="77777777" w:rsidR="00CA705F" w:rsidRDefault="005C2E5F">
      <w:pPr>
        <w:spacing w:line="360" w:lineRule="auto"/>
        <w:ind w:left="720"/>
        <w:jc w:val="both"/>
        <w:rPr>
          <w:rtl/>
        </w:rPr>
      </w:pPr>
      <w:r>
        <w:rPr>
          <w:rFonts w:hint="cs"/>
          <w:rtl/>
        </w:rPr>
        <w:t>23.</w:t>
      </w:r>
      <w:r>
        <w:rPr>
          <w:rFonts w:hint="cs"/>
          <w:rtl/>
        </w:rPr>
        <w:tab/>
        <w:t>לאור האמור לעיל וכמתחייב מפסיקת בית המשפט העליון ב</w:t>
      </w:r>
      <w:hyperlink r:id="rId29" w:history="1">
        <w:r w:rsidR="00087D17" w:rsidRPr="00087D17">
          <w:rPr>
            <w:rStyle w:val="Hyperlink"/>
            <w:rFonts w:hint="eastAsia"/>
            <w:rtl/>
          </w:rPr>
          <w:t>ע</w:t>
        </w:r>
        <w:r w:rsidR="00087D17" w:rsidRPr="00087D17">
          <w:rPr>
            <w:rStyle w:val="Hyperlink"/>
            <w:rtl/>
          </w:rPr>
          <w:t>"פ 1958/98 פלוני נ' מדינת ישראל פד"י נז</w:t>
        </w:r>
      </w:hyperlink>
      <w:r>
        <w:rPr>
          <w:rFonts w:hint="cs"/>
          <w:rtl/>
        </w:rPr>
        <w:t>(1) 577 החלטתי לכבד את הסדר הטיעון.</w:t>
      </w:r>
    </w:p>
    <w:p w14:paraId="2A39D339" w14:textId="77777777" w:rsidR="00CA705F" w:rsidRDefault="00CA705F">
      <w:pPr>
        <w:spacing w:line="360" w:lineRule="auto"/>
        <w:ind w:left="720"/>
        <w:jc w:val="both"/>
        <w:rPr>
          <w:rtl/>
        </w:rPr>
      </w:pPr>
    </w:p>
    <w:p w14:paraId="07690196" w14:textId="77777777" w:rsidR="00CA705F" w:rsidRDefault="00CA705F">
      <w:pPr>
        <w:spacing w:line="360" w:lineRule="auto"/>
        <w:ind w:left="720"/>
        <w:jc w:val="both"/>
        <w:rPr>
          <w:rtl/>
        </w:rPr>
      </w:pPr>
    </w:p>
    <w:p w14:paraId="626E93BC" w14:textId="77777777" w:rsidR="00CA705F" w:rsidRDefault="00CA705F">
      <w:pPr>
        <w:spacing w:line="360" w:lineRule="auto"/>
        <w:ind w:left="720"/>
        <w:jc w:val="both"/>
        <w:rPr>
          <w:rtl/>
        </w:rPr>
      </w:pPr>
    </w:p>
    <w:p w14:paraId="47266EA2" w14:textId="77777777" w:rsidR="00CA705F" w:rsidRDefault="00CA705F">
      <w:pPr>
        <w:spacing w:line="360" w:lineRule="auto"/>
        <w:ind w:left="720"/>
        <w:jc w:val="both"/>
        <w:rPr>
          <w:rtl/>
        </w:rPr>
      </w:pPr>
    </w:p>
    <w:p w14:paraId="286F26CD" w14:textId="77777777" w:rsidR="00CA705F" w:rsidRDefault="00CA705F">
      <w:pPr>
        <w:spacing w:line="360" w:lineRule="auto"/>
        <w:ind w:left="720"/>
        <w:jc w:val="both"/>
        <w:rPr>
          <w:rtl/>
        </w:rPr>
      </w:pPr>
    </w:p>
    <w:p w14:paraId="4B305A2B" w14:textId="77777777" w:rsidR="00CA705F" w:rsidRDefault="005C2E5F">
      <w:pPr>
        <w:spacing w:line="360" w:lineRule="auto"/>
        <w:ind w:left="720"/>
        <w:jc w:val="both"/>
        <w:rPr>
          <w:rtl/>
        </w:rPr>
      </w:pPr>
      <w:r>
        <w:rPr>
          <w:rFonts w:hint="cs"/>
          <w:rtl/>
        </w:rPr>
        <w:t>24.</w:t>
      </w:r>
      <w:r>
        <w:rPr>
          <w:rFonts w:hint="cs"/>
          <w:rtl/>
        </w:rPr>
        <w:tab/>
        <w:t xml:space="preserve">לאור כל המקובץ לעיל, ולאחר ששקלתי טיעוני ב"כ הצדדים אני מטילה על הנאשם את העונשים כדלקמן: </w:t>
      </w:r>
    </w:p>
    <w:p w14:paraId="18FFF957" w14:textId="77777777" w:rsidR="00CA705F" w:rsidRDefault="00CA705F">
      <w:pPr>
        <w:spacing w:line="360" w:lineRule="auto"/>
        <w:ind w:left="720"/>
        <w:jc w:val="both"/>
        <w:rPr>
          <w:rtl/>
        </w:rPr>
      </w:pPr>
    </w:p>
    <w:p w14:paraId="2F0D50A7" w14:textId="77777777" w:rsidR="00CA705F" w:rsidRDefault="00CA705F">
      <w:pPr>
        <w:spacing w:line="360" w:lineRule="auto"/>
        <w:ind w:left="720"/>
        <w:jc w:val="both"/>
        <w:rPr>
          <w:sz w:val="4"/>
          <w:szCs w:val="4"/>
          <w:rtl/>
        </w:rPr>
      </w:pPr>
    </w:p>
    <w:p w14:paraId="2CDBEC8A" w14:textId="77777777" w:rsidR="00CA705F" w:rsidRDefault="005C2E5F">
      <w:pPr>
        <w:spacing w:line="360" w:lineRule="auto"/>
        <w:rPr>
          <w:rtl/>
        </w:rPr>
      </w:pPr>
      <w:r>
        <w:rPr>
          <w:rFonts w:hint="cs"/>
          <w:rtl/>
        </w:rPr>
        <w:tab/>
      </w:r>
      <w:r>
        <w:rPr>
          <w:rFonts w:hint="cs"/>
          <w:rtl/>
        </w:rPr>
        <w:tab/>
        <w:t>א.</w:t>
      </w:r>
      <w:r>
        <w:rPr>
          <w:rFonts w:hint="cs"/>
          <w:rtl/>
        </w:rPr>
        <w:tab/>
        <w:t>7 שנים וחודשיים ומחצה לריצוי בפועל החל מיום 23.10.2012.</w:t>
      </w:r>
    </w:p>
    <w:p w14:paraId="0C0E23C2" w14:textId="77777777" w:rsidR="00CA705F" w:rsidRDefault="005C2E5F">
      <w:pPr>
        <w:spacing w:line="360" w:lineRule="auto"/>
        <w:rPr>
          <w:sz w:val="8"/>
          <w:szCs w:val="8"/>
          <w:rtl/>
        </w:rPr>
      </w:pPr>
      <w:r>
        <w:rPr>
          <w:rFonts w:hint="cs"/>
          <w:rtl/>
        </w:rPr>
        <w:tab/>
      </w:r>
    </w:p>
    <w:p w14:paraId="157E70BE" w14:textId="77777777" w:rsidR="00CA705F" w:rsidRDefault="005C2E5F">
      <w:pPr>
        <w:spacing w:line="360" w:lineRule="auto"/>
        <w:ind w:left="2160" w:hanging="720"/>
        <w:rPr>
          <w:rtl/>
        </w:rPr>
      </w:pPr>
      <w:r>
        <w:rPr>
          <w:rFonts w:hint="cs"/>
          <w:rtl/>
        </w:rPr>
        <w:t>ב.</w:t>
      </w:r>
      <w:r>
        <w:rPr>
          <w:rFonts w:hint="cs"/>
          <w:rtl/>
        </w:rPr>
        <w:tab/>
        <w:t xml:space="preserve">12 חודשי מאסר על תנאי, והתנאי הוא שלא יעבור עבירה מהעבירות בהן הורשע </w:t>
      </w:r>
      <w:r>
        <w:rPr>
          <w:rFonts w:hint="cs"/>
          <w:rtl/>
        </w:rPr>
        <w:tab/>
        <w:t>או כל עבירת אלימות מסוג פשע, וזאת תוך 3 שנים מיום שחרורו ממאסר.</w:t>
      </w:r>
    </w:p>
    <w:p w14:paraId="2EB7E365" w14:textId="77777777" w:rsidR="00CA705F" w:rsidRDefault="00CA705F">
      <w:pPr>
        <w:spacing w:line="360" w:lineRule="auto"/>
        <w:ind w:left="2160" w:hanging="720"/>
        <w:rPr>
          <w:sz w:val="10"/>
          <w:szCs w:val="10"/>
          <w:rtl/>
        </w:rPr>
      </w:pPr>
    </w:p>
    <w:p w14:paraId="5F9B6046" w14:textId="77777777" w:rsidR="00CA705F" w:rsidRDefault="005C2E5F">
      <w:pPr>
        <w:spacing w:line="360" w:lineRule="auto"/>
        <w:rPr>
          <w:rtl/>
        </w:rPr>
      </w:pPr>
      <w:r>
        <w:rPr>
          <w:rFonts w:hint="cs"/>
          <w:rtl/>
        </w:rPr>
        <w:tab/>
      </w:r>
      <w:r>
        <w:rPr>
          <w:rFonts w:hint="cs"/>
          <w:rtl/>
        </w:rPr>
        <w:tab/>
        <w:t>ג.</w:t>
      </w:r>
      <w:r>
        <w:rPr>
          <w:rFonts w:hint="cs"/>
          <w:rtl/>
        </w:rPr>
        <w:tab/>
        <w:t>הנאשם ישלם קנס בסך 10,000 ₪ או 10 חודשי מאסר תמורתו.</w:t>
      </w:r>
    </w:p>
    <w:p w14:paraId="66C93B50" w14:textId="77777777" w:rsidR="00CA705F" w:rsidRDefault="005C2E5F">
      <w:pPr>
        <w:spacing w:line="360" w:lineRule="auto"/>
        <w:rPr>
          <w:rtl/>
        </w:rPr>
      </w:pPr>
      <w:r>
        <w:rPr>
          <w:rFonts w:hint="cs"/>
          <w:rtl/>
        </w:rPr>
        <w:tab/>
      </w:r>
      <w:r>
        <w:rPr>
          <w:rFonts w:hint="cs"/>
          <w:rtl/>
        </w:rPr>
        <w:tab/>
      </w:r>
      <w:r>
        <w:rPr>
          <w:rFonts w:hint="cs"/>
          <w:rtl/>
        </w:rPr>
        <w:tab/>
        <w:t>הקנס ישולם ב- 24 תשלומים חודשיים שווים החל מתאריך 01.08.2013</w:t>
      </w:r>
    </w:p>
    <w:p w14:paraId="50F55CC1" w14:textId="77777777" w:rsidR="00CA705F" w:rsidRDefault="00CA705F">
      <w:pPr>
        <w:spacing w:line="360" w:lineRule="auto"/>
        <w:rPr>
          <w:rtl/>
        </w:rPr>
      </w:pPr>
    </w:p>
    <w:p w14:paraId="6FF43925" w14:textId="77777777" w:rsidR="00CA705F" w:rsidRDefault="005C2E5F">
      <w:pPr>
        <w:spacing w:line="360" w:lineRule="auto"/>
        <w:rPr>
          <w:rtl/>
        </w:rPr>
      </w:pPr>
      <w:r>
        <w:rPr>
          <w:rFonts w:hint="cs"/>
          <w:rtl/>
        </w:rPr>
        <w:t>הודע לנאשם על זכותו לערער על גזר-הדין לביהמ"ש העליון תוך 45 ימים מהיום.</w:t>
      </w:r>
    </w:p>
    <w:p w14:paraId="074122E7" w14:textId="77777777" w:rsidR="005C2E5F" w:rsidRPr="005C2E5F" w:rsidRDefault="005C2E5F" w:rsidP="005C2E5F">
      <w:pPr>
        <w:keepNext/>
        <w:spacing w:line="360" w:lineRule="auto"/>
        <w:rPr>
          <w:rFonts w:ascii="David" w:hAnsi="David"/>
          <w:color w:val="000000"/>
          <w:sz w:val="22"/>
          <w:szCs w:val="22"/>
          <w:rtl/>
        </w:rPr>
      </w:pPr>
    </w:p>
    <w:p w14:paraId="68E49F1A" w14:textId="77777777" w:rsidR="00887F78" w:rsidRPr="00887F78" w:rsidRDefault="00887F78" w:rsidP="00887F78">
      <w:pPr>
        <w:keepNext/>
        <w:spacing w:line="360" w:lineRule="auto"/>
        <w:rPr>
          <w:rFonts w:ascii="David" w:hAnsi="David" w:hint="cs"/>
          <w:color w:val="000000"/>
          <w:sz w:val="22"/>
          <w:szCs w:val="22"/>
          <w:rtl/>
        </w:rPr>
      </w:pPr>
    </w:p>
    <w:p w14:paraId="25B8A893" w14:textId="77777777" w:rsidR="00887F78" w:rsidRPr="00887F78" w:rsidRDefault="00887F78" w:rsidP="00887F78">
      <w:pPr>
        <w:keepNext/>
        <w:spacing w:line="360" w:lineRule="auto"/>
        <w:rPr>
          <w:rFonts w:ascii="David" w:hAnsi="David"/>
          <w:color w:val="000000"/>
          <w:sz w:val="22"/>
          <w:szCs w:val="22"/>
          <w:rtl/>
        </w:rPr>
      </w:pPr>
      <w:r w:rsidRPr="00887F78">
        <w:rPr>
          <w:rFonts w:ascii="David" w:hAnsi="David"/>
          <w:color w:val="000000"/>
          <w:sz w:val="22"/>
          <w:szCs w:val="22"/>
          <w:rtl/>
        </w:rPr>
        <w:t>יהודית אמסטרדם 54678313-/</w:t>
      </w:r>
    </w:p>
    <w:p w14:paraId="3827DA1B" w14:textId="77777777" w:rsidR="00CA705F" w:rsidRPr="005C2E5F" w:rsidRDefault="00887F78">
      <w:pPr>
        <w:spacing w:line="360" w:lineRule="auto"/>
        <w:rPr>
          <w:color w:val="FFFFFF"/>
          <w:sz w:val="2"/>
          <w:szCs w:val="2"/>
          <w:rtl/>
        </w:rPr>
      </w:pPr>
      <w:r w:rsidRPr="00887F78">
        <w:rPr>
          <w:color w:val="FFFFFF"/>
          <w:sz w:val="2"/>
          <w:szCs w:val="2"/>
          <w:rtl/>
        </w:rPr>
        <w:t>5129371</w:t>
      </w:r>
      <w:r w:rsidR="005C2E5F" w:rsidRPr="005C2E5F">
        <w:rPr>
          <w:color w:val="FFFFFF"/>
          <w:sz w:val="2"/>
          <w:szCs w:val="2"/>
          <w:rtl/>
        </w:rPr>
        <w:t>5129371</w:t>
      </w:r>
    </w:p>
    <w:tbl>
      <w:tblPr>
        <w:bidiVisual/>
        <w:tblW w:w="0" w:type="auto"/>
        <w:tblInd w:w="5819" w:type="dxa"/>
        <w:tblLook w:val="01E0" w:firstRow="1" w:lastRow="1" w:firstColumn="1" w:lastColumn="1" w:noHBand="0" w:noVBand="0"/>
      </w:tblPr>
      <w:tblGrid>
        <w:gridCol w:w="2708"/>
      </w:tblGrid>
      <w:tr w:rsidR="00CA705F" w14:paraId="1C0FE6A4" w14:textId="77777777">
        <w:trPr>
          <w:trHeight w:val="2157"/>
        </w:trPr>
        <w:tc>
          <w:tcPr>
            <w:tcW w:w="2708" w:type="dxa"/>
            <w:tcBorders>
              <w:top w:val="nil"/>
              <w:left w:val="nil"/>
              <w:bottom w:val="single" w:sz="4" w:space="0" w:color="auto"/>
              <w:right w:val="nil"/>
            </w:tcBorders>
            <w:vAlign w:val="center"/>
          </w:tcPr>
          <w:p w14:paraId="6BE71B51" w14:textId="77777777" w:rsidR="00CA705F" w:rsidRDefault="00887F78">
            <w:pPr>
              <w:jc w:val="center"/>
              <w:rPr>
                <w:rFonts w:ascii="Courier New" w:hAnsi="Courier New"/>
                <w:b/>
                <w:bCs/>
                <w:sz w:val="20"/>
                <w:szCs w:val="20"/>
              </w:rPr>
            </w:pPr>
            <w:r w:rsidRPr="00887F78">
              <w:rPr>
                <w:rFonts w:ascii="Arial" w:hAnsi="Arial"/>
                <w:color w:val="FFFFFF"/>
                <w:sz w:val="2"/>
                <w:szCs w:val="2"/>
                <w:rtl/>
              </w:rPr>
              <w:t>54678313</w:t>
            </w:r>
            <w:r w:rsidR="005C2E5F" w:rsidRPr="005C2E5F">
              <w:rPr>
                <w:rFonts w:ascii="Arial" w:hAnsi="Arial"/>
                <w:color w:val="FFFFFF"/>
                <w:sz w:val="2"/>
                <w:szCs w:val="2"/>
                <w:rtl/>
              </w:rPr>
              <w:t>54678313</w:t>
            </w:r>
            <w:r w:rsidR="005C2E5F">
              <w:rPr>
                <w:rFonts w:ascii="Arial" w:hAnsi="Arial"/>
                <w:rtl/>
              </w:rPr>
              <w:t xml:space="preserve">ניתן היום,  ז' סיון תשע"ג, 16 מאי 2013, בנוכחות ב"כ המאשימה, הנאשם ובא-כוחו. </w:t>
            </w:r>
          </w:p>
        </w:tc>
      </w:tr>
      <w:tr w:rsidR="00CA705F" w14:paraId="3D520A31" w14:textId="77777777">
        <w:tc>
          <w:tcPr>
            <w:tcW w:w="2708" w:type="dxa"/>
            <w:tcBorders>
              <w:top w:val="single" w:sz="4" w:space="0" w:color="auto"/>
              <w:left w:val="nil"/>
              <w:bottom w:val="nil"/>
              <w:right w:val="nil"/>
            </w:tcBorders>
          </w:tcPr>
          <w:p w14:paraId="290FF0EE" w14:textId="77777777" w:rsidR="00CA705F" w:rsidRDefault="005C2E5F">
            <w:pPr>
              <w:jc w:val="center"/>
              <w:rPr>
                <w:rFonts w:ascii="Courier New" w:hAnsi="Courier New"/>
                <w:b/>
                <w:bCs/>
                <w:rtl/>
              </w:rPr>
            </w:pPr>
            <w:r>
              <w:rPr>
                <w:rFonts w:ascii="Courier New" w:hAnsi="Courier New" w:hint="cs"/>
                <w:b/>
                <w:bCs/>
                <w:rtl/>
              </w:rPr>
              <w:t>יהודית אמסטרדם, שופטת</w:t>
            </w:r>
          </w:p>
          <w:p w14:paraId="639A9BA6" w14:textId="77777777" w:rsidR="00CA705F" w:rsidRDefault="00CA705F">
            <w:pPr>
              <w:jc w:val="center"/>
              <w:rPr>
                <w:rFonts w:ascii="Courier New" w:hAnsi="Courier New"/>
                <w:b/>
                <w:bCs/>
              </w:rPr>
            </w:pPr>
          </w:p>
        </w:tc>
      </w:tr>
    </w:tbl>
    <w:p w14:paraId="0F5DE04E" w14:textId="77777777" w:rsidR="005C2E5F" w:rsidRDefault="005C2E5F" w:rsidP="005C2E5F">
      <w:r w:rsidRPr="005C2E5F">
        <w:rPr>
          <w:color w:val="000000"/>
          <w:rtl/>
        </w:rPr>
        <w:t>נוסח מסמך זה כפוף לשינויי ניסוח ועריכה</w:t>
      </w:r>
    </w:p>
    <w:p w14:paraId="1F72D665" w14:textId="77777777" w:rsidR="005C2E5F" w:rsidRDefault="005C2E5F" w:rsidP="005C2E5F">
      <w:pPr>
        <w:rPr>
          <w:rtl/>
        </w:rPr>
      </w:pPr>
    </w:p>
    <w:p w14:paraId="1397B42A" w14:textId="77777777" w:rsidR="005C2E5F" w:rsidRDefault="005C2E5F" w:rsidP="005C2E5F">
      <w:pPr>
        <w:jc w:val="center"/>
        <w:rPr>
          <w:color w:val="0000FF"/>
          <w:u w:val="single"/>
        </w:rPr>
      </w:pPr>
      <w:r w:rsidRPr="00D03577">
        <w:rPr>
          <w:color w:val="000000"/>
          <w:rtl/>
        </w:rPr>
        <w:t>בעניין עריכה ושינויים במסמכי פסיקה, חקיקה ועוד באתר נבו – הקש כאן</w:t>
      </w:r>
    </w:p>
    <w:sectPr w:rsidR="005C2E5F" w:rsidSect="00887F78">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D5C4A" w14:textId="77777777" w:rsidR="00154A1D" w:rsidRPr="00DC0E20" w:rsidRDefault="00154A1D">
      <w:pPr>
        <w:rPr>
          <w:rFonts w:cs="Arial"/>
          <w:szCs w:val="20"/>
        </w:rPr>
      </w:pPr>
      <w:r>
        <w:separator/>
      </w:r>
    </w:p>
  </w:endnote>
  <w:endnote w:type="continuationSeparator" w:id="0">
    <w:p w14:paraId="06EA5E83" w14:textId="77777777" w:rsidR="00154A1D" w:rsidRPr="00DC0E20" w:rsidRDefault="00154A1D">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04806" w14:textId="77777777" w:rsidR="00E9263B" w:rsidRDefault="00E9263B" w:rsidP="00887F7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EC7F6DA" w14:textId="77777777" w:rsidR="00E9263B" w:rsidRPr="00887F78" w:rsidRDefault="00E9263B" w:rsidP="00887F78">
    <w:pPr>
      <w:pStyle w:val="a4"/>
      <w:pBdr>
        <w:top w:val="single" w:sz="4" w:space="1" w:color="auto"/>
        <w:between w:val="single" w:sz="4" w:space="0" w:color="auto"/>
      </w:pBdr>
      <w:spacing w:after="60"/>
      <w:jc w:val="center"/>
      <w:rPr>
        <w:rFonts w:ascii="FrankRuehl" w:hAnsi="FrankRuehl" w:cs="FrankRuehl"/>
        <w:color w:val="000000"/>
      </w:rPr>
    </w:pPr>
    <w:r w:rsidRPr="00887F7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465026" w14:textId="77777777" w:rsidR="00E9263B" w:rsidRDefault="00E9263B" w:rsidP="00887F7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A1246">
      <w:rPr>
        <w:rFonts w:ascii="FrankRuehl" w:hAnsi="FrankRuehl" w:cs="FrankRuehl"/>
        <w:noProof/>
        <w:rtl/>
      </w:rPr>
      <w:t>1</w:t>
    </w:r>
    <w:r>
      <w:rPr>
        <w:rFonts w:ascii="FrankRuehl" w:hAnsi="FrankRuehl" w:cs="FrankRuehl"/>
        <w:rtl/>
      </w:rPr>
      <w:fldChar w:fldCharType="end"/>
    </w:r>
  </w:p>
  <w:p w14:paraId="027DB3DA" w14:textId="77777777" w:rsidR="00E9263B" w:rsidRPr="00887F78" w:rsidRDefault="00E9263B" w:rsidP="00887F78">
    <w:pPr>
      <w:pStyle w:val="a4"/>
      <w:pBdr>
        <w:top w:val="single" w:sz="4" w:space="1" w:color="auto"/>
        <w:between w:val="single" w:sz="4" w:space="0" w:color="auto"/>
      </w:pBdr>
      <w:spacing w:after="60"/>
      <w:jc w:val="center"/>
      <w:rPr>
        <w:rFonts w:ascii="FrankRuehl" w:hAnsi="FrankRuehl" w:cs="FrankRuehl"/>
        <w:color w:val="000000"/>
      </w:rPr>
    </w:pPr>
    <w:r w:rsidRPr="00887F78">
      <w:rPr>
        <w:rFonts w:ascii="FrankRuehl" w:hAnsi="FrankRuehl" w:cs="FrankRuehl"/>
        <w:color w:val="000000"/>
      </w:rPr>
      <w:pict w14:anchorId="0F0F4A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C340F2" w14:textId="77777777" w:rsidR="00154A1D" w:rsidRPr="00DC0E20" w:rsidRDefault="00154A1D">
      <w:pPr>
        <w:rPr>
          <w:rFonts w:cs="Arial"/>
          <w:szCs w:val="20"/>
        </w:rPr>
      </w:pPr>
      <w:r>
        <w:separator/>
      </w:r>
    </w:p>
  </w:footnote>
  <w:footnote w:type="continuationSeparator" w:id="0">
    <w:p w14:paraId="4CD8CD70" w14:textId="77777777" w:rsidR="00154A1D" w:rsidRPr="00DC0E20" w:rsidRDefault="00154A1D">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8F71F" w14:textId="77777777" w:rsidR="00E9263B" w:rsidRPr="00887F78" w:rsidRDefault="00E9263B" w:rsidP="00887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15198-11-12</w:t>
    </w:r>
    <w:r>
      <w:rPr>
        <w:rFonts w:ascii="David" w:hAnsi="David"/>
        <w:color w:val="000000"/>
        <w:sz w:val="22"/>
        <w:szCs w:val="22"/>
        <w:rtl/>
      </w:rPr>
      <w:tab/>
      <w:t xml:space="preserve"> מדינת ישראל נ' מרדכי סניור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848CFF" w14:textId="77777777" w:rsidR="00E9263B" w:rsidRPr="00887F78" w:rsidRDefault="00E9263B" w:rsidP="00887F7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15198-11-12</w:t>
    </w:r>
    <w:r>
      <w:rPr>
        <w:rFonts w:ascii="David" w:hAnsi="David"/>
        <w:color w:val="000000"/>
        <w:sz w:val="22"/>
        <w:szCs w:val="22"/>
        <w:rtl/>
      </w:rPr>
      <w:tab/>
      <w:t xml:space="preserve"> מדינת ישראל נ' מרדכי סניור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A705F"/>
    <w:rsid w:val="00087D17"/>
    <w:rsid w:val="001548B4"/>
    <w:rsid w:val="00154A1D"/>
    <w:rsid w:val="002F59B5"/>
    <w:rsid w:val="005C2E5F"/>
    <w:rsid w:val="00822179"/>
    <w:rsid w:val="00871966"/>
    <w:rsid w:val="00887F78"/>
    <w:rsid w:val="009B2075"/>
    <w:rsid w:val="00C3393D"/>
    <w:rsid w:val="00C9493E"/>
    <w:rsid w:val="00CA1246"/>
    <w:rsid w:val="00CA705F"/>
    <w:rsid w:val="00D03577"/>
    <w:rsid w:val="00E9263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DD165B7"/>
  <w15:chartTrackingRefBased/>
  <w15:docId w15:val="{A0377EF5-891C-48AE-8356-3C69162B3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A705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A705F"/>
    <w:pPr>
      <w:tabs>
        <w:tab w:val="center" w:pos="4153"/>
        <w:tab w:val="right" w:pos="8306"/>
      </w:tabs>
    </w:pPr>
  </w:style>
  <w:style w:type="paragraph" w:styleId="a4">
    <w:name w:val="footer"/>
    <w:basedOn w:val="a"/>
    <w:rsid w:val="00CA705F"/>
    <w:pPr>
      <w:tabs>
        <w:tab w:val="center" w:pos="4153"/>
        <w:tab w:val="right" w:pos="8306"/>
      </w:tabs>
    </w:pPr>
  </w:style>
  <w:style w:type="character" w:styleId="a5">
    <w:name w:val="page number"/>
    <w:basedOn w:val="a0"/>
    <w:rsid w:val="00CA705F"/>
  </w:style>
  <w:style w:type="character" w:styleId="Hyperlink">
    <w:name w:val="Hyperlink"/>
    <w:rsid w:val="00CA70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2" TargetMode="External"/><Relationship Id="rId18" Type="http://schemas.openxmlformats.org/officeDocument/2006/relationships/hyperlink" Target="http://www.nevo.co.il/law/70301/144.c.3" TargetMode="External"/><Relationship Id="rId26" Type="http://schemas.openxmlformats.org/officeDocument/2006/relationships/hyperlink" Target="http://www.nevo.co.il/case/5852404" TargetMode="External"/><Relationship Id="rId3" Type="http://schemas.openxmlformats.org/officeDocument/2006/relationships/webSettings" Target="webSettings.xml"/><Relationship Id="rId21" Type="http://schemas.openxmlformats.org/officeDocument/2006/relationships/hyperlink" Target="http://www.nevo.co.il/law/70301/144.b.2" TargetMode="External"/><Relationship Id="rId34" Type="http://schemas.openxmlformats.org/officeDocument/2006/relationships/fontTable" Target="fontTable.xml"/><Relationship Id="rId7" Type="http://schemas.openxmlformats.org/officeDocument/2006/relationships/hyperlink" Target="http://www.nevo.co.il/law/70301/25" TargetMode="External"/><Relationship Id="rId12" Type="http://schemas.openxmlformats.org/officeDocument/2006/relationships/hyperlink" Target="http://www.nevo.co.il/law/70301/499.a.1" TargetMode="External"/><Relationship Id="rId17" Type="http://schemas.openxmlformats.org/officeDocument/2006/relationships/hyperlink" Target="http://www.nevo.co.il/law/70301/144.b2" TargetMode="External"/><Relationship Id="rId25" Type="http://schemas.openxmlformats.org/officeDocument/2006/relationships/hyperlink" Target="http://www.nevo.co.il/case/5962283" TargetMode="External"/><Relationship Id="rId33"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161892"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jd" TargetMode="External"/><Relationship Id="rId24" Type="http://schemas.openxmlformats.org/officeDocument/2006/relationships/hyperlink" Target="http://www.nevo.co.il/law/70301" TargetMode="External"/><Relationship Id="rId32"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499.a.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 TargetMode="External"/><Relationship Id="rId10" Type="http://schemas.openxmlformats.org/officeDocument/2006/relationships/hyperlink" Target="http://www.nevo.co.il/law/70301/144.c.3" TargetMode="External"/><Relationship Id="rId19" Type="http://schemas.openxmlformats.org/officeDocument/2006/relationships/hyperlink" Target="http://www.nevo.co.il/law/70301/25" TargetMode="External"/><Relationship Id="rId31"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144.b2" TargetMode="External"/><Relationship Id="rId14" Type="http://schemas.openxmlformats.org/officeDocument/2006/relationships/hyperlink" Target="http://www.nevo.co.il/law/70301/144.c.3" TargetMode="External"/><Relationship Id="rId22" Type="http://schemas.openxmlformats.org/officeDocument/2006/relationships/hyperlink" Target="http://www.nevo.co.il/law/70301/144.c.3" TargetMode="External"/><Relationship Id="rId27" Type="http://schemas.openxmlformats.org/officeDocument/2006/relationships/hyperlink" Target="http://www.nevo.co.il/law/70301/40jd"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70301/144.b.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1932</Words>
  <Characters>9663</Characters>
  <Application>Microsoft Office Word</Application>
  <DocSecurity>0</DocSecurity>
  <Lines>80</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11572</CharactersWithSpaces>
  <SharedDoc>false</SharedDoc>
  <HLinks>
    <vt:vector size="144" baseType="variant">
      <vt:variant>
        <vt:i4>589898</vt:i4>
      </vt:variant>
      <vt:variant>
        <vt:i4>69</vt:i4>
      </vt:variant>
      <vt:variant>
        <vt:i4>0</vt:i4>
      </vt:variant>
      <vt:variant>
        <vt:i4>5</vt:i4>
      </vt:variant>
      <vt:variant>
        <vt:lpwstr>http://www.nevo.co.il/case/161892</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65547</vt:i4>
      </vt:variant>
      <vt:variant>
        <vt:i4>63</vt:i4>
      </vt:variant>
      <vt:variant>
        <vt:i4>0</vt:i4>
      </vt:variant>
      <vt:variant>
        <vt:i4>5</vt:i4>
      </vt:variant>
      <vt:variant>
        <vt:lpwstr>http://www.nevo.co.il/law/70301/40jd</vt:lpwstr>
      </vt:variant>
      <vt:variant>
        <vt:lpwstr/>
      </vt:variant>
      <vt:variant>
        <vt:i4>3145854</vt:i4>
      </vt:variant>
      <vt:variant>
        <vt:i4>60</vt:i4>
      </vt:variant>
      <vt:variant>
        <vt:i4>0</vt:i4>
      </vt:variant>
      <vt:variant>
        <vt:i4>5</vt:i4>
      </vt:variant>
      <vt:variant>
        <vt:lpwstr>http://www.nevo.co.il/case/5852404</vt:lpwstr>
      </vt:variant>
      <vt:variant>
        <vt:lpwstr/>
      </vt:variant>
      <vt:variant>
        <vt:i4>3276919</vt:i4>
      </vt:variant>
      <vt:variant>
        <vt:i4>57</vt:i4>
      </vt:variant>
      <vt:variant>
        <vt:i4>0</vt:i4>
      </vt:variant>
      <vt:variant>
        <vt:i4>5</vt:i4>
      </vt:variant>
      <vt:variant>
        <vt:lpwstr>http://www.nevo.co.il/case/5962283</vt:lpwstr>
      </vt:variant>
      <vt:variant>
        <vt:lpwstr/>
      </vt:variant>
      <vt:variant>
        <vt:i4>7995492</vt:i4>
      </vt:variant>
      <vt:variant>
        <vt:i4>54</vt:i4>
      </vt:variant>
      <vt:variant>
        <vt:i4>0</vt:i4>
      </vt:variant>
      <vt:variant>
        <vt:i4>5</vt:i4>
      </vt:variant>
      <vt:variant>
        <vt:lpwstr>http://www.nevo.co.il/law/70301</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6357043</vt:i4>
      </vt:variant>
      <vt:variant>
        <vt:i4>48</vt:i4>
      </vt:variant>
      <vt:variant>
        <vt:i4>0</vt:i4>
      </vt:variant>
      <vt:variant>
        <vt:i4>5</vt:i4>
      </vt:variant>
      <vt:variant>
        <vt:lpwstr>http://www.nevo.co.il/law/70301/144.c.3</vt:lpwstr>
      </vt:variant>
      <vt:variant>
        <vt:lpwstr/>
      </vt:variant>
      <vt:variant>
        <vt:i4>6357042</vt:i4>
      </vt:variant>
      <vt:variant>
        <vt:i4>45</vt:i4>
      </vt:variant>
      <vt:variant>
        <vt:i4>0</vt:i4>
      </vt:variant>
      <vt:variant>
        <vt:i4>5</vt:i4>
      </vt:variant>
      <vt:variant>
        <vt:lpwstr>http://www.nevo.co.il/law/70301/144.b.2</vt:lpwstr>
      </vt:variant>
      <vt:variant>
        <vt:lpwstr/>
      </vt:variant>
      <vt:variant>
        <vt:i4>7995492</vt:i4>
      </vt:variant>
      <vt:variant>
        <vt:i4>42</vt:i4>
      </vt:variant>
      <vt:variant>
        <vt:i4>0</vt:i4>
      </vt:variant>
      <vt:variant>
        <vt:i4>5</vt:i4>
      </vt:variant>
      <vt:variant>
        <vt:lpwstr>http://www.nevo.co.il/law/70301</vt:lpwstr>
      </vt:variant>
      <vt:variant>
        <vt:lpwstr/>
      </vt:variant>
      <vt:variant>
        <vt:i4>6291559</vt:i4>
      </vt:variant>
      <vt:variant>
        <vt:i4>39</vt:i4>
      </vt:variant>
      <vt:variant>
        <vt:i4>0</vt:i4>
      </vt:variant>
      <vt:variant>
        <vt:i4>5</vt:i4>
      </vt:variant>
      <vt:variant>
        <vt:lpwstr>http://www.nevo.co.il/law/70301/25</vt:lpwstr>
      </vt:variant>
      <vt:variant>
        <vt:lpwstr/>
      </vt:variant>
      <vt:variant>
        <vt:i4>6357043</vt:i4>
      </vt:variant>
      <vt:variant>
        <vt:i4>36</vt:i4>
      </vt:variant>
      <vt:variant>
        <vt:i4>0</vt:i4>
      </vt:variant>
      <vt:variant>
        <vt:i4>5</vt:i4>
      </vt:variant>
      <vt:variant>
        <vt:lpwstr>http://www.nevo.co.il/law/70301/144.c.3</vt:lpwstr>
      </vt:variant>
      <vt:variant>
        <vt:lpwstr/>
      </vt:variant>
      <vt:variant>
        <vt:i4>8192050</vt:i4>
      </vt:variant>
      <vt:variant>
        <vt:i4>33</vt:i4>
      </vt:variant>
      <vt:variant>
        <vt:i4>0</vt:i4>
      </vt:variant>
      <vt:variant>
        <vt:i4>5</vt:i4>
      </vt:variant>
      <vt:variant>
        <vt:lpwstr>http://www.nevo.co.il/law/70301/144.b2</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7077945</vt:i4>
      </vt:variant>
      <vt:variant>
        <vt:i4>27</vt:i4>
      </vt:variant>
      <vt:variant>
        <vt:i4>0</vt:i4>
      </vt:variant>
      <vt:variant>
        <vt:i4>5</vt:i4>
      </vt:variant>
      <vt:variant>
        <vt:lpwstr>http://www.nevo.co.il/law/70301/499.a.1</vt:lpwstr>
      </vt:variant>
      <vt:variant>
        <vt:lpwstr/>
      </vt:variant>
      <vt:variant>
        <vt:i4>6357043</vt:i4>
      </vt:variant>
      <vt:variant>
        <vt:i4>24</vt:i4>
      </vt:variant>
      <vt:variant>
        <vt:i4>0</vt:i4>
      </vt:variant>
      <vt:variant>
        <vt:i4>5</vt:i4>
      </vt:variant>
      <vt:variant>
        <vt:lpwstr>http://www.nevo.co.il/law/70301/144.c.3</vt:lpwstr>
      </vt:variant>
      <vt:variant>
        <vt:lpwstr/>
      </vt:variant>
      <vt:variant>
        <vt:i4>8192050</vt:i4>
      </vt:variant>
      <vt:variant>
        <vt:i4>21</vt:i4>
      </vt:variant>
      <vt:variant>
        <vt:i4>0</vt:i4>
      </vt:variant>
      <vt:variant>
        <vt:i4>5</vt:i4>
      </vt:variant>
      <vt:variant>
        <vt:lpwstr>http://www.nevo.co.il/law/70301/144.b2</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65547</vt:i4>
      </vt:variant>
      <vt:variant>
        <vt:i4>15</vt:i4>
      </vt:variant>
      <vt:variant>
        <vt:i4>0</vt:i4>
      </vt:variant>
      <vt:variant>
        <vt:i4>5</vt:i4>
      </vt:variant>
      <vt:variant>
        <vt:lpwstr>http://www.nevo.co.il/law/70301/40jd</vt:lpwstr>
      </vt:variant>
      <vt:variant>
        <vt:lpwstr/>
      </vt:variant>
      <vt:variant>
        <vt:i4>6357043</vt:i4>
      </vt:variant>
      <vt:variant>
        <vt:i4>12</vt:i4>
      </vt:variant>
      <vt:variant>
        <vt:i4>0</vt:i4>
      </vt:variant>
      <vt:variant>
        <vt:i4>5</vt:i4>
      </vt:variant>
      <vt:variant>
        <vt:lpwstr>http://www.nevo.co.il/law/70301/144.c.3</vt:lpwstr>
      </vt:variant>
      <vt:variant>
        <vt:lpwstr/>
      </vt:variant>
      <vt:variant>
        <vt:i4>8192050</vt:i4>
      </vt:variant>
      <vt:variant>
        <vt:i4>9</vt:i4>
      </vt:variant>
      <vt:variant>
        <vt:i4>0</vt:i4>
      </vt:variant>
      <vt:variant>
        <vt:i4>5</vt:i4>
      </vt:variant>
      <vt:variant>
        <vt:lpwstr>http://www.nevo.co.il/law/70301/144.b2</vt:lpwstr>
      </vt:variant>
      <vt:variant>
        <vt:lpwstr/>
      </vt:variant>
      <vt:variant>
        <vt:i4>6357042</vt:i4>
      </vt:variant>
      <vt:variant>
        <vt:i4>6</vt:i4>
      </vt:variant>
      <vt:variant>
        <vt:i4>0</vt:i4>
      </vt:variant>
      <vt:variant>
        <vt:i4>5</vt:i4>
      </vt:variant>
      <vt:variant>
        <vt:lpwstr>http://www.nevo.co.il/law/70301/144.b.2</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2025-04-25T10:28:00Z</dcterms:created>
  <dcterms:modified xsi:type="dcterms:W3CDTF">2025-04-25T10:28:00Z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15198</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מרדכי סניור</vt:lpwstr>
  </property>
  <property fmtid="{D5CDD505-2E9C-101B-9397-08002B2CF9AE}" pid="10" name="LAWYER">
    <vt:lpwstr>אורי קינן</vt:lpwstr>
  </property>
  <property fmtid="{D5CDD505-2E9C-101B-9397-08002B2CF9AE}" pid="11" name="JUDGE">
    <vt:lpwstr>יהודית אמסטרדם</vt:lpwstr>
  </property>
  <property fmtid="{D5CDD505-2E9C-101B-9397-08002B2CF9AE}" pid="12" name="CITY">
    <vt:lpwstr>ת"א</vt:lpwstr>
  </property>
  <property fmtid="{D5CDD505-2E9C-101B-9397-08002B2CF9AE}" pid="13" name="DATE">
    <vt:lpwstr>20130516</vt:lpwstr>
  </property>
  <property fmtid="{D5CDD505-2E9C-101B-9397-08002B2CF9AE}" pid="14" name="TYPE_N_DATE">
    <vt:lpwstr>39020130516</vt:lpwstr>
  </property>
  <property fmtid="{D5CDD505-2E9C-101B-9397-08002B2CF9AE}" pid="15" name="WORDNUMPAGES">
    <vt:lpwstr>7</vt:lpwstr>
  </property>
  <property fmtid="{D5CDD505-2E9C-101B-9397-08002B2CF9AE}" pid="16" name="TYPE_ABS_DATE">
    <vt:lpwstr>390020130516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5962283;5852404;161892</vt:lpwstr>
  </property>
  <property fmtid="{D5CDD505-2E9C-101B-9397-08002B2CF9AE}" pid="36" name="LAWLISTTMP1">
    <vt:lpwstr>70301/144.b2:2;144.c.3:3;499.a.1;025;144.b.2;40jd</vt:lpwstr>
  </property>
</Properties>
</file>