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E235DC" w:rsidRPr="00D52AD2" w14:paraId="43A5E229" w14:textId="77777777">
        <w:trPr>
          <w:trHeight w:hRule="exact" w:val="418"/>
          <w:jc w:val="center"/>
        </w:trPr>
        <w:tc>
          <w:tcPr>
            <w:tcW w:w="8721" w:type="dxa"/>
            <w:gridSpan w:val="2"/>
          </w:tcPr>
          <w:p w14:paraId="1E83DC44" w14:textId="77777777" w:rsidR="00E235DC" w:rsidRPr="00D52AD2" w:rsidRDefault="00D52AD2">
            <w:pPr>
              <w:pStyle w:val="a3"/>
              <w:jc w:val="center"/>
              <w:rPr>
                <w:rFonts w:ascii="Tahoma" w:hAnsi="Tahoma" w:cs="Tahoma"/>
                <w:color w:val="000080"/>
                <w:rtl/>
              </w:rPr>
            </w:pPr>
            <w:r w:rsidRPr="00D52AD2">
              <w:rPr>
                <w:rFonts w:ascii="Tahoma" w:hAnsi="Tahoma" w:cs="Tahoma"/>
                <w:b/>
                <w:bCs/>
                <w:color w:val="000080"/>
                <w:rtl/>
              </w:rPr>
              <w:t>בית המשפט המחוזי בבאר שבע</w:t>
            </w:r>
          </w:p>
        </w:tc>
      </w:tr>
      <w:tr w:rsidR="00E235DC" w:rsidRPr="00D52AD2" w14:paraId="34FFAED0" w14:textId="77777777">
        <w:trPr>
          <w:trHeight w:val="337"/>
          <w:jc w:val="center"/>
        </w:trPr>
        <w:tc>
          <w:tcPr>
            <w:tcW w:w="5047" w:type="dxa"/>
          </w:tcPr>
          <w:p w14:paraId="4DE22758" w14:textId="77777777" w:rsidR="00E235DC" w:rsidRPr="00D52AD2" w:rsidRDefault="00D52AD2" w:rsidP="00427C26">
            <w:pPr>
              <w:rPr>
                <w:rFonts w:cs="FrankRuehl"/>
                <w:sz w:val="28"/>
                <w:szCs w:val="28"/>
                <w:rtl/>
              </w:rPr>
            </w:pPr>
            <w:r w:rsidRPr="00D52AD2">
              <w:rPr>
                <w:rFonts w:cs="FrankRuehl"/>
                <w:sz w:val="28"/>
                <w:szCs w:val="28"/>
                <w:rtl/>
              </w:rPr>
              <w:t>תפ"ח</w:t>
            </w:r>
            <w:r w:rsidRPr="00D52AD2">
              <w:rPr>
                <w:rFonts w:cs="FrankRuehl" w:hint="cs"/>
                <w:sz w:val="28"/>
                <w:szCs w:val="28"/>
                <w:rtl/>
              </w:rPr>
              <w:t xml:space="preserve"> </w:t>
            </w:r>
            <w:r w:rsidRPr="00D52AD2">
              <w:rPr>
                <w:rFonts w:cs="FrankRuehl"/>
                <w:sz w:val="28"/>
                <w:szCs w:val="28"/>
                <w:rtl/>
              </w:rPr>
              <w:t>1567-11-12</w:t>
            </w:r>
            <w:r w:rsidRPr="00D52AD2">
              <w:rPr>
                <w:rFonts w:cs="FrankRuehl" w:hint="cs"/>
                <w:sz w:val="28"/>
                <w:szCs w:val="28"/>
                <w:rtl/>
              </w:rPr>
              <w:t xml:space="preserve"> </w:t>
            </w:r>
          </w:p>
          <w:p w14:paraId="780C3CBF" w14:textId="77777777" w:rsidR="00E235DC" w:rsidRPr="00D52AD2" w:rsidRDefault="00E235DC">
            <w:pPr>
              <w:pStyle w:val="a3"/>
              <w:rPr>
                <w:rFonts w:cs="FrankRuehl"/>
                <w:sz w:val="28"/>
                <w:szCs w:val="28"/>
                <w:rtl/>
              </w:rPr>
            </w:pPr>
          </w:p>
        </w:tc>
        <w:tc>
          <w:tcPr>
            <w:tcW w:w="3674" w:type="dxa"/>
          </w:tcPr>
          <w:p w14:paraId="08836D2B" w14:textId="77777777" w:rsidR="00E235DC" w:rsidRPr="00D52AD2" w:rsidRDefault="00D52AD2">
            <w:pPr>
              <w:pStyle w:val="a3"/>
              <w:jc w:val="right"/>
              <w:rPr>
                <w:rFonts w:cs="FrankRuehl"/>
                <w:sz w:val="28"/>
                <w:szCs w:val="28"/>
                <w:rtl/>
              </w:rPr>
            </w:pPr>
            <w:r w:rsidRPr="00D52AD2">
              <w:rPr>
                <w:rFonts w:cs="FrankRuehl" w:hint="cs"/>
                <w:sz w:val="28"/>
                <w:szCs w:val="28"/>
                <w:rtl/>
              </w:rPr>
              <w:t>15/06/14</w:t>
            </w:r>
          </w:p>
        </w:tc>
      </w:tr>
    </w:tbl>
    <w:p w14:paraId="4FE23123" w14:textId="77777777" w:rsidR="00E235DC" w:rsidRPr="00D52AD2" w:rsidRDefault="00D52AD2">
      <w:pPr>
        <w:pStyle w:val="a3"/>
        <w:rPr>
          <w:rtl/>
        </w:rPr>
      </w:pPr>
      <w:r w:rsidRPr="00D52AD2">
        <w:rPr>
          <w:rFonts w:hint="cs"/>
          <w:rtl/>
        </w:rPr>
        <w:t xml:space="preserve"> </w:t>
      </w:r>
    </w:p>
    <w:p w14:paraId="3383E1CF" w14:textId="77777777" w:rsidR="00E235DC" w:rsidRPr="00D52AD2" w:rsidRDefault="00E235D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E235DC" w:rsidRPr="00D52AD2" w14:paraId="5BE710D6" w14:textId="77777777">
        <w:trPr>
          <w:trHeight w:val="295"/>
          <w:jc w:val="center"/>
        </w:trPr>
        <w:tc>
          <w:tcPr>
            <w:tcW w:w="945" w:type="dxa"/>
            <w:tcBorders>
              <w:top w:val="nil"/>
              <w:left w:val="nil"/>
              <w:bottom w:val="nil"/>
              <w:right w:val="nil"/>
            </w:tcBorders>
          </w:tcPr>
          <w:p w14:paraId="657A90B9" w14:textId="77777777" w:rsidR="00E235DC" w:rsidRPr="00D52AD2" w:rsidRDefault="00D52AD2">
            <w:pPr>
              <w:jc w:val="both"/>
              <w:rPr>
                <w:rFonts w:ascii="Arial" w:hAnsi="Arial"/>
                <w:b/>
                <w:bCs/>
                <w:sz w:val="28"/>
                <w:szCs w:val="28"/>
              </w:rPr>
            </w:pPr>
            <w:r w:rsidRPr="00D52AD2">
              <w:rPr>
                <w:rFonts w:ascii="Arial" w:hAnsi="Arial" w:hint="cs"/>
                <w:b/>
                <w:bCs/>
                <w:sz w:val="28"/>
                <w:szCs w:val="28"/>
                <w:rtl/>
              </w:rPr>
              <w:t>ב</w:t>
            </w:r>
            <w:r w:rsidRPr="00D52AD2">
              <w:rPr>
                <w:rFonts w:ascii="Arial" w:hAnsi="Arial"/>
                <w:b/>
                <w:bCs/>
                <w:sz w:val="28"/>
                <w:szCs w:val="28"/>
                <w:rtl/>
              </w:rPr>
              <w:t xml:space="preserve">פני </w:t>
            </w:r>
          </w:p>
        </w:tc>
        <w:tc>
          <w:tcPr>
            <w:tcW w:w="7875" w:type="dxa"/>
            <w:gridSpan w:val="2"/>
            <w:tcBorders>
              <w:top w:val="nil"/>
              <w:left w:val="nil"/>
              <w:bottom w:val="nil"/>
              <w:right w:val="nil"/>
            </w:tcBorders>
          </w:tcPr>
          <w:p w14:paraId="2A0EF0D6" w14:textId="77777777" w:rsidR="00E235DC" w:rsidRPr="00D52AD2" w:rsidRDefault="00D52AD2">
            <w:pPr>
              <w:rPr>
                <w:rFonts w:ascii="Arial" w:hAnsi="Arial"/>
                <w:b/>
                <w:bCs/>
                <w:sz w:val="28"/>
                <w:szCs w:val="28"/>
                <w:rtl/>
              </w:rPr>
            </w:pPr>
            <w:r w:rsidRPr="00D52AD2">
              <w:rPr>
                <w:rFonts w:ascii="Arial" w:hAnsi="Arial" w:hint="cs"/>
                <w:b/>
                <w:bCs/>
                <w:sz w:val="28"/>
                <w:szCs w:val="28"/>
                <w:rtl/>
              </w:rPr>
              <w:t>כב' ה</w:t>
            </w:r>
            <w:r w:rsidRPr="00D52AD2">
              <w:rPr>
                <w:rFonts w:hint="cs"/>
                <w:b/>
                <w:bCs/>
                <w:sz w:val="28"/>
                <w:szCs w:val="28"/>
                <w:rtl/>
              </w:rPr>
              <w:t>שופט</w:t>
            </w:r>
            <w:r w:rsidRPr="00D52AD2">
              <w:rPr>
                <w:rFonts w:ascii="Arial" w:hAnsi="Arial" w:hint="cs"/>
                <w:b/>
                <w:bCs/>
                <w:sz w:val="28"/>
                <w:szCs w:val="28"/>
                <w:rtl/>
              </w:rPr>
              <w:t xml:space="preserve">  </w:t>
            </w:r>
            <w:r w:rsidRPr="00D52AD2">
              <w:rPr>
                <w:rFonts w:hint="cs"/>
                <w:b/>
                <w:bCs/>
                <w:sz w:val="28"/>
                <w:szCs w:val="28"/>
                <w:rtl/>
              </w:rPr>
              <w:t xml:space="preserve">זלוצ'ובר – אב"ד </w:t>
            </w:r>
          </w:p>
          <w:p w14:paraId="1A39FD3D" w14:textId="77777777" w:rsidR="00E235DC" w:rsidRPr="00D52AD2" w:rsidRDefault="00E235DC">
            <w:pPr>
              <w:rPr>
                <w:b/>
                <w:bCs/>
                <w:sz w:val="28"/>
                <w:szCs w:val="28"/>
                <w:rtl/>
              </w:rPr>
            </w:pPr>
          </w:p>
          <w:p w14:paraId="3DB4C92E" w14:textId="77777777" w:rsidR="00E235DC" w:rsidRPr="00D52AD2" w:rsidRDefault="00D52AD2">
            <w:pPr>
              <w:rPr>
                <w:rFonts w:ascii="Arial" w:hAnsi="Arial"/>
                <w:b/>
                <w:bCs/>
                <w:sz w:val="28"/>
                <w:szCs w:val="28"/>
                <w:rtl/>
              </w:rPr>
            </w:pPr>
            <w:r w:rsidRPr="00D52AD2">
              <w:rPr>
                <w:rFonts w:ascii="Arial" w:hAnsi="Arial" w:hint="cs"/>
                <w:b/>
                <w:bCs/>
                <w:sz w:val="28"/>
                <w:szCs w:val="28"/>
                <w:rtl/>
              </w:rPr>
              <w:t>כב' ה</w:t>
            </w:r>
            <w:r w:rsidRPr="00D52AD2">
              <w:rPr>
                <w:rFonts w:hint="cs"/>
                <w:b/>
                <w:bCs/>
                <w:sz w:val="28"/>
                <w:szCs w:val="28"/>
                <w:rtl/>
              </w:rPr>
              <w:t>שופטת</w:t>
            </w:r>
            <w:r w:rsidRPr="00D52AD2">
              <w:rPr>
                <w:rFonts w:ascii="Arial" w:hAnsi="Arial" w:hint="cs"/>
                <w:b/>
                <w:bCs/>
                <w:sz w:val="28"/>
                <w:szCs w:val="28"/>
                <w:rtl/>
              </w:rPr>
              <w:t xml:space="preserve">  </w:t>
            </w:r>
            <w:r w:rsidRPr="00D52AD2">
              <w:rPr>
                <w:rFonts w:hint="cs"/>
                <w:b/>
                <w:bCs/>
                <w:sz w:val="28"/>
                <w:szCs w:val="28"/>
                <w:rtl/>
              </w:rPr>
              <w:t>רז-לוי</w:t>
            </w:r>
          </w:p>
          <w:p w14:paraId="5B96B024" w14:textId="77777777" w:rsidR="00E235DC" w:rsidRPr="00D52AD2" w:rsidRDefault="00E235DC">
            <w:pPr>
              <w:rPr>
                <w:b/>
                <w:bCs/>
                <w:sz w:val="28"/>
                <w:szCs w:val="28"/>
                <w:rtl/>
              </w:rPr>
            </w:pPr>
          </w:p>
          <w:p w14:paraId="3EF04B64" w14:textId="77777777" w:rsidR="00E235DC" w:rsidRPr="00D52AD2" w:rsidRDefault="00D52AD2">
            <w:pPr>
              <w:rPr>
                <w:rFonts w:ascii="Arial" w:hAnsi="Arial"/>
                <w:b/>
                <w:bCs/>
                <w:sz w:val="28"/>
                <w:szCs w:val="28"/>
                <w:rtl/>
              </w:rPr>
            </w:pPr>
            <w:r w:rsidRPr="00D52AD2">
              <w:rPr>
                <w:rFonts w:ascii="Arial" w:hAnsi="Arial" w:hint="cs"/>
                <w:b/>
                <w:bCs/>
                <w:sz w:val="28"/>
                <w:szCs w:val="28"/>
                <w:rtl/>
              </w:rPr>
              <w:t>כב' ה</w:t>
            </w:r>
            <w:r w:rsidRPr="00D52AD2">
              <w:rPr>
                <w:rFonts w:hint="cs"/>
                <w:b/>
                <w:bCs/>
                <w:sz w:val="28"/>
                <w:szCs w:val="28"/>
                <w:rtl/>
              </w:rPr>
              <w:t>שופט</w:t>
            </w:r>
            <w:r w:rsidRPr="00D52AD2">
              <w:rPr>
                <w:rFonts w:ascii="Arial" w:hAnsi="Arial" w:hint="cs"/>
                <w:b/>
                <w:bCs/>
                <w:sz w:val="28"/>
                <w:szCs w:val="28"/>
                <w:rtl/>
              </w:rPr>
              <w:t xml:space="preserve">  </w:t>
            </w:r>
            <w:r w:rsidRPr="00D52AD2">
              <w:rPr>
                <w:rFonts w:hint="cs"/>
                <w:b/>
                <w:bCs/>
                <w:sz w:val="28"/>
                <w:szCs w:val="28"/>
                <w:rtl/>
              </w:rPr>
              <w:t>פרידלנדר</w:t>
            </w:r>
          </w:p>
          <w:p w14:paraId="23890DE7" w14:textId="77777777" w:rsidR="00E235DC" w:rsidRPr="00D52AD2" w:rsidRDefault="00E235DC">
            <w:pPr>
              <w:rPr>
                <w:b/>
                <w:bCs/>
                <w:rtl/>
              </w:rPr>
            </w:pPr>
          </w:p>
        </w:tc>
      </w:tr>
      <w:tr w:rsidR="00E235DC" w:rsidRPr="00D52AD2" w14:paraId="4E4AC7E3" w14:textId="77777777">
        <w:trPr>
          <w:trHeight w:val="355"/>
          <w:jc w:val="center"/>
        </w:trPr>
        <w:tc>
          <w:tcPr>
            <w:tcW w:w="945" w:type="dxa"/>
            <w:tcBorders>
              <w:top w:val="nil"/>
              <w:left w:val="nil"/>
              <w:bottom w:val="nil"/>
              <w:right w:val="nil"/>
            </w:tcBorders>
          </w:tcPr>
          <w:p w14:paraId="4A7DCB3E" w14:textId="77777777" w:rsidR="00E235DC" w:rsidRPr="00D52AD2" w:rsidRDefault="00D52AD2">
            <w:pPr>
              <w:jc w:val="both"/>
              <w:rPr>
                <w:rFonts w:ascii="Arial" w:hAnsi="Arial"/>
                <w:b/>
                <w:bCs/>
                <w:sz w:val="28"/>
                <w:szCs w:val="28"/>
              </w:rPr>
            </w:pPr>
            <w:bookmarkStart w:id="0" w:name="FirstAppellant"/>
            <w:bookmarkStart w:id="1" w:name="LastJudge"/>
            <w:bookmarkEnd w:id="1"/>
            <w:r w:rsidRPr="00D52AD2">
              <w:rPr>
                <w:rFonts w:ascii="Arial" w:hAnsi="Arial" w:hint="cs"/>
                <w:b/>
                <w:bCs/>
                <w:sz w:val="28"/>
                <w:szCs w:val="28"/>
                <w:rtl/>
              </w:rPr>
              <w:t>בעניין:</w:t>
            </w:r>
          </w:p>
        </w:tc>
        <w:tc>
          <w:tcPr>
            <w:tcW w:w="4114" w:type="dxa"/>
            <w:tcBorders>
              <w:top w:val="nil"/>
              <w:left w:val="nil"/>
              <w:bottom w:val="nil"/>
              <w:right w:val="nil"/>
            </w:tcBorders>
          </w:tcPr>
          <w:p w14:paraId="56EAD9C5" w14:textId="77777777" w:rsidR="00E235DC" w:rsidRPr="00D52AD2" w:rsidRDefault="00D52AD2">
            <w:pPr>
              <w:rPr>
                <w:b/>
                <w:bCs/>
              </w:rPr>
            </w:pPr>
            <w:r w:rsidRPr="00D52AD2">
              <w:rPr>
                <w:rFonts w:hint="cs"/>
                <w:b/>
                <w:bCs/>
                <w:rtl/>
              </w:rPr>
              <w:t>מדינת ישראל</w:t>
            </w:r>
          </w:p>
        </w:tc>
        <w:tc>
          <w:tcPr>
            <w:tcW w:w="3761" w:type="dxa"/>
            <w:tcBorders>
              <w:top w:val="nil"/>
              <w:left w:val="nil"/>
              <w:bottom w:val="nil"/>
              <w:right w:val="nil"/>
            </w:tcBorders>
          </w:tcPr>
          <w:p w14:paraId="0AB14904" w14:textId="77777777" w:rsidR="00E235DC" w:rsidRPr="00D52AD2" w:rsidRDefault="00E235DC">
            <w:pPr>
              <w:jc w:val="both"/>
              <w:rPr>
                <w:rFonts w:ascii="Arial" w:hAnsi="Arial"/>
                <w:b/>
                <w:bCs/>
                <w:sz w:val="28"/>
                <w:szCs w:val="28"/>
              </w:rPr>
            </w:pPr>
          </w:p>
        </w:tc>
      </w:tr>
      <w:bookmarkEnd w:id="0"/>
      <w:tr w:rsidR="00E235DC" w:rsidRPr="00D52AD2" w14:paraId="326FB88F" w14:textId="77777777">
        <w:trPr>
          <w:trHeight w:val="355"/>
          <w:jc w:val="center"/>
        </w:trPr>
        <w:tc>
          <w:tcPr>
            <w:tcW w:w="945" w:type="dxa"/>
            <w:tcBorders>
              <w:top w:val="nil"/>
              <w:left w:val="nil"/>
              <w:bottom w:val="nil"/>
              <w:right w:val="nil"/>
            </w:tcBorders>
          </w:tcPr>
          <w:p w14:paraId="25E33A77" w14:textId="77777777" w:rsidR="00E235DC" w:rsidRPr="00D52AD2" w:rsidRDefault="00E235DC">
            <w:pPr>
              <w:jc w:val="both"/>
              <w:rPr>
                <w:rFonts w:ascii="Arial" w:hAnsi="Arial"/>
                <w:b/>
                <w:bCs/>
                <w:sz w:val="28"/>
                <w:szCs w:val="28"/>
                <w:rtl/>
              </w:rPr>
            </w:pPr>
          </w:p>
        </w:tc>
        <w:tc>
          <w:tcPr>
            <w:tcW w:w="4114" w:type="dxa"/>
            <w:tcBorders>
              <w:top w:val="nil"/>
              <w:left w:val="nil"/>
              <w:bottom w:val="nil"/>
              <w:right w:val="nil"/>
            </w:tcBorders>
          </w:tcPr>
          <w:p w14:paraId="1946A965" w14:textId="77777777" w:rsidR="00E235DC" w:rsidRPr="00D52AD2" w:rsidRDefault="00E235DC">
            <w:pPr>
              <w:jc w:val="both"/>
              <w:rPr>
                <w:b/>
                <w:bCs/>
                <w:rtl/>
              </w:rPr>
            </w:pPr>
          </w:p>
        </w:tc>
        <w:tc>
          <w:tcPr>
            <w:tcW w:w="3761" w:type="dxa"/>
            <w:tcBorders>
              <w:top w:val="nil"/>
              <w:left w:val="nil"/>
              <w:bottom w:val="nil"/>
              <w:right w:val="nil"/>
            </w:tcBorders>
          </w:tcPr>
          <w:p w14:paraId="46DD4A14" w14:textId="77777777" w:rsidR="00E235DC" w:rsidRPr="00D52AD2" w:rsidRDefault="00D52AD2">
            <w:pPr>
              <w:jc w:val="right"/>
              <w:rPr>
                <w:rFonts w:ascii="Arial" w:hAnsi="Arial"/>
                <w:b/>
                <w:bCs/>
                <w:sz w:val="28"/>
                <w:szCs w:val="28"/>
                <w:rtl/>
              </w:rPr>
            </w:pPr>
            <w:r w:rsidRPr="00D52AD2">
              <w:rPr>
                <w:rFonts w:ascii="Arial" w:hAnsi="Arial" w:hint="cs"/>
                <w:b/>
                <w:bCs/>
                <w:sz w:val="28"/>
                <w:szCs w:val="28"/>
                <w:rtl/>
              </w:rPr>
              <w:t>ה</w:t>
            </w:r>
            <w:r w:rsidRPr="00D52AD2">
              <w:rPr>
                <w:rFonts w:hint="cs"/>
                <w:b/>
                <w:bCs/>
                <w:rtl/>
              </w:rPr>
              <w:t>מאשימה</w:t>
            </w:r>
          </w:p>
        </w:tc>
      </w:tr>
      <w:tr w:rsidR="00E235DC" w:rsidRPr="00D52AD2" w14:paraId="096B967B" w14:textId="77777777">
        <w:trPr>
          <w:trHeight w:val="355"/>
          <w:jc w:val="center"/>
        </w:trPr>
        <w:tc>
          <w:tcPr>
            <w:tcW w:w="945" w:type="dxa"/>
            <w:tcBorders>
              <w:top w:val="nil"/>
              <w:left w:val="nil"/>
              <w:bottom w:val="nil"/>
              <w:right w:val="nil"/>
            </w:tcBorders>
          </w:tcPr>
          <w:p w14:paraId="030810E2" w14:textId="77777777" w:rsidR="00E235DC" w:rsidRPr="00D52AD2" w:rsidRDefault="00E235DC">
            <w:pPr>
              <w:jc w:val="both"/>
              <w:rPr>
                <w:rFonts w:ascii="Arial" w:hAnsi="Arial"/>
                <w:b/>
                <w:bCs/>
                <w:sz w:val="28"/>
                <w:szCs w:val="28"/>
                <w:rtl/>
              </w:rPr>
            </w:pPr>
          </w:p>
        </w:tc>
        <w:tc>
          <w:tcPr>
            <w:tcW w:w="7875" w:type="dxa"/>
            <w:gridSpan w:val="2"/>
            <w:tcBorders>
              <w:top w:val="nil"/>
              <w:left w:val="nil"/>
              <w:bottom w:val="nil"/>
              <w:right w:val="nil"/>
            </w:tcBorders>
          </w:tcPr>
          <w:p w14:paraId="677C53CA" w14:textId="77777777" w:rsidR="00E235DC" w:rsidRPr="00D52AD2" w:rsidRDefault="00E235DC">
            <w:pPr>
              <w:jc w:val="center"/>
              <w:rPr>
                <w:rFonts w:ascii="Arial" w:hAnsi="Arial"/>
                <w:b/>
                <w:bCs/>
                <w:sz w:val="28"/>
                <w:szCs w:val="28"/>
                <w:rtl/>
              </w:rPr>
            </w:pPr>
          </w:p>
          <w:p w14:paraId="27A7543D" w14:textId="77777777" w:rsidR="00E235DC" w:rsidRPr="00D52AD2" w:rsidRDefault="00D52AD2">
            <w:pPr>
              <w:jc w:val="center"/>
              <w:rPr>
                <w:rFonts w:ascii="Arial" w:hAnsi="Arial"/>
                <w:b/>
                <w:bCs/>
                <w:sz w:val="28"/>
                <w:szCs w:val="28"/>
                <w:rtl/>
              </w:rPr>
            </w:pPr>
            <w:r w:rsidRPr="00D52AD2">
              <w:rPr>
                <w:rFonts w:ascii="Arial" w:hAnsi="Arial"/>
                <w:b/>
                <w:bCs/>
                <w:sz w:val="28"/>
                <w:szCs w:val="28"/>
                <w:rtl/>
              </w:rPr>
              <w:t>נגד</w:t>
            </w:r>
          </w:p>
          <w:p w14:paraId="59576932" w14:textId="77777777" w:rsidR="00E235DC" w:rsidRPr="00D52AD2" w:rsidRDefault="00E235DC">
            <w:pPr>
              <w:jc w:val="both"/>
              <w:rPr>
                <w:rFonts w:ascii="Arial" w:hAnsi="Arial"/>
                <w:b/>
                <w:bCs/>
                <w:sz w:val="28"/>
                <w:szCs w:val="28"/>
              </w:rPr>
            </w:pPr>
          </w:p>
        </w:tc>
      </w:tr>
      <w:tr w:rsidR="00E235DC" w:rsidRPr="00D52AD2" w14:paraId="16A1ACD9" w14:textId="77777777">
        <w:trPr>
          <w:trHeight w:val="355"/>
          <w:jc w:val="center"/>
        </w:trPr>
        <w:tc>
          <w:tcPr>
            <w:tcW w:w="945" w:type="dxa"/>
            <w:tcBorders>
              <w:top w:val="nil"/>
              <w:left w:val="nil"/>
              <w:bottom w:val="nil"/>
              <w:right w:val="nil"/>
            </w:tcBorders>
          </w:tcPr>
          <w:p w14:paraId="7F78B510" w14:textId="77777777" w:rsidR="00E235DC" w:rsidRPr="00D52AD2" w:rsidRDefault="00E235DC">
            <w:pPr>
              <w:rPr>
                <w:rFonts w:ascii="Arial" w:hAnsi="Arial"/>
                <w:b/>
                <w:bCs/>
                <w:sz w:val="28"/>
                <w:szCs w:val="28"/>
                <w:rtl/>
              </w:rPr>
            </w:pPr>
          </w:p>
        </w:tc>
        <w:tc>
          <w:tcPr>
            <w:tcW w:w="4114" w:type="dxa"/>
            <w:tcBorders>
              <w:top w:val="nil"/>
              <w:left w:val="nil"/>
              <w:bottom w:val="nil"/>
              <w:right w:val="nil"/>
            </w:tcBorders>
          </w:tcPr>
          <w:p w14:paraId="54C7127C" w14:textId="77777777" w:rsidR="00E235DC" w:rsidRPr="00D52AD2" w:rsidRDefault="00427C26">
            <w:pPr>
              <w:rPr>
                <w:b/>
                <w:bCs/>
                <w:rtl/>
              </w:rPr>
            </w:pPr>
            <w:r>
              <w:rPr>
                <w:rFonts w:hint="cs"/>
                <w:b/>
                <w:bCs/>
                <w:rtl/>
              </w:rPr>
              <w:t>פלוני</w:t>
            </w:r>
            <w:r w:rsidR="00D52AD2" w:rsidRPr="00D52AD2">
              <w:rPr>
                <w:rFonts w:hint="cs"/>
                <w:b/>
                <w:bCs/>
                <w:rtl/>
              </w:rPr>
              <w:t xml:space="preserve"> (עציר)</w:t>
            </w:r>
          </w:p>
        </w:tc>
        <w:tc>
          <w:tcPr>
            <w:tcW w:w="3761" w:type="dxa"/>
            <w:tcBorders>
              <w:top w:val="nil"/>
              <w:left w:val="nil"/>
              <w:bottom w:val="nil"/>
              <w:right w:val="nil"/>
            </w:tcBorders>
          </w:tcPr>
          <w:p w14:paraId="741CF9A2" w14:textId="77777777" w:rsidR="00E235DC" w:rsidRPr="00D52AD2" w:rsidRDefault="00E235DC">
            <w:pPr>
              <w:jc w:val="right"/>
              <w:rPr>
                <w:rFonts w:ascii="Arial" w:hAnsi="Arial"/>
                <w:b/>
                <w:bCs/>
                <w:sz w:val="28"/>
                <w:szCs w:val="28"/>
              </w:rPr>
            </w:pPr>
          </w:p>
        </w:tc>
      </w:tr>
      <w:tr w:rsidR="00E235DC" w:rsidRPr="00D52AD2" w14:paraId="443DB039" w14:textId="77777777">
        <w:trPr>
          <w:trHeight w:val="355"/>
          <w:jc w:val="center"/>
        </w:trPr>
        <w:tc>
          <w:tcPr>
            <w:tcW w:w="945" w:type="dxa"/>
            <w:tcBorders>
              <w:top w:val="nil"/>
              <w:left w:val="nil"/>
              <w:bottom w:val="nil"/>
              <w:right w:val="nil"/>
            </w:tcBorders>
          </w:tcPr>
          <w:p w14:paraId="5370B103" w14:textId="77777777" w:rsidR="00E235DC" w:rsidRPr="00D52AD2" w:rsidRDefault="00E235DC">
            <w:pPr>
              <w:jc w:val="both"/>
              <w:rPr>
                <w:rFonts w:ascii="Arial" w:hAnsi="Arial"/>
                <w:b/>
                <w:bCs/>
                <w:sz w:val="28"/>
                <w:szCs w:val="28"/>
                <w:rtl/>
              </w:rPr>
            </w:pPr>
          </w:p>
        </w:tc>
        <w:tc>
          <w:tcPr>
            <w:tcW w:w="4114" w:type="dxa"/>
            <w:tcBorders>
              <w:top w:val="nil"/>
              <w:left w:val="nil"/>
              <w:bottom w:val="nil"/>
              <w:right w:val="nil"/>
            </w:tcBorders>
          </w:tcPr>
          <w:p w14:paraId="25439210" w14:textId="77777777" w:rsidR="00E235DC" w:rsidRPr="00D52AD2" w:rsidRDefault="00E235DC">
            <w:pPr>
              <w:jc w:val="both"/>
              <w:rPr>
                <w:b/>
                <w:bCs/>
                <w:rtl/>
              </w:rPr>
            </w:pPr>
          </w:p>
        </w:tc>
        <w:tc>
          <w:tcPr>
            <w:tcW w:w="3761" w:type="dxa"/>
            <w:tcBorders>
              <w:top w:val="nil"/>
              <w:left w:val="nil"/>
              <w:bottom w:val="nil"/>
              <w:right w:val="nil"/>
            </w:tcBorders>
          </w:tcPr>
          <w:p w14:paraId="2C473EB7" w14:textId="77777777" w:rsidR="00E235DC" w:rsidRPr="00D52AD2" w:rsidRDefault="00D52AD2">
            <w:pPr>
              <w:jc w:val="right"/>
              <w:rPr>
                <w:rFonts w:ascii="Arial" w:hAnsi="Arial"/>
                <w:b/>
                <w:bCs/>
                <w:sz w:val="28"/>
                <w:szCs w:val="28"/>
              </w:rPr>
            </w:pPr>
            <w:r w:rsidRPr="00D52AD2">
              <w:rPr>
                <w:rFonts w:ascii="Arial" w:hAnsi="Arial" w:hint="cs"/>
                <w:b/>
                <w:bCs/>
                <w:sz w:val="28"/>
                <w:szCs w:val="28"/>
                <w:rtl/>
              </w:rPr>
              <w:t>ה</w:t>
            </w:r>
            <w:r w:rsidRPr="00D52AD2">
              <w:rPr>
                <w:rFonts w:hint="cs"/>
                <w:b/>
                <w:bCs/>
                <w:rtl/>
              </w:rPr>
              <w:t>נאשם</w:t>
            </w:r>
          </w:p>
        </w:tc>
      </w:tr>
    </w:tbl>
    <w:p w14:paraId="0D9E47F6" w14:textId="77777777" w:rsidR="00E235DC" w:rsidRPr="00D52AD2" w:rsidRDefault="00E235DC"/>
    <w:p w14:paraId="0C3B6643" w14:textId="77777777" w:rsidR="00E235DC" w:rsidRPr="00D52AD2" w:rsidRDefault="00D52AD2">
      <w:pPr>
        <w:spacing w:line="360" w:lineRule="auto"/>
        <w:rPr>
          <w:b/>
          <w:bCs/>
          <w:rtl/>
        </w:rPr>
      </w:pPr>
      <w:r w:rsidRPr="00D52AD2">
        <w:rPr>
          <w:b/>
          <w:bCs/>
          <w:rtl/>
        </w:rPr>
        <w:t>נוכחים:</w:t>
      </w:r>
    </w:p>
    <w:p w14:paraId="5DCECD2A" w14:textId="77777777" w:rsidR="00E235DC" w:rsidRPr="00D52AD2" w:rsidRDefault="00D52AD2">
      <w:pPr>
        <w:spacing w:line="360" w:lineRule="auto"/>
        <w:rPr>
          <w:b/>
          <w:bCs/>
          <w:rtl/>
        </w:rPr>
      </w:pPr>
      <w:bookmarkStart w:id="2" w:name="FirstLawyer"/>
      <w:r w:rsidRPr="00D52AD2">
        <w:rPr>
          <w:b/>
          <w:bCs/>
          <w:rtl/>
        </w:rPr>
        <w:t>ב"כ</w:t>
      </w:r>
      <w:bookmarkEnd w:id="2"/>
      <w:r w:rsidRPr="00D52AD2">
        <w:rPr>
          <w:b/>
          <w:bCs/>
          <w:rtl/>
        </w:rPr>
        <w:t xml:space="preserve"> המאשימה עו"ד ענבל ברסאנו </w:t>
      </w:r>
    </w:p>
    <w:p w14:paraId="61A1A045" w14:textId="77777777" w:rsidR="00E235DC" w:rsidRPr="00D52AD2" w:rsidRDefault="00D52AD2">
      <w:pPr>
        <w:spacing w:line="360" w:lineRule="auto"/>
        <w:rPr>
          <w:b/>
          <w:bCs/>
          <w:rtl/>
        </w:rPr>
      </w:pPr>
      <w:r w:rsidRPr="00D52AD2">
        <w:rPr>
          <w:b/>
          <w:bCs/>
          <w:rtl/>
        </w:rPr>
        <w:t xml:space="preserve">הנאשם וב"כ עו"ד ג'בארין </w:t>
      </w:r>
    </w:p>
    <w:p w14:paraId="108E5302" w14:textId="77777777" w:rsidR="00E235DC" w:rsidRPr="00D52AD2" w:rsidRDefault="00D52AD2">
      <w:pPr>
        <w:spacing w:line="360" w:lineRule="auto"/>
        <w:rPr>
          <w:b/>
          <w:bCs/>
          <w:rtl/>
        </w:rPr>
      </w:pPr>
      <w:r w:rsidRPr="00D52AD2">
        <w:rPr>
          <w:b/>
          <w:bCs/>
          <w:rtl/>
        </w:rPr>
        <w:t xml:space="preserve">מתורגמן בית המשפט מר ג'ק קהיל </w:t>
      </w:r>
    </w:p>
    <w:p w14:paraId="3F132255" w14:textId="77777777" w:rsidR="00CE0607" w:rsidRDefault="00CE0607">
      <w:pPr>
        <w:rPr>
          <w:rtl/>
        </w:rPr>
      </w:pPr>
      <w:bookmarkStart w:id="3" w:name="LawTable"/>
      <w:bookmarkEnd w:id="3"/>
    </w:p>
    <w:p w14:paraId="5C18EFF8" w14:textId="77777777" w:rsidR="00CE0607" w:rsidRPr="00CE0607" w:rsidRDefault="00CE0607" w:rsidP="00CE0607">
      <w:pPr>
        <w:spacing w:after="120" w:line="240" w:lineRule="exact"/>
        <w:ind w:left="283" w:hanging="283"/>
        <w:jc w:val="both"/>
        <w:rPr>
          <w:rFonts w:ascii="FrankRuehl" w:hAnsi="FrankRuehl" w:cs="FrankRuehl"/>
          <w:rtl/>
        </w:rPr>
      </w:pPr>
    </w:p>
    <w:p w14:paraId="43BAD5CF" w14:textId="77777777" w:rsidR="00CE0607" w:rsidRPr="00CE0607" w:rsidRDefault="00CE0607" w:rsidP="00CE0607">
      <w:pPr>
        <w:spacing w:after="120" w:line="240" w:lineRule="exact"/>
        <w:ind w:left="283" w:hanging="283"/>
        <w:jc w:val="both"/>
        <w:rPr>
          <w:rFonts w:ascii="FrankRuehl" w:hAnsi="FrankRuehl" w:cs="FrankRuehl"/>
          <w:rtl/>
        </w:rPr>
      </w:pPr>
      <w:r w:rsidRPr="00CE0607">
        <w:rPr>
          <w:rFonts w:ascii="FrankRuehl" w:hAnsi="FrankRuehl" w:cs="FrankRuehl"/>
          <w:rtl/>
        </w:rPr>
        <w:t xml:space="preserve">חקיקה שאוזכרה: </w:t>
      </w:r>
    </w:p>
    <w:p w14:paraId="71A9426F" w14:textId="77777777" w:rsidR="00CE0607" w:rsidRPr="00CE0607" w:rsidRDefault="00CE0607" w:rsidP="00CE0607">
      <w:pPr>
        <w:spacing w:after="120" w:line="240" w:lineRule="exact"/>
        <w:ind w:left="283" w:hanging="283"/>
        <w:jc w:val="both"/>
        <w:rPr>
          <w:rFonts w:ascii="FrankRuehl" w:hAnsi="FrankRuehl" w:cs="FrankRuehl"/>
          <w:rtl/>
        </w:rPr>
      </w:pPr>
      <w:hyperlink r:id="rId7" w:history="1">
        <w:r w:rsidRPr="00CE0607">
          <w:rPr>
            <w:rFonts w:ascii="FrankRuehl" w:hAnsi="FrankRuehl" w:cs="FrankRuehl"/>
            <w:color w:val="0000FF"/>
            <w:u w:val="single"/>
            <w:rtl/>
          </w:rPr>
          <w:t>חוק העונשין, תשל"ז-1977</w:t>
        </w:r>
      </w:hyperlink>
      <w:r w:rsidRPr="00CE0607">
        <w:rPr>
          <w:rFonts w:ascii="FrankRuehl" w:hAnsi="FrankRuehl" w:cs="FrankRuehl"/>
          <w:rtl/>
        </w:rPr>
        <w:t xml:space="preserve">: סע'  </w:t>
      </w:r>
      <w:hyperlink r:id="rId8" w:history="1">
        <w:r w:rsidRPr="00CE0607">
          <w:rPr>
            <w:rFonts w:ascii="FrankRuehl" w:hAnsi="FrankRuehl" w:cs="FrankRuehl"/>
            <w:color w:val="0000FF"/>
            <w:u w:val="single"/>
            <w:rtl/>
          </w:rPr>
          <w:t>40ב</w:t>
        </w:r>
      </w:hyperlink>
      <w:r w:rsidRPr="00CE0607">
        <w:rPr>
          <w:rFonts w:ascii="FrankRuehl" w:hAnsi="FrankRuehl" w:cs="FrankRuehl"/>
          <w:rtl/>
        </w:rPr>
        <w:t xml:space="preserve">, </w:t>
      </w:r>
      <w:hyperlink r:id="rId9" w:history="1">
        <w:r w:rsidRPr="00CE0607">
          <w:rPr>
            <w:rFonts w:ascii="FrankRuehl" w:hAnsi="FrankRuehl" w:cs="FrankRuehl"/>
            <w:color w:val="0000FF"/>
            <w:u w:val="single"/>
            <w:rtl/>
          </w:rPr>
          <w:t>40ג(א)].</w:t>
        </w:r>
      </w:hyperlink>
      <w:r w:rsidRPr="00CE0607">
        <w:rPr>
          <w:rFonts w:ascii="FrankRuehl" w:hAnsi="FrankRuehl" w:cs="FrankRuehl"/>
          <w:rtl/>
        </w:rPr>
        <w:t xml:space="preserve">, </w:t>
      </w:r>
      <w:hyperlink r:id="rId10" w:history="1">
        <w:r w:rsidRPr="00CE0607">
          <w:rPr>
            <w:rFonts w:ascii="FrankRuehl" w:hAnsi="FrankRuehl" w:cs="FrankRuehl"/>
            <w:color w:val="0000FF"/>
            <w:u w:val="single"/>
            <w:rtl/>
          </w:rPr>
          <w:t>40ד].</w:t>
        </w:r>
      </w:hyperlink>
      <w:r w:rsidRPr="00CE0607">
        <w:rPr>
          <w:rFonts w:ascii="FrankRuehl" w:hAnsi="FrankRuehl" w:cs="FrankRuehl"/>
          <w:rtl/>
        </w:rPr>
        <w:t xml:space="preserve">, </w:t>
      </w:r>
      <w:hyperlink r:id="rId11" w:history="1">
        <w:r w:rsidRPr="00CE0607">
          <w:rPr>
            <w:rFonts w:ascii="FrankRuehl" w:hAnsi="FrankRuehl" w:cs="FrankRuehl"/>
            <w:color w:val="0000FF"/>
            <w:u w:val="single"/>
            <w:rtl/>
          </w:rPr>
          <w:t>40ה]</w:t>
        </w:r>
      </w:hyperlink>
      <w:r w:rsidRPr="00CE0607">
        <w:rPr>
          <w:rFonts w:ascii="FrankRuehl" w:hAnsi="FrankRuehl" w:cs="FrankRuehl"/>
          <w:rtl/>
        </w:rPr>
        <w:t xml:space="preserve">, </w:t>
      </w:r>
      <w:hyperlink r:id="rId12" w:history="1">
        <w:r w:rsidRPr="00CE0607">
          <w:rPr>
            <w:rFonts w:ascii="FrankRuehl" w:hAnsi="FrankRuehl" w:cs="FrankRuehl"/>
            <w:color w:val="0000FF"/>
            <w:u w:val="single"/>
            <w:rtl/>
          </w:rPr>
          <w:t>40ו</w:t>
        </w:r>
      </w:hyperlink>
      <w:r w:rsidRPr="00CE0607">
        <w:rPr>
          <w:rFonts w:ascii="FrankRuehl" w:hAnsi="FrankRuehl" w:cs="FrankRuehl"/>
          <w:rtl/>
        </w:rPr>
        <w:t xml:space="preserve">, </w:t>
      </w:r>
      <w:hyperlink r:id="rId13" w:history="1">
        <w:r w:rsidRPr="00CE0607">
          <w:rPr>
            <w:rFonts w:ascii="FrankRuehl" w:hAnsi="FrankRuehl" w:cs="FrankRuehl"/>
            <w:color w:val="0000FF"/>
            <w:u w:val="single"/>
            <w:rtl/>
          </w:rPr>
          <w:t>40ז</w:t>
        </w:r>
      </w:hyperlink>
      <w:r w:rsidRPr="00CE0607">
        <w:rPr>
          <w:rFonts w:ascii="FrankRuehl" w:hAnsi="FrankRuehl" w:cs="FrankRuehl"/>
          <w:rtl/>
        </w:rPr>
        <w:t xml:space="preserve">, </w:t>
      </w:r>
      <w:hyperlink r:id="rId14" w:history="1">
        <w:r w:rsidRPr="00CE0607">
          <w:rPr>
            <w:rFonts w:ascii="FrankRuehl" w:hAnsi="FrankRuehl" w:cs="FrankRuehl"/>
            <w:color w:val="0000FF"/>
            <w:u w:val="single"/>
            <w:rtl/>
          </w:rPr>
          <w:t>40ט].</w:t>
        </w:r>
      </w:hyperlink>
      <w:r w:rsidRPr="00CE0607">
        <w:rPr>
          <w:rFonts w:ascii="FrankRuehl" w:hAnsi="FrankRuehl" w:cs="FrankRuehl"/>
          <w:rtl/>
        </w:rPr>
        <w:t xml:space="preserve">, </w:t>
      </w:r>
      <w:hyperlink r:id="rId15" w:history="1">
        <w:r w:rsidRPr="00CE0607">
          <w:rPr>
            <w:rFonts w:ascii="FrankRuehl" w:hAnsi="FrankRuehl" w:cs="FrankRuehl"/>
            <w:color w:val="0000FF"/>
            <w:u w:val="single"/>
            <w:rtl/>
          </w:rPr>
          <w:t>144(ב)</w:t>
        </w:r>
      </w:hyperlink>
      <w:r w:rsidRPr="00CE0607">
        <w:rPr>
          <w:rFonts w:ascii="FrankRuehl" w:hAnsi="FrankRuehl" w:cs="FrankRuehl"/>
          <w:rtl/>
        </w:rPr>
        <w:t xml:space="preserve">, </w:t>
      </w:r>
      <w:hyperlink r:id="rId16" w:history="1">
        <w:r w:rsidRPr="00CE0607">
          <w:rPr>
            <w:rFonts w:ascii="FrankRuehl" w:hAnsi="FrankRuehl" w:cs="FrankRuehl"/>
            <w:color w:val="0000FF"/>
            <w:u w:val="single"/>
            <w:rtl/>
          </w:rPr>
          <w:t>40יא].</w:t>
        </w:r>
      </w:hyperlink>
      <w:r w:rsidRPr="00CE0607">
        <w:rPr>
          <w:rFonts w:ascii="FrankRuehl" w:hAnsi="FrankRuehl" w:cs="FrankRuehl"/>
          <w:rtl/>
        </w:rPr>
        <w:t xml:space="preserve">, </w:t>
      </w:r>
      <w:hyperlink r:id="rId17" w:history="1">
        <w:r w:rsidRPr="00CE0607">
          <w:rPr>
            <w:rFonts w:ascii="FrankRuehl" w:hAnsi="FrankRuehl" w:cs="FrankRuehl"/>
            <w:color w:val="0000FF"/>
            <w:u w:val="single"/>
            <w:rtl/>
          </w:rPr>
          <w:t>40יג].</w:t>
        </w:r>
      </w:hyperlink>
      <w:r w:rsidRPr="00CE0607">
        <w:rPr>
          <w:rFonts w:ascii="FrankRuehl" w:hAnsi="FrankRuehl" w:cs="FrankRuehl"/>
          <w:rtl/>
        </w:rPr>
        <w:t xml:space="preserve">, </w:t>
      </w:r>
      <w:hyperlink r:id="rId18" w:history="1">
        <w:r w:rsidRPr="00CE0607">
          <w:rPr>
            <w:rFonts w:ascii="FrankRuehl" w:hAnsi="FrankRuehl" w:cs="FrankRuehl"/>
            <w:color w:val="0000FF"/>
            <w:u w:val="single"/>
            <w:rtl/>
          </w:rPr>
          <w:t>499(א)(1)</w:t>
        </w:r>
      </w:hyperlink>
    </w:p>
    <w:p w14:paraId="05668D2C" w14:textId="77777777" w:rsidR="00CE0607" w:rsidRPr="00CE0607" w:rsidRDefault="00CE0607" w:rsidP="00CE0607">
      <w:pPr>
        <w:spacing w:after="120" w:line="240" w:lineRule="exact"/>
        <w:ind w:left="283" w:hanging="283"/>
        <w:jc w:val="both"/>
        <w:rPr>
          <w:rFonts w:ascii="FrankRuehl" w:hAnsi="FrankRuehl" w:cs="FrankRuehl"/>
          <w:rtl/>
        </w:rPr>
      </w:pPr>
      <w:hyperlink r:id="rId19" w:history="1">
        <w:r w:rsidRPr="00CE0607">
          <w:rPr>
            <w:rFonts w:ascii="FrankRuehl" w:hAnsi="FrankRuehl" w:cs="FrankRuehl"/>
            <w:color w:val="0000FF"/>
            <w:u w:val="single"/>
            <w:rtl/>
          </w:rPr>
          <w:t>פקודת מניעת טרור</w:t>
        </w:r>
      </w:hyperlink>
      <w:r w:rsidRPr="00CE0607">
        <w:rPr>
          <w:rFonts w:ascii="FrankRuehl" w:hAnsi="FrankRuehl" w:cs="FrankRuehl"/>
          <w:rtl/>
        </w:rPr>
        <w:t xml:space="preserve">: סע'  </w:t>
      </w:r>
      <w:hyperlink r:id="rId20" w:history="1">
        <w:r w:rsidRPr="00CE0607">
          <w:rPr>
            <w:rFonts w:ascii="FrankRuehl" w:hAnsi="FrankRuehl" w:cs="FrankRuehl"/>
            <w:color w:val="0000FF"/>
            <w:u w:val="single"/>
            <w:rtl/>
          </w:rPr>
          <w:t>3</w:t>
        </w:r>
      </w:hyperlink>
    </w:p>
    <w:p w14:paraId="4A427360" w14:textId="77777777" w:rsidR="00CE0607" w:rsidRPr="00CE0607" w:rsidRDefault="00CE0607" w:rsidP="00CE0607">
      <w:pPr>
        <w:spacing w:after="120" w:line="240" w:lineRule="exact"/>
        <w:ind w:left="283" w:hanging="283"/>
        <w:jc w:val="both"/>
        <w:rPr>
          <w:rFonts w:ascii="FrankRuehl" w:hAnsi="FrankRuehl" w:cs="FrankRuehl"/>
          <w:rtl/>
        </w:rPr>
      </w:pPr>
      <w:hyperlink r:id="rId21" w:history="1">
        <w:r w:rsidRPr="00CE0607">
          <w:rPr>
            <w:rFonts w:ascii="FrankRuehl" w:hAnsi="FrankRuehl" w:cs="FrankRuehl"/>
            <w:color w:val="0000FF"/>
            <w:u w:val="single"/>
            <w:rtl/>
          </w:rPr>
          <w:t>חוק איסור מימון טרור, תשס"ה-2005</w:t>
        </w:r>
      </w:hyperlink>
      <w:r w:rsidRPr="00CE0607">
        <w:rPr>
          <w:rFonts w:ascii="FrankRuehl" w:hAnsi="FrankRuehl" w:cs="FrankRuehl"/>
          <w:rtl/>
        </w:rPr>
        <w:t xml:space="preserve">: סע'  </w:t>
      </w:r>
      <w:hyperlink r:id="rId22" w:history="1">
        <w:r w:rsidRPr="00CE0607">
          <w:rPr>
            <w:rFonts w:ascii="FrankRuehl" w:hAnsi="FrankRuehl" w:cs="FrankRuehl"/>
            <w:color w:val="0000FF"/>
            <w:u w:val="single"/>
            <w:rtl/>
          </w:rPr>
          <w:t>8</w:t>
        </w:r>
      </w:hyperlink>
    </w:p>
    <w:p w14:paraId="72511206" w14:textId="77777777" w:rsidR="00CE0607" w:rsidRPr="00CE0607" w:rsidRDefault="00CE0607" w:rsidP="00CE0607">
      <w:pPr>
        <w:spacing w:after="120" w:line="240" w:lineRule="exact"/>
        <w:ind w:left="283" w:hanging="283"/>
        <w:jc w:val="both"/>
        <w:rPr>
          <w:rFonts w:ascii="FrankRuehl" w:hAnsi="FrankRuehl" w:cs="FrankRuehl"/>
          <w:rtl/>
        </w:rPr>
      </w:pPr>
    </w:p>
    <w:p w14:paraId="2B2D5C74" w14:textId="77777777" w:rsidR="00E235DC" w:rsidRPr="00CE0607" w:rsidRDefault="00E235DC">
      <w:pPr>
        <w:rPr>
          <w:rtl/>
        </w:rPr>
      </w:pPr>
      <w:bookmarkStart w:id="4" w:name="LawTable_End"/>
      <w:bookmarkEnd w:id="4"/>
    </w:p>
    <w:p w14:paraId="064093C1" w14:textId="77777777" w:rsidR="00D52AD2" w:rsidRPr="00D52AD2" w:rsidRDefault="00D52AD2" w:rsidP="00D52AD2">
      <w:pPr>
        <w:tabs>
          <w:tab w:val="left" w:pos="397"/>
          <w:tab w:val="left" w:pos="794"/>
          <w:tab w:val="left" w:pos="1191"/>
          <w:tab w:val="left" w:pos="1588"/>
          <w:tab w:val="left" w:pos="1985"/>
        </w:tabs>
        <w:spacing w:after="240" w:line="360" w:lineRule="auto"/>
        <w:jc w:val="center"/>
        <w:rPr>
          <w:b/>
          <w:bCs/>
          <w:sz w:val="32"/>
          <w:szCs w:val="32"/>
          <w:u w:val="single"/>
          <w:rtl/>
        </w:rPr>
      </w:pPr>
      <w:bookmarkStart w:id="5" w:name="סוג_מסמך"/>
      <w:bookmarkStart w:id="6" w:name="PsakDin"/>
      <w:bookmarkEnd w:id="5"/>
      <w:r w:rsidRPr="00D52AD2">
        <w:rPr>
          <w:b/>
          <w:bCs/>
          <w:sz w:val="32"/>
          <w:szCs w:val="32"/>
          <w:u w:val="single"/>
          <w:rtl/>
        </w:rPr>
        <w:t>גזר דין</w:t>
      </w:r>
    </w:p>
    <w:bookmarkEnd w:id="6"/>
    <w:p w14:paraId="7670FCC5" w14:textId="77777777" w:rsidR="00E235DC" w:rsidRDefault="00D52AD2">
      <w:pPr>
        <w:tabs>
          <w:tab w:val="left" w:pos="397"/>
          <w:tab w:val="left" w:pos="794"/>
          <w:tab w:val="left" w:pos="1191"/>
          <w:tab w:val="left" w:pos="1588"/>
          <w:tab w:val="left" w:pos="1985"/>
        </w:tabs>
        <w:spacing w:after="240" w:line="360" w:lineRule="auto"/>
        <w:jc w:val="both"/>
        <w:rPr>
          <w:b/>
          <w:bCs/>
          <w:sz w:val="26"/>
          <w:szCs w:val="26"/>
          <w:u w:val="single"/>
          <w:rtl/>
        </w:rPr>
      </w:pPr>
      <w:r>
        <w:rPr>
          <w:b/>
          <w:bCs/>
          <w:sz w:val="26"/>
          <w:szCs w:val="26"/>
          <w:u w:val="single"/>
          <w:rtl/>
        </w:rPr>
        <w:t>השופט ש' פרידלנדר:</w:t>
      </w:r>
    </w:p>
    <w:p w14:paraId="679E1178" w14:textId="77777777" w:rsidR="00E235DC" w:rsidRDefault="00D52AD2">
      <w:pPr>
        <w:tabs>
          <w:tab w:val="left" w:pos="397"/>
          <w:tab w:val="left" w:pos="794"/>
          <w:tab w:val="left" w:pos="1191"/>
          <w:tab w:val="left" w:pos="1588"/>
          <w:tab w:val="left" w:pos="1985"/>
        </w:tabs>
        <w:spacing w:after="240" w:line="360" w:lineRule="auto"/>
        <w:jc w:val="both"/>
        <w:rPr>
          <w:b/>
          <w:bCs/>
          <w:sz w:val="26"/>
          <w:szCs w:val="26"/>
          <w:u w:val="single"/>
        </w:rPr>
      </w:pPr>
      <w:r>
        <w:rPr>
          <w:b/>
          <w:bCs/>
          <w:sz w:val="26"/>
          <w:szCs w:val="26"/>
          <w:u w:val="single"/>
          <w:rtl/>
        </w:rPr>
        <w:t>מבוא</w:t>
      </w:r>
    </w:p>
    <w:p w14:paraId="361104D5"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bookmarkStart w:id="7" w:name="ABSTRACT_START"/>
      <w:bookmarkEnd w:id="7"/>
      <w:r>
        <w:rPr>
          <w:rtl/>
        </w:rPr>
        <w:lastRenderedPageBreak/>
        <w:t>הנאשם, יליד שנת 1968, תושב רצועת-עזה, הורשע ביום 14.5.2014, בהסדר טיעון, בגין מעשים שביצע במסגרת חברותו בארגוני טרור. בכתב האישום המתוקן, שבו הודה הנאשם ולפיו הורשע על-פי הודאתו, מפורטים 2 אישומים בנוגע למעשיו בשנת 2003 ובשנת 2012.</w:t>
      </w:r>
    </w:p>
    <w:p w14:paraId="45F329DC"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bookmarkStart w:id="8" w:name="ABSTRACT_END"/>
      <w:bookmarkEnd w:id="8"/>
      <w:r>
        <w:rPr>
          <w:rtl/>
        </w:rPr>
        <w:t>האישום הראשון מתאר כי, במסגרת חברותו בארגון-הטרור "פת"ח", קשר הנאשם קשר עם פעילים נוספים בארגון לירות על טנקים של צה"ל אשר שהו ברצועה. ביום 6.3.2003 ירה הנאשם 30 כדורי קלצ'ניקוב לעבר טנקים אלה. לימים, עוד לפני עליית שלטון החמאס ברצועת-עזה, הפסיק הנאשם את פעילותו בארגון זה.</w:t>
      </w:r>
    </w:p>
    <w:p w14:paraId="1C99A588"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 xml:space="preserve">בשל המעשים הגלומים באישום הראשון הורשע הנאשם בעבירה של </w:t>
      </w:r>
      <w:r>
        <w:rPr>
          <w:b/>
          <w:bCs/>
          <w:rtl/>
        </w:rPr>
        <w:t>קשירת קשר לביצוע פשע</w:t>
      </w:r>
      <w:r>
        <w:rPr>
          <w:rtl/>
        </w:rPr>
        <w:t xml:space="preserve"> [</w:t>
      </w:r>
      <w:hyperlink r:id="rId23" w:history="1">
        <w:r w:rsidR="004037CC" w:rsidRPr="004037CC">
          <w:rPr>
            <w:color w:val="0000FF"/>
            <w:u w:val="single"/>
            <w:rtl/>
          </w:rPr>
          <w:t>סעיף 499(א)(1)</w:t>
        </w:r>
      </w:hyperlink>
      <w:r>
        <w:rPr>
          <w:rtl/>
        </w:rPr>
        <w:t xml:space="preserve"> ב</w:t>
      </w:r>
      <w:hyperlink r:id="rId24" w:history="1">
        <w:r w:rsidRPr="00D52AD2">
          <w:rPr>
            <w:b/>
            <w:bCs/>
            <w:color w:val="0000FF"/>
            <w:u w:val="single"/>
            <w:rtl/>
          </w:rPr>
          <w:t>חוק העונשין</w:t>
        </w:r>
      </w:hyperlink>
      <w:r>
        <w:rPr>
          <w:b/>
          <w:bCs/>
          <w:rtl/>
        </w:rPr>
        <w:t>, התשל"ז-1977</w:t>
      </w:r>
      <w:r>
        <w:rPr>
          <w:rtl/>
        </w:rPr>
        <w:t xml:space="preserve"> (להלן: "</w:t>
      </w:r>
      <w:r>
        <w:rPr>
          <w:b/>
          <w:bCs/>
          <w:rtl/>
        </w:rPr>
        <w:t>חוק העונשין</w:t>
      </w:r>
      <w:r>
        <w:rPr>
          <w:rtl/>
        </w:rPr>
        <w:t xml:space="preserve">")], שדינה מאסר עד 7 שנים או העונש הקבוע לאותו פשע, הקל מביניהם; בעבירה של </w:t>
      </w:r>
      <w:r>
        <w:rPr>
          <w:b/>
          <w:bCs/>
          <w:rtl/>
        </w:rPr>
        <w:t>נשיאת נשק</w:t>
      </w:r>
      <w:r>
        <w:rPr>
          <w:rtl/>
        </w:rPr>
        <w:t xml:space="preserve"> [</w:t>
      </w:r>
      <w:hyperlink r:id="rId25" w:history="1">
        <w:r w:rsidR="004037CC" w:rsidRPr="004037CC">
          <w:rPr>
            <w:color w:val="0000FF"/>
            <w:u w:val="single"/>
            <w:rtl/>
          </w:rPr>
          <w:t>סעיף 144(ב)</w:t>
        </w:r>
      </w:hyperlink>
      <w:r>
        <w:rPr>
          <w:rtl/>
        </w:rPr>
        <w:t xml:space="preserve"> ב</w:t>
      </w:r>
      <w:r>
        <w:rPr>
          <w:b/>
          <w:bCs/>
          <w:rtl/>
        </w:rPr>
        <w:t>חוק העונשין</w:t>
      </w:r>
      <w:r>
        <w:rPr>
          <w:rtl/>
        </w:rPr>
        <w:t xml:space="preserve">], שדינה מאסר עד 10 שנים ובעבירה של </w:t>
      </w:r>
      <w:r>
        <w:rPr>
          <w:b/>
          <w:bCs/>
          <w:rtl/>
        </w:rPr>
        <w:t>חברות בארגון טרוריסטי</w:t>
      </w:r>
      <w:r>
        <w:rPr>
          <w:rtl/>
        </w:rPr>
        <w:t xml:space="preserve"> [</w:t>
      </w:r>
      <w:hyperlink r:id="rId26" w:history="1">
        <w:r w:rsidR="004037CC" w:rsidRPr="004037CC">
          <w:rPr>
            <w:color w:val="0000FF"/>
            <w:u w:val="single"/>
            <w:rtl/>
          </w:rPr>
          <w:t>סעיף 3</w:t>
        </w:r>
      </w:hyperlink>
      <w:r>
        <w:rPr>
          <w:rtl/>
        </w:rPr>
        <w:t xml:space="preserve"> ב</w:t>
      </w:r>
      <w:hyperlink r:id="rId27" w:history="1">
        <w:r w:rsidRPr="00D52AD2">
          <w:rPr>
            <w:b/>
            <w:bCs/>
            <w:color w:val="0000FF"/>
            <w:u w:val="single"/>
            <w:rtl/>
          </w:rPr>
          <w:t>פקודת מניעת טרור</w:t>
        </w:r>
      </w:hyperlink>
      <w:r>
        <w:rPr>
          <w:b/>
          <w:bCs/>
          <w:rtl/>
        </w:rPr>
        <w:t>, התש"ח-1948</w:t>
      </w:r>
      <w:r>
        <w:rPr>
          <w:rtl/>
        </w:rPr>
        <w:t xml:space="preserve"> (להלן: "</w:t>
      </w:r>
      <w:r>
        <w:rPr>
          <w:b/>
          <w:bCs/>
          <w:rtl/>
        </w:rPr>
        <w:t>פקודת מניעת טרור</w:t>
      </w:r>
      <w:r>
        <w:rPr>
          <w:rtl/>
        </w:rPr>
        <w:t>")], שדינה מאסר עד 5 שנים.</w:t>
      </w:r>
    </w:p>
    <w:p w14:paraId="4D700642" w14:textId="77777777" w:rsidR="00E235DC" w:rsidRDefault="00D52AD2">
      <w:pPr>
        <w:keepLines/>
        <w:numPr>
          <w:ilvl w:val="0"/>
          <w:numId w:val="1"/>
        </w:numPr>
        <w:tabs>
          <w:tab w:val="left" w:pos="397"/>
          <w:tab w:val="left" w:pos="794"/>
          <w:tab w:val="left" w:pos="1191"/>
          <w:tab w:val="left" w:pos="1588"/>
          <w:tab w:val="left" w:pos="1985"/>
        </w:tabs>
        <w:spacing w:after="240" w:line="360" w:lineRule="auto"/>
        <w:ind w:left="0" w:firstLine="0"/>
        <w:jc w:val="both"/>
      </w:pPr>
      <w:r>
        <w:rPr>
          <w:rtl/>
        </w:rPr>
        <w:t>האישום השני מפרט כי בחודש יולי 2012, הצטרף הנאשם לארגון-הטרור "גדודי אלחוסייני", כאחראי על הועדה החברתית באזור צפון עזה. במסגרת תפקידו זה, סייע הנאשם למשפחות החללים של הארגון בחלוקת קופונים ומזון ובהוצאת דרכונים, ואף גייס אדם נוסף לשורות הארגון.</w:t>
      </w:r>
    </w:p>
    <w:p w14:paraId="5DACE020"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 xml:space="preserve">בשל המעשים הגלומים באישום השני הורשע הנאשם בעבירה של </w:t>
      </w:r>
      <w:r>
        <w:rPr>
          <w:b/>
          <w:bCs/>
          <w:rtl/>
        </w:rPr>
        <w:t>חברות בארגון טרוריסטי</w:t>
      </w:r>
      <w:r>
        <w:rPr>
          <w:rtl/>
        </w:rPr>
        <w:t xml:space="preserve"> [</w:t>
      </w:r>
      <w:hyperlink r:id="rId28" w:history="1">
        <w:r w:rsidR="004037CC" w:rsidRPr="004037CC">
          <w:rPr>
            <w:color w:val="0000FF"/>
            <w:u w:val="single"/>
            <w:rtl/>
          </w:rPr>
          <w:t>סעיף 3</w:t>
        </w:r>
      </w:hyperlink>
      <w:r>
        <w:rPr>
          <w:rtl/>
        </w:rPr>
        <w:t xml:space="preserve"> ב</w:t>
      </w:r>
      <w:hyperlink r:id="rId29" w:history="1">
        <w:r w:rsidRPr="00D52AD2">
          <w:rPr>
            <w:b/>
            <w:bCs/>
            <w:color w:val="0000FF"/>
            <w:u w:val="single"/>
            <w:rtl/>
          </w:rPr>
          <w:t>פקודת מניעת טרור</w:t>
        </w:r>
      </w:hyperlink>
      <w:r>
        <w:rPr>
          <w:rtl/>
        </w:rPr>
        <w:t>], שדינה מאסר עד 5 שנים</w:t>
      </w:r>
      <w:r>
        <w:rPr>
          <w:b/>
          <w:bCs/>
          <w:rtl/>
        </w:rPr>
        <w:t xml:space="preserve"> </w:t>
      </w:r>
      <w:r>
        <w:rPr>
          <w:rtl/>
        </w:rPr>
        <w:t xml:space="preserve">ובעבירה של </w:t>
      </w:r>
      <w:r>
        <w:rPr>
          <w:b/>
          <w:bCs/>
          <w:rtl/>
        </w:rPr>
        <w:t>איסור פעולה ברשות למטרות טרור</w:t>
      </w:r>
      <w:r>
        <w:rPr>
          <w:rtl/>
        </w:rPr>
        <w:t xml:space="preserve"> [</w:t>
      </w:r>
      <w:hyperlink r:id="rId30" w:history="1">
        <w:r w:rsidR="004037CC" w:rsidRPr="004037CC">
          <w:rPr>
            <w:color w:val="0000FF"/>
            <w:u w:val="single"/>
            <w:rtl/>
          </w:rPr>
          <w:t>סעיף 8</w:t>
        </w:r>
      </w:hyperlink>
      <w:r>
        <w:rPr>
          <w:rtl/>
        </w:rPr>
        <w:t xml:space="preserve"> ב</w:t>
      </w:r>
      <w:hyperlink r:id="rId31" w:history="1">
        <w:r w:rsidRPr="00D52AD2">
          <w:rPr>
            <w:b/>
            <w:bCs/>
            <w:color w:val="0000FF"/>
            <w:u w:val="single"/>
            <w:rtl/>
          </w:rPr>
          <w:t>חוק איסור מימון טרור</w:t>
        </w:r>
      </w:hyperlink>
      <w:r>
        <w:rPr>
          <w:b/>
          <w:bCs/>
          <w:rtl/>
        </w:rPr>
        <w:t>, התשס"ה-2005</w:t>
      </w:r>
      <w:r>
        <w:rPr>
          <w:rtl/>
        </w:rPr>
        <w:t xml:space="preserve"> (להלן: "</w:t>
      </w:r>
      <w:r>
        <w:rPr>
          <w:b/>
          <w:bCs/>
          <w:rtl/>
        </w:rPr>
        <w:t>חוק איסור מימון טרור</w:t>
      </w:r>
      <w:r>
        <w:rPr>
          <w:rtl/>
        </w:rPr>
        <w:t>")], שדינה מאסר עד 10 שנים.</w:t>
      </w:r>
    </w:p>
    <w:p w14:paraId="4C1F16C6"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התביעה ביקשה לקבוע את מתחם הענישה בגין האישום הראשון על 13</w:t>
      </w:r>
      <w:r>
        <w:rPr>
          <w:rtl/>
        </w:rPr>
        <w:softHyphen/>
        <w:t>-15 שנות מאסר, ובגין האישום השני – על 6</w:t>
      </w:r>
      <w:r>
        <w:rPr>
          <w:rtl/>
        </w:rPr>
        <w:softHyphen/>
        <w:t>-10 שנות מאסר. התביעה ביקשה לגזור על הנאשם עונש מאסר מצטבר המצוי ברובד העליון של כל מתחם, מאסר-על-תנאי ממושך ומרתיע וקנס משמעותי. התביעה הצביעה על הפגיעה המשמעותית בערכים המוגנים של בטחון המדינה ושלום חייליה; ועל כך שמעשי הנאשם התאפיינו בארגון, ביוזמה ובנחישות, והיה בהם כדי לסייע לפעילות הארגון הטרוריסטי ולטפחה.</w:t>
      </w:r>
    </w:p>
    <w:p w14:paraId="5FB97A07"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 xml:space="preserve">ההגנה ביקשה לקבוע מתחמי-ענישה נמוכים בהרבה. לטענתה, המתחמים שביקשה התביעה לקבוע, ופסקי-הדין שעליהם התבססה, אינם מתאימים לענייננו; שכן הנאשם לא הורשע בניסיון לרצח. עוד הטעימה ההגנה, כי בענייננו אין מדובר בפעילות בתוך ישראל או בגבולה, אלא בירי על טנקים אשר ניצבו בתוככי רצועת-עזה, אשר לא היה בו כדי לסכן בפועל את החיילים שבתוך הטנק ואשר בפועל לא גרם כל נזק. לגבי האישום השני טענה ההגנה, כי מדובר בסיוע אזרחי לנזקקים. ההגנה ציינה, בהקשר של נסיבותיו האישיות של הנאשם, את הזמן הרב שחלף מאז חדילת </w:t>
      </w:r>
      <w:r>
        <w:rPr>
          <w:rtl/>
        </w:rPr>
        <w:lastRenderedPageBreak/>
        <w:t>מעורבותו של הנאשם בפעילות צבאית, את היותו נעדר עבר פלילי ואת הודייתו במעשים האמורים. לאור המקובץ ביקשה ההגנה לגזור על הנאשם 2</w:t>
      </w:r>
      <w:r>
        <w:rPr>
          <w:rtl/>
        </w:rPr>
        <w:softHyphen/>
        <w:t>-6 שנות מאסר בפועל בגין האישום הראשון, ועד שנתיים מאסר בפועל בגין האישום השני. הנאשם, בדבריו לבית-המשפט, הטעים את הזמן הרב שחלף מאז מעשיו האמורים ואת רצונו להתמסר לפרנסת משפחתו, ילדיו ונכדיו.</w:t>
      </w:r>
    </w:p>
    <w:p w14:paraId="698B3F0C" w14:textId="77777777" w:rsidR="00E235DC" w:rsidRDefault="00E235DC">
      <w:pPr>
        <w:tabs>
          <w:tab w:val="left" w:pos="397"/>
          <w:tab w:val="left" w:pos="794"/>
          <w:tab w:val="left" w:pos="1191"/>
          <w:tab w:val="left" w:pos="1588"/>
          <w:tab w:val="left" w:pos="1985"/>
        </w:tabs>
        <w:spacing w:after="240" w:line="360" w:lineRule="auto"/>
        <w:jc w:val="both"/>
        <w:rPr>
          <w:rtl/>
        </w:rPr>
      </w:pPr>
    </w:p>
    <w:p w14:paraId="1DFEADC4" w14:textId="77777777" w:rsidR="00E235DC" w:rsidRDefault="00E235DC">
      <w:pPr>
        <w:tabs>
          <w:tab w:val="left" w:pos="397"/>
          <w:tab w:val="left" w:pos="794"/>
          <w:tab w:val="left" w:pos="1191"/>
          <w:tab w:val="left" w:pos="1588"/>
          <w:tab w:val="left" w:pos="1985"/>
        </w:tabs>
        <w:spacing w:after="240" w:line="360" w:lineRule="auto"/>
        <w:jc w:val="both"/>
        <w:rPr>
          <w:rtl/>
        </w:rPr>
      </w:pPr>
    </w:p>
    <w:p w14:paraId="4E5CFC16" w14:textId="77777777" w:rsidR="00E235DC" w:rsidRDefault="00E235DC">
      <w:pPr>
        <w:tabs>
          <w:tab w:val="left" w:pos="397"/>
          <w:tab w:val="left" w:pos="794"/>
          <w:tab w:val="left" w:pos="1191"/>
          <w:tab w:val="left" w:pos="1588"/>
          <w:tab w:val="left" w:pos="1985"/>
        </w:tabs>
        <w:spacing w:after="240" w:line="360" w:lineRule="auto"/>
        <w:jc w:val="both"/>
        <w:rPr>
          <w:rtl/>
        </w:rPr>
      </w:pPr>
    </w:p>
    <w:p w14:paraId="603FC78F" w14:textId="77777777" w:rsidR="00E235DC" w:rsidRDefault="00D52AD2">
      <w:pPr>
        <w:tabs>
          <w:tab w:val="left" w:pos="397"/>
          <w:tab w:val="left" w:pos="794"/>
          <w:tab w:val="left" w:pos="1191"/>
          <w:tab w:val="left" w:pos="1588"/>
          <w:tab w:val="left" w:pos="1985"/>
        </w:tabs>
        <w:spacing w:after="240" w:line="360" w:lineRule="auto"/>
        <w:jc w:val="both"/>
        <w:rPr>
          <w:b/>
          <w:bCs/>
          <w:sz w:val="26"/>
          <w:szCs w:val="26"/>
          <w:u w:val="single"/>
        </w:rPr>
      </w:pPr>
      <w:r>
        <w:rPr>
          <w:b/>
          <w:bCs/>
          <w:sz w:val="26"/>
          <w:szCs w:val="26"/>
          <w:u w:val="single"/>
          <w:rtl/>
        </w:rPr>
        <w:t>פסיקת בית-המשפט העליון</w:t>
      </w:r>
    </w:p>
    <w:p w14:paraId="09D7A48D"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ביקשנו לתמוך יתדותינו במתחמי העונש ההולם שקבע או אישר בית-המשפט העליון בעבירות דומות לאלו שבהן הורשע הנאשם דנן, לאחר חקיקתו של תיקון מס' 113 ב</w:t>
      </w:r>
      <w:hyperlink r:id="rId32" w:history="1">
        <w:r w:rsidRPr="00D52AD2">
          <w:rPr>
            <w:b/>
            <w:bCs/>
            <w:color w:val="0000FF"/>
            <w:u w:val="single"/>
            <w:rtl/>
          </w:rPr>
          <w:t>חוק העונשין</w:t>
        </w:r>
      </w:hyperlink>
      <w:r>
        <w:rPr>
          <w:rtl/>
        </w:rPr>
        <w:t xml:space="preserve"> (להלן: "תיקון 113"), תוך יישומו של תיקון זה. אולם, לא נמצאה לנו פסיקה עדכנית של בית-המשפט העליון באישומים דומים לענייננו, אשר קבעה מתחמי עונש הולם באופן פוזיטיבי; להבדיל מקביעות שערכן ההורייתי נמוך-יחסית, כגון אי-התערבות ערעורית בענישה במסגרת הסדרי-טיעון. פסקי-דין נוספים של בית-המשפט העליון, כגון אלו שעליהם הסתמכה התביעה, עסקו בעבירות חמורות בהרבה מאלו שבהן הורשע הנאשם דנן, לרבות ריבוי עבירות של ניסיון לרצח. יחד עם זאת, עולה מפסיקת בית-המשפט העליון בעבירות ביטחוניות קריאה ברורה להחמרה בענישה.</w:t>
      </w:r>
    </w:p>
    <w:p w14:paraId="30D06268" w14:textId="77777777" w:rsidR="00E235DC" w:rsidRDefault="00D52AD2">
      <w:pPr>
        <w:numPr>
          <w:ilvl w:val="0"/>
          <w:numId w:val="1"/>
        </w:numPr>
        <w:tabs>
          <w:tab w:val="left" w:pos="397"/>
          <w:tab w:val="left" w:pos="794"/>
          <w:tab w:val="left" w:pos="1191"/>
          <w:tab w:val="left" w:pos="1588"/>
          <w:tab w:val="left" w:pos="1985"/>
        </w:tabs>
        <w:spacing w:after="120" w:line="360" w:lineRule="auto"/>
        <w:ind w:left="0" w:firstLine="0"/>
        <w:jc w:val="both"/>
      </w:pPr>
      <w:r>
        <w:rPr>
          <w:rtl/>
        </w:rPr>
        <w:t>בהתייחסות עקרונית לענישה בעבירות ביטחוניות, אמנם בהקשר של אישומים חמורים בהרבה מענייננו, אמר בית-המשפט העליון [</w:t>
      </w:r>
      <w:hyperlink r:id="rId33" w:history="1">
        <w:r w:rsidRPr="00D52AD2">
          <w:rPr>
            <w:color w:val="0000FF"/>
            <w:u w:val="single"/>
            <w:rtl/>
          </w:rPr>
          <w:t>ע"פ 3140/10</w:t>
        </w:r>
      </w:hyperlink>
      <w:r>
        <w:rPr>
          <w:rtl/>
        </w:rPr>
        <w:t xml:space="preserve"> </w:t>
      </w:r>
      <w:r>
        <w:rPr>
          <w:b/>
          <w:bCs/>
          <w:rtl/>
        </w:rPr>
        <w:t>פלוני נ' מדינת ישראל</w:t>
      </w:r>
      <w:r>
        <w:rPr>
          <w:rtl/>
        </w:rPr>
        <w:t xml:space="preserve"> (25.11.2012) (להלן: "עניין </w:t>
      </w:r>
      <w:r>
        <w:rPr>
          <w:b/>
          <w:bCs/>
          <w:rtl/>
        </w:rPr>
        <w:t>פלוני</w:t>
      </w:r>
      <w:r>
        <w:rPr>
          <w:rtl/>
        </w:rPr>
        <w:t xml:space="preserve">"), פסקה 9]: </w:t>
      </w:r>
    </w:p>
    <w:p w14:paraId="455BF790" w14:textId="77777777" w:rsidR="00E235DC" w:rsidRDefault="00D52AD2">
      <w:pPr>
        <w:tabs>
          <w:tab w:val="left" w:pos="397"/>
          <w:tab w:val="left" w:pos="794"/>
          <w:tab w:val="left" w:pos="1191"/>
          <w:tab w:val="left" w:pos="1588"/>
          <w:tab w:val="left" w:pos="1985"/>
        </w:tabs>
        <w:spacing w:after="240" w:line="360" w:lineRule="auto"/>
        <w:ind w:left="397"/>
        <w:jc w:val="both"/>
      </w:pPr>
      <w:r>
        <w:rPr>
          <w:b/>
          <w:bCs/>
          <w:rtl/>
        </w:rPr>
        <w:t>"מדינת ישראל שבויה בעל כורחה בלוחמה עיקשת נגד הטרור... העובדה כי לא מומש ניסיונו לבצע פעולות חבלניות נגד כוחות צה"ל, איננה צריכה להוביל למסקנה כי ניתן להסתפק בעונש שאיננו חמור ומרתיע. ההפך הוא הנדרש. הטלת עונש מאסר לתקופה ארוכה על המעורב בצורה ממשית בהנחת תשתית הטרור היא חלק מהלוחמה בפעילות הטרור... תפקידו של בית המשפט הוא להגן על שלומו של הציבור..."</w:t>
      </w:r>
      <w:r>
        <w:rPr>
          <w:rtl/>
        </w:rPr>
        <w:t xml:space="preserve">. </w:t>
      </w:r>
    </w:p>
    <w:p w14:paraId="74352999"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בית-המשפט העליון הטעים את השיקול ההרתעתי בגזירת עונשו של עבריין ביטחוני. אמנם, הוא לא דן בהשלכותיו של תיקון 113 על מעמדו של שיקול זה, שתוחם להשפעה על גזירת העונש בתוך מתחם העונש ההולם בלבד [</w:t>
      </w:r>
      <w:hyperlink r:id="rId34" w:history="1">
        <w:r w:rsidRPr="00D52AD2">
          <w:rPr>
            <w:b/>
            <w:bCs/>
            <w:color w:val="0000FF"/>
            <w:u w:val="single"/>
            <w:rtl/>
          </w:rPr>
          <w:t>חוק העונשין</w:t>
        </w:r>
      </w:hyperlink>
      <w:r>
        <w:rPr>
          <w:rtl/>
        </w:rPr>
        <w:t xml:space="preserve">, </w:t>
      </w:r>
      <w:hyperlink r:id="rId35" w:history="1">
        <w:r w:rsidR="004037CC" w:rsidRPr="004037CC">
          <w:rPr>
            <w:color w:val="0000FF"/>
            <w:u w:val="single"/>
            <w:rtl/>
          </w:rPr>
          <w:t>סעיפים 40ב</w:t>
        </w:r>
      </w:hyperlink>
      <w:r>
        <w:rPr>
          <w:rtl/>
        </w:rPr>
        <w:t xml:space="preserve">, </w:t>
      </w:r>
      <w:hyperlink r:id="rId36" w:history="1">
        <w:r w:rsidR="004037CC" w:rsidRPr="004037CC">
          <w:rPr>
            <w:color w:val="0000FF"/>
            <w:u w:val="single"/>
            <w:rtl/>
          </w:rPr>
          <w:t>40ו</w:t>
        </w:r>
      </w:hyperlink>
      <w:r>
        <w:rPr>
          <w:rtl/>
        </w:rPr>
        <w:t xml:space="preserve"> ו-</w:t>
      </w:r>
      <w:hyperlink r:id="rId37" w:history="1">
        <w:r w:rsidR="004037CC" w:rsidRPr="004037CC">
          <w:rPr>
            <w:color w:val="0000FF"/>
            <w:u w:val="single"/>
            <w:rtl/>
          </w:rPr>
          <w:t>40ז</w:t>
        </w:r>
      </w:hyperlink>
      <w:r>
        <w:rPr>
          <w:rtl/>
        </w:rPr>
        <w:t>]. בית-המשפט העליון הזכיר גם את השיקול של הגנה על שלום הציבור, המצדיק חריגה לחומרה ממתחם העונש ההולם [</w:t>
      </w:r>
      <w:hyperlink r:id="rId38" w:history="1">
        <w:r w:rsidRPr="00D52AD2">
          <w:rPr>
            <w:b/>
            <w:bCs/>
            <w:color w:val="0000FF"/>
            <w:u w:val="single"/>
            <w:rtl/>
          </w:rPr>
          <w:t>חוק העונשין</w:t>
        </w:r>
      </w:hyperlink>
      <w:r>
        <w:rPr>
          <w:rtl/>
        </w:rPr>
        <w:t xml:space="preserve">, </w:t>
      </w:r>
      <w:hyperlink r:id="rId39" w:history="1">
        <w:r w:rsidR="004037CC" w:rsidRPr="004037CC">
          <w:rPr>
            <w:color w:val="0000FF"/>
            <w:u w:val="single"/>
            <w:rtl/>
          </w:rPr>
          <w:t>סעיף 40ה]</w:t>
        </w:r>
      </w:hyperlink>
      <w:r>
        <w:rPr>
          <w:rtl/>
        </w:rPr>
        <w:t xml:space="preserve">; אך גם זאת ללא דיון בנסיבות הנצרכות לכך והמפורטות </w:t>
      </w:r>
      <w:hyperlink r:id="rId40" w:history="1">
        <w:r w:rsidR="004037CC" w:rsidRPr="004037CC">
          <w:rPr>
            <w:color w:val="0000FF"/>
            <w:u w:val="single"/>
            <w:rtl/>
          </w:rPr>
          <w:t>בסעיף 40ה</w:t>
        </w:r>
      </w:hyperlink>
      <w:r>
        <w:rPr>
          <w:rtl/>
        </w:rPr>
        <w:t xml:space="preserve">, שקצתן לא התקיימו בעניין </w:t>
      </w:r>
      <w:r>
        <w:rPr>
          <w:b/>
          <w:bCs/>
          <w:rtl/>
        </w:rPr>
        <w:t>פלוני</w:t>
      </w:r>
      <w:r>
        <w:rPr>
          <w:rtl/>
        </w:rPr>
        <w:t>. גם ב</w:t>
      </w:r>
      <w:hyperlink r:id="rId41" w:history="1">
        <w:r w:rsidRPr="00D52AD2">
          <w:rPr>
            <w:color w:val="0000FF"/>
            <w:u w:val="single"/>
            <w:rtl/>
          </w:rPr>
          <w:t>ע"פ 8768/12</w:t>
        </w:r>
      </w:hyperlink>
      <w:r>
        <w:rPr>
          <w:rtl/>
        </w:rPr>
        <w:t xml:space="preserve"> </w:t>
      </w:r>
      <w:r>
        <w:rPr>
          <w:b/>
          <w:bCs/>
          <w:rtl/>
        </w:rPr>
        <w:t>אבו חמד נ' מדינת ישראל</w:t>
      </w:r>
      <w:r>
        <w:rPr>
          <w:rtl/>
        </w:rPr>
        <w:t xml:space="preserve"> (8.5.14), אשר ניתן זה-מקרוב, ואשר התייחס לעבירות חמורות בהרבה מבענייננו, לרבות ריבוי עבירות של ניסיון לרצח – אוזכרה מרכזיותו של שיקול ההרתעה. אולם, גם כאן לא נערך דיון בהשלכותיו של תיקון 113 על הענישה בעבירות-ביטחון ועל יישומו של השיקול ההרתעתי לגביהן. מכל-מקום, בפסיקה הנזכרת מהדהדת קריאתו של בית-המשפט העליון להחמרה בענישתם של עברייני-ביטחון.</w:t>
      </w:r>
    </w:p>
    <w:p w14:paraId="3689CE11"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גם לעניין האישום השני, העוסק בסיוע למשפחות של חללי הארגון, לא מצאנו קביעה הורייתית של בית-המשפט העליון, במקרה דומה לענייננו, של מתחם העונש ההולם. אמנם, ב</w:t>
      </w:r>
      <w:hyperlink r:id="rId42" w:history="1">
        <w:r w:rsidRPr="00D52AD2">
          <w:rPr>
            <w:color w:val="0000FF"/>
            <w:u w:val="single"/>
            <w:rtl/>
          </w:rPr>
          <w:t>ע"פ 44/12</w:t>
        </w:r>
      </w:hyperlink>
      <w:r>
        <w:rPr>
          <w:rtl/>
        </w:rPr>
        <w:t xml:space="preserve"> </w:t>
      </w:r>
      <w:r>
        <w:rPr>
          <w:b/>
          <w:bCs/>
          <w:rtl/>
        </w:rPr>
        <w:t>אלשאער נ' מדינת ישראל</w:t>
      </w:r>
      <w:r>
        <w:rPr>
          <w:rtl/>
        </w:rPr>
        <w:t xml:space="preserve"> (5.2.2012), אשר ניתן זמן קצר לאחר חקיקתו של תיקון 113, נדון מקרה דומה של איסור פעולה ברכוש למטרות טרור, בשל העברת סכומי כסף קטנים למשפחות של אסירים ביטחוניים. אולם היה זה לפני כניסתו של תיקון 113 לתוקף, ולא נערך דיון בהשלכותיו. גם שם ניתן העונש במסגרת הסדר-טיעון, ועל-כן לא ניתן למצוא בו פינה ויתד למתחם העונש ההולם. </w:t>
      </w:r>
    </w:p>
    <w:p w14:paraId="5FB322D6"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 xml:space="preserve">פסקי-דין אחרים של בית-המשפט העליון, אשר דנו בעבירה הנדונה באישום השני, עסקו במעשים חמורים הרבה יותר של מימון טרור כפשוטו [השוו פסק-הדין המנחה, </w:t>
      </w:r>
      <w:hyperlink r:id="rId43" w:history="1">
        <w:r w:rsidRPr="00D52AD2">
          <w:rPr>
            <w:color w:val="0000FF"/>
            <w:u w:val="single"/>
            <w:rtl/>
          </w:rPr>
          <w:t>ע"פ 3827/06</w:t>
        </w:r>
      </w:hyperlink>
      <w:r>
        <w:rPr>
          <w:rtl/>
        </w:rPr>
        <w:t xml:space="preserve"> </w:t>
      </w:r>
      <w:r>
        <w:rPr>
          <w:b/>
          <w:bCs/>
          <w:rtl/>
        </w:rPr>
        <w:t>פלוני נ' מדינת ישראל</w:t>
      </w:r>
      <w:r>
        <w:rPr>
          <w:rtl/>
        </w:rPr>
        <w:t xml:space="preserve"> (27.3.2007); וכן </w:t>
      </w:r>
      <w:hyperlink r:id="rId44" w:history="1">
        <w:r w:rsidRPr="00D52AD2">
          <w:rPr>
            <w:color w:val="0000FF"/>
            <w:u w:val="single"/>
            <w:rtl/>
          </w:rPr>
          <w:t>ע"פ 1388/13</w:t>
        </w:r>
      </w:hyperlink>
      <w:r>
        <w:rPr>
          <w:rtl/>
        </w:rPr>
        <w:t xml:space="preserve"> </w:t>
      </w:r>
      <w:r>
        <w:rPr>
          <w:b/>
          <w:bCs/>
          <w:rtl/>
        </w:rPr>
        <w:t>ג'ועבה נ' מדינת ישראל</w:t>
      </w:r>
      <w:r>
        <w:rPr>
          <w:rtl/>
        </w:rPr>
        <w:t xml:space="preserve"> (18.11.2013) (להלן: "</w:t>
      </w:r>
      <w:r>
        <w:rPr>
          <w:b/>
          <w:bCs/>
          <w:rtl/>
        </w:rPr>
        <w:t>ג'ועבה</w:t>
      </w:r>
      <w:r>
        <w:rPr>
          <w:rtl/>
        </w:rPr>
        <w:t xml:space="preserve">")]. אולם, בעניין </w:t>
      </w:r>
      <w:r>
        <w:rPr>
          <w:b/>
          <w:bCs/>
          <w:rtl/>
        </w:rPr>
        <w:t>ג'ועבה</w:t>
      </w:r>
      <w:r>
        <w:rPr>
          <w:rtl/>
        </w:rPr>
        <w:t xml:space="preserve"> נמנע בית-המשפט העליון מלהתערב במתחם העונש ההולם שקבע בית-המשפט המחוזי בגין עבירה אחת של מימון טרור בסכומים ניכרים – 1.5</w:t>
      </w:r>
      <w:r>
        <w:rPr>
          <w:rtl/>
        </w:rPr>
        <w:softHyphen/>
        <w:t>-4.5 שנות מאסר. ניתן לראות במתחם זה משום סמן לקביעתו, בשינויים המחויבים, של מתחם העונש ההולם את ענייננו החמור-פחות.</w:t>
      </w:r>
    </w:p>
    <w:p w14:paraId="764C6293" w14:textId="77777777" w:rsidR="00E235DC" w:rsidRDefault="00E235DC">
      <w:pPr>
        <w:tabs>
          <w:tab w:val="left" w:pos="397"/>
          <w:tab w:val="left" w:pos="794"/>
          <w:tab w:val="left" w:pos="1191"/>
          <w:tab w:val="left" w:pos="1588"/>
          <w:tab w:val="left" w:pos="1985"/>
        </w:tabs>
        <w:spacing w:after="240" w:line="360" w:lineRule="auto"/>
        <w:jc w:val="both"/>
        <w:rPr>
          <w:rtl/>
        </w:rPr>
      </w:pPr>
    </w:p>
    <w:p w14:paraId="6B6EA4C0" w14:textId="77777777" w:rsidR="00E235DC" w:rsidRDefault="00D52AD2">
      <w:pPr>
        <w:tabs>
          <w:tab w:val="left" w:pos="397"/>
          <w:tab w:val="left" w:pos="794"/>
          <w:tab w:val="left" w:pos="1191"/>
          <w:tab w:val="left" w:pos="1588"/>
          <w:tab w:val="left" w:pos="1985"/>
        </w:tabs>
        <w:spacing w:after="240" w:line="360" w:lineRule="auto"/>
        <w:jc w:val="both"/>
        <w:rPr>
          <w:b/>
          <w:bCs/>
          <w:sz w:val="26"/>
          <w:szCs w:val="26"/>
          <w:u w:val="single"/>
        </w:rPr>
      </w:pPr>
      <w:r>
        <w:rPr>
          <w:b/>
          <w:bCs/>
          <w:sz w:val="26"/>
          <w:szCs w:val="26"/>
          <w:u w:val="single"/>
          <w:rtl/>
        </w:rPr>
        <w:t>דיון לאור תיקון 113 ב</w:t>
      </w:r>
      <w:hyperlink r:id="rId45" w:history="1">
        <w:r w:rsidRPr="00D52AD2">
          <w:rPr>
            <w:b/>
            <w:bCs/>
            <w:color w:val="0000FF"/>
            <w:sz w:val="26"/>
            <w:szCs w:val="26"/>
            <w:u w:val="single"/>
            <w:rtl/>
          </w:rPr>
          <w:t>חוק העונשין</w:t>
        </w:r>
      </w:hyperlink>
    </w:p>
    <w:p w14:paraId="0EB343A1"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עסקינן בשני אירועים נבדלים. האירוע מושא האישום הראשון משנת 2003, והאירוע מושא האישום השני משנת 2012. לפיכך יש לקבוע שני מתחמי ענישה שונים לשני האירועים הללו, ולהכריע בשאלת חפיפתם או הצטברותם [</w:t>
      </w:r>
      <w:hyperlink r:id="rId46" w:history="1">
        <w:r w:rsidRPr="00D52AD2">
          <w:rPr>
            <w:b/>
            <w:bCs/>
            <w:color w:val="0000FF"/>
            <w:u w:val="single"/>
            <w:rtl/>
          </w:rPr>
          <w:t>חוק העונשין</w:t>
        </w:r>
      </w:hyperlink>
      <w:r>
        <w:rPr>
          <w:rtl/>
        </w:rPr>
        <w:t xml:space="preserve">, </w:t>
      </w:r>
      <w:hyperlink r:id="rId47" w:history="1">
        <w:r w:rsidR="004037CC" w:rsidRPr="004037CC">
          <w:rPr>
            <w:color w:val="0000FF"/>
            <w:u w:val="single"/>
            <w:rtl/>
          </w:rPr>
          <w:t>סעיף 40יג].</w:t>
        </w:r>
      </w:hyperlink>
    </w:p>
    <w:p w14:paraId="0E361DEE"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הערכים החברתיים הנפגעים מעבירות-ביטחון הם הערכים הבסיסיים ביותר לקיומה של חברה מאורגנת – ביטחונו הפיזי של הציבור בכללותו, ועצם ריבונותה של המדינה. לא בכדי נפתח חלק העבירות ב</w:t>
      </w:r>
      <w:hyperlink r:id="rId48" w:history="1">
        <w:r w:rsidRPr="00D52AD2">
          <w:rPr>
            <w:b/>
            <w:bCs/>
            <w:color w:val="0000FF"/>
            <w:u w:val="single"/>
            <w:rtl/>
          </w:rPr>
          <w:t>חוק העונשין</w:t>
        </w:r>
      </w:hyperlink>
      <w:r>
        <w:rPr>
          <w:b/>
          <w:bCs/>
          <w:rtl/>
        </w:rPr>
        <w:t xml:space="preserve"> </w:t>
      </w:r>
      <w:r>
        <w:rPr>
          <w:rtl/>
        </w:rPr>
        <w:t>בעבירות נגד ביטחון המדינה. לעניין מידת הפגיעה, יש משמעות לכך שהירי בוצע לעבר לוחמים בתוך רצועת-עזה ולא לעבר אזרחים בישראל; ולהסרת האישום בניסיון לרצח [</w:t>
      </w:r>
      <w:hyperlink r:id="rId49" w:history="1">
        <w:r w:rsidRPr="00D52AD2">
          <w:rPr>
            <w:b/>
            <w:bCs/>
            <w:color w:val="0000FF"/>
            <w:u w:val="single"/>
            <w:rtl/>
          </w:rPr>
          <w:t>חוק העונשין</w:t>
        </w:r>
      </w:hyperlink>
      <w:r>
        <w:rPr>
          <w:rtl/>
        </w:rPr>
        <w:t xml:space="preserve">, </w:t>
      </w:r>
      <w:hyperlink r:id="rId50" w:history="1">
        <w:r w:rsidR="004037CC" w:rsidRPr="004037CC">
          <w:rPr>
            <w:color w:val="0000FF"/>
            <w:u w:val="single"/>
            <w:rtl/>
          </w:rPr>
          <w:t>סעיף 40ג(א)].</w:t>
        </w:r>
      </w:hyperlink>
      <w:r>
        <w:rPr>
          <w:rtl/>
        </w:rPr>
        <w:t xml:space="preserve"> </w:t>
      </w:r>
    </w:p>
    <w:p w14:paraId="4D26EDE8"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בנאשם דנן התקיימו מקצת הנסיבות המחמירות הקשורות בביצוע העבירה: העבירה הייתה מתוכננת; חלקו היה פעיל ומרכזי; ויכולתו להבין את מעשיו, ולהימנע מהם, הייתה גבוהה [</w:t>
      </w:r>
      <w:hyperlink r:id="rId51" w:history="1">
        <w:r w:rsidRPr="00D52AD2">
          <w:rPr>
            <w:b/>
            <w:bCs/>
            <w:color w:val="0000FF"/>
            <w:u w:val="single"/>
            <w:rtl/>
          </w:rPr>
          <w:t>חוק העונשין</w:t>
        </w:r>
      </w:hyperlink>
      <w:r>
        <w:rPr>
          <w:rtl/>
        </w:rPr>
        <w:t xml:space="preserve">, </w:t>
      </w:r>
      <w:hyperlink r:id="rId52" w:history="1">
        <w:r w:rsidR="00CE0607" w:rsidRPr="00CE0607">
          <w:rPr>
            <w:color w:val="0000FF"/>
            <w:u w:val="single"/>
            <w:rtl/>
          </w:rPr>
          <w:t>סעיף 40ט].</w:t>
        </w:r>
      </w:hyperlink>
    </w:p>
    <w:p w14:paraId="6981AAD4"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 xml:space="preserve">יש לשאוב הנחיה מן העונש המרבי הקבוע בחוק לעבירות הנדונות; תוך הותרת שוליים רחבים דיים בין גבולותיו של מתחם העונש ההולם לבין גבולותיו של העונש המרבי הקבוע בחוק, לצורך סטייה מן המתחם במקרים המתאימים. נזכיר כי העונשים המרביים בגין העבירות הנדונות הם 7 שנות מאסר בגין קשירת קשר, 10 שנות מאסר בגין נשיאת נשק ו-5 שנות מאסר בגין חברות בארגון-טרור. </w:t>
      </w:r>
    </w:p>
    <w:p w14:paraId="2E838725"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לאור המקובץ, נעמיד את מתחם העונש ההולם את האישום הראשון  על 4</w:t>
      </w:r>
      <w:r>
        <w:rPr>
          <w:rtl/>
        </w:rPr>
        <w:softHyphen/>
        <w:t>-8 שנות מאסר בפועל.</w:t>
      </w:r>
    </w:p>
    <w:p w14:paraId="06E46126"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סיוע הומניטארי למשפחות החללים של ארגוני-הטרור מחזק את הארגונים ועל-ידי-כך מטפח פעילות טרוריסטית. יחד עם זאת, אין המעשים האמורים יוצאים לחלוטין מידי פשוטם כסיוע לאלמנות וליתומים, שאולי לא היו שותפים לחטאו של בן-משפחתם, חבר-הארגון. לפיכך, תוך השוואה למתחם העונש ההולם את האישום הראשון והעיקרי, ולמתחם העונש ההולם מימון-טרור מובהק – אנו קובעים לעבירה זו מתחם עונש הולם של 1</w:t>
      </w:r>
      <w:r>
        <w:rPr>
          <w:rtl/>
        </w:rPr>
        <w:softHyphen/>
        <w:t>-</w:t>
      </w:r>
      <w:r>
        <w:rPr>
          <w:rtl/>
        </w:rPr>
        <w:softHyphen/>
        <w:t>3 שנות מאסר בפועל.</w:t>
      </w:r>
    </w:p>
    <w:p w14:paraId="026FA5F5"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אין בענייננו אינדיקציה לכך שהנאשם השתקם, במובן זה שהוא חדל להזדהות עם ארגוני הטרור ואינו עשוי, בעתיד, לשוב וליטול חלק כזה או אחר בפעילותם; או כי ענישה מקילה עשויה לסייע להשגת תכלית זו. לפיכך אין מקום לסטות לקולה מן המתחם האמור משיקולי שיקום [</w:t>
      </w:r>
      <w:hyperlink r:id="rId53" w:history="1">
        <w:r w:rsidRPr="00D52AD2">
          <w:rPr>
            <w:b/>
            <w:bCs/>
            <w:color w:val="0000FF"/>
            <w:u w:val="single"/>
            <w:rtl/>
          </w:rPr>
          <w:t>חוק העונשין</w:t>
        </w:r>
      </w:hyperlink>
      <w:r>
        <w:rPr>
          <w:rtl/>
        </w:rPr>
        <w:t xml:space="preserve">, </w:t>
      </w:r>
      <w:hyperlink r:id="rId54" w:history="1">
        <w:r w:rsidR="00CE0607" w:rsidRPr="00CE0607">
          <w:rPr>
            <w:color w:val="0000FF"/>
            <w:u w:val="single"/>
            <w:rtl/>
          </w:rPr>
          <w:t>סעיף 40ד].</w:t>
        </w:r>
      </w:hyperlink>
    </w:p>
    <w:p w14:paraId="103E4F7F"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הנאשם נעדר עבר פלילי. לא הוצגה לנו חוות-דעת בדבר מסוכנותו המיוחדת. לפיכך אין מקום לסטות לחומרה מן המתחם האמור משיקולי הגנה על שלום הציבור [</w:t>
      </w:r>
      <w:hyperlink r:id="rId55" w:history="1">
        <w:r w:rsidRPr="00D52AD2">
          <w:rPr>
            <w:b/>
            <w:bCs/>
            <w:color w:val="0000FF"/>
            <w:u w:val="single"/>
            <w:rtl/>
          </w:rPr>
          <w:t>חוק העונשין</w:t>
        </w:r>
      </w:hyperlink>
      <w:r>
        <w:rPr>
          <w:rtl/>
        </w:rPr>
        <w:t xml:space="preserve">, </w:t>
      </w:r>
      <w:hyperlink r:id="rId56" w:history="1">
        <w:r w:rsidR="00CE0607" w:rsidRPr="00CE0607">
          <w:rPr>
            <w:color w:val="0000FF"/>
            <w:u w:val="single"/>
            <w:rtl/>
          </w:rPr>
          <w:t>סעיף 40ה].</w:t>
        </w:r>
      </w:hyperlink>
    </w:p>
    <w:p w14:paraId="417C640D"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ניסיון החיים והידיעה השיפוטית מלמדים, כי לעתים עומדת ביסוד ההתגייסות לפעילות טרוריסטית גם מוטיבציה תועלתית, שיש לעקרה על ידי הרתעה הגלומה בתוחלת-ענישה גבוהה. כך הורנו בית-המשפט העליון, כמצוטט לעיל. לפיכך, ככלל, יש לגזור על עבריינים ביטחוניים עונשים המצויים ברובד גבוה-יחסית של מתחמי הענישה [</w:t>
      </w:r>
      <w:hyperlink r:id="rId57" w:history="1">
        <w:r w:rsidRPr="00D52AD2">
          <w:rPr>
            <w:b/>
            <w:bCs/>
            <w:color w:val="0000FF"/>
            <w:u w:val="single"/>
            <w:rtl/>
          </w:rPr>
          <w:t>חוק העונשין</w:t>
        </w:r>
      </w:hyperlink>
      <w:r>
        <w:rPr>
          <w:rtl/>
        </w:rPr>
        <w:t xml:space="preserve">, </w:t>
      </w:r>
      <w:hyperlink r:id="rId58" w:history="1">
        <w:r w:rsidR="00CE0607" w:rsidRPr="00CE0607">
          <w:rPr>
            <w:color w:val="0000FF"/>
            <w:u w:val="single"/>
            <w:rtl/>
          </w:rPr>
          <w:t>סעיפים 40ו-40ז].</w:t>
        </w:r>
      </w:hyperlink>
      <w:r>
        <w:rPr>
          <w:rtl/>
        </w:rPr>
        <w:t xml:space="preserve"> </w:t>
      </w:r>
    </w:p>
    <w:p w14:paraId="5C1717F2"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התקיימו בנאשם דנן מקצת הנסיבות המקלות שאינן קשורות בביצוע העבירה: העונש יפריד בין הנאשם, שייכלא בישראל, לבין משפחתו שברצועת-עזה, וימנע ממנו להשתתף בגידולם של ילדיו ונכדיו; הנאשם נטל אחריות על מעשיו ולפי הצהרתו חדל מהם; הנאשם הודה במעשים האמורים בפתח משפטו וחסך רבות מזמנם של בית-המשפט ושל התביעה; חלפו שנים רבות מאז ביצע הנאשם את המעשה העיקרי של הירי והוא נעדר עבר פלילי. לפיכך, המכלול של הנסיבות שאינן קשורות בביצוע העבירה מצדיק הקלה בגזירת העונש בתוך מתחם העונש ההולם [</w:t>
      </w:r>
      <w:hyperlink r:id="rId59" w:history="1">
        <w:r w:rsidRPr="00D52AD2">
          <w:rPr>
            <w:b/>
            <w:bCs/>
            <w:color w:val="0000FF"/>
            <w:u w:val="single"/>
            <w:rtl/>
          </w:rPr>
          <w:t>חוק העונשין</w:t>
        </w:r>
      </w:hyperlink>
      <w:r>
        <w:rPr>
          <w:rtl/>
        </w:rPr>
        <w:t xml:space="preserve">, </w:t>
      </w:r>
      <w:hyperlink r:id="rId60" w:history="1">
        <w:r w:rsidR="00CE0607" w:rsidRPr="00CE0607">
          <w:rPr>
            <w:color w:val="0000FF"/>
            <w:u w:val="single"/>
            <w:rtl/>
          </w:rPr>
          <w:t>סעיף 40יא].</w:t>
        </w:r>
      </w:hyperlink>
      <w:r>
        <w:rPr>
          <w:rtl/>
        </w:rPr>
        <w:t xml:space="preserve"> </w:t>
      </w:r>
    </w:p>
    <w:p w14:paraId="7CFE74DA"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השיקולים האמורים לקולה יהיו לנגד עינינו גם בבואנו להחליט בשאלת ההצטברות או החפיפה של העונשים בגין 2 האישומים.</w:t>
      </w:r>
    </w:p>
    <w:p w14:paraId="48D5DC83"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בשולי הדיון נזכיר מושכלות יסוד, כי כל עונש הוא פגיעה בזכויות-יסוד של הנאשם, וכרוכה בו הכבדה על קופת הציבור. לפיכך, כל עונש צריך להיות מידתי, קרי: העונש המזערי המגשים את תכליות הענישה. עוד נציין, כי עקרון האינדיבידואליות של העונש אינו מחייב רזולוציה גבוהה של התחשבות בפרטי-הפרטים של נסיבות העניין הנדון. אדרבא: יעילות השפיטה ואחידותה מחייבים לברור עיקר מטפל ולהימנע מהבחנות דקות ודקיקות. כמו הענישה עצמה – גם ההליך העונשי, בכללותו, מחייב איזונים מידתיים של עלות-תועלת.</w:t>
      </w:r>
    </w:p>
    <w:p w14:paraId="4F79573E" w14:textId="77777777" w:rsidR="00E235DC" w:rsidRDefault="00D52AD2">
      <w:pPr>
        <w:tabs>
          <w:tab w:val="left" w:pos="397"/>
          <w:tab w:val="left" w:pos="794"/>
          <w:tab w:val="left" w:pos="1191"/>
          <w:tab w:val="left" w:pos="1588"/>
          <w:tab w:val="left" w:pos="1985"/>
        </w:tabs>
        <w:spacing w:after="240" w:line="360" w:lineRule="auto"/>
        <w:jc w:val="both"/>
        <w:rPr>
          <w:b/>
          <w:bCs/>
          <w:sz w:val="26"/>
          <w:szCs w:val="26"/>
          <w:u w:val="single"/>
        </w:rPr>
      </w:pPr>
      <w:r>
        <w:rPr>
          <w:b/>
          <w:bCs/>
          <w:sz w:val="26"/>
          <w:szCs w:val="26"/>
          <w:u w:val="single"/>
          <w:rtl/>
        </w:rPr>
        <w:t>העונש</w:t>
      </w:r>
    </w:p>
    <w:p w14:paraId="7D14D490" w14:textId="77777777" w:rsidR="00E235DC" w:rsidRDefault="00D52AD2">
      <w:pPr>
        <w:numPr>
          <w:ilvl w:val="0"/>
          <w:numId w:val="1"/>
        </w:numPr>
        <w:tabs>
          <w:tab w:val="left" w:pos="397"/>
          <w:tab w:val="left" w:pos="794"/>
          <w:tab w:val="left" w:pos="1191"/>
          <w:tab w:val="left" w:pos="1588"/>
          <w:tab w:val="left" w:pos="1985"/>
        </w:tabs>
        <w:spacing w:after="120" w:line="360" w:lineRule="auto"/>
        <w:ind w:left="0" w:firstLine="0"/>
        <w:jc w:val="both"/>
      </w:pPr>
      <w:r>
        <w:rPr>
          <w:rtl/>
        </w:rPr>
        <w:t xml:space="preserve">לאור המקובץ אנו גוזרים על הנאשם את העונשים כלהלן: </w:t>
      </w:r>
    </w:p>
    <w:p w14:paraId="232B9FDC" w14:textId="77777777" w:rsidR="00E235DC" w:rsidRDefault="00D52AD2">
      <w:pPr>
        <w:numPr>
          <w:ilvl w:val="0"/>
          <w:numId w:val="2"/>
        </w:numPr>
        <w:tabs>
          <w:tab w:val="left" w:pos="397"/>
          <w:tab w:val="left" w:pos="794"/>
          <w:tab w:val="left" w:pos="1191"/>
          <w:tab w:val="left" w:pos="1588"/>
          <w:tab w:val="left" w:pos="1985"/>
        </w:tabs>
        <w:spacing w:after="120" w:line="360" w:lineRule="auto"/>
        <w:ind w:left="794" w:hanging="397"/>
        <w:jc w:val="both"/>
      </w:pPr>
      <w:r>
        <w:rPr>
          <w:rtl/>
        </w:rPr>
        <w:t>6 שנות מאסר בפועל בגין האישום הראשון, ו-2 שנות מאסר בפועל בגין האישום השני.</w:t>
      </w:r>
    </w:p>
    <w:p w14:paraId="5BA08506" w14:textId="77777777" w:rsidR="00E235DC" w:rsidRDefault="00D52AD2">
      <w:pPr>
        <w:tabs>
          <w:tab w:val="left" w:pos="397"/>
          <w:tab w:val="left" w:pos="794"/>
          <w:tab w:val="left" w:pos="1191"/>
          <w:tab w:val="left" w:pos="1588"/>
          <w:tab w:val="left" w:pos="1985"/>
        </w:tabs>
        <w:spacing w:after="120" w:line="360" w:lineRule="auto"/>
        <w:ind w:left="794" w:hanging="397"/>
        <w:jc w:val="both"/>
      </w:pPr>
      <w:r>
        <w:rPr>
          <w:rtl/>
        </w:rPr>
        <w:tab/>
        <w:t>לאור האופי הנפרד לחלוטין של האישומים מחד-גיסא, ולאור המשמעות המצטברת של העונשים מאידך-גיסא – המאסרים האמורים ירוצו בחפיפה חלקית, באופן שהנאשם ירצה בסך-הכל 7 שנות מאסר בפועל בגין 2 האישומים יחדיו.</w:t>
      </w:r>
    </w:p>
    <w:p w14:paraId="381C29AC" w14:textId="77777777" w:rsidR="00E235DC" w:rsidRDefault="00D52AD2">
      <w:pPr>
        <w:numPr>
          <w:ilvl w:val="0"/>
          <w:numId w:val="2"/>
        </w:numPr>
        <w:tabs>
          <w:tab w:val="left" w:pos="397"/>
          <w:tab w:val="left" w:pos="794"/>
          <w:tab w:val="left" w:pos="1191"/>
          <w:tab w:val="left" w:pos="1588"/>
          <w:tab w:val="left" w:pos="1985"/>
        </w:tabs>
        <w:spacing w:after="240" w:line="360" w:lineRule="auto"/>
        <w:ind w:left="794" w:hanging="397"/>
        <w:jc w:val="both"/>
      </w:pPr>
      <w:r>
        <w:rPr>
          <w:rtl/>
        </w:rPr>
        <w:t>שנתיים מאסר על-תנאי, שירוצו אם יורשע הנאשם בתוך 3 שנים מיום שחרורו מן הכלא בעבירת-ביטחון מסוג פשע, או בעבירה מן העבירות שבהן הורשע בהליך זה.</w:t>
      </w:r>
    </w:p>
    <w:p w14:paraId="2B7773F1"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 xml:space="preserve">מאסרו של הנאשם יימנה מיום מעצרו, היינו: מיום 3/10/12. </w:t>
      </w:r>
    </w:p>
    <w:p w14:paraId="20A7B0D4" w14:textId="77777777" w:rsidR="00E235DC" w:rsidRDefault="00D52AD2">
      <w:pPr>
        <w:numPr>
          <w:ilvl w:val="0"/>
          <w:numId w:val="1"/>
        </w:numPr>
        <w:tabs>
          <w:tab w:val="left" w:pos="397"/>
          <w:tab w:val="left" w:pos="794"/>
          <w:tab w:val="left" w:pos="1191"/>
          <w:tab w:val="left" w:pos="1588"/>
          <w:tab w:val="left" w:pos="1985"/>
        </w:tabs>
        <w:spacing w:after="240" w:line="360" w:lineRule="auto"/>
        <w:ind w:left="0" w:firstLine="0"/>
        <w:jc w:val="both"/>
      </w:pPr>
      <w:r>
        <w:rPr>
          <w:rtl/>
        </w:rPr>
        <w:t>נוכח המאסר הממושך הצפוי לנאשם, ומצבו הכלכלי – לא ראינו לנכון להוסיף ולגזור על הנאשם קנס כספי.</w:t>
      </w:r>
    </w:p>
    <w:p w14:paraId="5C378B68" w14:textId="77777777" w:rsidR="00E235DC" w:rsidRDefault="00E235DC">
      <w:pPr>
        <w:tabs>
          <w:tab w:val="left" w:pos="397"/>
          <w:tab w:val="left" w:pos="794"/>
          <w:tab w:val="left" w:pos="1191"/>
          <w:tab w:val="left" w:pos="1588"/>
          <w:tab w:val="left" w:pos="1985"/>
        </w:tabs>
        <w:spacing w:after="240" w:line="360" w:lineRule="auto"/>
        <w:jc w:val="both"/>
        <w:rPr>
          <w:b/>
          <w:bCs/>
          <w:rtl/>
        </w:rPr>
      </w:pPr>
    </w:p>
    <w:p w14:paraId="59EBFF2E" w14:textId="77777777" w:rsidR="00E235DC" w:rsidRDefault="00D52AD2">
      <w:pPr>
        <w:tabs>
          <w:tab w:val="left" w:pos="397"/>
          <w:tab w:val="left" w:pos="794"/>
          <w:tab w:val="left" w:pos="1191"/>
          <w:tab w:val="left" w:pos="1588"/>
          <w:tab w:val="left" w:pos="1985"/>
        </w:tabs>
        <w:spacing w:after="240" w:line="360" w:lineRule="auto"/>
        <w:jc w:val="both"/>
        <w:rPr>
          <w:b/>
          <w:bCs/>
        </w:rPr>
      </w:pPr>
      <w:r>
        <w:rPr>
          <w:b/>
          <w:bCs/>
          <w:rtl/>
        </w:rPr>
        <w:t>זכות ערעור לבית המשפט העליון תוך 45 יום מהיום.</w:t>
      </w:r>
    </w:p>
    <w:p w14:paraId="4DA95EDA" w14:textId="77777777" w:rsidR="00E235DC" w:rsidRDefault="00E235DC">
      <w:pPr>
        <w:rPr>
          <w:rtl/>
        </w:rPr>
      </w:pPr>
    </w:p>
    <w:p w14:paraId="75A8B48C" w14:textId="77777777" w:rsidR="00E235DC" w:rsidRDefault="00D52AD2">
      <w:pPr>
        <w:rPr>
          <w:rtl/>
        </w:rPr>
      </w:pPr>
      <w:r w:rsidRPr="00D52AD2">
        <w:rPr>
          <w:b/>
          <w:bCs/>
          <w:color w:val="FFFFFF"/>
          <w:sz w:val="2"/>
          <w:szCs w:val="2"/>
          <w:rtl/>
        </w:rPr>
        <w:t>5129371</w:t>
      </w:r>
      <w:r>
        <w:rPr>
          <w:b/>
          <w:bCs/>
          <w:rtl/>
        </w:rPr>
        <w:t xml:space="preserve">‏ניתן היום ראשון ‏15/06/2014 במעמד הצדדים ובאי כוחם.  </w:t>
      </w:r>
    </w:p>
    <w:tbl>
      <w:tblPr>
        <w:bidiVisual/>
        <w:tblW w:w="0" w:type="auto"/>
        <w:tblLook w:val="01E0" w:firstRow="1" w:lastRow="1" w:firstColumn="1" w:lastColumn="1" w:noHBand="0" w:noVBand="0"/>
      </w:tblPr>
      <w:tblGrid>
        <w:gridCol w:w="2960"/>
        <w:gridCol w:w="236"/>
        <w:gridCol w:w="2289"/>
        <w:gridCol w:w="300"/>
        <w:gridCol w:w="2737"/>
      </w:tblGrid>
      <w:tr w:rsidR="00E235DC" w14:paraId="51DF16FB" w14:textId="77777777">
        <w:tc>
          <w:tcPr>
            <w:tcW w:w="2960" w:type="dxa"/>
            <w:tcBorders>
              <w:top w:val="nil"/>
              <w:left w:val="nil"/>
              <w:bottom w:val="single" w:sz="4" w:space="0" w:color="auto"/>
              <w:right w:val="nil"/>
            </w:tcBorders>
            <w:vAlign w:val="center"/>
          </w:tcPr>
          <w:p w14:paraId="64235984" w14:textId="77777777" w:rsidR="00E235DC" w:rsidRPr="00D52AD2" w:rsidRDefault="00D52AD2">
            <w:pPr>
              <w:jc w:val="center"/>
              <w:rPr>
                <w:rFonts w:ascii="Courier New" w:hAnsi="Courier New"/>
                <w:b/>
                <w:bCs/>
                <w:color w:val="FFFFFF"/>
                <w:sz w:val="2"/>
                <w:szCs w:val="2"/>
              </w:rPr>
            </w:pPr>
            <w:r w:rsidRPr="00D52AD2">
              <w:rPr>
                <w:rFonts w:ascii="Courier New" w:hAnsi="Courier New"/>
                <w:b/>
                <w:bCs/>
                <w:color w:val="FFFFFF"/>
                <w:sz w:val="2"/>
                <w:szCs w:val="2"/>
                <w:rtl/>
              </w:rPr>
              <w:t>54678313</w:t>
            </w:r>
          </w:p>
        </w:tc>
        <w:tc>
          <w:tcPr>
            <w:tcW w:w="236" w:type="dxa"/>
            <w:vAlign w:val="center"/>
          </w:tcPr>
          <w:p w14:paraId="3B2E0421" w14:textId="77777777" w:rsidR="00E235DC" w:rsidRDefault="00E235DC">
            <w:pPr>
              <w:jc w:val="center"/>
              <w:rPr>
                <w:rFonts w:ascii="Courier New" w:hAnsi="Courier New"/>
                <w:b/>
                <w:bCs/>
              </w:rPr>
            </w:pPr>
          </w:p>
        </w:tc>
        <w:tc>
          <w:tcPr>
            <w:tcW w:w="2289" w:type="dxa"/>
            <w:tcBorders>
              <w:top w:val="nil"/>
              <w:left w:val="nil"/>
              <w:bottom w:val="single" w:sz="4" w:space="0" w:color="auto"/>
              <w:right w:val="nil"/>
            </w:tcBorders>
            <w:vAlign w:val="center"/>
          </w:tcPr>
          <w:p w14:paraId="6F614465" w14:textId="77777777" w:rsidR="00E235DC" w:rsidRDefault="00E235DC">
            <w:pPr>
              <w:jc w:val="center"/>
              <w:rPr>
                <w:rFonts w:ascii="Courier New" w:hAnsi="Courier New"/>
                <w:b/>
                <w:bCs/>
                <w:sz w:val="20"/>
                <w:szCs w:val="20"/>
              </w:rPr>
            </w:pPr>
          </w:p>
        </w:tc>
        <w:tc>
          <w:tcPr>
            <w:tcW w:w="300" w:type="dxa"/>
            <w:vAlign w:val="center"/>
          </w:tcPr>
          <w:p w14:paraId="0189D1CD" w14:textId="77777777" w:rsidR="00E235DC" w:rsidRDefault="00E235DC">
            <w:pPr>
              <w:jc w:val="center"/>
              <w:rPr>
                <w:rFonts w:ascii="Courier New" w:hAnsi="Courier New"/>
                <w:b/>
                <w:bCs/>
              </w:rPr>
            </w:pPr>
          </w:p>
        </w:tc>
        <w:tc>
          <w:tcPr>
            <w:tcW w:w="2737" w:type="dxa"/>
            <w:tcBorders>
              <w:top w:val="nil"/>
              <w:left w:val="nil"/>
              <w:bottom w:val="single" w:sz="4" w:space="0" w:color="auto"/>
              <w:right w:val="nil"/>
            </w:tcBorders>
            <w:vAlign w:val="center"/>
          </w:tcPr>
          <w:p w14:paraId="1F4269BC" w14:textId="77777777" w:rsidR="00E235DC" w:rsidRDefault="00E235DC">
            <w:pPr>
              <w:jc w:val="center"/>
              <w:rPr>
                <w:rFonts w:ascii="Courier New" w:hAnsi="Courier New"/>
                <w:b/>
                <w:bCs/>
                <w:sz w:val="20"/>
                <w:szCs w:val="20"/>
              </w:rPr>
            </w:pPr>
          </w:p>
        </w:tc>
      </w:tr>
      <w:tr w:rsidR="00E235DC" w14:paraId="62AD4F03" w14:textId="77777777">
        <w:tc>
          <w:tcPr>
            <w:tcW w:w="2960" w:type="dxa"/>
            <w:tcBorders>
              <w:top w:val="single" w:sz="4" w:space="0" w:color="auto"/>
              <w:left w:val="nil"/>
              <w:bottom w:val="nil"/>
              <w:right w:val="nil"/>
            </w:tcBorders>
            <w:vAlign w:val="bottom"/>
          </w:tcPr>
          <w:p w14:paraId="76817DAD" w14:textId="77777777" w:rsidR="00E235DC" w:rsidRDefault="00D52AD2">
            <w:pPr>
              <w:jc w:val="center"/>
              <w:rPr>
                <w:rFonts w:ascii="Courier New" w:hAnsi="Courier New"/>
                <w:b/>
                <w:bCs/>
              </w:rPr>
            </w:pPr>
            <w:r>
              <w:rPr>
                <w:rFonts w:ascii="Courier New" w:hAnsi="Courier New"/>
                <w:b/>
                <w:bCs/>
                <w:rtl/>
              </w:rPr>
              <w:t>נתן זלוצ'ובר, שופט- אב"ד</w:t>
            </w:r>
          </w:p>
        </w:tc>
        <w:tc>
          <w:tcPr>
            <w:tcW w:w="236" w:type="dxa"/>
            <w:vAlign w:val="bottom"/>
          </w:tcPr>
          <w:p w14:paraId="60BF39F3" w14:textId="77777777" w:rsidR="00E235DC" w:rsidRDefault="00E235DC">
            <w:pPr>
              <w:jc w:val="center"/>
              <w:rPr>
                <w:rFonts w:ascii="Courier New" w:hAnsi="Courier New"/>
                <w:b/>
                <w:bCs/>
              </w:rPr>
            </w:pPr>
          </w:p>
        </w:tc>
        <w:tc>
          <w:tcPr>
            <w:tcW w:w="2289" w:type="dxa"/>
            <w:tcBorders>
              <w:top w:val="single" w:sz="4" w:space="0" w:color="auto"/>
              <w:left w:val="nil"/>
              <w:bottom w:val="nil"/>
              <w:right w:val="nil"/>
            </w:tcBorders>
          </w:tcPr>
          <w:p w14:paraId="231F12E5" w14:textId="77777777" w:rsidR="00E235DC" w:rsidRDefault="00D52AD2">
            <w:pPr>
              <w:jc w:val="center"/>
              <w:rPr>
                <w:rFonts w:ascii="Courier New" w:hAnsi="Courier New"/>
                <w:b/>
                <w:bCs/>
              </w:rPr>
            </w:pPr>
            <w:r>
              <w:rPr>
                <w:rFonts w:ascii="Courier New" w:hAnsi="Courier New"/>
                <w:b/>
                <w:bCs/>
                <w:rtl/>
              </w:rPr>
              <w:t>יעל רז לוי, שופטת</w:t>
            </w:r>
          </w:p>
        </w:tc>
        <w:tc>
          <w:tcPr>
            <w:tcW w:w="300" w:type="dxa"/>
          </w:tcPr>
          <w:p w14:paraId="7A249914" w14:textId="77777777" w:rsidR="00E235DC" w:rsidRDefault="00E235DC">
            <w:pPr>
              <w:jc w:val="center"/>
              <w:rPr>
                <w:rFonts w:ascii="Courier New" w:hAnsi="Courier New"/>
                <w:b/>
                <w:bCs/>
              </w:rPr>
            </w:pPr>
          </w:p>
        </w:tc>
        <w:tc>
          <w:tcPr>
            <w:tcW w:w="2737" w:type="dxa"/>
            <w:tcBorders>
              <w:top w:val="single" w:sz="4" w:space="0" w:color="auto"/>
              <w:left w:val="nil"/>
              <w:bottom w:val="nil"/>
              <w:right w:val="nil"/>
            </w:tcBorders>
          </w:tcPr>
          <w:p w14:paraId="691195D1" w14:textId="77777777" w:rsidR="00E235DC" w:rsidRDefault="00D52AD2">
            <w:pPr>
              <w:jc w:val="center"/>
              <w:rPr>
                <w:rFonts w:ascii="Courier New" w:hAnsi="Courier New"/>
                <w:b/>
                <w:bCs/>
              </w:rPr>
            </w:pPr>
            <w:r>
              <w:rPr>
                <w:rFonts w:ascii="Courier New" w:hAnsi="Courier New"/>
                <w:b/>
                <w:bCs/>
                <w:rtl/>
              </w:rPr>
              <w:t>שלמה פרידלנדר, שופט</w:t>
            </w:r>
          </w:p>
        </w:tc>
      </w:tr>
    </w:tbl>
    <w:p w14:paraId="2DBD08FF" w14:textId="77777777" w:rsidR="00E235DC" w:rsidRDefault="00E235DC"/>
    <w:p w14:paraId="480EEF7C" w14:textId="77777777" w:rsidR="00E235DC" w:rsidRPr="00427C26" w:rsidRDefault="00427C26">
      <w:pPr>
        <w:spacing w:line="360" w:lineRule="auto"/>
        <w:jc w:val="both"/>
        <w:rPr>
          <w:color w:val="FFFFFF"/>
          <w:sz w:val="2"/>
          <w:szCs w:val="2"/>
          <w:rtl/>
        </w:rPr>
      </w:pPr>
      <w:r w:rsidRPr="00427C26">
        <w:rPr>
          <w:color w:val="FFFFFF"/>
          <w:sz w:val="2"/>
          <w:szCs w:val="2"/>
          <w:rtl/>
        </w:rPr>
        <w:t>5129371</w:t>
      </w:r>
      <w:r w:rsidR="00D52AD2" w:rsidRPr="00427C26">
        <w:rPr>
          <w:color w:val="FFFFFF"/>
          <w:sz w:val="2"/>
          <w:szCs w:val="2"/>
          <w:rtl/>
        </w:rPr>
        <w:t xml:space="preserve"> </w:t>
      </w:r>
      <w:bookmarkStart w:id="9" w:name="_GoBack"/>
      <w:bookmarkEnd w:id="9"/>
    </w:p>
    <w:p w14:paraId="00064184" w14:textId="77777777" w:rsidR="00D52AD2" w:rsidRPr="00427C26" w:rsidRDefault="00427C26" w:rsidP="00D52AD2">
      <w:pPr>
        <w:keepNext/>
        <w:rPr>
          <w:rFonts w:ascii="David" w:hAnsi="David"/>
          <w:color w:val="FFFFFF"/>
          <w:sz w:val="2"/>
          <w:szCs w:val="2"/>
          <w:rtl/>
        </w:rPr>
      </w:pPr>
      <w:r w:rsidRPr="00427C26">
        <w:rPr>
          <w:rFonts w:ascii="David" w:hAnsi="David"/>
          <w:color w:val="FFFFFF"/>
          <w:sz w:val="2"/>
          <w:szCs w:val="2"/>
          <w:rtl/>
        </w:rPr>
        <w:t>54678313</w:t>
      </w:r>
    </w:p>
    <w:p w14:paraId="0B0C13C9" w14:textId="77777777" w:rsidR="00D52AD2" w:rsidRPr="00D52AD2" w:rsidRDefault="00D52AD2" w:rsidP="00D52AD2">
      <w:pPr>
        <w:keepNext/>
        <w:rPr>
          <w:rFonts w:ascii="David" w:hAnsi="David"/>
          <w:color w:val="000000"/>
          <w:sz w:val="22"/>
          <w:szCs w:val="22"/>
          <w:rtl/>
        </w:rPr>
      </w:pPr>
      <w:r w:rsidRPr="00D52AD2">
        <w:rPr>
          <w:rFonts w:ascii="David" w:hAnsi="David"/>
          <w:color w:val="000000"/>
          <w:sz w:val="22"/>
          <w:szCs w:val="22"/>
          <w:rtl/>
        </w:rPr>
        <w:t>זלוצ'ובר 54678313</w:t>
      </w:r>
    </w:p>
    <w:p w14:paraId="695FCDA6" w14:textId="77777777" w:rsidR="00D52AD2" w:rsidRDefault="00D52AD2" w:rsidP="00D52AD2">
      <w:r w:rsidRPr="00D52AD2">
        <w:rPr>
          <w:color w:val="000000"/>
          <w:rtl/>
        </w:rPr>
        <w:t>נוסח מסמך זה כפוף לשינויי ניסוח ועריכה</w:t>
      </w:r>
    </w:p>
    <w:p w14:paraId="1B6159AE" w14:textId="77777777" w:rsidR="00D52AD2" w:rsidRDefault="00D52AD2" w:rsidP="00D52AD2">
      <w:pPr>
        <w:rPr>
          <w:rtl/>
        </w:rPr>
      </w:pPr>
    </w:p>
    <w:p w14:paraId="00BA1998" w14:textId="77777777" w:rsidR="00D52AD2" w:rsidRDefault="00D52AD2" w:rsidP="00D52AD2">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7E74843A" w14:textId="77777777" w:rsidR="00427C26" w:rsidRPr="00427C26" w:rsidRDefault="00427C26" w:rsidP="00427C26">
      <w:pPr>
        <w:keepNext/>
        <w:rPr>
          <w:rFonts w:ascii="David" w:hAnsi="David"/>
          <w:color w:val="000000"/>
          <w:sz w:val="22"/>
          <w:szCs w:val="22"/>
          <w:rtl/>
        </w:rPr>
      </w:pPr>
    </w:p>
    <w:p w14:paraId="5701A51F" w14:textId="77777777" w:rsidR="00E235DC" w:rsidRPr="00D52AD2" w:rsidRDefault="00E235DC" w:rsidP="00427C26">
      <w:pPr>
        <w:rPr>
          <w:color w:val="0000FF"/>
          <w:u w:val="single"/>
        </w:rPr>
      </w:pPr>
    </w:p>
    <w:sectPr w:rsidR="00E235DC" w:rsidRPr="00D52AD2" w:rsidSect="00427C26">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CAEAE" w14:textId="77777777" w:rsidR="00E05427" w:rsidRPr="005726E6" w:rsidRDefault="00E05427">
      <w:pPr>
        <w:rPr>
          <w:rFonts w:cs="Arial"/>
          <w:szCs w:val="20"/>
        </w:rPr>
      </w:pPr>
      <w:r>
        <w:separator/>
      </w:r>
    </w:p>
  </w:endnote>
  <w:endnote w:type="continuationSeparator" w:id="0">
    <w:p w14:paraId="4B6D32BF" w14:textId="77777777" w:rsidR="00E05427" w:rsidRPr="005726E6" w:rsidRDefault="00E0542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CF576" w14:textId="77777777" w:rsidR="00427C26" w:rsidRDefault="00427C26" w:rsidP="00427C2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37175FF" w14:textId="77777777" w:rsidR="00E235DC" w:rsidRPr="00427C26" w:rsidRDefault="00427C26" w:rsidP="00427C26">
    <w:pPr>
      <w:pStyle w:val="a4"/>
      <w:pBdr>
        <w:top w:val="single" w:sz="4" w:space="1" w:color="auto"/>
        <w:between w:val="single" w:sz="4" w:space="0" w:color="auto"/>
      </w:pBdr>
      <w:spacing w:after="60"/>
      <w:jc w:val="center"/>
      <w:rPr>
        <w:rFonts w:ascii="FrankRuehl" w:hAnsi="FrankRuehl" w:cs="FrankRuehl"/>
        <w:color w:val="000000"/>
      </w:rPr>
    </w:pPr>
    <w:r w:rsidRPr="00427C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883D1" w14:textId="77777777" w:rsidR="00427C26" w:rsidRDefault="00427C26" w:rsidP="00427C2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63C5CEAD" w14:textId="77777777" w:rsidR="00E235DC" w:rsidRPr="00427C26" w:rsidRDefault="00427C26" w:rsidP="00427C26">
    <w:pPr>
      <w:pStyle w:val="a4"/>
      <w:pBdr>
        <w:top w:val="single" w:sz="4" w:space="1" w:color="auto"/>
        <w:between w:val="single" w:sz="4" w:space="0" w:color="auto"/>
      </w:pBdr>
      <w:spacing w:after="60"/>
      <w:jc w:val="center"/>
      <w:rPr>
        <w:rFonts w:ascii="FrankRuehl" w:hAnsi="FrankRuehl" w:cs="FrankRuehl"/>
        <w:color w:val="000000"/>
      </w:rPr>
    </w:pPr>
    <w:r w:rsidRPr="00427C26">
      <w:rPr>
        <w:rFonts w:ascii="FrankRuehl" w:hAnsi="FrankRuehl" w:cs="FrankRuehl"/>
        <w:color w:val="000000"/>
      </w:rPr>
      <w:pict w14:anchorId="0D24F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EB702" w14:textId="77777777" w:rsidR="00E05427" w:rsidRPr="005726E6" w:rsidRDefault="00E05427">
      <w:pPr>
        <w:rPr>
          <w:rFonts w:cs="Arial"/>
          <w:szCs w:val="20"/>
        </w:rPr>
      </w:pPr>
      <w:r>
        <w:separator/>
      </w:r>
    </w:p>
  </w:footnote>
  <w:footnote w:type="continuationSeparator" w:id="0">
    <w:p w14:paraId="1FE40748" w14:textId="77777777" w:rsidR="00E05427" w:rsidRPr="005726E6" w:rsidRDefault="00E0542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EFC12" w14:textId="77777777" w:rsidR="00D52AD2" w:rsidRPr="00427C26" w:rsidRDefault="00427C26" w:rsidP="00427C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1567-11-12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61815" w14:textId="77777777" w:rsidR="00D52AD2" w:rsidRPr="00427C26" w:rsidRDefault="00427C26" w:rsidP="00427C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1567-11-12</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97577"/>
    <w:multiLevelType w:val="hybridMultilevel"/>
    <w:tmpl w:val="0492CC30"/>
    <w:lvl w:ilvl="0" w:tplc="FE187522">
      <w:start w:val="1"/>
      <w:numFmt w:val="hebrew1"/>
      <w:lvlText w:val="(%1)"/>
      <w:lvlJc w:val="left"/>
      <w:pPr>
        <w:ind w:left="756" w:hanging="360"/>
      </w:pPr>
      <w:rPr>
        <w:rFonts w:cs="Times New Roman" w:hint="default"/>
      </w:rPr>
    </w:lvl>
    <w:lvl w:ilvl="1" w:tplc="04090019" w:tentative="1">
      <w:start w:val="1"/>
      <w:numFmt w:val="lowerLetter"/>
      <w:lvlText w:val="%2."/>
      <w:lvlJc w:val="left"/>
      <w:pPr>
        <w:ind w:left="1476" w:hanging="360"/>
      </w:pPr>
      <w:rPr>
        <w:rFonts w:cs="Times New Roman"/>
      </w:rPr>
    </w:lvl>
    <w:lvl w:ilvl="2" w:tplc="0409001B" w:tentative="1">
      <w:start w:val="1"/>
      <w:numFmt w:val="lowerRoman"/>
      <w:lvlText w:val="%3."/>
      <w:lvlJc w:val="right"/>
      <w:pPr>
        <w:ind w:left="2196" w:hanging="180"/>
      </w:pPr>
      <w:rPr>
        <w:rFonts w:cs="Times New Roman"/>
      </w:rPr>
    </w:lvl>
    <w:lvl w:ilvl="3" w:tplc="0409000F" w:tentative="1">
      <w:start w:val="1"/>
      <w:numFmt w:val="decimal"/>
      <w:lvlText w:val="%4."/>
      <w:lvlJc w:val="left"/>
      <w:pPr>
        <w:ind w:left="2916" w:hanging="360"/>
      </w:pPr>
      <w:rPr>
        <w:rFonts w:cs="Times New Roman"/>
      </w:rPr>
    </w:lvl>
    <w:lvl w:ilvl="4" w:tplc="04090019" w:tentative="1">
      <w:start w:val="1"/>
      <w:numFmt w:val="lowerLetter"/>
      <w:lvlText w:val="%5."/>
      <w:lvlJc w:val="left"/>
      <w:pPr>
        <w:ind w:left="3636" w:hanging="360"/>
      </w:pPr>
      <w:rPr>
        <w:rFonts w:cs="Times New Roman"/>
      </w:rPr>
    </w:lvl>
    <w:lvl w:ilvl="5" w:tplc="0409001B" w:tentative="1">
      <w:start w:val="1"/>
      <w:numFmt w:val="lowerRoman"/>
      <w:lvlText w:val="%6."/>
      <w:lvlJc w:val="right"/>
      <w:pPr>
        <w:ind w:left="4356" w:hanging="180"/>
      </w:pPr>
      <w:rPr>
        <w:rFonts w:cs="Times New Roman"/>
      </w:rPr>
    </w:lvl>
    <w:lvl w:ilvl="6" w:tplc="0409000F" w:tentative="1">
      <w:start w:val="1"/>
      <w:numFmt w:val="decimal"/>
      <w:lvlText w:val="%7."/>
      <w:lvlJc w:val="left"/>
      <w:pPr>
        <w:ind w:left="5076" w:hanging="360"/>
      </w:pPr>
      <w:rPr>
        <w:rFonts w:cs="Times New Roman"/>
      </w:rPr>
    </w:lvl>
    <w:lvl w:ilvl="7" w:tplc="04090019" w:tentative="1">
      <w:start w:val="1"/>
      <w:numFmt w:val="lowerLetter"/>
      <w:lvlText w:val="%8."/>
      <w:lvlJc w:val="left"/>
      <w:pPr>
        <w:ind w:left="5796" w:hanging="360"/>
      </w:pPr>
      <w:rPr>
        <w:rFonts w:cs="Times New Roman"/>
      </w:rPr>
    </w:lvl>
    <w:lvl w:ilvl="8" w:tplc="0409001B" w:tentative="1">
      <w:start w:val="1"/>
      <w:numFmt w:val="lowerRoman"/>
      <w:lvlText w:val="%9."/>
      <w:lvlJc w:val="right"/>
      <w:pPr>
        <w:ind w:left="6516" w:hanging="180"/>
      </w:pPr>
      <w:rPr>
        <w:rFonts w:cs="Times New Roman"/>
      </w:rPr>
    </w:lvl>
  </w:abstractNum>
  <w:abstractNum w:abstractNumId="1" w15:restartNumberingAfterBreak="0">
    <w:nsid w:val="3EC25050"/>
    <w:multiLevelType w:val="hybridMultilevel"/>
    <w:tmpl w:val="9984F010"/>
    <w:lvl w:ilvl="0" w:tplc="44000BA4">
      <w:start w:val="1"/>
      <w:numFmt w:val="decimal"/>
      <w:lvlText w:val="%1."/>
      <w:lvlJc w:val="left"/>
      <w:pPr>
        <w:ind w:left="360" w:hanging="360"/>
      </w:pPr>
      <w:rPr>
        <w:rFonts w:cs="Times New Roman" w:hint="default"/>
        <w:b w:val="0"/>
        <w:bCs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908269589">
    <w:abstractNumId w:val="1"/>
  </w:num>
  <w:num w:numId="2" w16cid:durableId="534585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35DC"/>
    <w:rsid w:val="000E21CB"/>
    <w:rsid w:val="004037CC"/>
    <w:rsid w:val="00427C26"/>
    <w:rsid w:val="00790651"/>
    <w:rsid w:val="00AF36A6"/>
    <w:rsid w:val="00BC0B55"/>
    <w:rsid w:val="00CE0607"/>
    <w:rsid w:val="00D52AD2"/>
    <w:rsid w:val="00E05427"/>
    <w:rsid w:val="00E235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34C296"/>
  <w15:chartTrackingRefBased/>
  <w15:docId w15:val="{805D74AF-9363-4F49-96EA-0B701E63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35D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235DC"/>
    <w:pPr>
      <w:tabs>
        <w:tab w:val="center" w:pos="4153"/>
        <w:tab w:val="right" w:pos="8306"/>
      </w:tabs>
    </w:pPr>
  </w:style>
  <w:style w:type="paragraph" w:styleId="a4">
    <w:name w:val="footer"/>
    <w:basedOn w:val="a"/>
    <w:rsid w:val="00E235DC"/>
    <w:pPr>
      <w:tabs>
        <w:tab w:val="center" w:pos="4153"/>
        <w:tab w:val="right" w:pos="8306"/>
      </w:tabs>
    </w:pPr>
  </w:style>
  <w:style w:type="character" w:styleId="a5">
    <w:name w:val="page number"/>
    <w:basedOn w:val="a0"/>
    <w:rsid w:val="00E235DC"/>
  </w:style>
  <w:style w:type="character" w:styleId="Hyperlink">
    <w:name w:val="Hyperlink"/>
    <w:basedOn w:val="a0"/>
    <w:rsid w:val="00D52A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2515/3" TargetMode="External"/><Relationship Id="rId21" Type="http://schemas.openxmlformats.org/officeDocument/2006/relationships/hyperlink" Target="http://www.nevo.co.il/law/73854"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5570802" TargetMode="External"/><Relationship Id="rId47" Type="http://schemas.openxmlformats.org/officeDocument/2006/relationships/hyperlink" Target="http://www.nevo.co.il/law/70301/40jc" TargetMode="External"/><Relationship Id="rId50" Type="http://schemas.openxmlformats.org/officeDocument/2006/relationships/hyperlink" Target="http://www.nevo.co.il/law/70301/40c.a" TargetMode="External"/><Relationship Id="rId55" Type="http://schemas.openxmlformats.org/officeDocument/2006/relationships/hyperlink" Target="http://www.nevo.co.il/law/70301" TargetMode="External"/><Relationship Id="rId63"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2515" TargetMode="External"/><Relationship Id="rId11" Type="http://schemas.openxmlformats.org/officeDocument/2006/relationships/hyperlink" Target="http://www.nevo.co.il/law/70301/40e"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g" TargetMode="External"/><Relationship Id="rId40" Type="http://schemas.openxmlformats.org/officeDocument/2006/relationships/hyperlink" Target="http://www.nevo.co.il/law/70301/40e"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40f;40g"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2515"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3854/8" TargetMode="External"/><Relationship Id="rId27" Type="http://schemas.openxmlformats.org/officeDocument/2006/relationships/hyperlink" Target="http://www.nevo.co.il/law/72515" TargetMode="External"/><Relationship Id="rId30" Type="http://schemas.openxmlformats.org/officeDocument/2006/relationships/hyperlink" Target="http://www.nevo.co.il/law/73854/8" TargetMode="External"/><Relationship Id="rId35" Type="http://schemas.openxmlformats.org/officeDocument/2006/relationships/hyperlink" Target="http://www.nevo.co.il/law/70301/40b" TargetMode="External"/><Relationship Id="rId43" Type="http://schemas.openxmlformats.org/officeDocument/2006/relationships/hyperlink" Target="http://www.nevo.co.il/case/6216271"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40e" TargetMode="External"/><Relationship Id="rId64" Type="http://schemas.openxmlformats.org/officeDocument/2006/relationships/footer" Target="footer1.xml"/><Relationship Id="rId8"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0f"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case/6244735"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 TargetMode="External"/><Relationship Id="rId67" Type="http://schemas.openxmlformats.org/officeDocument/2006/relationships/theme" Target="theme/theme1.xml"/><Relationship Id="rId20" Type="http://schemas.openxmlformats.org/officeDocument/2006/relationships/hyperlink" Target="http://www.nevo.co.il/law/72515/3" TargetMode="External"/><Relationship Id="rId41" Type="http://schemas.openxmlformats.org/officeDocument/2006/relationships/hyperlink" Target="http://www.nevo.co.il/case/5589473" TargetMode="External"/><Relationship Id="rId54" Type="http://schemas.openxmlformats.org/officeDocument/2006/relationships/hyperlink" Target="http://www.nevo.co.il/law/70301/40d"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law/72515/3" TargetMode="External"/><Relationship Id="rId36" Type="http://schemas.openxmlformats.org/officeDocument/2006/relationships/hyperlink" Target="http://www.nevo.co.il/law/70301/40f"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d" TargetMode="External"/><Relationship Id="rId31" Type="http://schemas.openxmlformats.org/officeDocument/2006/relationships/hyperlink" Target="http://www.nevo.co.il/law/73854" TargetMode="External"/><Relationship Id="rId44" Type="http://schemas.openxmlformats.org/officeDocument/2006/relationships/hyperlink" Target="http://www.nevo.co.il/case/6548373" TargetMode="External"/><Relationship Id="rId52" Type="http://schemas.openxmlformats.org/officeDocument/2006/relationships/hyperlink" Target="http://www.nevo.co.il/law/70301/40i" TargetMode="External"/><Relationship Id="rId60" Type="http://schemas.openxmlformats.org/officeDocument/2006/relationships/hyperlink" Target="http://www.nevo.co.il/law/70301/40ja"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40g" TargetMode="External"/><Relationship Id="rId18" Type="http://schemas.openxmlformats.org/officeDocument/2006/relationships/hyperlink" Target="http://www.nevo.co.il/law/70301/499.a.1" TargetMode="External"/><Relationship Id="rId39" Type="http://schemas.openxmlformats.org/officeDocument/2006/relationships/hyperlink" Target="http://www.nevo.co.il/law/70301/40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2246</Words>
  <Characters>11231</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nevo.co.il</vt:lpstr>
    </vt:vector>
  </TitlesOfParts>
  <Company> </Company>
  <LinksUpToDate>false</LinksUpToDate>
  <CharactersWithSpaces>13451</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262155</vt:i4>
      </vt:variant>
      <vt:variant>
        <vt:i4>159</vt:i4>
      </vt:variant>
      <vt:variant>
        <vt:i4>0</vt:i4>
      </vt:variant>
      <vt:variant>
        <vt:i4>5</vt:i4>
      </vt:variant>
      <vt:variant>
        <vt:lpwstr>http://www.nevo.co.il/law/70301/40ja</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7209011</vt:i4>
      </vt:variant>
      <vt:variant>
        <vt:i4>153</vt:i4>
      </vt:variant>
      <vt:variant>
        <vt:i4>0</vt:i4>
      </vt:variant>
      <vt:variant>
        <vt:i4>5</vt:i4>
      </vt:variant>
      <vt:variant>
        <vt:lpwstr>http://www.nevo.co.il/law/70301/40f;40g</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http://www.nevo.co.il/law/70301/40e</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6619233</vt:i4>
      </vt:variant>
      <vt:variant>
        <vt:i4>141</vt:i4>
      </vt:variant>
      <vt:variant>
        <vt:i4>0</vt:i4>
      </vt:variant>
      <vt:variant>
        <vt:i4>5</vt:i4>
      </vt:variant>
      <vt:variant>
        <vt:lpwstr>http://www.nevo.co.il/law/70301/40d</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http://www.nevo.co.il/law/70301/40i</vt:lpwstr>
      </vt:variant>
      <vt:variant>
        <vt:lpwstr/>
      </vt:variant>
      <vt:variant>
        <vt:i4>7995492</vt:i4>
      </vt:variant>
      <vt:variant>
        <vt:i4>132</vt:i4>
      </vt:variant>
      <vt:variant>
        <vt:i4>0</vt:i4>
      </vt:variant>
      <vt:variant>
        <vt:i4>5</vt:i4>
      </vt:variant>
      <vt:variant>
        <vt:lpwstr>http://www.nevo.co.il/law/70301</vt:lpwstr>
      </vt:variant>
      <vt:variant>
        <vt:lpwstr/>
      </vt:variant>
      <vt:variant>
        <vt:i4>4915202</vt:i4>
      </vt:variant>
      <vt:variant>
        <vt:i4>129</vt:i4>
      </vt:variant>
      <vt:variant>
        <vt:i4>0</vt:i4>
      </vt:variant>
      <vt:variant>
        <vt:i4>5</vt:i4>
      </vt:variant>
      <vt:variant>
        <vt:lpwstr>http://www.nevo.co.il/law/70301/40c.a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393227</vt:i4>
      </vt:variant>
      <vt:variant>
        <vt:i4>120</vt:i4>
      </vt:variant>
      <vt:variant>
        <vt:i4>0</vt:i4>
      </vt:variant>
      <vt:variant>
        <vt:i4>5</vt:i4>
      </vt:variant>
      <vt:variant>
        <vt:lpwstr>http://www.nevo.co.il/law/70301/40jc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3276926</vt:i4>
      </vt:variant>
      <vt:variant>
        <vt:i4>111</vt:i4>
      </vt:variant>
      <vt:variant>
        <vt:i4>0</vt:i4>
      </vt:variant>
      <vt:variant>
        <vt:i4>5</vt:i4>
      </vt:variant>
      <vt:variant>
        <vt:lpwstr>http://www.nevo.co.il/case/6548373</vt:lpwstr>
      </vt:variant>
      <vt:variant>
        <vt:lpwstr/>
      </vt:variant>
      <vt:variant>
        <vt:i4>3407991</vt:i4>
      </vt:variant>
      <vt:variant>
        <vt:i4>108</vt:i4>
      </vt:variant>
      <vt:variant>
        <vt:i4>0</vt:i4>
      </vt:variant>
      <vt:variant>
        <vt:i4>5</vt:i4>
      </vt:variant>
      <vt:variant>
        <vt:lpwstr>http://www.nevo.co.il/case/6216271</vt:lpwstr>
      </vt:variant>
      <vt:variant>
        <vt:lpwstr/>
      </vt:variant>
      <vt:variant>
        <vt:i4>3670129</vt:i4>
      </vt:variant>
      <vt:variant>
        <vt:i4>105</vt:i4>
      </vt:variant>
      <vt:variant>
        <vt:i4>0</vt:i4>
      </vt:variant>
      <vt:variant>
        <vt:i4>5</vt:i4>
      </vt:variant>
      <vt:variant>
        <vt:lpwstr>http://www.nevo.co.il/case/5570802</vt:lpwstr>
      </vt:variant>
      <vt:variant>
        <vt:lpwstr/>
      </vt:variant>
      <vt:variant>
        <vt:i4>3801215</vt:i4>
      </vt:variant>
      <vt:variant>
        <vt:i4>102</vt:i4>
      </vt:variant>
      <vt:variant>
        <vt:i4>0</vt:i4>
      </vt:variant>
      <vt:variant>
        <vt:i4>5</vt:i4>
      </vt:variant>
      <vt:variant>
        <vt:lpwstr>http://www.nevo.co.il/case/5589473</vt:lpwstr>
      </vt:variant>
      <vt:variant>
        <vt:lpwstr/>
      </vt:variant>
      <vt:variant>
        <vt:i4>6619233</vt:i4>
      </vt:variant>
      <vt:variant>
        <vt:i4>99</vt:i4>
      </vt:variant>
      <vt:variant>
        <vt:i4>0</vt:i4>
      </vt:variant>
      <vt:variant>
        <vt:i4>5</vt:i4>
      </vt:variant>
      <vt:variant>
        <vt:lpwstr>http://www.nevo.co.il/law/70301/40e</vt:lpwstr>
      </vt:variant>
      <vt:variant>
        <vt:lpwstr/>
      </vt:variant>
      <vt:variant>
        <vt:i4>6619233</vt:i4>
      </vt:variant>
      <vt:variant>
        <vt:i4>96</vt:i4>
      </vt:variant>
      <vt:variant>
        <vt:i4>0</vt:i4>
      </vt:variant>
      <vt:variant>
        <vt:i4>5</vt:i4>
      </vt:variant>
      <vt:variant>
        <vt:lpwstr>http://www.nevo.co.il/law/70301/40e</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http://www.nevo.co.il/law/70301/40g</vt:lpwstr>
      </vt:variant>
      <vt:variant>
        <vt:lpwstr/>
      </vt:variant>
      <vt:variant>
        <vt:i4>6619233</vt:i4>
      </vt:variant>
      <vt:variant>
        <vt:i4>87</vt:i4>
      </vt:variant>
      <vt:variant>
        <vt:i4>0</vt:i4>
      </vt:variant>
      <vt:variant>
        <vt:i4>5</vt:i4>
      </vt:variant>
      <vt:variant>
        <vt:lpwstr>http://www.nevo.co.il/law/70301/40f</vt:lpwstr>
      </vt:variant>
      <vt:variant>
        <vt:lpwstr/>
      </vt:variant>
      <vt:variant>
        <vt:i4>6619233</vt:i4>
      </vt:variant>
      <vt:variant>
        <vt:i4>84</vt:i4>
      </vt:variant>
      <vt:variant>
        <vt:i4>0</vt:i4>
      </vt:variant>
      <vt:variant>
        <vt:i4>5</vt:i4>
      </vt:variant>
      <vt:variant>
        <vt:lpwstr>http://www.nevo.co.il/law/70301/40b</vt:lpwstr>
      </vt:variant>
      <vt:variant>
        <vt:lpwstr/>
      </vt:variant>
      <vt:variant>
        <vt:i4>7995492</vt:i4>
      </vt:variant>
      <vt:variant>
        <vt:i4>81</vt:i4>
      </vt:variant>
      <vt:variant>
        <vt:i4>0</vt:i4>
      </vt:variant>
      <vt:variant>
        <vt:i4>5</vt:i4>
      </vt:variant>
      <vt:variant>
        <vt:lpwstr>http://www.nevo.co.il/law/70301</vt:lpwstr>
      </vt:variant>
      <vt:variant>
        <vt:lpwstr/>
      </vt:variant>
      <vt:variant>
        <vt:i4>3145841</vt:i4>
      </vt:variant>
      <vt:variant>
        <vt:i4>78</vt:i4>
      </vt:variant>
      <vt:variant>
        <vt:i4>0</vt:i4>
      </vt:variant>
      <vt:variant>
        <vt:i4>5</vt:i4>
      </vt:variant>
      <vt:variant>
        <vt:lpwstr>http://www.nevo.co.il/case/6244735</vt:lpwstr>
      </vt:variant>
      <vt:variant>
        <vt:lpwstr/>
      </vt:variant>
      <vt:variant>
        <vt:i4>7995492</vt:i4>
      </vt:variant>
      <vt:variant>
        <vt:i4>75</vt:i4>
      </vt:variant>
      <vt:variant>
        <vt:i4>0</vt:i4>
      </vt:variant>
      <vt:variant>
        <vt:i4>5</vt:i4>
      </vt:variant>
      <vt:variant>
        <vt:lpwstr>http://www.nevo.co.il/law/70301</vt:lpwstr>
      </vt:variant>
      <vt:variant>
        <vt:lpwstr/>
      </vt:variant>
      <vt:variant>
        <vt:i4>8126575</vt:i4>
      </vt:variant>
      <vt:variant>
        <vt:i4>72</vt:i4>
      </vt:variant>
      <vt:variant>
        <vt:i4>0</vt:i4>
      </vt:variant>
      <vt:variant>
        <vt:i4>5</vt:i4>
      </vt:variant>
      <vt:variant>
        <vt:lpwstr>http://www.nevo.co.il/law/73854</vt:lpwstr>
      </vt:variant>
      <vt:variant>
        <vt:lpwstr/>
      </vt:variant>
      <vt:variant>
        <vt:i4>5439579</vt:i4>
      </vt:variant>
      <vt:variant>
        <vt:i4>69</vt:i4>
      </vt:variant>
      <vt:variant>
        <vt:i4>0</vt:i4>
      </vt:variant>
      <vt:variant>
        <vt:i4>5</vt:i4>
      </vt:variant>
      <vt:variant>
        <vt:lpwstr>http://www.nevo.co.il/law/73854/8</vt:lpwstr>
      </vt:variant>
      <vt:variant>
        <vt:lpwstr/>
      </vt:variant>
      <vt:variant>
        <vt:i4>7929954</vt:i4>
      </vt:variant>
      <vt:variant>
        <vt:i4>66</vt:i4>
      </vt:variant>
      <vt:variant>
        <vt:i4>0</vt:i4>
      </vt:variant>
      <vt:variant>
        <vt:i4>5</vt:i4>
      </vt:variant>
      <vt:variant>
        <vt:lpwstr>http://www.nevo.co.il/law/72515</vt:lpwstr>
      </vt:variant>
      <vt:variant>
        <vt:lpwstr/>
      </vt:variant>
      <vt:variant>
        <vt:i4>5636183</vt:i4>
      </vt:variant>
      <vt:variant>
        <vt:i4>63</vt:i4>
      </vt:variant>
      <vt:variant>
        <vt:i4>0</vt:i4>
      </vt:variant>
      <vt:variant>
        <vt:i4>5</vt:i4>
      </vt:variant>
      <vt:variant>
        <vt:lpwstr>http://www.nevo.co.il/law/72515/3</vt:lpwstr>
      </vt:variant>
      <vt:variant>
        <vt:lpwstr/>
      </vt:variant>
      <vt:variant>
        <vt:i4>7929954</vt:i4>
      </vt:variant>
      <vt:variant>
        <vt:i4>60</vt:i4>
      </vt:variant>
      <vt:variant>
        <vt:i4>0</vt:i4>
      </vt:variant>
      <vt:variant>
        <vt:i4>5</vt:i4>
      </vt:variant>
      <vt:variant>
        <vt:lpwstr>http://www.nevo.co.il/law/72515</vt:lpwstr>
      </vt:variant>
      <vt:variant>
        <vt:lpwstr/>
      </vt:variant>
      <vt:variant>
        <vt:i4>5636183</vt:i4>
      </vt:variant>
      <vt:variant>
        <vt:i4>57</vt:i4>
      </vt:variant>
      <vt:variant>
        <vt:i4>0</vt:i4>
      </vt:variant>
      <vt:variant>
        <vt:i4>5</vt:i4>
      </vt:variant>
      <vt:variant>
        <vt:lpwstr>http://www.nevo.co.il/law/72515/3</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5439579</vt:i4>
      </vt:variant>
      <vt:variant>
        <vt:i4>45</vt:i4>
      </vt:variant>
      <vt:variant>
        <vt:i4>0</vt:i4>
      </vt:variant>
      <vt:variant>
        <vt:i4>5</vt:i4>
      </vt:variant>
      <vt:variant>
        <vt:lpwstr>http://www.nevo.co.il/law/73854/8</vt:lpwstr>
      </vt:variant>
      <vt:variant>
        <vt:lpwstr/>
      </vt:variant>
      <vt:variant>
        <vt:i4>8126575</vt:i4>
      </vt:variant>
      <vt:variant>
        <vt:i4>42</vt:i4>
      </vt:variant>
      <vt:variant>
        <vt:i4>0</vt:i4>
      </vt:variant>
      <vt:variant>
        <vt:i4>5</vt:i4>
      </vt:variant>
      <vt:variant>
        <vt:lpwstr>http://www.nevo.co.il/law/73854</vt:lpwstr>
      </vt:variant>
      <vt:variant>
        <vt:lpwstr/>
      </vt:variant>
      <vt:variant>
        <vt:i4>5636183</vt:i4>
      </vt:variant>
      <vt:variant>
        <vt:i4>39</vt:i4>
      </vt:variant>
      <vt:variant>
        <vt:i4>0</vt:i4>
      </vt:variant>
      <vt:variant>
        <vt:i4>5</vt:i4>
      </vt:variant>
      <vt:variant>
        <vt:lpwstr>http://www.nevo.co.il/law/72515/3</vt:lpwstr>
      </vt:variant>
      <vt:variant>
        <vt:lpwstr/>
      </vt:variant>
      <vt:variant>
        <vt:i4>7929954</vt:i4>
      </vt:variant>
      <vt:variant>
        <vt:i4>36</vt:i4>
      </vt:variant>
      <vt:variant>
        <vt:i4>0</vt:i4>
      </vt:variant>
      <vt:variant>
        <vt:i4>5</vt:i4>
      </vt:variant>
      <vt:variant>
        <vt:lpwstr>http://www.nevo.co.il/law/72515</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2025-01-19T15:45:00Z</dcterms:created>
  <dcterms:modified xsi:type="dcterms:W3CDTF">2025-01-19T15:45:00Z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1567</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ענבל ברסאנו;ג'בארין</vt:lpwstr>
  </property>
  <property fmtid="{D5CDD505-2E9C-101B-9397-08002B2CF9AE}" pid="11" name="JUDGE">
    <vt:lpwstr>זלוצ'ובר;רז לוי;פרידלנדר</vt:lpwstr>
  </property>
  <property fmtid="{D5CDD505-2E9C-101B-9397-08002B2CF9AE}" pid="12" name="CITY">
    <vt:lpwstr>ב"ש</vt:lpwstr>
  </property>
  <property fmtid="{D5CDD505-2E9C-101B-9397-08002B2CF9AE}" pid="13" name="DATE">
    <vt:lpwstr>20140615</vt:lpwstr>
  </property>
  <property fmtid="{D5CDD505-2E9C-101B-9397-08002B2CF9AE}" pid="14" name="TYPE_N_DATE">
    <vt:lpwstr>39020140615</vt:lpwstr>
  </property>
  <property fmtid="{D5CDD505-2E9C-101B-9397-08002B2CF9AE}" pid="15" name="CASESLISTTMP1">
    <vt:lpwstr>6244735;5589473;5570802;6216271;6548373</vt:lpwstr>
  </property>
  <property fmtid="{D5CDD505-2E9C-101B-9397-08002B2CF9AE}" pid="16" name="WORDNUMPAGES">
    <vt:lpwstr>7</vt:lpwstr>
  </property>
  <property fmtid="{D5CDD505-2E9C-101B-9397-08002B2CF9AE}" pid="17" name="TYPE_ABS_DATE">
    <vt:lpwstr>390020140615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70301/499.a.1;144.b;040b;040f:2;040g:2;040e:3;40jc;040c.a;040i;040d;40ja</vt:lpwstr>
  </property>
  <property fmtid="{D5CDD505-2E9C-101B-9397-08002B2CF9AE}" pid="37" name="LAWLISTTMP2">
    <vt:lpwstr>72515/003:2</vt:lpwstr>
  </property>
  <property fmtid="{D5CDD505-2E9C-101B-9397-08002B2CF9AE}" pid="38" name="LAWLISTTMP3">
    <vt:lpwstr>73854/008</vt:lpwstr>
  </property>
</Properties>
</file>