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CA120F" w:rsidRPr="00402B4E" w14:paraId="424325A4" w14:textId="77777777">
        <w:trPr>
          <w:trHeight w:hRule="exact" w:val="418"/>
          <w:jc w:val="center"/>
        </w:trPr>
        <w:tc>
          <w:tcPr>
            <w:tcW w:w="8721" w:type="dxa"/>
            <w:gridSpan w:val="2"/>
          </w:tcPr>
          <w:p w14:paraId="6D070B23" w14:textId="77777777" w:rsidR="00CA120F" w:rsidRPr="00402B4E" w:rsidRDefault="00402B4E">
            <w:pPr>
              <w:pStyle w:val="a3"/>
              <w:jc w:val="center"/>
              <w:rPr>
                <w:rFonts w:ascii="Tahoma" w:hAnsi="Tahoma" w:cs="Tahoma"/>
                <w:color w:val="000080"/>
                <w:rtl/>
              </w:rPr>
            </w:pPr>
            <w:bookmarkStart w:id="0" w:name="LastJudge"/>
            <w:r w:rsidRPr="00402B4E">
              <w:rPr>
                <w:rFonts w:ascii="Tahoma" w:hAnsi="Tahoma" w:cs="Tahoma"/>
                <w:b/>
                <w:bCs/>
                <w:color w:val="000080"/>
                <w:rtl/>
              </w:rPr>
              <w:t>בית המשפט המחוזי בירושלים</w:t>
            </w:r>
          </w:p>
        </w:tc>
      </w:tr>
      <w:tr w:rsidR="00CA120F" w:rsidRPr="00402B4E" w14:paraId="21BF2534" w14:textId="77777777">
        <w:trPr>
          <w:trHeight w:val="337"/>
          <w:jc w:val="center"/>
        </w:trPr>
        <w:tc>
          <w:tcPr>
            <w:tcW w:w="5055" w:type="dxa"/>
          </w:tcPr>
          <w:p w14:paraId="2507DC05" w14:textId="77777777" w:rsidR="00CA120F" w:rsidRPr="00402B4E" w:rsidRDefault="00402B4E">
            <w:pPr>
              <w:rPr>
                <w:b/>
                <w:bCs/>
                <w:sz w:val="28"/>
                <w:szCs w:val="28"/>
                <w:rtl/>
              </w:rPr>
            </w:pPr>
            <w:r w:rsidRPr="00402B4E">
              <w:rPr>
                <w:b/>
                <w:bCs/>
                <w:sz w:val="28"/>
                <w:szCs w:val="28"/>
                <w:rtl/>
              </w:rPr>
              <w:t>ת"פ</w:t>
            </w:r>
            <w:r w:rsidRPr="00402B4E">
              <w:rPr>
                <w:rFonts w:hint="cs"/>
                <w:b/>
                <w:bCs/>
                <w:sz w:val="28"/>
                <w:szCs w:val="28"/>
                <w:rtl/>
              </w:rPr>
              <w:t xml:space="preserve"> </w:t>
            </w:r>
            <w:r w:rsidRPr="00402B4E">
              <w:rPr>
                <w:b/>
                <w:bCs/>
                <w:sz w:val="28"/>
                <w:szCs w:val="28"/>
                <w:rtl/>
              </w:rPr>
              <w:t>2582-11-12</w:t>
            </w:r>
            <w:r w:rsidRPr="00402B4E">
              <w:rPr>
                <w:rFonts w:hint="cs"/>
                <w:b/>
                <w:bCs/>
                <w:sz w:val="28"/>
                <w:szCs w:val="28"/>
                <w:rtl/>
              </w:rPr>
              <w:t xml:space="preserve"> </w:t>
            </w:r>
            <w:r w:rsidRPr="00402B4E">
              <w:rPr>
                <w:b/>
                <w:bCs/>
                <w:sz w:val="28"/>
                <w:szCs w:val="28"/>
                <w:rtl/>
              </w:rPr>
              <w:t>מדינת ישראל נ' אמויאל</w:t>
            </w:r>
          </w:p>
          <w:p w14:paraId="399084AF" w14:textId="77777777" w:rsidR="00CA120F" w:rsidRPr="00402B4E" w:rsidRDefault="00CA120F">
            <w:pPr>
              <w:pStyle w:val="a3"/>
              <w:rPr>
                <w:rFonts w:cs="FrankRuehl"/>
                <w:sz w:val="28"/>
                <w:szCs w:val="28"/>
                <w:rtl/>
              </w:rPr>
            </w:pPr>
          </w:p>
        </w:tc>
        <w:tc>
          <w:tcPr>
            <w:tcW w:w="3666" w:type="dxa"/>
          </w:tcPr>
          <w:p w14:paraId="783EF162" w14:textId="77777777" w:rsidR="00CA120F" w:rsidRPr="00402B4E" w:rsidRDefault="00CA120F">
            <w:pPr>
              <w:pStyle w:val="a3"/>
              <w:jc w:val="right"/>
              <w:rPr>
                <w:rFonts w:cs="FrankRuehl"/>
                <w:sz w:val="28"/>
                <w:szCs w:val="28"/>
                <w:rtl/>
              </w:rPr>
            </w:pPr>
          </w:p>
        </w:tc>
      </w:tr>
    </w:tbl>
    <w:p w14:paraId="3D03053F" w14:textId="77777777" w:rsidR="00CA120F" w:rsidRPr="00402B4E" w:rsidRDefault="00402B4E">
      <w:pPr>
        <w:pStyle w:val="a3"/>
        <w:rPr>
          <w:rtl/>
        </w:rPr>
      </w:pPr>
      <w:r w:rsidRPr="00402B4E">
        <w:rPr>
          <w:rFonts w:hint="cs"/>
          <w:rtl/>
        </w:rPr>
        <w:t xml:space="preserve"> </w:t>
      </w:r>
    </w:p>
    <w:tbl>
      <w:tblPr>
        <w:bidiVisual/>
        <w:tblW w:w="8802" w:type="dxa"/>
        <w:tblInd w:w="-28" w:type="dxa"/>
        <w:tblLook w:val="01E0" w:firstRow="1" w:lastRow="1" w:firstColumn="1" w:lastColumn="1" w:noHBand="0" w:noVBand="0"/>
      </w:tblPr>
      <w:tblGrid>
        <w:gridCol w:w="2880"/>
        <w:gridCol w:w="5839"/>
        <w:gridCol w:w="83"/>
      </w:tblGrid>
      <w:tr w:rsidR="00CA120F" w:rsidRPr="00402B4E" w14:paraId="1D4DABC1" w14:textId="77777777">
        <w:trPr>
          <w:gridAfter w:val="1"/>
          <w:wAfter w:w="83" w:type="dxa"/>
        </w:trPr>
        <w:tc>
          <w:tcPr>
            <w:tcW w:w="8719" w:type="dxa"/>
            <w:gridSpan w:val="2"/>
          </w:tcPr>
          <w:p w14:paraId="37ED150F" w14:textId="77777777" w:rsidR="00CA120F" w:rsidRPr="00402B4E" w:rsidRDefault="00402B4E">
            <w:pPr>
              <w:spacing w:line="360" w:lineRule="auto"/>
              <w:jc w:val="both"/>
              <w:rPr>
                <w:sz w:val="30"/>
                <w:szCs w:val="30"/>
              </w:rPr>
            </w:pPr>
            <w:r w:rsidRPr="00402B4E">
              <w:rPr>
                <w:rFonts w:hint="cs"/>
                <w:b/>
                <w:bCs/>
                <w:sz w:val="30"/>
                <w:szCs w:val="30"/>
                <w:rtl/>
              </w:rPr>
              <w:t>בפני כבוד ה</w:t>
            </w:r>
            <w:r w:rsidRPr="00402B4E">
              <w:rPr>
                <w:rFonts w:hint="cs"/>
                <w:sz w:val="30"/>
                <w:szCs w:val="30"/>
                <w:rtl/>
              </w:rPr>
              <w:t xml:space="preserve">שופט הבכיר, צבי  סגל </w:t>
            </w:r>
          </w:p>
        </w:tc>
      </w:tr>
      <w:tr w:rsidR="00CA120F" w:rsidRPr="00402B4E" w14:paraId="183E3431" w14:textId="77777777">
        <w:trPr>
          <w:gridAfter w:val="1"/>
          <w:wAfter w:w="83" w:type="dxa"/>
        </w:trPr>
        <w:tc>
          <w:tcPr>
            <w:tcW w:w="8719" w:type="dxa"/>
            <w:gridSpan w:val="2"/>
          </w:tcPr>
          <w:p w14:paraId="47C2D3A5" w14:textId="77777777" w:rsidR="00CA120F" w:rsidRPr="00402B4E" w:rsidRDefault="00402B4E">
            <w:pPr>
              <w:spacing w:line="360" w:lineRule="auto"/>
              <w:jc w:val="both"/>
              <w:rPr>
                <w:rFonts w:ascii="Arial" w:hAnsi="Arial"/>
              </w:rPr>
            </w:pPr>
            <w:r w:rsidRPr="00402B4E">
              <w:rPr>
                <w:rtl/>
              </w:rPr>
              <w:t xml:space="preserve"> </w:t>
            </w:r>
          </w:p>
        </w:tc>
      </w:tr>
      <w:tr w:rsidR="00CA120F" w:rsidRPr="00402B4E" w14:paraId="5AEC4065" w14:textId="77777777">
        <w:tc>
          <w:tcPr>
            <w:tcW w:w="2880" w:type="dxa"/>
          </w:tcPr>
          <w:p w14:paraId="2564E7B6" w14:textId="77777777" w:rsidR="00CA120F" w:rsidRPr="00402B4E" w:rsidRDefault="00402B4E">
            <w:pPr>
              <w:spacing w:line="360" w:lineRule="auto"/>
              <w:ind w:left="26"/>
              <w:rPr>
                <w:b/>
                <w:bCs/>
                <w:sz w:val="28"/>
                <w:szCs w:val="28"/>
              </w:rPr>
            </w:pPr>
            <w:bookmarkStart w:id="1" w:name="FirstAppellant"/>
            <w:r w:rsidRPr="00402B4E">
              <w:rPr>
                <w:rFonts w:hint="cs"/>
                <w:b/>
                <w:bCs/>
                <w:sz w:val="30"/>
                <w:szCs w:val="30"/>
                <w:rtl/>
              </w:rPr>
              <w:t>ה</w:t>
            </w:r>
            <w:r w:rsidRPr="00402B4E">
              <w:rPr>
                <w:rFonts w:hint="cs"/>
                <w:sz w:val="28"/>
                <w:szCs w:val="28"/>
                <w:rtl/>
              </w:rPr>
              <w:t>מאשימה</w:t>
            </w:r>
          </w:p>
        </w:tc>
        <w:tc>
          <w:tcPr>
            <w:tcW w:w="5922" w:type="dxa"/>
            <w:gridSpan w:val="2"/>
          </w:tcPr>
          <w:p w14:paraId="2B19F587" w14:textId="77777777" w:rsidR="00CA120F" w:rsidRPr="00402B4E" w:rsidRDefault="00402B4E">
            <w:pPr>
              <w:spacing w:line="360" w:lineRule="auto"/>
              <w:rPr>
                <w:b/>
                <w:bCs/>
                <w:sz w:val="30"/>
                <w:szCs w:val="30"/>
                <w:rtl/>
              </w:rPr>
            </w:pPr>
            <w:r w:rsidRPr="00402B4E">
              <w:rPr>
                <w:rFonts w:hint="cs"/>
                <w:sz w:val="28"/>
                <w:szCs w:val="28"/>
                <w:rtl/>
              </w:rPr>
              <w:t>מדינת ישראל</w:t>
            </w:r>
          </w:p>
          <w:p w14:paraId="1DED0FAA" w14:textId="77777777" w:rsidR="00CA120F" w:rsidRPr="00402B4E" w:rsidRDefault="00402B4E">
            <w:pPr>
              <w:spacing w:line="360" w:lineRule="auto"/>
              <w:rPr>
                <w:sz w:val="28"/>
                <w:szCs w:val="28"/>
                <w:rtl/>
              </w:rPr>
            </w:pPr>
            <w:r w:rsidRPr="00402B4E">
              <w:rPr>
                <w:rFonts w:hint="cs"/>
                <w:sz w:val="28"/>
                <w:szCs w:val="28"/>
                <w:rtl/>
              </w:rPr>
              <w:t xml:space="preserve">ע"י עו"ד נגה בן סידי </w:t>
            </w:r>
          </w:p>
          <w:p w14:paraId="2A7EBB82" w14:textId="77777777" w:rsidR="00CA120F" w:rsidRPr="00402B4E" w:rsidRDefault="00402B4E">
            <w:pPr>
              <w:spacing w:line="360" w:lineRule="auto"/>
              <w:rPr>
                <w:b/>
                <w:bCs/>
                <w:sz w:val="28"/>
                <w:szCs w:val="28"/>
              </w:rPr>
            </w:pPr>
            <w:r w:rsidRPr="00402B4E">
              <w:rPr>
                <w:rFonts w:hint="cs"/>
                <w:sz w:val="28"/>
                <w:szCs w:val="28"/>
                <w:rtl/>
              </w:rPr>
              <w:t>מפרקליטות מחוז ירושלים (פלילי)</w:t>
            </w:r>
          </w:p>
        </w:tc>
      </w:tr>
      <w:bookmarkEnd w:id="1"/>
      <w:tr w:rsidR="00CA120F" w:rsidRPr="00402B4E" w14:paraId="48717E7F" w14:textId="77777777">
        <w:tc>
          <w:tcPr>
            <w:tcW w:w="8802" w:type="dxa"/>
            <w:gridSpan w:val="3"/>
          </w:tcPr>
          <w:p w14:paraId="346F3830" w14:textId="77777777" w:rsidR="00CA120F" w:rsidRPr="00402B4E" w:rsidRDefault="00CA120F">
            <w:pPr>
              <w:spacing w:line="360" w:lineRule="auto"/>
              <w:jc w:val="both"/>
              <w:rPr>
                <w:rFonts w:ascii="Arial" w:hAnsi="Arial"/>
                <w:b/>
                <w:bCs/>
                <w:sz w:val="28"/>
                <w:szCs w:val="28"/>
                <w:rtl/>
              </w:rPr>
            </w:pPr>
          </w:p>
          <w:p w14:paraId="29CB4695" w14:textId="77777777" w:rsidR="00CA120F" w:rsidRPr="00402B4E" w:rsidRDefault="00402B4E">
            <w:pPr>
              <w:spacing w:line="360" w:lineRule="auto"/>
              <w:jc w:val="center"/>
              <w:rPr>
                <w:rFonts w:ascii="Arial" w:hAnsi="Arial"/>
                <w:b/>
                <w:bCs/>
                <w:sz w:val="28"/>
                <w:szCs w:val="28"/>
                <w:rtl/>
              </w:rPr>
            </w:pPr>
            <w:r w:rsidRPr="00402B4E">
              <w:rPr>
                <w:rFonts w:ascii="Arial" w:hAnsi="Arial" w:hint="cs"/>
                <w:b/>
                <w:bCs/>
                <w:sz w:val="28"/>
                <w:szCs w:val="28"/>
                <w:rtl/>
              </w:rPr>
              <w:t>-נגד-</w:t>
            </w:r>
          </w:p>
          <w:p w14:paraId="765F7DFE" w14:textId="77777777" w:rsidR="00CA120F" w:rsidRPr="00402B4E" w:rsidRDefault="00CA120F">
            <w:pPr>
              <w:spacing w:line="360" w:lineRule="auto"/>
              <w:jc w:val="center"/>
              <w:rPr>
                <w:rFonts w:ascii="Arial" w:hAnsi="Arial"/>
                <w:b/>
                <w:bCs/>
                <w:sz w:val="28"/>
                <w:szCs w:val="28"/>
              </w:rPr>
            </w:pPr>
          </w:p>
        </w:tc>
      </w:tr>
      <w:tr w:rsidR="00CA120F" w:rsidRPr="00402B4E" w14:paraId="0BC98F6E" w14:textId="77777777">
        <w:tc>
          <w:tcPr>
            <w:tcW w:w="2880" w:type="dxa"/>
          </w:tcPr>
          <w:p w14:paraId="450EA67A" w14:textId="77777777" w:rsidR="00CA120F" w:rsidRPr="00402B4E" w:rsidRDefault="00402B4E">
            <w:pPr>
              <w:spacing w:line="360" w:lineRule="auto"/>
              <w:ind w:left="26"/>
              <w:rPr>
                <w:b/>
                <w:bCs/>
                <w:sz w:val="28"/>
                <w:szCs w:val="28"/>
              </w:rPr>
            </w:pPr>
            <w:bookmarkStart w:id="2" w:name="FirstLawyer"/>
            <w:r w:rsidRPr="00402B4E">
              <w:rPr>
                <w:rFonts w:hint="cs"/>
                <w:b/>
                <w:bCs/>
                <w:sz w:val="28"/>
                <w:szCs w:val="28"/>
                <w:rtl/>
              </w:rPr>
              <w:t>הנאשם</w:t>
            </w:r>
          </w:p>
        </w:tc>
        <w:tc>
          <w:tcPr>
            <w:tcW w:w="5922" w:type="dxa"/>
            <w:gridSpan w:val="2"/>
          </w:tcPr>
          <w:p w14:paraId="5E157614" w14:textId="77777777" w:rsidR="00CA120F" w:rsidRPr="00402B4E" w:rsidRDefault="00402B4E">
            <w:pPr>
              <w:spacing w:line="360" w:lineRule="auto"/>
              <w:rPr>
                <w:b/>
                <w:bCs/>
                <w:sz w:val="28"/>
                <w:szCs w:val="28"/>
                <w:rtl/>
              </w:rPr>
            </w:pPr>
            <w:r w:rsidRPr="00402B4E">
              <w:rPr>
                <w:rFonts w:hint="cs"/>
                <w:b/>
                <w:bCs/>
                <w:sz w:val="28"/>
                <w:szCs w:val="28"/>
                <w:rtl/>
              </w:rPr>
              <w:t>אפי אמויאל</w:t>
            </w:r>
            <w:r w:rsidRPr="00402B4E">
              <w:rPr>
                <w:b/>
                <w:bCs/>
                <w:sz w:val="28"/>
                <w:szCs w:val="28"/>
                <w:rtl/>
              </w:rPr>
              <w:t xml:space="preserve"> </w:t>
            </w:r>
          </w:p>
          <w:p w14:paraId="785FBC59" w14:textId="77777777" w:rsidR="00CA120F" w:rsidRPr="00402B4E" w:rsidRDefault="00402B4E">
            <w:pPr>
              <w:spacing w:line="360" w:lineRule="auto"/>
              <w:rPr>
                <w:sz w:val="28"/>
                <w:szCs w:val="28"/>
              </w:rPr>
            </w:pPr>
            <w:r w:rsidRPr="00402B4E">
              <w:rPr>
                <w:rFonts w:hint="cs"/>
                <w:sz w:val="28"/>
                <w:szCs w:val="28"/>
                <w:rtl/>
              </w:rPr>
              <w:t>ע"י ב"כ עו"ד מיכאל עירוני</w:t>
            </w:r>
          </w:p>
        </w:tc>
      </w:tr>
    </w:tbl>
    <w:p w14:paraId="4E90346B" w14:textId="77777777" w:rsidR="004A6F05" w:rsidRDefault="004A6F05">
      <w:pPr>
        <w:rPr>
          <w:rFonts w:ascii="Arial" w:hAnsi="Arial"/>
          <w:rtl/>
        </w:rPr>
      </w:pPr>
      <w:bookmarkStart w:id="3" w:name="LawTable"/>
      <w:bookmarkEnd w:id="2"/>
      <w:bookmarkEnd w:id="3"/>
    </w:p>
    <w:p w14:paraId="0D37D553" w14:textId="77777777" w:rsidR="004A6F05" w:rsidRPr="004A6F05" w:rsidRDefault="004A6F05" w:rsidP="004A6F05">
      <w:pPr>
        <w:spacing w:after="120" w:line="240" w:lineRule="exact"/>
        <w:ind w:left="283" w:hanging="283"/>
        <w:jc w:val="both"/>
        <w:rPr>
          <w:rFonts w:ascii="FrankRuehl" w:hAnsi="FrankRuehl" w:cs="FrankRuehl"/>
          <w:rtl/>
        </w:rPr>
      </w:pPr>
    </w:p>
    <w:p w14:paraId="31FF8C92" w14:textId="77777777" w:rsidR="004A6F05" w:rsidRPr="004A6F05" w:rsidRDefault="004A6F05" w:rsidP="004A6F05">
      <w:pPr>
        <w:spacing w:after="120" w:line="240" w:lineRule="exact"/>
        <w:ind w:left="283" w:hanging="283"/>
        <w:jc w:val="both"/>
        <w:rPr>
          <w:rFonts w:ascii="FrankRuehl" w:hAnsi="FrankRuehl" w:cs="FrankRuehl"/>
          <w:rtl/>
        </w:rPr>
      </w:pPr>
      <w:r w:rsidRPr="004A6F05">
        <w:rPr>
          <w:rFonts w:ascii="FrankRuehl" w:hAnsi="FrankRuehl" w:cs="FrankRuehl"/>
          <w:rtl/>
        </w:rPr>
        <w:t xml:space="preserve">חקיקה שאוזכרה: </w:t>
      </w:r>
    </w:p>
    <w:p w14:paraId="33C09874" w14:textId="77777777" w:rsidR="004A6F05" w:rsidRPr="004A6F05" w:rsidRDefault="004A6F05" w:rsidP="004A6F05">
      <w:pPr>
        <w:spacing w:after="120" w:line="240" w:lineRule="exact"/>
        <w:ind w:left="283" w:hanging="283"/>
        <w:jc w:val="both"/>
        <w:rPr>
          <w:rFonts w:ascii="FrankRuehl" w:hAnsi="FrankRuehl" w:cs="FrankRuehl"/>
          <w:rtl/>
        </w:rPr>
      </w:pPr>
      <w:hyperlink r:id="rId7" w:history="1">
        <w:r w:rsidRPr="004A6F05">
          <w:rPr>
            <w:rFonts w:ascii="FrankRuehl" w:hAnsi="FrankRuehl" w:cs="FrankRuehl"/>
            <w:color w:val="0000FF"/>
            <w:u w:val="single"/>
            <w:rtl/>
          </w:rPr>
          <w:t>חוק העונשין, תשל"ז-1977</w:t>
        </w:r>
      </w:hyperlink>
      <w:r w:rsidRPr="004A6F05">
        <w:rPr>
          <w:rFonts w:ascii="FrankRuehl" w:hAnsi="FrankRuehl" w:cs="FrankRuehl"/>
          <w:rtl/>
        </w:rPr>
        <w:t xml:space="preserve">: סע'  </w:t>
      </w:r>
      <w:hyperlink r:id="rId8" w:history="1">
        <w:r w:rsidRPr="004A6F05">
          <w:rPr>
            <w:rFonts w:ascii="FrankRuehl" w:hAnsi="FrankRuehl" w:cs="FrankRuehl"/>
            <w:color w:val="0000FF"/>
            <w:u w:val="single"/>
            <w:rtl/>
          </w:rPr>
          <w:t>40ד</w:t>
        </w:r>
      </w:hyperlink>
      <w:r w:rsidRPr="004A6F05">
        <w:rPr>
          <w:rFonts w:ascii="FrankRuehl" w:hAnsi="FrankRuehl" w:cs="FrankRuehl"/>
          <w:rtl/>
        </w:rPr>
        <w:t xml:space="preserve">, </w:t>
      </w:r>
      <w:hyperlink r:id="rId9" w:history="1">
        <w:r w:rsidRPr="004A6F05">
          <w:rPr>
            <w:rFonts w:ascii="FrankRuehl" w:hAnsi="FrankRuehl" w:cs="FrankRuehl"/>
            <w:color w:val="0000FF"/>
            <w:u w:val="single"/>
            <w:rtl/>
          </w:rPr>
          <w:t>40ה</w:t>
        </w:r>
      </w:hyperlink>
      <w:r w:rsidRPr="004A6F05">
        <w:rPr>
          <w:rFonts w:ascii="FrankRuehl" w:hAnsi="FrankRuehl" w:cs="FrankRuehl"/>
          <w:rtl/>
        </w:rPr>
        <w:t xml:space="preserve">, </w:t>
      </w:r>
      <w:hyperlink r:id="rId10" w:history="1">
        <w:r w:rsidRPr="004A6F05">
          <w:rPr>
            <w:rFonts w:ascii="FrankRuehl" w:hAnsi="FrankRuehl" w:cs="FrankRuehl"/>
            <w:color w:val="0000FF"/>
            <w:u w:val="single"/>
            <w:rtl/>
          </w:rPr>
          <w:t>144(א)</w:t>
        </w:r>
      </w:hyperlink>
      <w:r w:rsidRPr="004A6F05">
        <w:rPr>
          <w:rFonts w:ascii="FrankRuehl" w:hAnsi="FrankRuehl" w:cs="FrankRuehl"/>
          <w:rtl/>
        </w:rPr>
        <w:t xml:space="preserve">, </w:t>
      </w:r>
      <w:hyperlink r:id="rId11" w:history="1">
        <w:r w:rsidRPr="004A6F05">
          <w:rPr>
            <w:rFonts w:ascii="FrankRuehl" w:hAnsi="FrankRuehl" w:cs="FrankRuehl"/>
            <w:color w:val="0000FF"/>
            <w:u w:val="single"/>
            <w:rtl/>
          </w:rPr>
          <w:t>144(ב)</w:t>
        </w:r>
      </w:hyperlink>
      <w:r w:rsidRPr="004A6F05">
        <w:rPr>
          <w:rFonts w:ascii="FrankRuehl" w:hAnsi="FrankRuehl" w:cs="FrankRuehl"/>
          <w:rtl/>
        </w:rPr>
        <w:t xml:space="preserve">, </w:t>
      </w:r>
      <w:hyperlink r:id="rId12" w:history="1">
        <w:r w:rsidRPr="004A6F05">
          <w:rPr>
            <w:rFonts w:ascii="FrankRuehl" w:hAnsi="FrankRuehl" w:cs="FrankRuehl"/>
            <w:color w:val="0000FF"/>
            <w:u w:val="single"/>
            <w:rtl/>
          </w:rPr>
          <w:t>192</w:t>
        </w:r>
      </w:hyperlink>
      <w:r w:rsidRPr="004A6F05">
        <w:rPr>
          <w:rFonts w:ascii="FrankRuehl" w:hAnsi="FrankRuehl" w:cs="FrankRuehl"/>
          <w:rtl/>
        </w:rPr>
        <w:t xml:space="preserve">, </w:t>
      </w:r>
      <w:hyperlink r:id="rId13" w:history="1">
        <w:r w:rsidRPr="004A6F05">
          <w:rPr>
            <w:rFonts w:ascii="FrankRuehl" w:hAnsi="FrankRuehl" w:cs="FrankRuehl"/>
            <w:color w:val="0000FF"/>
            <w:u w:val="single"/>
            <w:rtl/>
          </w:rPr>
          <w:t>333</w:t>
        </w:r>
      </w:hyperlink>
      <w:r w:rsidRPr="004A6F05">
        <w:rPr>
          <w:rFonts w:ascii="FrankRuehl" w:hAnsi="FrankRuehl" w:cs="FrankRuehl"/>
          <w:rtl/>
        </w:rPr>
        <w:t xml:space="preserve">, </w:t>
      </w:r>
      <w:hyperlink r:id="rId14" w:history="1">
        <w:r w:rsidRPr="004A6F05">
          <w:rPr>
            <w:rFonts w:ascii="FrankRuehl" w:hAnsi="FrankRuehl" w:cs="FrankRuehl"/>
            <w:color w:val="0000FF"/>
            <w:u w:val="single"/>
            <w:rtl/>
          </w:rPr>
          <w:t>335</w:t>
        </w:r>
      </w:hyperlink>
      <w:r w:rsidRPr="004A6F05">
        <w:rPr>
          <w:rFonts w:ascii="FrankRuehl" w:hAnsi="FrankRuehl" w:cs="FrankRuehl"/>
          <w:rtl/>
        </w:rPr>
        <w:t xml:space="preserve">, </w:t>
      </w:r>
      <w:hyperlink r:id="rId15" w:history="1">
        <w:r w:rsidRPr="004A6F05">
          <w:rPr>
            <w:rFonts w:ascii="FrankRuehl" w:hAnsi="FrankRuehl" w:cs="FrankRuehl"/>
            <w:color w:val="0000FF"/>
            <w:u w:val="single"/>
            <w:rtl/>
          </w:rPr>
          <w:t>379</w:t>
        </w:r>
      </w:hyperlink>
      <w:r w:rsidRPr="004A6F05">
        <w:rPr>
          <w:rFonts w:ascii="FrankRuehl" w:hAnsi="FrankRuehl" w:cs="FrankRuehl"/>
          <w:rtl/>
        </w:rPr>
        <w:t xml:space="preserve">, </w:t>
      </w:r>
      <w:hyperlink r:id="rId16" w:history="1">
        <w:r w:rsidRPr="004A6F05">
          <w:rPr>
            <w:rFonts w:ascii="FrankRuehl" w:hAnsi="FrankRuehl" w:cs="FrankRuehl"/>
            <w:color w:val="0000FF"/>
            <w:u w:val="single"/>
            <w:rtl/>
          </w:rPr>
          <w:t>384</w:t>
        </w:r>
      </w:hyperlink>
      <w:r w:rsidRPr="004A6F05">
        <w:rPr>
          <w:rFonts w:ascii="FrankRuehl" w:hAnsi="FrankRuehl" w:cs="FrankRuehl"/>
          <w:rtl/>
        </w:rPr>
        <w:t xml:space="preserve">, </w:t>
      </w:r>
      <w:hyperlink r:id="rId17" w:history="1">
        <w:r w:rsidRPr="004A6F05">
          <w:rPr>
            <w:rFonts w:ascii="FrankRuehl" w:hAnsi="FrankRuehl" w:cs="FrankRuehl"/>
            <w:color w:val="0000FF"/>
            <w:u w:val="single"/>
            <w:rtl/>
          </w:rPr>
          <w:t>40יב</w:t>
        </w:r>
      </w:hyperlink>
      <w:r w:rsidRPr="004A6F05">
        <w:rPr>
          <w:rFonts w:ascii="FrankRuehl" w:hAnsi="FrankRuehl" w:cs="FrankRuehl"/>
          <w:rtl/>
        </w:rPr>
        <w:t xml:space="preserve">, </w:t>
      </w:r>
      <w:hyperlink r:id="rId18" w:history="1">
        <w:r w:rsidRPr="004A6F05">
          <w:rPr>
            <w:rFonts w:ascii="FrankRuehl" w:hAnsi="FrankRuehl" w:cs="FrankRuehl"/>
            <w:color w:val="0000FF"/>
            <w:u w:val="single"/>
            <w:rtl/>
          </w:rPr>
          <w:t>413</w:t>
        </w:r>
      </w:hyperlink>
      <w:r w:rsidRPr="004A6F05">
        <w:rPr>
          <w:rFonts w:ascii="FrankRuehl" w:hAnsi="FrankRuehl" w:cs="FrankRuehl"/>
          <w:rtl/>
        </w:rPr>
        <w:t xml:space="preserve">, </w:t>
      </w:r>
      <w:hyperlink r:id="rId19" w:history="1">
        <w:r w:rsidRPr="004A6F05">
          <w:rPr>
            <w:rFonts w:ascii="FrankRuehl" w:hAnsi="FrankRuehl" w:cs="FrankRuehl"/>
            <w:color w:val="0000FF"/>
            <w:u w:val="single"/>
            <w:rtl/>
          </w:rPr>
          <w:t>452</w:t>
        </w:r>
      </w:hyperlink>
      <w:r w:rsidRPr="004A6F05">
        <w:rPr>
          <w:rFonts w:ascii="FrankRuehl" w:hAnsi="FrankRuehl" w:cs="FrankRuehl"/>
          <w:rtl/>
        </w:rPr>
        <w:t xml:space="preserve">, </w:t>
      </w:r>
      <w:hyperlink r:id="rId20" w:history="1">
        <w:r w:rsidRPr="004A6F05">
          <w:rPr>
            <w:rFonts w:ascii="FrankRuehl" w:hAnsi="FrankRuehl" w:cs="FrankRuehl"/>
            <w:color w:val="0000FF"/>
            <w:u w:val="single"/>
            <w:rtl/>
          </w:rPr>
          <w:t>456</w:t>
        </w:r>
      </w:hyperlink>
    </w:p>
    <w:p w14:paraId="7EA564B1" w14:textId="77777777" w:rsidR="004A6F05" w:rsidRPr="004A6F05" w:rsidRDefault="004A6F05" w:rsidP="004A6F05">
      <w:pPr>
        <w:spacing w:after="120" w:line="240" w:lineRule="exact"/>
        <w:ind w:left="283" w:hanging="283"/>
        <w:jc w:val="both"/>
        <w:rPr>
          <w:rFonts w:ascii="FrankRuehl" w:hAnsi="FrankRuehl" w:cs="FrankRuehl"/>
          <w:rtl/>
        </w:rPr>
      </w:pPr>
    </w:p>
    <w:p w14:paraId="2A14D03D" w14:textId="77777777" w:rsidR="004A6F05" w:rsidRPr="004A6F05" w:rsidRDefault="004A6F05">
      <w:pPr>
        <w:rPr>
          <w:rFonts w:ascii="Arial" w:hAnsi="Arial"/>
          <w:rtl/>
        </w:rPr>
      </w:pPr>
      <w:bookmarkStart w:id="4" w:name="LawTable_End"/>
      <w:bookmarkEnd w:id="4"/>
    </w:p>
    <w:p w14:paraId="7B858A66" w14:textId="77777777" w:rsidR="00D70BFD" w:rsidRPr="00D70BFD" w:rsidRDefault="00D70BFD">
      <w:pPr>
        <w:rPr>
          <w:rFonts w:ascii="Arial" w:hAnsi="Arial"/>
          <w:rtl/>
        </w:rPr>
      </w:pPr>
    </w:p>
    <w:p w14:paraId="4D1B6DE1" w14:textId="77777777" w:rsidR="00D70BFD" w:rsidRPr="00D70BFD" w:rsidRDefault="00D70BFD">
      <w:pPr>
        <w:rPr>
          <w:rFonts w:ascii="Arial" w:hAnsi="Arial"/>
          <w:rtl/>
        </w:rPr>
      </w:pPr>
    </w:p>
    <w:p w14:paraId="30533046" w14:textId="77777777" w:rsidR="00CA120F" w:rsidRPr="00D70BFD" w:rsidRDefault="00CA120F">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A120F" w14:paraId="43B47FE7" w14:textId="77777777">
        <w:trPr>
          <w:trHeight w:val="355"/>
          <w:jc w:val="center"/>
        </w:trPr>
        <w:tc>
          <w:tcPr>
            <w:tcW w:w="8820" w:type="dxa"/>
            <w:tcBorders>
              <w:top w:val="nil"/>
              <w:left w:val="nil"/>
              <w:bottom w:val="nil"/>
              <w:right w:val="nil"/>
            </w:tcBorders>
          </w:tcPr>
          <w:p w14:paraId="026FB79D" w14:textId="77777777" w:rsidR="00402B4E" w:rsidRPr="00402B4E" w:rsidRDefault="00402B4E" w:rsidP="00402B4E">
            <w:pPr>
              <w:jc w:val="center"/>
              <w:rPr>
                <w:rFonts w:ascii="Arial" w:hAnsi="Arial"/>
                <w:b/>
                <w:bCs/>
                <w:sz w:val="34"/>
                <w:szCs w:val="34"/>
                <w:u w:val="single"/>
                <w:rtl/>
              </w:rPr>
            </w:pPr>
            <w:bookmarkStart w:id="5" w:name="PsakDin" w:colFirst="0" w:colLast="0"/>
            <w:bookmarkEnd w:id="0"/>
            <w:r w:rsidRPr="00402B4E">
              <w:rPr>
                <w:rFonts w:ascii="Arial" w:hAnsi="Arial"/>
                <w:b/>
                <w:bCs/>
                <w:sz w:val="34"/>
                <w:szCs w:val="34"/>
                <w:u w:val="single"/>
                <w:rtl/>
              </w:rPr>
              <w:t>גזר-דין</w:t>
            </w:r>
          </w:p>
          <w:p w14:paraId="12E3AEC5" w14:textId="77777777" w:rsidR="00CA120F" w:rsidRPr="00402B4E" w:rsidRDefault="00CA120F" w:rsidP="00402B4E">
            <w:pPr>
              <w:jc w:val="center"/>
              <w:rPr>
                <w:rFonts w:ascii="Arial" w:hAnsi="Arial"/>
                <w:bCs/>
                <w:sz w:val="32"/>
                <w:szCs w:val="32"/>
                <w:u w:val="single"/>
                <w:rtl/>
              </w:rPr>
            </w:pPr>
          </w:p>
        </w:tc>
      </w:tr>
      <w:bookmarkEnd w:id="5"/>
    </w:tbl>
    <w:p w14:paraId="7E9BA492" w14:textId="77777777" w:rsidR="00CA120F" w:rsidRDefault="00CA120F">
      <w:pPr>
        <w:rPr>
          <w:rFonts w:ascii="Arial" w:hAnsi="Arial"/>
          <w:rtl/>
        </w:rPr>
      </w:pPr>
    </w:p>
    <w:p w14:paraId="34056535" w14:textId="77777777" w:rsidR="00CA120F" w:rsidRDefault="00CA120F">
      <w:pPr>
        <w:rPr>
          <w:rFonts w:ascii="Arial" w:hAnsi="Arial"/>
          <w:rtl/>
        </w:rPr>
      </w:pPr>
    </w:p>
    <w:p w14:paraId="4E0878F2" w14:textId="77777777" w:rsidR="00CA120F" w:rsidRDefault="00402B4E">
      <w:pPr>
        <w:spacing w:line="480" w:lineRule="auto"/>
        <w:jc w:val="both"/>
        <w:rPr>
          <w:sz w:val="28"/>
          <w:szCs w:val="28"/>
          <w:rtl/>
        </w:rPr>
      </w:pPr>
      <w:r>
        <w:rPr>
          <w:sz w:val="28"/>
          <w:szCs w:val="28"/>
          <w:rtl/>
        </w:rPr>
        <w:t>1.</w:t>
      </w:r>
      <w:r>
        <w:rPr>
          <w:sz w:val="28"/>
          <w:szCs w:val="28"/>
          <w:rtl/>
        </w:rPr>
        <w:tab/>
        <w:t xml:space="preserve">הנאשם הורשע, על פי הודאתו שניתנה בגדר הסדר טיעון, במספר עבירות שנעברו בגדר ארבעה אישומים, כלהלן: </w:t>
      </w:r>
    </w:p>
    <w:p w14:paraId="3614BBD3" w14:textId="77777777" w:rsidR="00CA120F" w:rsidRDefault="00CA120F">
      <w:pPr>
        <w:spacing w:line="480" w:lineRule="auto"/>
        <w:jc w:val="both"/>
        <w:rPr>
          <w:sz w:val="28"/>
          <w:szCs w:val="28"/>
          <w:rtl/>
        </w:rPr>
      </w:pPr>
    </w:p>
    <w:p w14:paraId="5476544F" w14:textId="77777777" w:rsidR="00CA120F" w:rsidRDefault="00402B4E">
      <w:pPr>
        <w:spacing w:line="480" w:lineRule="auto"/>
        <w:ind w:firstLine="720"/>
        <w:jc w:val="both"/>
        <w:rPr>
          <w:sz w:val="28"/>
          <w:szCs w:val="28"/>
          <w:rtl/>
        </w:rPr>
      </w:pPr>
      <w:bookmarkStart w:id="6" w:name="ABSTRACT_START"/>
      <w:bookmarkEnd w:id="6"/>
      <w:r>
        <w:rPr>
          <w:b/>
          <w:bCs/>
          <w:sz w:val="28"/>
          <w:szCs w:val="28"/>
          <w:rtl/>
        </w:rPr>
        <w:t>באישום הראשון</w:t>
      </w:r>
      <w:r>
        <w:rPr>
          <w:sz w:val="28"/>
          <w:szCs w:val="28"/>
          <w:rtl/>
        </w:rPr>
        <w:t xml:space="preserve">: חבלה חמורה בנסיבות מחמירות, תקיפה סתם ואיומים, בהתאמה לפי </w:t>
      </w:r>
      <w:hyperlink r:id="rId21" w:history="1">
        <w:r w:rsidR="00903848" w:rsidRPr="00903848">
          <w:rPr>
            <w:color w:val="0000FF"/>
            <w:sz w:val="28"/>
            <w:szCs w:val="28"/>
            <w:u w:val="single"/>
            <w:rtl/>
          </w:rPr>
          <w:t>סעיפים 333</w:t>
        </w:r>
      </w:hyperlink>
      <w:r>
        <w:rPr>
          <w:sz w:val="28"/>
          <w:szCs w:val="28"/>
          <w:rtl/>
        </w:rPr>
        <w:t xml:space="preserve"> ו-</w:t>
      </w:r>
      <w:hyperlink r:id="rId22" w:history="1">
        <w:r w:rsidR="00903848" w:rsidRPr="00903848">
          <w:rPr>
            <w:color w:val="0000FF"/>
            <w:sz w:val="28"/>
            <w:szCs w:val="28"/>
            <w:u w:val="single"/>
            <w:rtl/>
          </w:rPr>
          <w:t>335</w:t>
        </w:r>
      </w:hyperlink>
      <w:r>
        <w:rPr>
          <w:sz w:val="28"/>
          <w:szCs w:val="28"/>
          <w:rtl/>
        </w:rPr>
        <w:t xml:space="preserve">, </w:t>
      </w:r>
      <w:hyperlink r:id="rId23" w:history="1">
        <w:r w:rsidR="00903848" w:rsidRPr="00903848">
          <w:rPr>
            <w:color w:val="0000FF"/>
            <w:sz w:val="28"/>
            <w:szCs w:val="28"/>
            <w:u w:val="single"/>
            <w:rtl/>
          </w:rPr>
          <w:t>379</w:t>
        </w:r>
      </w:hyperlink>
      <w:r>
        <w:rPr>
          <w:sz w:val="28"/>
          <w:szCs w:val="28"/>
          <w:rtl/>
        </w:rPr>
        <w:t xml:space="preserve"> ו-</w:t>
      </w:r>
      <w:hyperlink r:id="rId24" w:history="1">
        <w:r w:rsidR="00903848" w:rsidRPr="00903848">
          <w:rPr>
            <w:color w:val="0000FF"/>
            <w:sz w:val="28"/>
            <w:szCs w:val="28"/>
            <w:u w:val="single"/>
            <w:rtl/>
          </w:rPr>
          <w:t>192</w:t>
        </w:r>
      </w:hyperlink>
      <w:r>
        <w:rPr>
          <w:sz w:val="28"/>
          <w:szCs w:val="28"/>
          <w:rtl/>
        </w:rPr>
        <w:t xml:space="preserve"> ל</w:t>
      </w:r>
      <w:hyperlink r:id="rId25" w:history="1">
        <w:r w:rsidR="00D70BFD" w:rsidRPr="00D70BFD">
          <w:rPr>
            <w:rStyle w:val="Hyperlink"/>
            <w:sz w:val="28"/>
            <w:szCs w:val="28"/>
            <w:rtl/>
          </w:rPr>
          <w:t>חוק העונשין</w:t>
        </w:r>
      </w:hyperlink>
      <w:r>
        <w:rPr>
          <w:sz w:val="28"/>
          <w:szCs w:val="28"/>
          <w:rtl/>
        </w:rPr>
        <w:t>, התשל"ז-1977 (להלן</w:t>
      </w:r>
      <w:r>
        <w:rPr>
          <w:sz w:val="28"/>
          <w:szCs w:val="28"/>
        </w:rPr>
        <w:t xml:space="preserve"> </w:t>
      </w:r>
      <w:r>
        <w:rPr>
          <w:sz w:val="28"/>
          <w:szCs w:val="28"/>
          <w:rtl/>
        </w:rPr>
        <w:t>: "</w:t>
      </w:r>
      <w:r>
        <w:rPr>
          <w:b/>
          <w:bCs/>
          <w:sz w:val="28"/>
          <w:szCs w:val="28"/>
          <w:rtl/>
        </w:rPr>
        <w:t>החוק</w:t>
      </w:r>
      <w:r>
        <w:rPr>
          <w:sz w:val="28"/>
          <w:szCs w:val="28"/>
          <w:rtl/>
        </w:rPr>
        <w:t>");</w:t>
      </w:r>
    </w:p>
    <w:p w14:paraId="5A8D3F8D" w14:textId="77777777" w:rsidR="00CA120F" w:rsidRDefault="00CA120F">
      <w:pPr>
        <w:spacing w:line="480" w:lineRule="auto"/>
        <w:ind w:firstLine="720"/>
        <w:jc w:val="both"/>
        <w:rPr>
          <w:sz w:val="28"/>
          <w:szCs w:val="28"/>
          <w:rtl/>
        </w:rPr>
      </w:pPr>
    </w:p>
    <w:p w14:paraId="77CBF0CA" w14:textId="77777777" w:rsidR="00CA120F" w:rsidRDefault="00402B4E">
      <w:pPr>
        <w:spacing w:line="480" w:lineRule="auto"/>
        <w:ind w:firstLine="720"/>
        <w:jc w:val="both"/>
        <w:rPr>
          <w:sz w:val="28"/>
          <w:szCs w:val="28"/>
          <w:rtl/>
        </w:rPr>
      </w:pPr>
      <w:r>
        <w:rPr>
          <w:b/>
          <w:bCs/>
          <w:sz w:val="28"/>
          <w:szCs w:val="28"/>
          <w:rtl/>
        </w:rPr>
        <w:t>באישום השני</w:t>
      </w:r>
      <w:r>
        <w:rPr>
          <w:sz w:val="28"/>
          <w:szCs w:val="28"/>
          <w:rtl/>
        </w:rPr>
        <w:t xml:space="preserve">: תקיפה סתם ואיומים, לפי </w:t>
      </w:r>
      <w:hyperlink r:id="rId26" w:history="1">
        <w:r w:rsidR="004A6F05" w:rsidRPr="004A6F05">
          <w:rPr>
            <w:color w:val="0000FF"/>
            <w:sz w:val="28"/>
            <w:szCs w:val="28"/>
            <w:u w:val="single"/>
            <w:rtl/>
          </w:rPr>
          <w:t>סעיפים 379</w:t>
        </w:r>
      </w:hyperlink>
      <w:r>
        <w:rPr>
          <w:sz w:val="28"/>
          <w:szCs w:val="28"/>
          <w:rtl/>
        </w:rPr>
        <w:t xml:space="preserve"> ו-</w:t>
      </w:r>
      <w:hyperlink r:id="rId27" w:history="1">
        <w:r w:rsidR="004A6F05" w:rsidRPr="004A6F05">
          <w:rPr>
            <w:color w:val="0000FF"/>
            <w:sz w:val="28"/>
            <w:szCs w:val="28"/>
            <w:u w:val="single"/>
            <w:rtl/>
          </w:rPr>
          <w:t>192</w:t>
        </w:r>
      </w:hyperlink>
      <w:r>
        <w:rPr>
          <w:sz w:val="28"/>
          <w:szCs w:val="28"/>
          <w:rtl/>
        </w:rPr>
        <w:t xml:space="preserve"> לחוק;</w:t>
      </w:r>
    </w:p>
    <w:p w14:paraId="65E17D27" w14:textId="77777777" w:rsidR="00CA120F" w:rsidRDefault="00CA120F">
      <w:pPr>
        <w:spacing w:line="480" w:lineRule="auto"/>
        <w:ind w:firstLine="720"/>
        <w:jc w:val="both"/>
        <w:rPr>
          <w:sz w:val="28"/>
          <w:szCs w:val="28"/>
          <w:rtl/>
        </w:rPr>
      </w:pPr>
    </w:p>
    <w:p w14:paraId="168B201B" w14:textId="77777777" w:rsidR="00CA120F" w:rsidRDefault="00402B4E">
      <w:pPr>
        <w:spacing w:line="480" w:lineRule="auto"/>
        <w:ind w:firstLine="720"/>
        <w:jc w:val="both"/>
        <w:rPr>
          <w:sz w:val="28"/>
          <w:szCs w:val="28"/>
          <w:rtl/>
        </w:rPr>
      </w:pPr>
      <w:r>
        <w:rPr>
          <w:b/>
          <w:bCs/>
          <w:sz w:val="28"/>
          <w:szCs w:val="28"/>
          <w:rtl/>
        </w:rPr>
        <w:t>באישום השלישי</w:t>
      </w:r>
      <w:r>
        <w:rPr>
          <w:sz w:val="28"/>
          <w:szCs w:val="28"/>
          <w:rtl/>
        </w:rPr>
        <w:t xml:space="preserve">: החזקת נכס חשוד כגנוב, לפי </w:t>
      </w:r>
      <w:hyperlink r:id="rId28" w:history="1">
        <w:r w:rsidR="004A6F05" w:rsidRPr="004A6F05">
          <w:rPr>
            <w:color w:val="0000FF"/>
            <w:sz w:val="28"/>
            <w:szCs w:val="28"/>
            <w:u w:val="single"/>
            <w:rtl/>
          </w:rPr>
          <w:t>סעיף 413</w:t>
        </w:r>
      </w:hyperlink>
      <w:r>
        <w:rPr>
          <w:sz w:val="28"/>
          <w:szCs w:val="28"/>
          <w:rtl/>
        </w:rPr>
        <w:t xml:space="preserve"> לחוק;</w:t>
      </w:r>
    </w:p>
    <w:p w14:paraId="725B649A" w14:textId="77777777" w:rsidR="00CA120F" w:rsidRDefault="00CA120F">
      <w:pPr>
        <w:spacing w:line="480" w:lineRule="auto"/>
        <w:ind w:firstLine="720"/>
        <w:jc w:val="both"/>
        <w:rPr>
          <w:sz w:val="28"/>
          <w:szCs w:val="28"/>
          <w:rtl/>
        </w:rPr>
      </w:pPr>
      <w:bookmarkStart w:id="7" w:name="ABSTRACT_END"/>
      <w:bookmarkEnd w:id="7"/>
    </w:p>
    <w:p w14:paraId="372F5C03" w14:textId="77777777" w:rsidR="00CA120F" w:rsidRDefault="00402B4E">
      <w:pPr>
        <w:spacing w:line="480" w:lineRule="auto"/>
        <w:ind w:firstLine="720"/>
        <w:jc w:val="both"/>
        <w:rPr>
          <w:sz w:val="28"/>
          <w:szCs w:val="28"/>
          <w:rtl/>
        </w:rPr>
      </w:pPr>
      <w:r>
        <w:rPr>
          <w:b/>
          <w:bCs/>
          <w:sz w:val="28"/>
          <w:szCs w:val="28"/>
          <w:rtl/>
        </w:rPr>
        <w:t>באישום הרביעי</w:t>
      </w:r>
      <w:r>
        <w:rPr>
          <w:sz w:val="28"/>
          <w:szCs w:val="28"/>
          <w:rtl/>
        </w:rPr>
        <w:t xml:space="preserve">: עבירות בנשק, לפי </w:t>
      </w:r>
      <w:hyperlink r:id="rId29" w:history="1">
        <w:r w:rsidR="004A6F05" w:rsidRPr="004A6F05">
          <w:rPr>
            <w:color w:val="0000FF"/>
            <w:sz w:val="28"/>
            <w:szCs w:val="28"/>
            <w:u w:val="single"/>
            <w:rtl/>
          </w:rPr>
          <w:t>סעיף 144(א)</w:t>
        </w:r>
      </w:hyperlink>
      <w:r>
        <w:rPr>
          <w:sz w:val="28"/>
          <w:szCs w:val="28"/>
          <w:rtl/>
        </w:rPr>
        <w:t xml:space="preserve"> סיפא לחוק.</w:t>
      </w:r>
    </w:p>
    <w:p w14:paraId="2EE9A081" w14:textId="77777777" w:rsidR="00CA120F" w:rsidRDefault="00CA120F">
      <w:pPr>
        <w:spacing w:line="480" w:lineRule="auto"/>
        <w:jc w:val="both"/>
        <w:rPr>
          <w:sz w:val="28"/>
          <w:szCs w:val="28"/>
          <w:rtl/>
        </w:rPr>
      </w:pPr>
    </w:p>
    <w:p w14:paraId="53BF3E4B" w14:textId="77777777" w:rsidR="00CA120F" w:rsidRDefault="00402B4E">
      <w:pPr>
        <w:spacing w:line="480" w:lineRule="auto"/>
        <w:jc w:val="both"/>
        <w:rPr>
          <w:sz w:val="28"/>
          <w:szCs w:val="28"/>
          <w:rtl/>
        </w:rPr>
      </w:pPr>
      <w:r>
        <w:rPr>
          <w:sz w:val="28"/>
          <w:szCs w:val="28"/>
          <w:rtl/>
        </w:rPr>
        <w:t>2.</w:t>
      </w:r>
      <w:r>
        <w:rPr>
          <w:sz w:val="28"/>
          <w:szCs w:val="28"/>
          <w:rtl/>
        </w:rPr>
        <w:tab/>
        <w:t xml:space="preserve">בגדר כתב האישום המתוקן, בו הודה הנאשם, </w:t>
      </w:r>
      <w:r>
        <w:rPr>
          <w:rFonts w:hint="cs"/>
          <w:sz w:val="28"/>
          <w:szCs w:val="28"/>
          <w:rtl/>
        </w:rPr>
        <w:t xml:space="preserve">כאמור, </w:t>
      </w:r>
      <w:r>
        <w:rPr>
          <w:sz w:val="28"/>
          <w:szCs w:val="28"/>
          <w:rtl/>
        </w:rPr>
        <w:t xml:space="preserve">תוקנו העובדת ונמחקו מספר עבירות, לרבות עבירת נשיאת נשק, ניסיון להרוס נכס בחומר נפיץ, היזק בזדון וגניבה, לפי </w:t>
      </w:r>
      <w:hyperlink r:id="rId30" w:history="1">
        <w:r w:rsidR="004A6F05" w:rsidRPr="004A6F05">
          <w:rPr>
            <w:color w:val="0000FF"/>
            <w:sz w:val="28"/>
            <w:szCs w:val="28"/>
            <w:u w:val="single"/>
            <w:rtl/>
          </w:rPr>
          <w:t>סעיפים 144(ב)</w:t>
        </w:r>
      </w:hyperlink>
      <w:r>
        <w:rPr>
          <w:sz w:val="28"/>
          <w:szCs w:val="28"/>
          <w:rtl/>
        </w:rPr>
        <w:t xml:space="preserve">, </w:t>
      </w:r>
      <w:hyperlink r:id="rId31" w:history="1">
        <w:r w:rsidR="004A6F05" w:rsidRPr="004A6F05">
          <w:rPr>
            <w:color w:val="0000FF"/>
            <w:sz w:val="28"/>
            <w:szCs w:val="28"/>
            <w:u w:val="single"/>
            <w:rtl/>
          </w:rPr>
          <w:t>456</w:t>
        </w:r>
      </w:hyperlink>
      <w:r>
        <w:rPr>
          <w:sz w:val="28"/>
          <w:szCs w:val="28"/>
          <w:rtl/>
        </w:rPr>
        <w:t xml:space="preserve">, </w:t>
      </w:r>
      <w:hyperlink r:id="rId32" w:history="1">
        <w:r w:rsidR="004A6F05" w:rsidRPr="004A6F05">
          <w:rPr>
            <w:color w:val="0000FF"/>
            <w:sz w:val="28"/>
            <w:szCs w:val="28"/>
            <w:u w:val="single"/>
            <w:rtl/>
          </w:rPr>
          <w:t>192</w:t>
        </w:r>
      </w:hyperlink>
      <w:r>
        <w:rPr>
          <w:sz w:val="28"/>
          <w:szCs w:val="28"/>
          <w:rtl/>
        </w:rPr>
        <w:t xml:space="preserve">, </w:t>
      </w:r>
      <w:hyperlink r:id="rId33" w:history="1">
        <w:r w:rsidR="004A6F05" w:rsidRPr="004A6F05">
          <w:rPr>
            <w:color w:val="0000FF"/>
            <w:sz w:val="28"/>
            <w:szCs w:val="28"/>
            <w:u w:val="single"/>
            <w:rtl/>
          </w:rPr>
          <w:t>452</w:t>
        </w:r>
      </w:hyperlink>
      <w:r>
        <w:rPr>
          <w:sz w:val="28"/>
          <w:szCs w:val="28"/>
          <w:rtl/>
        </w:rPr>
        <w:t xml:space="preserve"> ו-</w:t>
      </w:r>
      <w:hyperlink r:id="rId34" w:history="1">
        <w:r w:rsidR="004A6F05" w:rsidRPr="004A6F05">
          <w:rPr>
            <w:color w:val="0000FF"/>
            <w:sz w:val="28"/>
            <w:szCs w:val="28"/>
            <w:u w:val="single"/>
            <w:rtl/>
          </w:rPr>
          <w:t>384</w:t>
        </w:r>
      </w:hyperlink>
      <w:r>
        <w:rPr>
          <w:sz w:val="28"/>
          <w:szCs w:val="28"/>
          <w:rtl/>
        </w:rPr>
        <w:t xml:space="preserve"> לחוק.</w:t>
      </w:r>
    </w:p>
    <w:p w14:paraId="6AC59D62" w14:textId="77777777" w:rsidR="00CA120F" w:rsidRDefault="00CA120F">
      <w:pPr>
        <w:spacing w:line="480" w:lineRule="auto"/>
        <w:jc w:val="both"/>
        <w:rPr>
          <w:sz w:val="28"/>
          <w:szCs w:val="28"/>
          <w:rtl/>
        </w:rPr>
      </w:pPr>
    </w:p>
    <w:p w14:paraId="3A33A626" w14:textId="77777777" w:rsidR="00CA120F" w:rsidRDefault="00402B4E">
      <w:pPr>
        <w:spacing w:line="480" w:lineRule="auto"/>
        <w:jc w:val="both"/>
        <w:rPr>
          <w:sz w:val="28"/>
          <w:szCs w:val="28"/>
          <w:rtl/>
        </w:rPr>
      </w:pPr>
      <w:r>
        <w:rPr>
          <w:sz w:val="28"/>
          <w:szCs w:val="28"/>
          <w:rtl/>
        </w:rPr>
        <w:t>3.</w:t>
      </w:r>
      <w:r>
        <w:rPr>
          <w:sz w:val="28"/>
          <w:szCs w:val="28"/>
          <w:rtl/>
        </w:rPr>
        <w:tab/>
        <w:t>הנאשם, יליד 1984, היה בן זוגה לשעבר של גב' תימור נחום. על פי המתואר בכתב האישום המתוקן, בחודש אוגוסט 2012 פנתה גב' נחום לחברה, מר משה קורלינסקי (להלן: "</w:t>
      </w:r>
      <w:r>
        <w:rPr>
          <w:b/>
          <w:bCs/>
          <w:sz w:val="28"/>
          <w:szCs w:val="28"/>
          <w:rtl/>
        </w:rPr>
        <w:t>משה</w:t>
      </w:r>
      <w:r>
        <w:rPr>
          <w:sz w:val="28"/>
          <w:szCs w:val="28"/>
          <w:rtl/>
        </w:rPr>
        <w:t>"), וסיפרה כי הנאשם מטריד אותה במקום עבודתה. משה פנה לחברו, מר אביחי גטו, וביקשו לפנות לנאשם ולבקש ממנו כי יחדל מהטרדותיו כלפי גב' נחום. על רקע האמור התגלע סכסוך בין הנאשם לבין מר אביחי גטו ואחיו, מר יונתן גטו (להלן: "</w:t>
      </w:r>
      <w:r>
        <w:rPr>
          <w:b/>
          <w:bCs/>
          <w:sz w:val="28"/>
          <w:szCs w:val="28"/>
          <w:rtl/>
        </w:rPr>
        <w:t>אביחי</w:t>
      </w:r>
      <w:r>
        <w:rPr>
          <w:sz w:val="28"/>
          <w:szCs w:val="28"/>
          <w:rtl/>
        </w:rPr>
        <w:t>" ו-"</w:t>
      </w:r>
      <w:r>
        <w:rPr>
          <w:b/>
          <w:bCs/>
          <w:sz w:val="28"/>
          <w:szCs w:val="28"/>
          <w:rtl/>
        </w:rPr>
        <w:t>יונתן</w:t>
      </w:r>
      <w:r>
        <w:rPr>
          <w:sz w:val="28"/>
          <w:szCs w:val="28"/>
          <w:rtl/>
        </w:rPr>
        <w:t>", בהתאמה).</w:t>
      </w:r>
    </w:p>
    <w:p w14:paraId="6A79C8DC" w14:textId="77777777" w:rsidR="00CA120F" w:rsidRDefault="00CA120F">
      <w:pPr>
        <w:spacing w:line="480" w:lineRule="auto"/>
        <w:jc w:val="both"/>
        <w:rPr>
          <w:sz w:val="28"/>
          <w:szCs w:val="28"/>
          <w:rtl/>
        </w:rPr>
      </w:pPr>
    </w:p>
    <w:p w14:paraId="5D1B7D95" w14:textId="77777777" w:rsidR="00CA120F" w:rsidRDefault="00402B4E">
      <w:pPr>
        <w:spacing w:line="480" w:lineRule="auto"/>
        <w:jc w:val="both"/>
        <w:rPr>
          <w:sz w:val="28"/>
          <w:szCs w:val="28"/>
          <w:rtl/>
        </w:rPr>
      </w:pPr>
      <w:r>
        <w:rPr>
          <w:sz w:val="28"/>
          <w:szCs w:val="28"/>
          <w:rtl/>
        </w:rPr>
        <w:t>4.</w:t>
      </w:r>
      <w:r>
        <w:rPr>
          <w:sz w:val="28"/>
          <w:szCs w:val="28"/>
          <w:rtl/>
        </w:rPr>
        <w:tab/>
        <w:t xml:space="preserve">על פי העובדות בהן הודה הנאשם במסגרת </w:t>
      </w:r>
      <w:r>
        <w:rPr>
          <w:b/>
          <w:bCs/>
          <w:sz w:val="28"/>
          <w:szCs w:val="28"/>
          <w:rtl/>
        </w:rPr>
        <w:t>האישום הראשון</w:t>
      </w:r>
      <w:r>
        <w:rPr>
          <w:sz w:val="28"/>
          <w:szCs w:val="28"/>
          <w:rtl/>
        </w:rPr>
        <w:t>, ביום 6.8.12, שעה שאביחי ואחיו התקשרו לנאשם על מנת לשוחח עמו בעניינה של תימור, איים הנאשם על השניים כי ירצח אותם. בהמשך לשיחה נדברו השניים להיפגש באותו ערב. במהלך הפגישה, שהתרחשה ליד ביתו של הנאשם ואליה הגיעו אביחי ויונתן מלווים במשה ובחברים נוספים: מר נדב שטרק</w:t>
      </w:r>
      <w:r>
        <w:rPr>
          <w:rFonts w:hint="cs"/>
          <w:sz w:val="28"/>
          <w:szCs w:val="28"/>
          <w:rtl/>
        </w:rPr>
        <w:t xml:space="preserve"> ו</w:t>
      </w:r>
      <w:r>
        <w:rPr>
          <w:sz w:val="28"/>
          <w:szCs w:val="28"/>
          <w:rtl/>
        </w:rPr>
        <w:t>אייל שיק (להלן: "</w:t>
      </w:r>
      <w:r>
        <w:rPr>
          <w:b/>
          <w:bCs/>
          <w:sz w:val="28"/>
          <w:szCs w:val="28"/>
          <w:rtl/>
        </w:rPr>
        <w:t>נדב</w:t>
      </w:r>
      <w:r>
        <w:rPr>
          <w:sz w:val="28"/>
          <w:szCs w:val="28"/>
          <w:rtl/>
        </w:rPr>
        <w:t>" ו-"</w:t>
      </w:r>
      <w:r>
        <w:rPr>
          <w:b/>
          <w:bCs/>
          <w:sz w:val="28"/>
          <w:szCs w:val="28"/>
          <w:rtl/>
        </w:rPr>
        <w:t>אייל</w:t>
      </w:r>
      <w:r>
        <w:rPr>
          <w:sz w:val="28"/>
          <w:szCs w:val="28"/>
          <w:rtl/>
        </w:rPr>
        <w:t xml:space="preserve">"), פרצה </w:t>
      </w:r>
      <w:r>
        <w:rPr>
          <w:sz w:val="28"/>
          <w:szCs w:val="28"/>
          <w:rtl/>
        </w:rPr>
        <w:lastRenderedPageBreak/>
        <w:t xml:space="preserve">קטטה בין הנאשם לבין בני החבורה, במהלכה סטר הנאשם לאביחי. </w:t>
      </w:r>
      <w:r>
        <w:rPr>
          <w:rFonts w:hint="cs"/>
          <w:sz w:val="28"/>
          <w:szCs w:val="28"/>
          <w:rtl/>
        </w:rPr>
        <w:t xml:space="preserve">בהמשך, </w:t>
      </w:r>
      <w:r>
        <w:rPr>
          <w:sz w:val="28"/>
          <w:szCs w:val="28"/>
          <w:rtl/>
        </w:rPr>
        <w:t>שעה שאביחי הבחין כי הנאשם נושא סכין</w:t>
      </w:r>
      <w:r>
        <w:rPr>
          <w:rFonts w:hint="cs"/>
          <w:sz w:val="28"/>
          <w:szCs w:val="28"/>
          <w:rtl/>
        </w:rPr>
        <w:t>,</w:t>
      </w:r>
      <w:r>
        <w:rPr>
          <w:sz w:val="28"/>
          <w:szCs w:val="28"/>
          <w:rtl/>
        </w:rPr>
        <w:t xml:space="preserve"> החל הוא להימלט חזרה לכיוון הרכב, אולם הנאשם דלק אחריו. נדב, שחש לעזרתו של אביחי, הוכה על ידי הנאשם בראשו</w:t>
      </w:r>
      <w:r>
        <w:rPr>
          <w:rFonts w:hint="cs"/>
          <w:sz w:val="28"/>
          <w:szCs w:val="28"/>
          <w:rtl/>
        </w:rPr>
        <w:t xml:space="preserve">, ולאחר מכן גם נדקר על ידי הנאשם </w:t>
      </w:r>
      <w:r>
        <w:rPr>
          <w:sz w:val="28"/>
          <w:szCs w:val="28"/>
          <w:rtl/>
        </w:rPr>
        <w:t xml:space="preserve">ארבע </w:t>
      </w:r>
      <w:r>
        <w:rPr>
          <w:rFonts w:hint="cs"/>
          <w:sz w:val="28"/>
          <w:szCs w:val="28"/>
          <w:rtl/>
        </w:rPr>
        <w:t xml:space="preserve">פעמים </w:t>
      </w:r>
      <w:r>
        <w:rPr>
          <w:sz w:val="28"/>
          <w:szCs w:val="28"/>
          <w:rtl/>
        </w:rPr>
        <w:t xml:space="preserve">בגבו. כתוצאה מהדקירות איבד נדב את הכרתו ופונה באמבולנס לבית חולים. </w:t>
      </w:r>
    </w:p>
    <w:p w14:paraId="02AD98EC" w14:textId="77777777" w:rsidR="00CA120F" w:rsidRDefault="00CA120F">
      <w:pPr>
        <w:spacing w:line="480" w:lineRule="auto"/>
        <w:jc w:val="both"/>
        <w:rPr>
          <w:sz w:val="28"/>
          <w:szCs w:val="28"/>
          <w:rtl/>
        </w:rPr>
      </w:pPr>
    </w:p>
    <w:p w14:paraId="58D03667" w14:textId="77777777" w:rsidR="00CA120F" w:rsidRDefault="00402B4E">
      <w:pPr>
        <w:spacing w:line="480" w:lineRule="auto"/>
        <w:ind w:firstLine="720"/>
        <w:jc w:val="both"/>
        <w:rPr>
          <w:sz w:val="28"/>
          <w:szCs w:val="28"/>
          <w:rtl/>
        </w:rPr>
      </w:pPr>
      <w:r>
        <w:rPr>
          <w:sz w:val="28"/>
          <w:szCs w:val="28"/>
          <w:rtl/>
        </w:rPr>
        <w:t>הנאשם לא הסתפק בכל האמור לעיל, ובהמשך אותו ערב הגדיל לעשות, התקשר לאביחי ואיים עליו כי הוא ואחיו, יונתן</w:t>
      </w:r>
      <w:r>
        <w:rPr>
          <w:rFonts w:hint="cs"/>
          <w:sz w:val="28"/>
          <w:szCs w:val="28"/>
          <w:rtl/>
        </w:rPr>
        <w:t>,</w:t>
      </w:r>
      <w:r>
        <w:rPr>
          <w:sz w:val="28"/>
          <w:szCs w:val="28"/>
          <w:rtl/>
        </w:rPr>
        <w:t xml:space="preserve"> הינם </w:t>
      </w:r>
      <w:r>
        <w:rPr>
          <w:rFonts w:hint="cs"/>
          <w:sz w:val="28"/>
          <w:szCs w:val="28"/>
          <w:rtl/>
        </w:rPr>
        <w:t>"</w:t>
      </w:r>
      <w:r>
        <w:rPr>
          <w:sz w:val="28"/>
          <w:szCs w:val="28"/>
          <w:rtl/>
        </w:rPr>
        <w:t>מטרתו הבאה</w:t>
      </w:r>
      <w:r>
        <w:rPr>
          <w:rFonts w:hint="cs"/>
          <w:sz w:val="28"/>
          <w:szCs w:val="28"/>
          <w:rtl/>
        </w:rPr>
        <w:t>"</w:t>
      </w:r>
      <w:r>
        <w:rPr>
          <w:sz w:val="28"/>
          <w:szCs w:val="28"/>
          <w:rtl/>
        </w:rPr>
        <w:t>.</w:t>
      </w:r>
      <w:r>
        <w:rPr>
          <w:sz w:val="28"/>
          <w:szCs w:val="28"/>
          <w:rtl/>
        </w:rPr>
        <w:br/>
      </w:r>
    </w:p>
    <w:p w14:paraId="46C3EEC1" w14:textId="77777777" w:rsidR="00CA120F" w:rsidRDefault="00402B4E">
      <w:pPr>
        <w:spacing w:line="480" w:lineRule="auto"/>
        <w:jc w:val="both"/>
        <w:rPr>
          <w:sz w:val="28"/>
          <w:szCs w:val="28"/>
          <w:rtl/>
        </w:rPr>
      </w:pPr>
      <w:r>
        <w:rPr>
          <w:sz w:val="28"/>
          <w:szCs w:val="28"/>
          <w:rtl/>
        </w:rPr>
        <w:t>5.</w:t>
      </w:r>
      <w:r>
        <w:rPr>
          <w:sz w:val="28"/>
          <w:szCs w:val="28"/>
          <w:rtl/>
        </w:rPr>
        <w:tab/>
        <w:t xml:space="preserve">על פי העובדות בהן הודה הנאשם בגדר </w:t>
      </w:r>
      <w:r>
        <w:rPr>
          <w:b/>
          <w:bCs/>
          <w:sz w:val="28"/>
          <w:szCs w:val="28"/>
          <w:rtl/>
        </w:rPr>
        <w:t>האישום השני</w:t>
      </w:r>
      <w:r>
        <w:rPr>
          <w:sz w:val="28"/>
          <w:szCs w:val="28"/>
          <w:rtl/>
        </w:rPr>
        <w:t>, כחודשיים לאחר האירוע, עת הנאשם פגש באופן אקראי ביונתן, הוא סטר לו ואיים לזרוק עליו כסא.</w:t>
      </w:r>
    </w:p>
    <w:p w14:paraId="65AB2AB8" w14:textId="77777777" w:rsidR="00CA120F" w:rsidRDefault="00CA120F">
      <w:pPr>
        <w:spacing w:line="480" w:lineRule="auto"/>
        <w:jc w:val="both"/>
        <w:rPr>
          <w:sz w:val="28"/>
          <w:szCs w:val="28"/>
          <w:rtl/>
        </w:rPr>
      </w:pPr>
    </w:p>
    <w:p w14:paraId="7292AF0E" w14:textId="77777777" w:rsidR="00CA120F" w:rsidRDefault="00402B4E">
      <w:pPr>
        <w:spacing w:line="480" w:lineRule="auto"/>
        <w:jc w:val="both"/>
        <w:rPr>
          <w:sz w:val="28"/>
          <w:szCs w:val="28"/>
          <w:rtl/>
        </w:rPr>
      </w:pPr>
      <w:r>
        <w:rPr>
          <w:sz w:val="28"/>
          <w:szCs w:val="28"/>
          <w:rtl/>
        </w:rPr>
        <w:t>6.</w:t>
      </w:r>
      <w:r>
        <w:rPr>
          <w:sz w:val="28"/>
          <w:szCs w:val="28"/>
          <w:rtl/>
        </w:rPr>
        <w:tab/>
        <w:t xml:space="preserve">על פי העובדות בהן הודה הנאשם בגדר </w:t>
      </w:r>
      <w:r>
        <w:rPr>
          <w:b/>
          <w:bCs/>
          <w:sz w:val="28"/>
          <w:szCs w:val="28"/>
          <w:rtl/>
        </w:rPr>
        <w:t>האישום השלישי</w:t>
      </w:r>
      <w:r>
        <w:rPr>
          <w:sz w:val="28"/>
          <w:szCs w:val="28"/>
          <w:rtl/>
        </w:rPr>
        <w:t>, מספר ימים לאחר האירוע המתואר באישום השני, ניקבו אביחי ויונתן את צמיגי רכבו של הנאשם. מספר ימים לאחר מכן</w:t>
      </w:r>
      <w:r>
        <w:rPr>
          <w:rFonts w:hint="cs"/>
          <w:sz w:val="28"/>
          <w:szCs w:val="28"/>
          <w:rtl/>
        </w:rPr>
        <w:t>,</w:t>
      </w:r>
      <w:r>
        <w:rPr>
          <w:sz w:val="28"/>
          <w:szCs w:val="28"/>
          <w:rtl/>
        </w:rPr>
        <w:t xml:space="preserve"> הגיע הנאשם לביתו של אביחי, שם התפוצץ רימון הלם וכתוצאה מכך נופצה זכוכית השולחן שנמצא בחזית הבית. במהלך האירוע נגנב הטלפון הנייד של אביחי, והוא נמצא, מאוחר יותר, ברשות הנאשם שהחזיק בו על אף שידע כי הטלפון גנוב.</w:t>
      </w:r>
    </w:p>
    <w:p w14:paraId="0052A09B" w14:textId="77777777" w:rsidR="00CA120F" w:rsidRDefault="00CA120F">
      <w:pPr>
        <w:spacing w:line="480" w:lineRule="auto"/>
        <w:jc w:val="both"/>
        <w:rPr>
          <w:sz w:val="28"/>
          <w:szCs w:val="28"/>
          <w:rtl/>
        </w:rPr>
      </w:pPr>
    </w:p>
    <w:p w14:paraId="7CE7F8CD" w14:textId="77777777" w:rsidR="00CA120F" w:rsidRDefault="00402B4E">
      <w:pPr>
        <w:spacing w:line="480" w:lineRule="auto"/>
        <w:jc w:val="both"/>
        <w:rPr>
          <w:sz w:val="28"/>
          <w:szCs w:val="28"/>
          <w:rtl/>
        </w:rPr>
      </w:pPr>
      <w:r>
        <w:rPr>
          <w:sz w:val="28"/>
          <w:szCs w:val="28"/>
          <w:rtl/>
        </w:rPr>
        <w:t>7.</w:t>
      </w:r>
      <w:r>
        <w:rPr>
          <w:sz w:val="28"/>
          <w:szCs w:val="28"/>
          <w:rtl/>
        </w:rPr>
        <w:tab/>
        <w:t xml:space="preserve">על פי העובדות המתוארות </w:t>
      </w:r>
      <w:r>
        <w:rPr>
          <w:b/>
          <w:bCs/>
          <w:sz w:val="28"/>
          <w:szCs w:val="28"/>
          <w:rtl/>
        </w:rPr>
        <w:t>באישום הרביעי</w:t>
      </w:r>
      <w:r>
        <w:rPr>
          <w:sz w:val="28"/>
          <w:szCs w:val="28"/>
          <w:rtl/>
        </w:rPr>
        <w:t>, במהלך חיפוש בביתו של הנאשם</w:t>
      </w:r>
      <w:r>
        <w:rPr>
          <w:rFonts w:hint="cs"/>
          <w:sz w:val="28"/>
          <w:szCs w:val="28"/>
          <w:rtl/>
        </w:rPr>
        <w:t>,</w:t>
      </w:r>
      <w:r>
        <w:rPr>
          <w:sz w:val="28"/>
          <w:szCs w:val="28"/>
          <w:rtl/>
        </w:rPr>
        <w:t xml:space="preserve"> שהתקיים ביום 21.10.12, נמצאה בחזקתו כמות גדולה של תחמושת, לרבות </w:t>
      </w:r>
      <w:r>
        <w:rPr>
          <w:rFonts w:hint="cs"/>
          <w:sz w:val="28"/>
          <w:szCs w:val="28"/>
          <w:rtl/>
        </w:rPr>
        <w:t>שתי</w:t>
      </w:r>
      <w:r>
        <w:rPr>
          <w:sz w:val="28"/>
          <w:szCs w:val="28"/>
          <w:rtl/>
        </w:rPr>
        <w:t xml:space="preserve"> מחסניות לרובה </w:t>
      </w:r>
      <w:r>
        <w:rPr>
          <w:rFonts w:hint="cs"/>
          <w:sz w:val="28"/>
          <w:szCs w:val="28"/>
          <w:rtl/>
        </w:rPr>
        <w:t>16</w:t>
      </w:r>
      <w:r>
        <w:rPr>
          <w:sz w:val="28"/>
          <w:szCs w:val="28"/>
        </w:rPr>
        <w:t xml:space="preserve"> M-</w:t>
      </w:r>
      <w:r>
        <w:rPr>
          <w:sz w:val="28"/>
          <w:szCs w:val="28"/>
          <w:rtl/>
        </w:rPr>
        <w:t xml:space="preserve">ובהן כדורים, </w:t>
      </w:r>
      <w:r>
        <w:rPr>
          <w:rFonts w:hint="cs"/>
          <w:sz w:val="28"/>
          <w:szCs w:val="28"/>
          <w:rtl/>
        </w:rPr>
        <w:t>שלוש</w:t>
      </w:r>
      <w:r>
        <w:rPr>
          <w:sz w:val="28"/>
          <w:szCs w:val="28"/>
          <w:rtl/>
        </w:rPr>
        <w:t xml:space="preserve"> מחסניות אקדח 9 מ"מ ובהן כדורים, וכן שתי מחסניות ריקות; מחסנית לרובה "עוזי" עם כדורים, מחסנית לאקדח בקוטר 0.22 עם כדורים, וכן ארבע קופסאות כדורים לכלי נשק בקטרים שונים. </w:t>
      </w:r>
    </w:p>
    <w:p w14:paraId="6A40CDE7" w14:textId="77777777" w:rsidR="00CA120F" w:rsidRDefault="00CA120F">
      <w:pPr>
        <w:spacing w:line="480" w:lineRule="auto"/>
        <w:jc w:val="both"/>
        <w:rPr>
          <w:sz w:val="28"/>
          <w:szCs w:val="28"/>
          <w:rtl/>
        </w:rPr>
      </w:pPr>
    </w:p>
    <w:p w14:paraId="532801B1" w14:textId="77777777" w:rsidR="00CA120F" w:rsidRDefault="00402B4E">
      <w:pPr>
        <w:spacing w:line="480" w:lineRule="auto"/>
        <w:jc w:val="both"/>
        <w:rPr>
          <w:sz w:val="28"/>
          <w:szCs w:val="28"/>
          <w:rtl/>
        </w:rPr>
      </w:pPr>
      <w:r>
        <w:rPr>
          <w:sz w:val="28"/>
          <w:szCs w:val="28"/>
          <w:rtl/>
        </w:rPr>
        <w:t>8.</w:t>
      </w:r>
      <w:r>
        <w:rPr>
          <w:sz w:val="28"/>
          <w:szCs w:val="28"/>
          <w:rtl/>
        </w:rPr>
        <w:tab/>
        <w:t>הסדר הטיעון אליו הגיעו הצדדים כלל הסכמה עונשית, לפיה ב</w:t>
      </w:r>
      <w:r>
        <w:rPr>
          <w:rFonts w:hint="cs"/>
          <w:sz w:val="28"/>
          <w:szCs w:val="28"/>
          <w:rtl/>
        </w:rPr>
        <w:t xml:space="preserve">את-כוח </w:t>
      </w:r>
      <w:r>
        <w:rPr>
          <w:sz w:val="28"/>
          <w:szCs w:val="28"/>
          <w:rtl/>
        </w:rPr>
        <w:t xml:space="preserve">המאשימה </w:t>
      </w:r>
      <w:r>
        <w:rPr>
          <w:rFonts w:hint="cs"/>
          <w:sz w:val="28"/>
          <w:szCs w:val="28"/>
          <w:rtl/>
        </w:rPr>
        <w:t>תעתור</w:t>
      </w:r>
      <w:r>
        <w:rPr>
          <w:sz w:val="28"/>
          <w:szCs w:val="28"/>
          <w:rtl/>
        </w:rPr>
        <w:t xml:space="preserve"> לעונש מירבי של 30 חודשי מאסר בפועל, וכן מאסר מותנה ופיצוי למתלוננים, ואילו </w:t>
      </w:r>
      <w:r>
        <w:rPr>
          <w:rFonts w:hint="cs"/>
          <w:sz w:val="28"/>
          <w:szCs w:val="28"/>
          <w:rtl/>
        </w:rPr>
        <w:t xml:space="preserve">בא-כוח </w:t>
      </w:r>
      <w:r>
        <w:rPr>
          <w:sz w:val="28"/>
          <w:szCs w:val="28"/>
          <w:rtl/>
        </w:rPr>
        <w:t>הנאשם יהא חופשי בטיעוניו.</w:t>
      </w:r>
    </w:p>
    <w:p w14:paraId="40D5B6EC" w14:textId="77777777" w:rsidR="00CA120F" w:rsidRDefault="00CA120F">
      <w:pPr>
        <w:spacing w:line="480" w:lineRule="auto"/>
        <w:jc w:val="both"/>
        <w:rPr>
          <w:sz w:val="28"/>
          <w:szCs w:val="28"/>
          <w:rtl/>
        </w:rPr>
      </w:pPr>
    </w:p>
    <w:p w14:paraId="61D74A7B" w14:textId="77777777" w:rsidR="00CA120F" w:rsidRDefault="00402B4E">
      <w:pPr>
        <w:spacing w:line="480" w:lineRule="auto"/>
        <w:jc w:val="both"/>
        <w:rPr>
          <w:sz w:val="28"/>
          <w:szCs w:val="28"/>
          <w:rtl/>
        </w:rPr>
      </w:pPr>
      <w:r>
        <w:rPr>
          <w:sz w:val="28"/>
          <w:szCs w:val="28"/>
          <w:rtl/>
        </w:rPr>
        <w:t>9.</w:t>
      </w:r>
      <w:r>
        <w:rPr>
          <w:sz w:val="28"/>
          <w:szCs w:val="28"/>
          <w:rtl/>
        </w:rPr>
        <w:tab/>
        <w:t xml:space="preserve">למען השלמת התמונה אציין, כי בגין האירועים האמורים הוגש כתב אישום גם כנגד </w:t>
      </w:r>
      <w:r>
        <w:rPr>
          <w:rFonts w:hint="cs"/>
          <w:sz w:val="28"/>
          <w:szCs w:val="28"/>
          <w:rtl/>
        </w:rPr>
        <w:t>אביחי ויונתן</w:t>
      </w:r>
      <w:r>
        <w:rPr>
          <w:sz w:val="28"/>
          <w:szCs w:val="28"/>
          <w:rtl/>
        </w:rPr>
        <w:t>, בו יוחסו להם עבירות של חבלה במזיד ופציעה בנסיבות מחמירות. על פי הנטען בכתב אישום זה, בתגובה למעשיו של הנאשם ניקבו אביחי ויונתן את צמיגי רכבו, ובחודש אוקטובר 2012 לערך, מספר ימים לאחר האירוע המתואר באישום השלישי בכתב האישום נגד הנאשם דנן, הכו אותו אביחי, יונתן וחבר נוסף באמצעות מקלות בכל חלקי גופו.</w:t>
      </w:r>
    </w:p>
    <w:p w14:paraId="1B514D38" w14:textId="77777777" w:rsidR="00CA120F" w:rsidRDefault="00CA120F">
      <w:pPr>
        <w:spacing w:line="480" w:lineRule="auto"/>
        <w:jc w:val="both"/>
        <w:rPr>
          <w:b/>
          <w:bCs/>
          <w:sz w:val="28"/>
          <w:szCs w:val="28"/>
          <w:u w:val="single"/>
          <w:rtl/>
        </w:rPr>
      </w:pPr>
    </w:p>
    <w:p w14:paraId="190C0C7A" w14:textId="77777777" w:rsidR="00CA120F" w:rsidRDefault="00402B4E">
      <w:pPr>
        <w:spacing w:line="480" w:lineRule="auto"/>
        <w:jc w:val="both"/>
        <w:rPr>
          <w:b/>
          <w:bCs/>
          <w:sz w:val="28"/>
          <w:szCs w:val="28"/>
          <w:u w:val="single"/>
          <w:rtl/>
        </w:rPr>
      </w:pPr>
      <w:r>
        <w:rPr>
          <w:b/>
          <w:bCs/>
          <w:sz w:val="28"/>
          <w:szCs w:val="28"/>
          <w:u w:val="single"/>
          <w:rtl/>
        </w:rPr>
        <w:t>תמצית טיעוני הצדדים לעונש</w:t>
      </w:r>
    </w:p>
    <w:p w14:paraId="7E476175" w14:textId="77777777" w:rsidR="00CA120F" w:rsidRDefault="00402B4E">
      <w:pPr>
        <w:spacing w:line="480" w:lineRule="auto"/>
        <w:jc w:val="both"/>
        <w:rPr>
          <w:sz w:val="28"/>
          <w:szCs w:val="28"/>
          <w:rtl/>
        </w:rPr>
      </w:pPr>
      <w:r>
        <w:rPr>
          <w:sz w:val="28"/>
          <w:szCs w:val="28"/>
          <w:rtl/>
        </w:rPr>
        <w:t>10.</w:t>
      </w:r>
      <w:r>
        <w:rPr>
          <w:sz w:val="28"/>
          <w:szCs w:val="28"/>
          <w:rtl/>
        </w:rPr>
        <w:tab/>
        <w:t>באת-כוח המאשימה, עו"ד נגה בן סידי,  עמדה על חומרת העבירות בהן הורשע הנאשם, בדגש על עבירת החבלה בנסיבות מחמירות, וכן על עבירות הנשק</w:t>
      </w:r>
      <w:r>
        <w:rPr>
          <w:rFonts w:hint="cs"/>
          <w:sz w:val="28"/>
          <w:szCs w:val="28"/>
          <w:rtl/>
        </w:rPr>
        <w:t xml:space="preserve">. עוד פירטה את </w:t>
      </w:r>
      <w:r>
        <w:rPr>
          <w:sz w:val="28"/>
          <w:szCs w:val="28"/>
          <w:rtl/>
        </w:rPr>
        <w:t xml:space="preserve">הערכים המוגנים שנפגעו בביצוען, </w:t>
      </w:r>
      <w:r>
        <w:rPr>
          <w:rFonts w:hint="cs"/>
          <w:sz w:val="28"/>
          <w:szCs w:val="28"/>
          <w:rtl/>
        </w:rPr>
        <w:t xml:space="preserve">ואת </w:t>
      </w:r>
      <w:r>
        <w:rPr>
          <w:sz w:val="28"/>
          <w:szCs w:val="28"/>
          <w:rtl/>
        </w:rPr>
        <w:t>הנסיבות בהן נעברו העבירות</w:t>
      </w:r>
      <w:r>
        <w:rPr>
          <w:rFonts w:hint="cs"/>
          <w:sz w:val="28"/>
          <w:szCs w:val="28"/>
          <w:rtl/>
        </w:rPr>
        <w:t>, ו</w:t>
      </w:r>
      <w:r>
        <w:rPr>
          <w:sz w:val="28"/>
          <w:szCs w:val="28"/>
          <w:rtl/>
        </w:rPr>
        <w:t>הפנתה לאמור בתסקיר שירות המבחן אודות קשייו של הנאשם בנטילת אחריות על מעשיו, והעדר המלצה טיפולית בעניינו. על יסוד כל אלה ביקשה לקבוע מתחם ענישה באישום הראשון, שינוע בין שנתיים ל-5 שנות מאסר בפועל, וביתר האישומים</w:t>
      </w:r>
      <w:r>
        <w:rPr>
          <w:rFonts w:hint="cs"/>
          <w:sz w:val="28"/>
          <w:szCs w:val="28"/>
          <w:rtl/>
        </w:rPr>
        <w:t xml:space="preserve"> -</w:t>
      </w:r>
      <w:r>
        <w:rPr>
          <w:sz w:val="28"/>
          <w:szCs w:val="28"/>
          <w:rtl/>
        </w:rPr>
        <w:t xml:space="preserve"> מתחמים שיכללו מספר חודשי מאסר בפועל</w:t>
      </w:r>
      <w:r>
        <w:rPr>
          <w:rFonts w:hint="cs"/>
          <w:sz w:val="28"/>
          <w:szCs w:val="28"/>
          <w:rtl/>
        </w:rPr>
        <w:t>; ו</w:t>
      </w:r>
      <w:r>
        <w:rPr>
          <w:sz w:val="28"/>
          <w:szCs w:val="28"/>
          <w:rtl/>
        </w:rPr>
        <w:t xml:space="preserve">להשית על הנאשם עונש כולל המצוי ברף העליון של הסדר הטיעון, או בסמוך לו, </w:t>
      </w:r>
      <w:r>
        <w:rPr>
          <w:rFonts w:hint="cs"/>
          <w:sz w:val="28"/>
          <w:szCs w:val="28"/>
          <w:rtl/>
        </w:rPr>
        <w:t>בנוסף ל</w:t>
      </w:r>
      <w:r>
        <w:rPr>
          <w:sz w:val="28"/>
          <w:szCs w:val="28"/>
          <w:rtl/>
        </w:rPr>
        <w:t xml:space="preserve">מאסר מותנה ופיצוי למתלוננים. </w:t>
      </w:r>
    </w:p>
    <w:p w14:paraId="1372CE1A" w14:textId="77777777" w:rsidR="00CA120F" w:rsidRDefault="00CA120F">
      <w:pPr>
        <w:spacing w:line="480" w:lineRule="auto"/>
        <w:jc w:val="both"/>
        <w:rPr>
          <w:sz w:val="28"/>
          <w:szCs w:val="28"/>
          <w:rtl/>
        </w:rPr>
      </w:pPr>
    </w:p>
    <w:p w14:paraId="36597404" w14:textId="77777777" w:rsidR="00CA120F" w:rsidRDefault="00402B4E">
      <w:pPr>
        <w:spacing w:line="480" w:lineRule="auto"/>
        <w:jc w:val="both"/>
        <w:rPr>
          <w:sz w:val="28"/>
          <w:szCs w:val="28"/>
          <w:rtl/>
        </w:rPr>
      </w:pPr>
      <w:r>
        <w:rPr>
          <w:sz w:val="28"/>
          <w:szCs w:val="28"/>
          <w:rtl/>
        </w:rPr>
        <w:t>11.</w:t>
      </w:r>
      <w:r>
        <w:rPr>
          <w:sz w:val="28"/>
          <w:szCs w:val="28"/>
          <w:rtl/>
        </w:rPr>
        <w:tab/>
        <w:t>אף שעו"ד מיכאל עירוני, בא-כוח הנאשם, הודה כי העבירות אותן עבר מרשו הינן חמורות, ביקש הוא להפנות לכך שמדובר במעשים שבוצעו כחלק ממסכת אלימות מתמשכת שגררה תגובות פוגעניות מצד שני הצדדים לסכסוך, כאשר היוזמה לאירוע</w:t>
      </w:r>
      <w:r>
        <w:rPr>
          <w:rFonts w:hint="cs"/>
          <w:sz w:val="28"/>
          <w:szCs w:val="28"/>
          <w:rtl/>
        </w:rPr>
        <w:t>,</w:t>
      </w:r>
      <w:r>
        <w:rPr>
          <w:sz w:val="28"/>
          <w:szCs w:val="28"/>
          <w:rtl/>
        </w:rPr>
        <w:t xml:space="preserve"> במהלכו נדקר נדב</w:t>
      </w:r>
      <w:r>
        <w:rPr>
          <w:rFonts w:hint="cs"/>
          <w:sz w:val="28"/>
          <w:szCs w:val="28"/>
          <w:rtl/>
        </w:rPr>
        <w:t>,</w:t>
      </w:r>
      <w:r>
        <w:rPr>
          <w:sz w:val="28"/>
          <w:szCs w:val="28"/>
          <w:rtl/>
        </w:rPr>
        <w:t xml:space="preserve"> הגיעה לא מצדו של הנאשם, אלא מצד אביחי ויונתן, שהגיעו לביתו של הנאשם על מנת "לסגור עמו חשבון" לאחר שהטריד, </w:t>
      </w:r>
      <w:r>
        <w:rPr>
          <w:rFonts w:hint="cs"/>
          <w:sz w:val="28"/>
          <w:szCs w:val="28"/>
          <w:rtl/>
        </w:rPr>
        <w:t>לדידם</w:t>
      </w:r>
      <w:r>
        <w:rPr>
          <w:sz w:val="28"/>
          <w:szCs w:val="28"/>
          <w:rtl/>
        </w:rPr>
        <w:t xml:space="preserve">, את תימור. בנסיבות אלו, ונוכח נסיבותיו האישיות של הנאשם ועברו הנקי, כמו גם בהתחשב בעובדה כי שהה במעצר מלא במשך 5 שבועות, ביקש הסניגור המלומד לגזור על הנאשם עונש מירבי של מספר חודשי מאסר לריצוי בעבודות שירות. </w:t>
      </w:r>
    </w:p>
    <w:p w14:paraId="20C49C9D" w14:textId="77777777" w:rsidR="00CA120F" w:rsidRDefault="00CA120F">
      <w:pPr>
        <w:spacing w:line="480" w:lineRule="auto"/>
        <w:jc w:val="both"/>
        <w:rPr>
          <w:sz w:val="28"/>
          <w:szCs w:val="28"/>
          <w:rtl/>
        </w:rPr>
      </w:pPr>
    </w:p>
    <w:p w14:paraId="31B900BD" w14:textId="77777777" w:rsidR="00CA120F" w:rsidRDefault="00402B4E">
      <w:pPr>
        <w:spacing w:line="480" w:lineRule="auto"/>
        <w:jc w:val="both"/>
        <w:rPr>
          <w:sz w:val="28"/>
          <w:szCs w:val="28"/>
          <w:rtl/>
        </w:rPr>
      </w:pPr>
      <w:r>
        <w:rPr>
          <w:sz w:val="28"/>
          <w:szCs w:val="28"/>
          <w:rtl/>
        </w:rPr>
        <w:t>12.</w:t>
      </w:r>
      <w:r>
        <w:rPr>
          <w:sz w:val="28"/>
          <w:szCs w:val="28"/>
          <w:rtl/>
        </w:rPr>
        <w:tab/>
        <w:t>ב"כ הצדדים</w:t>
      </w:r>
      <w:r>
        <w:rPr>
          <w:rFonts w:hint="cs"/>
          <w:sz w:val="28"/>
          <w:szCs w:val="28"/>
          <w:rtl/>
        </w:rPr>
        <w:t xml:space="preserve">, </w:t>
      </w:r>
      <w:r>
        <w:rPr>
          <w:sz w:val="28"/>
          <w:szCs w:val="28"/>
          <w:rtl/>
        </w:rPr>
        <w:t>מזה ומזה</w:t>
      </w:r>
      <w:r>
        <w:rPr>
          <w:rFonts w:hint="cs"/>
          <w:sz w:val="28"/>
          <w:szCs w:val="28"/>
          <w:rtl/>
        </w:rPr>
        <w:t>, הפנו</w:t>
      </w:r>
      <w:r>
        <w:rPr>
          <w:sz w:val="28"/>
          <w:szCs w:val="28"/>
          <w:rtl/>
        </w:rPr>
        <w:t xml:space="preserve"> לפסיקה התומכת בעמדתם.</w:t>
      </w:r>
    </w:p>
    <w:p w14:paraId="215E1400" w14:textId="77777777" w:rsidR="00CA120F" w:rsidRDefault="00CA120F">
      <w:pPr>
        <w:spacing w:line="480" w:lineRule="auto"/>
        <w:jc w:val="both"/>
        <w:rPr>
          <w:sz w:val="28"/>
          <w:szCs w:val="28"/>
          <w:rtl/>
        </w:rPr>
      </w:pPr>
    </w:p>
    <w:p w14:paraId="31320676" w14:textId="77777777" w:rsidR="00CA120F" w:rsidRDefault="00402B4E">
      <w:pPr>
        <w:spacing w:line="480" w:lineRule="auto"/>
        <w:jc w:val="both"/>
        <w:rPr>
          <w:b/>
          <w:bCs/>
          <w:sz w:val="28"/>
          <w:szCs w:val="28"/>
          <w:u w:val="single"/>
          <w:rtl/>
        </w:rPr>
      </w:pPr>
      <w:r>
        <w:rPr>
          <w:b/>
          <w:bCs/>
          <w:sz w:val="28"/>
          <w:szCs w:val="28"/>
          <w:u w:val="single"/>
          <w:rtl/>
        </w:rPr>
        <w:t>דיון</w:t>
      </w:r>
    </w:p>
    <w:p w14:paraId="672EBB20" w14:textId="77777777" w:rsidR="00CA120F" w:rsidRDefault="00402B4E">
      <w:pPr>
        <w:spacing w:line="480" w:lineRule="auto"/>
        <w:jc w:val="both"/>
        <w:rPr>
          <w:sz w:val="28"/>
          <w:szCs w:val="28"/>
          <w:rtl/>
        </w:rPr>
      </w:pPr>
      <w:r>
        <w:rPr>
          <w:sz w:val="28"/>
          <w:szCs w:val="28"/>
          <w:rtl/>
        </w:rPr>
        <w:t>13.</w:t>
      </w:r>
      <w:r>
        <w:rPr>
          <w:sz w:val="28"/>
          <w:szCs w:val="28"/>
          <w:rtl/>
        </w:rPr>
        <w:tab/>
        <w:t xml:space="preserve">העבירות בהן הורשע הנאשם, בייחוד אלו המיוחסות לו באישום הראשון, הינן קשות וחמורות. תופעת "פתרון הסכסוכים" באמצעות שימוש בסכין הינה פסולה </w:t>
      </w:r>
      <w:r>
        <w:rPr>
          <w:rFonts w:hint="cs"/>
          <w:sz w:val="28"/>
          <w:szCs w:val="28"/>
          <w:rtl/>
        </w:rPr>
        <w:t>מ</w:t>
      </w:r>
      <w:r>
        <w:rPr>
          <w:sz w:val="28"/>
          <w:szCs w:val="28"/>
          <w:rtl/>
        </w:rPr>
        <w:t>כל וכל. אין תימה, אפוא, כי בשורה ארוכה של פסקי דין עמד בית המשפט העליון על מדיניות הענישה הראויה בתופעת הסכינאות, שהינה מאסר מאחורי סורג ובריח, תוך מתן בכורה לשיקול</w:t>
      </w:r>
      <w:r>
        <w:rPr>
          <w:rFonts w:hint="cs"/>
          <w:sz w:val="28"/>
          <w:szCs w:val="28"/>
          <w:rtl/>
        </w:rPr>
        <w:t>י</w:t>
      </w:r>
      <w:r>
        <w:rPr>
          <w:sz w:val="28"/>
          <w:szCs w:val="28"/>
          <w:rtl/>
        </w:rPr>
        <w:t xml:space="preserve"> הגמול </w:t>
      </w:r>
      <w:r>
        <w:rPr>
          <w:rFonts w:hint="cs"/>
          <w:sz w:val="28"/>
          <w:szCs w:val="28"/>
          <w:rtl/>
        </w:rPr>
        <w:t>וההרתעה</w:t>
      </w:r>
      <w:r>
        <w:rPr>
          <w:sz w:val="28"/>
          <w:szCs w:val="28"/>
          <w:rtl/>
        </w:rPr>
        <w:t xml:space="preserve"> על פני נסיבותיו האישיות של הנאשם.</w:t>
      </w:r>
    </w:p>
    <w:p w14:paraId="06CDA7CD" w14:textId="77777777" w:rsidR="00CA120F" w:rsidRDefault="00CA120F">
      <w:pPr>
        <w:spacing w:line="480" w:lineRule="auto"/>
        <w:jc w:val="both"/>
        <w:rPr>
          <w:sz w:val="28"/>
          <w:szCs w:val="28"/>
          <w:rtl/>
        </w:rPr>
      </w:pPr>
    </w:p>
    <w:p w14:paraId="1AAB098A" w14:textId="77777777" w:rsidR="00CA120F" w:rsidRDefault="00402B4E">
      <w:pPr>
        <w:spacing w:line="480" w:lineRule="auto"/>
        <w:ind w:firstLine="720"/>
        <w:jc w:val="both"/>
        <w:rPr>
          <w:sz w:val="28"/>
          <w:szCs w:val="28"/>
          <w:rtl/>
        </w:rPr>
      </w:pPr>
      <w:r>
        <w:rPr>
          <w:sz w:val="28"/>
          <w:szCs w:val="28"/>
          <w:rtl/>
        </w:rPr>
        <w:t xml:space="preserve">כך, לדוגמה, </w:t>
      </w:r>
      <w:r>
        <w:rPr>
          <w:rFonts w:hint="cs"/>
          <w:sz w:val="28"/>
          <w:szCs w:val="28"/>
          <w:rtl/>
        </w:rPr>
        <w:t>נקבעו</w:t>
      </w:r>
      <w:r>
        <w:rPr>
          <w:sz w:val="28"/>
          <w:szCs w:val="28"/>
          <w:rtl/>
        </w:rPr>
        <w:t xml:space="preserve"> </w:t>
      </w:r>
      <w:r>
        <w:rPr>
          <w:rFonts w:hint="cs"/>
          <w:sz w:val="28"/>
          <w:szCs w:val="28"/>
          <w:rtl/>
        </w:rPr>
        <w:t>ב</w:t>
      </w:r>
      <w:hyperlink r:id="rId35" w:history="1">
        <w:r w:rsidR="00D70BFD" w:rsidRPr="00D70BFD">
          <w:rPr>
            <w:rStyle w:val="Hyperlink"/>
            <w:sz w:val="28"/>
            <w:szCs w:val="28"/>
            <w:rtl/>
          </w:rPr>
          <w:t>ע"פ 10861/05</w:t>
        </w:r>
      </w:hyperlink>
      <w:r>
        <w:rPr>
          <w:rFonts w:hint="cs"/>
          <w:sz w:val="28"/>
          <w:szCs w:val="28"/>
          <w:rtl/>
        </w:rPr>
        <w:t xml:space="preserve"> </w:t>
      </w:r>
      <w:r>
        <w:rPr>
          <w:b/>
          <w:bCs/>
          <w:sz w:val="28"/>
          <w:szCs w:val="28"/>
          <w:rtl/>
        </w:rPr>
        <w:t>גורבאן</w:t>
      </w:r>
      <w:r>
        <w:rPr>
          <w:rFonts w:hint="cs"/>
          <w:sz w:val="28"/>
          <w:szCs w:val="28"/>
          <w:rtl/>
        </w:rPr>
        <w:t xml:space="preserve"> </w:t>
      </w:r>
      <w:r>
        <w:rPr>
          <w:rFonts w:hint="cs"/>
          <w:b/>
          <w:bCs/>
          <w:sz w:val="28"/>
          <w:szCs w:val="28"/>
          <w:rtl/>
        </w:rPr>
        <w:t>נ' מדינת ישראל</w:t>
      </w:r>
      <w:r>
        <w:rPr>
          <w:rFonts w:hint="cs"/>
          <w:sz w:val="28"/>
          <w:szCs w:val="28"/>
          <w:rtl/>
        </w:rPr>
        <w:t xml:space="preserve"> (לא פורסם, 29.3.2007)</w:t>
      </w:r>
      <w:r>
        <w:rPr>
          <w:sz w:val="28"/>
          <w:szCs w:val="28"/>
          <w:rtl/>
        </w:rPr>
        <w:t xml:space="preserve">, </w:t>
      </w:r>
      <w:r>
        <w:rPr>
          <w:rFonts w:hint="cs"/>
          <w:sz w:val="28"/>
          <w:szCs w:val="28"/>
          <w:rtl/>
        </w:rPr>
        <w:t>הדברים הבאים</w:t>
      </w:r>
      <w:r>
        <w:rPr>
          <w:sz w:val="28"/>
          <w:szCs w:val="28"/>
          <w:rtl/>
        </w:rPr>
        <w:t>:</w:t>
      </w:r>
    </w:p>
    <w:p w14:paraId="2E99B11A" w14:textId="77777777" w:rsidR="00CA120F" w:rsidRDefault="00CA120F">
      <w:pPr>
        <w:spacing w:line="480" w:lineRule="auto"/>
        <w:jc w:val="both"/>
        <w:rPr>
          <w:sz w:val="28"/>
          <w:szCs w:val="28"/>
          <w:rtl/>
        </w:rPr>
      </w:pPr>
    </w:p>
    <w:p w14:paraId="592BEE3D" w14:textId="77777777" w:rsidR="00CA120F" w:rsidRDefault="00402B4E">
      <w:pPr>
        <w:pStyle w:val="Quote"/>
        <w:rPr>
          <w:sz w:val="28"/>
          <w:szCs w:val="28"/>
          <w:rtl/>
        </w:rPr>
      </w:pPr>
      <w:r>
        <w:rPr>
          <w:sz w:val="28"/>
          <w:szCs w:val="28"/>
          <w:rtl/>
        </w:rPr>
        <w:t xml:space="preserve"> "יש לנהל מלחמת חורמה בתת תרבות הסכין שפשתה במקומותינו וזאת, בין היתר על דרך ענישה מחמירה המעבירה מסר ברור וחד משמעי לפרט הנאשם ולציבור כולו".</w:t>
      </w:r>
    </w:p>
    <w:p w14:paraId="055F720E" w14:textId="77777777" w:rsidR="00CA120F" w:rsidRDefault="00402B4E">
      <w:pPr>
        <w:spacing w:line="360" w:lineRule="auto"/>
        <w:ind w:left="4320"/>
        <w:jc w:val="both"/>
        <w:rPr>
          <w:sz w:val="28"/>
          <w:szCs w:val="28"/>
          <w:rtl/>
        </w:rPr>
      </w:pPr>
      <w:r>
        <w:rPr>
          <w:sz w:val="28"/>
          <w:szCs w:val="28"/>
          <w:rtl/>
        </w:rPr>
        <w:t xml:space="preserve">        </w:t>
      </w:r>
    </w:p>
    <w:p w14:paraId="39A73909" w14:textId="77777777" w:rsidR="00CA120F" w:rsidRDefault="00402B4E">
      <w:pPr>
        <w:spacing w:line="360" w:lineRule="auto"/>
        <w:ind w:left="4320"/>
        <w:jc w:val="both"/>
        <w:rPr>
          <w:sz w:val="28"/>
          <w:szCs w:val="28"/>
          <w:rtl/>
        </w:rPr>
      </w:pPr>
      <w:r>
        <w:rPr>
          <w:sz w:val="28"/>
          <w:szCs w:val="28"/>
          <w:rtl/>
        </w:rPr>
        <w:t xml:space="preserve">      (</w:t>
      </w:r>
      <w:r>
        <w:rPr>
          <w:b/>
          <w:bCs/>
          <w:sz w:val="28"/>
          <w:szCs w:val="28"/>
          <w:rtl/>
        </w:rPr>
        <w:t>שם</w:t>
      </w:r>
      <w:r>
        <w:rPr>
          <w:sz w:val="28"/>
          <w:szCs w:val="28"/>
          <w:rtl/>
        </w:rPr>
        <w:t xml:space="preserve">, </w:t>
      </w:r>
      <w:r>
        <w:rPr>
          <w:rFonts w:hint="cs"/>
          <w:sz w:val="28"/>
          <w:szCs w:val="28"/>
          <w:rtl/>
        </w:rPr>
        <w:t>ב</w:t>
      </w:r>
      <w:r>
        <w:rPr>
          <w:sz w:val="28"/>
          <w:szCs w:val="28"/>
          <w:rtl/>
        </w:rPr>
        <w:t>פסקה 5 לפסק הדין)</w:t>
      </w:r>
    </w:p>
    <w:p w14:paraId="5F43DFB7" w14:textId="77777777" w:rsidR="00CA120F" w:rsidRDefault="00CA120F">
      <w:pPr>
        <w:spacing w:line="480" w:lineRule="auto"/>
        <w:jc w:val="both"/>
        <w:rPr>
          <w:sz w:val="28"/>
          <w:szCs w:val="28"/>
          <w:rtl/>
        </w:rPr>
      </w:pPr>
    </w:p>
    <w:p w14:paraId="49EA5A54" w14:textId="77777777" w:rsidR="00CA120F" w:rsidRDefault="00402B4E">
      <w:pPr>
        <w:spacing w:line="480" w:lineRule="auto"/>
        <w:ind w:firstLine="720"/>
        <w:jc w:val="both"/>
        <w:rPr>
          <w:sz w:val="28"/>
          <w:szCs w:val="28"/>
          <w:rtl/>
        </w:rPr>
      </w:pPr>
      <w:r>
        <w:rPr>
          <w:sz w:val="28"/>
          <w:szCs w:val="28"/>
          <w:rtl/>
        </w:rPr>
        <w:t>יפים לעניין זה גם דבריו של כבוד השופט מ' חשין ב</w:t>
      </w:r>
      <w:hyperlink r:id="rId36" w:history="1">
        <w:r w:rsidR="00D70BFD" w:rsidRPr="00D70BFD">
          <w:rPr>
            <w:rStyle w:val="Hyperlink"/>
            <w:sz w:val="28"/>
            <w:szCs w:val="28"/>
            <w:rtl/>
          </w:rPr>
          <w:t>ע"פ 259/97</w:t>
        </w:r>
      </w:hyperlink>
      <w:r>
        <w:rPr>
          <w:sz w:val="28"/>
          <w:szCs w:val="28"/>
          <w:rtl/>
        </w:rPr>
        <w:t xml:space="preserve"> </w:t>
      </w:r>
      <w:r>
        <w:rPr>
          <w:b/>
          <w:bCs/>
          <w:sz w:val="28"/>
          <w:szCs w:val="28"/>
          <w:rtl/>
        </w:rPr>
        <w:t>סובחי נ' מדינת ישראל</w:t>
      </w:r>
      <w:r>
        <w:rPr>
          <w:sz w:val="28"/>
          <w:szCs w:val="28"/>
          <w:rtl/>
        </w:rPr>
        <w:t xml:space="preserve"> (לא פורסם, 28.4.1998), לפיהם:</w:t>
      </w:r>
    </w:p>
    <w:p w14:paraId="3E98231B" w14:textId="77777777" w:rsidR="00CA120F" w:rsidRDefault="00CA120F">
      <w:pPr>
        <w:spacing w:line="360" w:lineRule="auto"/>
        <w:jc w:val="both"/>
        <w:rPr>
          <w:sz w:val="28"/>
          <w:szCs w:val="28"/>
          <w:rtl/>
        </w:rPr>
      </w:pPr>
    </w:p>
    <w:p w14:paraId="6D878D6F" w14:textId="77777777" w:rsidR="00CA120F" w:rsidRDefault="00402B4E">
      <w:pPr>
        <w:pStyle w:val="Quote"/>
        <w:rPr>
          <w:sz w:val="28"/>
          <w:szCs w:val="28"/>
          <w:rtl/>
        </w:rPr>
      </w:pPr>
      <w:r>
        <w:rPr>
          <w:sz w:val="28"/>
          <w:szCs w:val="28"/>
          <w:rtl/>
        </w:rPr>
        <w:t>"נוהגם של מיקצת אנשים ליישב חילוקי-דעות ביניהם במוטות ברזל, בקרשים ובסכינים, נוהג מגונה הוא. ראוי הוא לתגובה קשה של בתי-המשפט. תת-תרבות הסכין, כפי שאמרנו לא אחת, דינה כי תיעקר, והעושים ייענשו בכל חומרת הדין. יצא הקול מבית-המשפט ויידעו הכל,  כי הנועץ סכין בגופו של הזולת ייסגר בבית-האסורים לתקופות-שנים".</w:t>
      </w:r>
    </w:p>
    <w:p w14:paraId="0449D83C" w14:textId="77777777" w:rsidR="00CA120F" w:rsidRDefault="00CA120F">
      <w:pPr>
        <w:spacing w:line="360" w:lineRule="auto"/>
        <w:ind w:left="1134" w:right="1134"/>
        <w:jc w:val="both"/>
        <w:rPr>
          <w:sz w:val="28"/>
          <w:szCs w:val="28"/>
          <w:rtl/>
        </w:rPr>
      </w:pPr>
    </w:p>
    <w:p w14:paraId="1FF9217B" w14:textId="77777777" w:rsidR="00CA120F" w:rsidRDefault="00402B4E">
      <w:pPr>
        <w:spacing w:line="360" w:lineRule="auto"/>
        <w:ind w:left="1134" w:right="1134"/>
        <w:jc w:val="both"/>
        <w:rPr>
          <w:sz w:val="28"/>
          <w:szCs w:val="28"/>
          <w:rtl/>
        </w:rPr>
      </w:pPr>
      <w:r>
        <w:rPr>
          <w:rFonts w:hint="cs"/>
          <w:sz w:val="28"/>
          <w:szCs w:val="28"/>
          <w:rtl/>
        </w:rPr>
        <w:t xml:space="preserve">(עוד ראו: </w:t>
      </w:r>
      <w:hyperlink r:id="rId37" w:history="1">
        <w:r w:rsidR="00D70BFD" w:rsidRPr="00D70BFD">
          <w:rPr>
            <w:rStyle w:val="Hyperlink"/>
            <w:sz w:val="28"/>
            <w:szCs w:val="28"/>
            <w:rtl/>
          </w:rPr>
          <w:t>ע"פ 1552/08</w:t>
        </w:r>
      </w:hyperlink>
      <w:r>
        <w:rPr>
          <w:sz w:val="28"/>
          <w:szCs w:val="28"/>
          <w:rtl/>
        </w:rPr>
        <w:t xml:space="preserve"> </w:t>
      </w:r>
      <w:r>
        <w:rPr>
          <w:b/>
          <w:bCs/>
          <w:sz w:val="28"/>
          <w:szCs w:val="28"/>
          <w:rtl/>
        </w:rPr>
        <w:t>מדינת ישראל נ' פרטוש</w:t>
      </w:r>
      <w:r>
        <w:rPr>
          <w:sz w:val="28"/>
          <w:szCs w:val="28"/>
          <w:rtl/>
        </w:rPr>
        <w:t xml:space="preserve"> (לא פורסם, 29.10.2008)</w:t>
      </w:r>
      <w:r>
        <w:rPr>
          <w:rFonts w:hint="cs"/>
          <w:sz w:val="28"/>
          <w:szCs w:val="28"/>
          <w:rtl/>
        </w:rPr>
        <w:t>; ו</w:t>
      </w:r>
      <w:hyperlink r:id="rId38" w:history="1">
        <w:r w:rsidR="00D70BFD" w:rsidRPr="00D70BFD">
          <w:rPr>
            <w:rStyle w:val="Hyperlink"/>
            <w:sz w:val="28"/>
            <w:szCs w:val="28"/>
            <w:rtl/>
          </w:rPr>
          <w:t>ע"פ 3863/09</w:t>
        </w:r>
      </w:hyperlink>
      <w:r>
        <w:rPr>
          <w:sz w:val="28"/>
          <w:szCs w:val="28"/>
          <w:rtl/>
        </w:rPr>
        <w:t xml:space="preserve"> </w:t>
      </w:r>
      <w:r>
        <w:rPr>
          <w:b/>
          <w:bCs/>
          <w:sz w:val="28"/>
          <w:szCs w:val="28"/>
          <w:rtl/>
        </w:rPr>
        <w:t>מדינת ישראל נ' חסן</w:t>
      </w:r>
      <w:r>
        <w:rPr>
          <w:sz w:val="28"/>
          <w:szCs w:val="28"/>
          <w:rtl/>
        </w:rPr>
        <w:t xml:space="preserve"> (לא פורסם, 10.11.2009)</w:t>
      </w:r>
      <w:r>
        <w:rPr>
          <w:rFonts w:hint="cs"/>
          <w:sz w:val="28"/>
          <w:szCs w:val="28"/>
          <w:rtl/>
        </w:rPr>
        <w:t>)</w:t>
      </w:r>
      <w:r>
        <w:rPr>
          <w:sz w:val="28"/>
          <w:szCs w:val="28"/>
          <w:rtl/>
        </w:rPr>
        <w:t>.</w:t>
      </w:r>
    </w:p>
    <w:p w14:paraId="3386418D" w14:textId="77777777" w:rsidR="00CA120F" w:rsidRDefault="00CA120F">
      <w:pPr>
        <w:spacing w:line="480" w:lineRule="auto"/>
        <w:jc w:val="both"/>
        <w:rPr>
          <w:sz w:val="28"/>
          <w:szCs w:val="28"/>
          <w:rtl/>
        </w:rPr>
      </w:pPr>
    </w:p>
    <w:p w14:paraId="408D9E35" w14:textId="77777777" w:rsidR="00CA120F" w:rsidRDefault="00402B4E">
      <w:pPr>
        <w:spacing w:line="480" w:lineRule="auto"/>
        <w:jc w:val="both"/>
        <w:rPr>
          <w:sz w:val="28"/>
          <w:szCs w:val="28"/>
          <w:rtl/>
        </w:rPr>
      </w:pPr>
      <w:r>
        <w:rPr>
          <w:rFonts w:hint="cs"/>
          <w:sz w:val="28"/>
          <w:szCs w:val="28"/>
          <w:rtl/>
        </w:rPr>
        <w:t>14.</w:t>
      </w:r>
      <w:r>
        <w:rPr>
          <w:rFonts w:hint="cs"/>
          <w:sz w:val="28"/>
          <w:szCs w:val="28"/>
          <w:rtl/>
        </w:rPr>
        <w:tab/>
      </w:r>
      <w:r>
        <w:rPr>
          <w:sz w:val="28"/>
          <w:szCs w:val="28"/>
          <w:rtl/>
        </w:rPr>
        <w:t>דברים אלה יפים גם לענייננו, ומקבלים משנה תוקף, עת באירוע מושא האישום הראשון הגיע הנאשם למקום המפגש עם המתלוננים כשהוא מצויד בסכין, סטר לאביחי</w:t>
      </w:r>
      <w:r>
        <w:rPr>
          <w:rFonts w:hint="cs"/>
          <w:sz w:val="28"/>
          <w:szCs w:val="28"/>
          <w:rtl/>
        </w:rPr>
        <w:t>,</w:t>
      </w:r>
      <w:r>
        <w:rPr>
          <w:sz w:val="28"/>
          <w:szCs w:val="28"/>
          <w:rtl/>
        </w:rPr>
        <w:t xml:space="preserve"> ושעה שנדב נחלץ לעזרתו ד</w:t>
      </w:r>
      <w:r>
        <w:rPr>
          <w:rFonts w:hint="cs"/>
          <w:sz w:val="28"/>
          <w:szCs w:val="28"/>
          <w:rtl/>
        </w:rPr>
        <w:t>ְ</w:t>
      </w:r>
      <w:r>
        <w:rPr>
          <w:sz w:val="28"/>
          <w:szCs w:val="28"/>
          <w:rtl/>
        </w:rPr>
        <w:t>קרו הנאשם מספר פעמים בגבו. אף שמדובר בדקירות לא עמוקות, מטבע הדברים נוכח המיקום אליו כוונו – פלג גופו העליון של נדב – הנזק שיכול היה להיגרם כתוצאה מהן היה יכול להיות חמור הרבה יותר, עד סכנת חיים חלילה. זאת ועוד, הצטרפותם של המעשים מושא האישום הראשון ליתר המעשים בהם הורשע הנאשם, הינה בבחינת "עבירה גוררת עבירה"</w:t>
      </w:r>
      <w:r>
        <w:rPr>
          <w:rFonts w:hint="cs"/>
          <w:sz w:val="28"/>
          <w:szCs w:val="28"/>
          <w:rtl/>
        </w:rPr>
        <w:t>:</w:t>
      </w:r>
      <w:r>
        <w:rPr>
          <w:sz w:val="28"/>
          <w:szCs w:val="28"/>
          <w:rtl/>
        </w:rPr>
        <w:t xml:space="preserve"> הנאשם לא הסתפק בקטטה שהתפתחה ובדקירת המתלונן, אלא המשיך בשלו, לתקיפה ואיומים, החזקת רכוש החשוד כגנוב, ולבסוף נתפס כשהוא מחזיק כמות לא מבוטלת של תחמושת מסוגים שונים בביתו. </w:t>
      </w:r>
    </w:p>
    <w:p w14:paraId="13FB24E2" w14:textId="77777777" w:rsidR="00CA120F" w:rsidRDefault="00CA120F">
      <w:pPr>
        <w:spacing w:line="480" w:lineRule="auto"/>
        <w:jc w:val="both"/>
        <w:rPr>
          <w:sz w:val="28"/>
          <w:szCs w:val="28"/>
          <w:rtl/>
        </w:rPr>
      </w:pPr>
    </w:p>
    <w:p w14:paraId="24C2AC79" w14:textId="77777777" w:rsidR="00CA120F" w:rsidRDefault="00402B4E">
      <w:pPr>
        <w:spacing w:line="480" w:lineRule="auto"/>
        <w:jc w:val="both"/>
        <w:rPr>
          <w:sz w:val="28"/>
          <w:szCs w:val="28"/>
          <w:rtl/>
        </w:rPr>
      </w:pPr>
      <w:r>
        <w:rPr>
          <w:rFonts w:hint="cs"/>
          <w:sz w:val="28"/>
          <w:szCs w:val="28"/>
          <w:rtl/>
        </w:rPr>
        <w:t>15.</w:t>
      </w:r>
      <w:r>
        <w:rPr>
          <w:rFonts w:hint="cs"/>
          <w:sz w:val="28"/>
          <w:szCs w:val="28"/>
          <w:rtl/>
        </w:rPr>
        <w:tab/>
      </w:r>
      <w:r>
        <w:rPr>
          <w:sz w:val="28"/>
          <w:szCs w:val="28"/>
          <w:rtl/>
        </w:rPr>
        <w:t>לאחר ששקלתי את הערכים החברתיים שנפגעו כתוצאה מביצוע כלל העבירות בהן הורשע הנאשם, את מידת הפגיעה בהם, את מדיניות הענישה הנהוגה בביצוע העבירות ואת הנסיבות הקשורות בביצוען, כאשר נסיבה עיקרית בהקשר זה הינה כי גם המתלוננים – או חלקם – נגררו לסכסוך עם הנאשם, ובמהלך ז</w:t>
      </w:r>
      <w:r>
        <w:rPr>
          <w:rFonts w:hint="cs"/>
          <w:sz w:val="28"/>
          <w:szCs w:val="28"/>
          <w:rtl/>
        </w:rPr>
        <w:t>ה</w:t>
      </w:r>
      <w:r>
        <w:rPr>
          <w:sz w:val="28"/>
          <w:szCs w:val="28"/>
          <w:rtl/>
        </w:rPr>
        <w:t xml:space="preserve"> גם נקטו, לכאורה, באלימות נגדו, מסקנתי הינה כי מתחמי </w:t>
      </w:r>
      <w:r>
        <w:rPr>
          <w:rFonts w:hint="cs"/>
          <w:sz w:val="28"/>
          <w:szCs w:val="28"/>
          <w:rtl/>
        </w:rPr>
        <w:t>הענישה</w:t>
      </w:r>
      <w:r>
        <w:rPr>
          <w:sz w:val="28"/>
          <w:szCs w:val="28"/>
          <w:rtl/>
        </w:rPr>
        <w:t xml:space="preserve"> ההולמים באישומים אלה</w:t>
      </w:r>
      <w:r>
        <w:rPr>
          <w:rFonts w:hint="cs"/>
          <w:sz w:val="28"/>
          <w:szCs w:val="28"/>
          <w:rtl/>
        </w:rPr>
        <w:t xml:space="preserve"> </w:t>
      </w:r>
      <w:r>
        <w:rPr>
          <w:sz w:val="28"/>
          <w:szCs w:val="28"/>
          <w:rtl/>
        </w:rPr>
        <w:t>הנם כלהלן:</w:t>
      </w:r>
    </w:p>
    <w:p w14:paraId="5B5F648A" w14:textId="77777777" w:rsidR="00CA120F" w:rsidRDefault="00402B4E">
      <w:pPr>
        <w:numPr>
          <w:ilvl w:val="0"/>
          <w:numId w:val="1"/>
        </w:numPr>
        <w:spacing w:line="480" w:lineRule="auto"/>
        <w:jc w:val="both"/>
        <w:rPr>
          <w:sz w:val="28"/>
          <w:szCs w:val="28"/>
          <w:rtl/>
        </w:rPr>
      </w:pPr>
      <w:r>
        <w:rPr>
          <w:sz w:val="28"/>
          <w:szCs w:val="28"/>
          <w:rtl/>
        </w:rPr>
        <w:t xml:space="preserve">באישום הראשון -  בין 18 </w:t>
      </w:r>
      <w:r>
        <w:rPr>
          <w:rFonts w:hint="cs"/>
          <w:sz w:val="28"/>
          <w:szCs w:val="28"/>
          <w:rtl/>
        </w:rPr>
        <w:t>ל-</w:t>
      </w:r>
      <w:r>
        <w:rPr>
          <w:sz w:val="28"/>
          <w:szCs w:val="28"/>
          <w:rtl/>
        </w:rPr>
        <w:t>48 חודשי מאסר בפועל.</w:t>
      </w:r>
    </w:p>
    <w:p w14:paraId="75A0E004" w14:textId="77777777" w:rsidR="00CA120F" w:rsidRDefault="00402B4E">
      <w:pPr>
        <w:numPr>
          <w:ilvl w:val="0"/>
          <w:numId w:val="1"/>
        </w:numPr>
        <w:spacing w:line="480" w:lineRule="auto"/>
        <w:jc w:val="both"/>
        <w:rPr>
          <w:sz w:val="28"/>
          <w:szCs w:val="28"/>
        </w:rPr>
      </w:pPr>
      <w:r>
        <w:rPr>
          <w:sz w:val="28"/>
          <w:szCs w:val="28"/>
          <w:rtl/>
        </w:rPr>
        <w:t>באישומים השני  והשלישי – בין עונש של של"צ לבין 6 חודשי מאסר בפועל.</w:t>
      </w:r>
    </w:p>
    <w:p w14:paraId="37BEEA25" w14:textId="77777777" w:rsidR="00CA120F" w:rsidRDefault="00402B4E">
      <w:pPr>
        <w:numPr>
          <w:ilvl w:val="0"/>
          <w:numId w:val="1"/>
        </w:numPr>
        <w:spacing w:line="480" w:lineRule="auto"/>
        <w:jc w:val="both"/>
        <w:rPr>
          <w:sz w:val="28"/>
          <w:szCs w:val="28"/>
        </w:rPr>
      </w:pPr>
      <w:r>
        <w:rPr>
          <w:sz w:val="28"/>
          <w:szCs w:val="28"/>
          <w:rtl/>
        </w:rPr>
        <w:t>באישום הרביעי – בין 3 ל</w:t>
      </w:r>
      <w:r>
        <w:rPr>
          <w:rFonts w:hint="cs"/>
          <w:sz w:val="28"/>
          <w:szCs w:val="28"/>
          <w:rtl/>
        </w:rPr>
        <w:t>-</w:t>
      </w:r>
      <w:r>
        <w:rPr>
          <w:sz w:val="28"/>
          <w:szCs w:val="28"/>
          <w:rtl/>
        </w:rPr>
        <w:t>12 חודשי מאסר</w:t>
      </w:r>
      <w:r>
        <w:rPr>
          <w:rFonts w:hint="cs"/>
          <w:sz w:val="28"/>
          <w:szCs w:val="28"/>
          <w:rtl/>
        </w:rPr>
        <w:t xml:space="preserve"> בפועל. </w:t>
      </w:r>
      <w:r>
        <w:rPr>
          <w:sz w:val="28"/>
          <w:szCs w:val="28"/>
          <w:rtl/>
        </w:rPr>
        <w:t xml:space="preserve">  </w:t>
      </w:r>
    </w:p>
    <w:p w14:paraId="32296E7A" w14:textId="77777777" w:rsidR="00CA120F" w:rsidRDefault="00CA120F">
      <w:pPr>
        <w:spacing w:line="480" w:lineRule="auto"/>
        <w:jc w:val="both"/>
        <w:rPr>
          <w:sz w:val="28"/>
          <w:szCs w:val="28"/>
          <w:rtl/>
        </w:rPr>
      </w:pPr>
    </w:p>
    <w:p w14:paraId="7A7FFA69" w14:textId="77777777" w:rsidR="00CA120F" w:rsidRDefault="00402B4E">
      <w:pPr>
        <w:spacing w:line="480" w:lineRule="auto"/>
        <w:jc w:val="both"/>
        <w:rPr>
          <w:sz w:val="28"/>
          <w:szCs w:val="28"/>
          <w:rtl/>
        </w:rPr>
      </w:pPr>
      <w:r>
        <w:rPr>
          <w:rFonts w:hint="cs"/>
          <w:sz w:val="28"/>
          <w:szCs w:val="28"/>
          <w:rtl/>
        </w:rPr>
        <w:t>16.</w:t>
      </w:r>
      <w:r>
        <w:rPr>
          <w:rFonts w:hint="cs"/>
          <w:sz w:val="28"/>
          <w:szCs w:val="28"/>
          <w:rtl/>
        </w:rPr>
        <w:tab/>
      </w:r>
      <w:r>
        <w:rPr>
          <w:sz w:val="28"/>
          <w:szCs w:val="28"/>
          <w:rtl/>
        </w:rPr>
        <w:t>בהעדר נסיבות יוצאות דופן, כגון שיקולי שיקום מחד גיסא</w:t>
      </w:r>
      <w:r>
        <w:rPr>
          <w:rFonts w:hint="cs"/>
          <w:sz w:val="28"/>
          <w:szCs w:val="28"/>
          <w:rtl/>
        </w:rPr>
        <w:t>,</w:t>
      </w:r>
      <w:r>
        <w:rPr>
          <w:sz w:val="28"/>
          <w:szCs w:val="28"/>
          <w:rtl/>
        </w:rPr>
        <w:t xml:space="preserve"> או הגנה על שלום הציבור – חשש ממשי לרצידיביזם (</w:t>
      </w:r>
      <w:hyperlink r:id="rId39" w:history="1">
        <w:r w:rsidR="004A6F05" w:rsidRPr="004A6F05">
          <w:rPr>
            <w:color w:val="0000FF"/>
            <w:sz w:val="28"/>
            <w:szCs w:val="28"/>
            <w:u w:val="single"/>
            <w:rtl/>
          </w:rPr>
          <w:t>סעיפים 40ד-ה</w:t>
        </w:r>
      </w:hyperlink>
      <w:r>
        <w:rPr>
          <w:sz w:val="28"/>
          <w:szCs w:val="28"/>
          <w:rtl/>
        </w:rPr>
        <w:t xml:space="preserve"> לחוק), מאידך גיסא, איני רואה כל הצדקה לסטות מהמתחמים שפורטו לעיל. </w:t>
      </w:r>
    </w:p>
    <w:p w14:paraId="1AB681E9" w14:textId="77777777" w:rsidR="00CA120F" w:rsidRDefault="00CA120F">
      <w:pPr>
        <w:spacing w:line="480" w:lineRule="auto"/>
        <w:jc w:val="both"/>
        <w:rPr>
          <w:sz w:val="28"/>
          <w:szCs w:val="28"/>
          <w:rtl/>
        </w:rPr>
      </w:pPr>
    </w:p>
    <w:p w14:paraId="66A2938B" w14:textId="77777777" w:rsidR="00CA120F" w:rsidRDefault="00402B4E">
      <w:pPr>
        <w:spacing w:line="480" w:lineRule="auto"/>
        <w:jc w:val="both"/>
        <w:rPr>
          <w:sz w:val="28"/>
          <w:szCs w:val="28"/>
          <w:rtl/>
        </w:rPr>
      </w:pPr>
      <w:r>
        <w:rPr>
          <w:rFonts w:hint="cs"/>
          <w:sz w:val="28"/>
          <w:szCs w:val="28"/>
          <w:rtl/>
        </w:rPr>
        <w:t>17.</w:t>
      </w:r>
      <w:r>
        <w:rPr>
          <w:rFonts w:hint="cs"/>
          <w:sz w:val="28"/>
          <w:szCs w:val="28"/>
          <w:rtl/>
        </w:rPr>
        <w:tab/>
      </w:r>
      <w:r>
        <w:rPr>
          <w:sz w:val="28"/>
          <w:szCs w:val="28"/>
          <w:rtl/>
        </w:rPr>
        <w:t xml:space="preserve">בהתאם לתיקון החדש, לאחר קביעת מתחם העונש ההולם, יש לגזור את העונש המתאים. בענייננו, נוכח הסדר הטיעון אליו הגיעו הצדדים וכלל נסיבות העניין, </w:t>
      </w:r>
      <w:r>
        <w:rPr>
          <w:rFonts w:hint="cs"/>
          <w:sz w:val="28"/>
          <w:szCs w:val="28"/>
          <w:rtl/>
        </w:rPr>
        <w:t>מצאתי</w:t>
      </w:r>
      <w:r>
        <w:rPr>
          <w:sz w:val="28"/>
          <w:szCs w:val="28"/>
          <w:rtl/>
        </w:rPr>
        <w:t xml:space="preserve"> לנכון לקבוע עונש מתאים </w:t>
      </w:r>
      <w:r>
        <w:rPr>
          <w:rFonts w:hint="cs"/>
          <w:sz w:val="28"/>
          <w:szCs w:val="28"/>
          <w:rtl/>
        </w:rPr>
        <w:t>מאוחד</w:t>
      </w:r>
      <w:r>
        <w:rPr>
          <w:sz w:val="28"/>
          <w:szCs w:val="28"/>
          <w:rtl/>
        </w:rPr>
        <w:t xml:space="preserve"> לכלל האישומים. </w:t>
      </w:r>
    </w:p>
    <w:p w14:paraId="06033BC7" w14:textId="77777777" w:rsidR="00CA120F" w:rsidRDefault="00CA120F">
      <w:pPr>
        <w:spacing w:line="480" w:lineRule="auto"/>
        <w:jc w:val="both"/>
        <w:rPr>
          <w:sz w:val="28"/>
          <w:szCs w:val="28"/>
          <w:rtl/>
        </w:rPr>
      </w:pPr>
    </w:p>
    <w:p w14:paraId="4518F392" w14:textId="77777777" w:rsidR="00CA120F" w:rsidRDefault="00402B4E">
      <w:pPr>
        <w:spacing w:line="480" w:lineRule="auto"/>
        <w:jc w:val="both"/>
        <w:rPr>
          <w:sz w:val="28"/>
          <w:szCs w:val="28"/>
          <w:rtl/>
        </w:rPr>
      </w:pPr>
      <w:r>
        <w:rPr>
          <w:rFonts w:hint="cs"/>
          <w:sz w:val="28"/>
          <w:szCs w:val="28"/>
          <w:rtl/>
        </w:rPr>
        <w:t>18.</w:t>
      </w:r>
      <w:r>
        <w:rPr>
          <w:rFonts w:hint="cs"/>
          <w:sz w:val="28"/>
          <w:szCs w:val="28"/>
          <w:rtl/>
        </w:rPr>
        <w:tab/>
      </w:r>
      <w:r>
        <w:rPr>
          <w:sz w:val="28"/>
          <w:szCs w:val="28"/>
          <w:rtl/>
        </w:rPr>
        <w:t xml:space="preserve">בבחינת הנסיבות שאינן קשורות לביצוע העבירה, המפורטות </w:t>
      </w:r>
      <w:hyperlink r:id="rId40" w:history="1">
        <w:r w:rsidR="004A6F05" w:rsidRPr="004A6F05">
          <w:rPr>
            <w:color w:val="0000FF"/>
            <w:sz w:val="28"/>
            <w:szCs w:val="28"/>
            <w:u w:val="single"/>
            <w:rtl/>
          </w:rPr>
          <w:t>בסעיף 40יב</w:t>
        </w:r>
      </w:hyperlink>
      <w:r>
        <w:rPr>
          <w:sz w:val="28"/>
          <w:szCs w:val="28"/>
          <w:rtl/>
        </w:rPr>
        <w:t xml:space="preserve"> לחוק, אעמוד על העיקריות</w:t>
      </w:r>
      <w:r>
        <w:rPr>
          <w:rFonts w:hint="cs"/>
          <w:sz w:val="28"/>
          <w:szCs w:val="28"/>
          <w:rtl/>
        </w:rPr>
        <w:t xml:space="preserve"> שבהן</w:t>
      </w:r>
      <w:r>
        <w:rPr>
          <w:sz w:val="28"/>
          <w:szCs w:val="28"/>
          <w:rtl/>
        </w:rPr>
        <w:t xml:space="preserve"> המנויות בחוק, ואשר רלוונטיות לענייננו. </w:t>
      </w:r>
    </w:p>
    <w:p w14:paraId="6944FD4E" w14:textId="77777777" w:rsidR="00CA120F" w:rsidRDefault="00CA120F">
      <w:pPr>
        <w:spacing w:line="480" w:lineRule="auto"/>
        <w:jc w:val="both"/>
        <w:rPr>
          <w:sz w:val="28"/>
          <w:szCs w:val="28"/>
          <w:rtl/>
        </w:rPr>
      </w:pPr>
    </w:p>
    <w:p w14:paraId="16B68E4D" w14:textId="77777777" w:rsidR="00CA120F" w:rsidRDefault="00402B4E">
      <w:pPr>
        <w:spacing w:line="480" w:lineRule="auto"/>
        <w:ind w:firstLine="720"/>
        <w:jc w:val="both"/>
        <w:rPr>
          <w:sz w:val="28"/>
          <w:szCs w:val="28"/>
          <w:rtl/>
        </w:rPr>
      </w:pPr>
      <w:r>
        <w:rPr>
          <w:sz w:val="28"/>
          <w:szCs w:val="28"/>
          <w:rtl/>
        </w:rPr>
        <w:t>בגדר כך יצוין, כי הנאשם נעדר עבר פלילי וזוהי הסתבכותו הראשונה עם החוק. מתסקיר שירות המבחן עולה, כי הנאשם מתקשה לקחת אחריות על ביצוע העבירות</w:t>
      </w:r>
      <w:r>
        <w:rPr>
          <w:rFonts w:hint="cs"/>
          <w:sz w:val="28"/>
          <w:szCs w:val="28"/>
          <w:rtl/>
        </w:rPr>
        <w:t xml:space="preserve"> </w:t>
      </w:r>
      <w:r>
        <w:rPr>
          <w:sz w:val="28"/>
          <w:szCs w:val="28"/>
          <w:rtl/>
        </w:rPr>
        <w:t xml:space="preserve">ורואה עצמו כקורבן של האירועים וכנפגע העיקרי בפרשה. עם זאת, התרשמות עורכת התסקיר הייתה, כי למעצרו של הנאשם ולניהול ההליכים נגדו ישנה השפעה אפקטיבית עליו בכיוון של המחשת חומרת מעשיו, כמו גם אפקט הרתעתי ביחס לביצוע עבירות דומות בעתיד. </w:t>
      </w:r>
    </w:p>
    <w:p w14:paraId="747DE833" w14:textId="77777777" w:rsidR="00CA120F" w:rsidRDefault="00402B4E">
      <w:pPr>
        <w:spacing w:line="480" w:lineRule="auto"/>
        <w:jc w:val="both"/>
        <w:rPr>
          <w:sz w:val="28"/>
          <w:szCs w:val="28"/>
          <w:rtl/>
        </w:rPr>
      </w:pPr>
      <w:r>
        <w:rPr>
          <w:sz w:val="28"/>
          <w:szCs w:val="28"/>
          <w:rtl/>
        </w:rPr>
        <w:t xml:space="preserve"> </w:t>
      </w:r>
    </w:p>
    <w:p w14:paraId="1D41F0A1" w14:textId="77777777" w:rsidR="00CA120F" w:rsidRDefault="00402B4E">
      <w:pPr>
        <w:spacing w:line="480" w:lineRule="auto"/>
        <w:jc w:val="both"/>
        <w:rPr>
          <w:sz w:val="28"/>
          <w:szCs w:val="28"/>
          <w:rtl/>
        </w:rPr>
      </w:pPr>
      <w:r>
        <w:rPr>
          <w:rFonts w:hint="cs"/>
          <w:sz w:val="28"/>
          <w:szCs w:val="28"/>
          <w:rtl/>
        </w:rPr>
        <w:t>19.</w:t>
      </w:r>
      <w:r>
        <w:rPr>
          <w:rFonts w:hint="cs"/>
          <w:sz w:val="28"/>
          <w:szCs w:val="28"/>
          <w:rtl/>
        </w:rPr>
        <w:tab/>
      </w:r>
      <w:r>
        <w:rPr>
          <w:sz w:val="28"/>
          <w:szCs w:val="28"/>
          <w:rtl/>
        </w:rPr>
        <w:t>בהתייחס לכל אלה, ולאחר ששקלתי את כלל השיקולים, לחומרא ולקולא, ונתתי לכל אחד מהם את משקלו הראוי, אני גוזר על הנאשם את העונשים הבאים:</w:t>
      </w:r>
    </w:p>
    <w:p w14:paraId="05B90CF6" w14:textId="77777777" w:rsidR="00CA120F" w:rsidRDefault="00CA120F">
      <w:pPr>
        <w:spacing w:line="480" w:lineRule="auto"/>
        <w:jc w:val="both"/>
        <w:rPr>
          <w:sz w:val="28"/>
          <w:szCs w:val="28"/>
          <w:rtl/>
        </w:rPr>
      </w:pPr>
    </w:p>
    <w:p w14:paraId="2732DCE3" w14:textId="77777777" w:rsidR="00CA120F" w:rsidRDefault="00402B4E">
      <w:pPr>
        <w:numPr>
          <w:ilvl w:val="0"/>
          <w:numId w:val="2"/>
        </w:numPr>
        <w:spacing w:line="480" w:lineRule="auto"/>
        <w:jc w:val="both"/>
        <w:rPr>
          <w:sz w:val="28"/>
          <w:szCs w:val="28"/>
        </w:rPr>
      </w:pPr>
      <w:r>
        <w:rPr>
          <w:sz w:val="28"/>
          <w:szCs w:val="28"/>
          <w:rtl/>
        </w:rPr>
        <w:t>24 חודשי מאסר לריצוי בפועל, בניכוי תקופת מעצרו של הנאשם (21.10.12 – 28.11.12).</w:t>
      </w:r>
    </w:p>
    <w:p w14:paraId="6550A7AF" w14:textId="77777777" w:rsidR="00CA120F" w:rsidRDefault="00CA120F">
      <w:pPr>
        <w:spacing w:line="480" w:lineRule="auto"/>
        <w:ind w:left="1370"/>
        <w:jc w:val="both"/>
        <w:rPr>
          <w:sz w:val="28"/>
          <w:szCs w:val="28"/>
          <w:rtl/>
        </w:rPr>
      </w:pPr>
    </w:p>
    <w:p w14:paraId="623DDFC1" w14:textId="77777777" w:rsidR="00CA120F" w:rsidRDefault="00402B4E">
      <w:pPr>
        <w:numPr>
          <w:ilvl w:val="0"/>
          <w:numId w:val="2"/>
        </w:numPr>
        <w:spacing w:line="480" w:lineRule="auto"/>
        <w:jc w:val="both"/>
        <w:rPr>
          <w:sz w:val="28"/>
          <w:szCs w:val="28"/>
        </w:rPr>
      </w:pPr>
      <w:r>
        <w:rPr>
          <w:sz w:val="28"/>
          <w:szCs w:val="28"/>
          <w:rtl/>
        </w:rPr>
        <w:t>18 חודשי מאסר על תנאי, שלא יעבור</w:t>
      </w:r>
      <w:r>
        <w:rPr>
          <w:rFonts w:hint="cs"/>
          <w:sz w:val="28"/>
          <w:szCs w:val="28"/>
          <w:rtl/>
        </w:rPr>
        <w:t xml:space="preserve"> תוך 3 שנים מיום שחרורו מהמאסר</w:t>
      </w:r>
      <w:r>
        <w:rPr>
          <w:sz w:val="28"/>
          <w:szCs w:val="28"/>
          <w:rtl/>
        </w:rPr>
        <w:t xml:space="preserve"> עבירת אלימות, </w:t>
      </w:r>
      <w:r>
        <w:rPr>
          <w:rFonts w:hint="cs"/>
          <w:sz w:val="28"/>
          <w:szCs w:val="28"/>
          <w:rtl/>
        </w:rPr>
        <w:t>רכוש</w:t>
      </w:r>
      <w:r>
        <w:rPr>
          <w:sz w:val="28"/>
          <w:szCs w:val="28"/>
          <w:rtl/>
        </w:rPr>
        <w:t xml:space="preserve"> או נשק מסוג פשע</w:t>
      </w:r>
      <w:r>
        <w:rPr>
          <w:rFonts w:hint="cs"/>
          <w:sz w:val="28"/>
          <w:szCs w:val="28"/>
          <w:rtl/>
        </w:rPr>
        <w:t>.</w:t>
      </w:r>
    </w:p>
    <w:p w14:paraId="7ABDE0A0" w14:textId="77777777" w:rsidR="00CA120F" w:rsidRDefault="00CA120F">
      <w:pPr>
        <w:spacing w:line="480" w:lineRule="auto"/>
        <w:ind w:left="1370"/>
        <w:jc w:val="both"/>
        <w:rPr>
          <w:sz w:val="28"/>
          <w:szCs w:val="28"/>
        </w:rPr>
      </w:pPr>
    </w:p>
    <w:p w14:paraId="615F6172" w14:textId="77777777" w:rsidR="00CA120F" w:rsidRDefault="00402B4E">
      <w:pPr>
        <w:numPr>
          <w:ilvl w:val="0"/>
          <w:numId w:val="2"/>
        </w:numPr>
        <w:spacing w:line="480" w:lineRule="auto"/>
        <w:jc w:val="both"/>
        <w:rPr>
          <w:sz w:val="28"/>
          <w:szCs w:val="28"/>
        </w:rPr>
      </w:pPr>
      <w:r>
        <w:rPr>
          <w:sz w:val="28"/>
          <w:szCs w:val="28"/>
          <w:rtl/>
        </w:rPr>
        <w:t>פיצוי למתלונן נדב בסך 15,000 ₪</w:t>
      </w:r>
      <w:r>
        <w:rPr>
          <w:rFonts w:hint="cs"/>
          <w:sz w:val="28"/>
          <w:szCs w:val="28"/>
          <w:rtl/>
        </w:rPr>
        <w:t>.</w:t>
      </w:r>
    </w:p>
    <w:p w14:paraId="232A2E0E" w14:textId="77777777" w:rsidR="00CA120F" w:rsidRDefault="00CA120F">
      <w:pPr>
        <w:spacing w:line="480" w:lineRule="auto"/>
        <w:jc w:val="both"/>
        <w:rPr>
          <w:sz w:val="28"/>
          <w:szCs w:val="28"/>
          <w:rtl/>
        </w:rPr>
      </w:pPr>
    </w:p>
    <w:p w14:paraId="2435882F" w14:textId="77777777" w:rsidR="00CA120F" w:rsidRDefault="00402B4E">
      <w:pPr>
        <w:spacing w:line="480" w:lineRule="auto"/>
        <w:ind w:firstLine="360"/>
        <w:jc w:val="both"/>
        <w:rPr>
          <w:sz w:val="28"/>
          <w:szCs w:val="28"/>
        </w:rPr>
      </w:pPr>
      <w:r>
        <w:rPr>
          <w:sz w:val="28"/>
          <w:szCs w:val="28"/>
          <w:rtl/>
        </w:rPr>
        <w:t xml:space="preserve">נוכח מכלול נסיבות העניין, ובעיקר כתב האישום שהוגש נגד המתלוננים האחרים: אביחי ויונתן, איני רואה לנכון לפסוק פיצוי כלשהו גם בעניינם. </w:t>
      </w:r>
    </w:p>
    <w:p w14:paraId="34B63649" w14:textId="77777777" w:rsidR="00CA120F" w:rsidRDefault="00CA120F">
      <w:pPr>
        <w:rPr>
          <w:szCs w:val="28"/>
          <w:rtl/>
        </w:rPr>
      </w:pPr>
    </w:p>
    <w:p w14:paraId="4D4D65BC" w14:textId="77777777" w:rsidR="00CA120F" w:rsidRDefault="00402B4E">
      <w:pPr>
        <w:rPr>
          <w:b/>
          <w:bCs/>
          <w:sz w:val="28"/>
          <w:szCs w:val="28"/>
          <w:rtl/>
        </w:rPr>
      </w:pPr>
      <w:r>
        <w:rPr>
          <w:rFonts w:hint="cs"/>
          <w:b/>
          <w:bCs/>
          <w:sz w:val="28"/>
          <w:szCs w:val="28"/>
          <w:rtl/>
        </w:rPr>
        <w:tab/>
        <w:t xml:space="preserve">הודעה לנאשם זכותו לערער לבית המשפט עליון, תוך 45 יום מהיום. </w:t>
      </w:r>
    </w:p>
    <w:p w14:paraId="2D44C79F" w14:textId="77777777" w:rsidR="00CA120F" w:rsidRDefault="00CA120F">
      <w:pPr>
        <w:rPr>
          <w:rtl/>
        </w:rPr>
      </w:pPr>
    </w:p>
    <w:p w14:paraId="42AAEEEF" w14:textId="77777777" w:rsidR="00CA120F" w:rsidRDefault="00CA120F">
      <w:pPr>
        <w:rPr>
          <w:rtl/>
        </w:rPr>
      </w:pPr>
    </w:p>
    <w:p w14:paraId="329D2E4D" w14:textId="77777777" w:rsidR="00CA120F" w:rsidRDefault="00CA120F">
      <w:pPr>
        <w:rPr>
          <w:rtl/>
        </w:rPr>
      </w:pPr>
    </w:p>
    <w:p w14:paraId="530613E4" w14:textId="77777777" w:rsidR="00CA120F" w:rsidRDefault="00402B4E">
      <w:pPr>
        <w:spacing w:line="360" w:lineRule="auto"/>
        <w:jc w:val="both"/>
        <w:rPr>
          <w:rFonts w:cs="FrankRuehl"/>
          <w:b/>
          <w:bCs/>
          <w:sz w:val="32"/>
          <w:szCs w:val="32"/>
          <w:rtl/>
        </w:rPr>
      </w:pPr>
      <w:r>
        <w:rPr>
          <w:rFonts w:ascii="Arial" w:hAnsi="Arial"/>
          <w:b/>
          <w:bCs/>
          <w:sz w:val="28"/>
          <w:szCs w:val="28"/>
          <w:rtl/>
        </w:rPr>
        <w:t xml:space="preserve">ניתן היום,  ד' תשריד' תשרי תשע"ד, 08 ספטמבר 2013, במעמד הנוכחים.  </w:t>
      </w:r>
    </w:p>
    <w:p w14:paraId="2B35FC74" w14:textId="77777777" w:rsidR="00CA120F" w:rsidRPr="00402B4E" w:rsidRDefault="00402B4E">
      <w:pPr>
        <w:spacing w:line="360" w:lineRule="auto"/>
        <w:jc w:val="both"/>
        <w:rPr>
          <w:rFonts w:cs="FrankRuehl"/>
          <w:color w:val="FFFFFF"/>
          <w:sz w:val="2"/>
          <w:szCs w:val="2"/>
          <w:rtl/>
        </w:rPr>
      </w:pPr>
      <w:r w:rsidRPr="00402B4E">
        <w:rPr>
          <w:rFonts w:cs="FrankRuehl"/>
          <w:color w:val="FFFFFF"/>
          <w:sz w:val="2"/>
          <w:szCs w:val="2"/>
          <w:rtl/>
        </w:rPr>
        <w:t>5129371</w:t>
      </w:r>
    </w:p>
    <w:tbl>
      <w:tblPr>
        <w:bidiVisual/>
        <w:tblW w:w="2691" w:type="dxa"/>
        <w:tblInd w:w="6480" w:type="dxa"/>
        <w:tblLook w:val="01E0" w:firstRow="1" w:lastRow="1" w:firstColumn="1" w:lastColumn="1" w:noHBand="0" w:noVBand="0"/>
      </w:tblPr>
      <w:tblGrid>
        <w:gridCol w:w="2691"/>
      </w:tblGrid>
      <w:tr w:rsidR="00CA120F" w14:paraId="3B597CA5" w14:textId="77777777">
        <w:trPr>
          <w:trHeight w:val="1438"/>
        </w:trPr>
        <w:tc>
          <w:tcPr>
            <w:tcW w:w="2691" w:type="dxa"/>
            <w:tcBorders>
              <w:top w:val="nil"/>
              <w:left w:val="nil"/>
              <w:bottom w:val="single" w:sz="4" w:space="0" w:color="auto"/>
              <w:right w:val="nil"/>
            </w:tcBorders>
            <w:vAlign w:val="center"/>
          </w:tcPr>
          <w:p w14:paraId="5122B3D3" w14:textId="77777777" w:rsidR="00CA120F" w:rsidRPr="00402B4E" w:rsidRDefault="00402B4E">
            <w:pPr>
              <w:jc w:val="center"/>
              <w:rPr>
                <w:rFonts w:ascii="Courier New" w:hAnsi="Courier New"/>
                <w:b/>
                <w:bCs/>
                <w:color w:val="FFFFFF"/>
                <w:sz w:val="2"/>
                <w:szCs w:val="2"/>
                <w:rtl/>
              </w:rPr>
            </w:pPr>
            <w:r w:rsidRPr="00402B4E">
              <w:rPr>
                <w:rFonts w:ascii="Courier New" w:hAnsi="Courier New"/>
                <w:b/>
                <w:bCs/>
                <w:color w:val="FFFFFF"/>
                <w:sz w:val="2"/>
                <w:szCs w:val="2"/>
                <w:rtl/>
              </w:rPr>
              <w:t>54678313</w:t>
            </w:r>
          </w:p>
        </w:tc>
      </w:tr>
      <w:tr w:rsidR="00CA120F" w14:paraId="38C7F4F6" w14:textId="77777777">
        <w:tc>
          <w:tcPr>
            <w:tcW w:w="2691" w:type="dxa"/>
            <w:tcBorders>
              <w:top w:val="single" w:sz="4" w:space="0" w:color="auto"/>
              <w:left w:val="nil"/>
              <w:bottom w:val="nil"/>
              <w:right w:val="nil"/>
            </w:tcBorders>
          </w:tcPr>
          <w:p w14:paraId="730F9B5B" w14:textId="77777777" w:rsidR="00CA120F" w:rsidRDefault="00402B4E">
            <w:pPr>
              <w:pStyle w:val="3"/>
              <w:spacing w:line="240" w:lineRule="auto"/>
              <w:jc w:val="center"/>
              <w:rPr>
                <w:sz w:val="28"/>
                <w:szCs w:val="28"/>
                <w:rtl/>
              </w:rPr>
            </w:pPr>
            <w:r>
              <w:rPr>
                <w:rFonts w:hint="cs"/>
                <w:sz w:val="28"/>
                <w:szCs w:val="28"/>
                <w:rtl/>
              </w:rPr>
              <w:t>צבי סגל, שופט בכיר</w:t>
            </w:r>
          </w:p>
        </w:tc>
      </w:tr>
    </w:tbl>
    <w:p w14:paraId="6A0D416E" w14:textId="77777777" w:rsidR="00CA120F" w:rsidRPr="00152957" w:rsidRDefault="00152957">
      <w:pPr>
        <w:jc w:val="center"/>
        <w:rPr>
          <w:color w:val="FFFFFF"/>
          <w:sz w:val="2"/>
          <w:szCs w:val="2"/>
          <w:rtl/>
        </w:rPr>
      </w:pPr>
      <w:r w:rsidRPr="00152957">
        <w:rPr>
          <w:color w:val="FFFFFF"/>
          <w:sz w:val="2"/>
          <w:szCs w:val="2"/>
          <w:rtl/>
        </w:rPr>
        <w:t>5129371</w:t>
      </w:r>
    </w:p>
    <w:p w14:paraId="1993FE6B" w14:textId="77777777" w:rsidR="00402B4E" w:rsidRPr="00152957" w:rsidRDefault="00152957" w:rsidP="00402B4E">
      <w:pPr>
        <w:keepNext/>
        <w:rPr>
          <w:rFonts w:ascii="David" w:hAnsi="David"/>
          <w:color w:val="FFFFFF"/>
          <w:sz w:val="2"/>
          <w:szCs w:val="2"/>
          <w:rtl/>
        </w:rPr>
      </w:pPr>
      <w:r w:rsidRPr="00152957">
        <w:rPr>
          <w:rFonts w:ascii="David" w:hAnsi="David"/>
          <w:color w:val="FFFFFF"/>
          <w:sz w:val="2"/>
          <w:szCs w:val="2"/>
          <w:rtl/>
        </w:rPr>
        <w:t>54678313</w:t>
      </w:r>
    </w:p>
    <w:p w14:paraId="5D940019" w14:textId="77777777" w:rsidR="00402B4E" w:rsidRDefault="00402B4E" w:rsidP="00402B4E">
      <w:pPr>
        <w:rPr>
          <w:rtl/>
        </w:rPr>
      </w:pPr>
    </w:p>
    <w:p w14:paraId="11D4A5E3" w14:textId="77777777" w:rsidR="00402B4E" w:rsidRDefault="00402B4E" w:rsidP="00402B4E">
      <w:pPr>
        <w:jc w:val="center"/>
        <w:rPr>
          <w:color w:val="0000FF"/>
          <w:u w:val="single"/>
        </w:rPr>
      </w:pPr>
      <w:r w:rsidRPr="009668DA">
        <w:rPr>
          <w:color w:val="000000"/>
          <w:rtl/>
        </w:rPr>
        <w:t>בעניין עריכה ושינויים במסמכי פסיקה, חקיקה ועוד באתר נבו – הקש כאן</w:t>
      </w:r>
    </w:p>
    <w:p w14:paraId="25ECB109" w14:textId="77777777" w:rsidR="00152957" w:rsidRPr="00152957" w:rsidRDefault="00152957" w:rsidP="00152957">
      <w:pPr>
        <w:keepNext/>
        <w:rPr>
          <w:rFonts w:ascii="David" w:hAnsi="David"/>
          <w:color w:val="000000"/>
          <w:sz w:val="22"/>
          <w:szCs w:val="22"/>
          <w:rtl/>
        </w:rPr>
      </w:pPr>
    </w:p>
    <w:p w14:paraId="04506942" w14:textId="77777777" w:rsidR="00152957" w:rsidRPr="00152957" w:rsidRDefault="00152957" w:rsidP="00152957">
      <w:pPr>
        <w:keepNext/>
        <w:rPr>
          <w:rFonts w:ascii="David" w:hAnsi="David"/>
          <w:color w:val="000000"/>
          <w:sz w:val="22"/>
          <w:szCs w:val="22"/>
          <w:rtl/>
        </w:rPr>
      </w:pPr>
      <w:r w:rsidRPr="00152957">
        <w:rPr>
          <w:rFonts w:ascii="David" w:hAnsi="David"/>
          <w:color w:val="000000"/>
          <w:sz w:val="22"/>
          <w:szCs w:val="22"/>
          <w:rtl/>
        </w:rPr>
        <w:t>צבי סגל 54678313-/</w:t>
      </w:r>
    </w:p>
    <w:p w14:paraId="1BE2CB4A" w14:textId="77777777" w:rsidR="00CA120F" w:rsidRPr="00402B4E" w:rsidRDefault="00152957" w:rsidP="00152957">
      <w:pPr>
        <w:rPr>
          <w:color w:val="0000FF"/>
          <w:u w:val="single"/>
        </w:rPr>
      </w:pPr>
      <w:r w:rsidRPr="00152957">
        <w:rPr>
          <w:color w:val="000000"/>
          <w:u w:val="single"/>
          <w:rtl/>
        </w:rPr>
        <w:t>נוסח מסמך זה כפוף לשינויי ניסוח ועריכה</w:t>
      </w:r>
    </w:p>
    <w:sectPr w:rsidR="00CA120F" w:rsidRPr="00402B4E" w:rsidSect="00152957">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664E28" w14:textId="77777777" w:rsidR="00E2263A" w:rsidRPr="00B64F0C" w:rsidRDefault="00E2263A">
      <w:pPr>
        <w:rPr>
          <w:rFonts w:cs="Arial"/>
          <w:szCs w:val="20"/>
        </w:rPr>
      </w:pPr>
      <w:r>
        <w:separator/>
      </w:r>
    </w:p>
  </w:endnote>
  <w:endnote w:type="continuationSeparator" w:id="0">
    <w:p w14:paraId="2ED2E559" w14:textId="77777777" w:rsidR="00E2263A" w:rsidRPr="00B64F0C" w:rsidRDefault="00E2263A">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C17ACC" w14:textId="77777777" w:rsidR="00363951" w:rsidRDefault="00363951" w:rsidP="0015295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790C226" w14:textId="77777777" w:rsidR="00363951" w:rsidRPr="00152957" w:rsidRDefault="00363951" w:rsidP="00152957">
    <w:pPr>
      <w:pStyle w:val="a4"/>
      <w:pBdr>
        <w:top w:val="single" w:sz="4" w:space="1" w:color="auto"/>
        <w:between w:val="single" w:sz="4" w:space="0" w:color="auto"/>
      </w:pBdr>
      <w:spacing w:after="60"/>
      <w:jc w:val="center"/>
      <w:rPr>
        <w:rFonts w:ascii="FrankRuehl" w:hAnsi="FrankRuehl" w:cs="FrankRuehl"/>
        <w:color w:val="000000"/>
      </w:rPr>
    </w:pPr>
    <w:r w:rsidRPr="0015295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6A418B" w14:textId="77777777" w:rsidR="00363951" w:rsidRDefault="00363951" w:rsidP="0015295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40E68">
      <w:rPr>
        <w:rFonts w:ascii="FrankRuehl" w:hAnsi="FrankRuehl" w:cs="FrankRuehl"/>
        <w:noProof/>
        <w:rtl/>
      </w:rPr>
      <w:t>1</w:t>
    </w:r>
    <w:r>
      <w:rPr>
        <w:rFonts w:ascii="FrankRuehl" w:hAnsi="FrankRuehl" w:cs="FrankRuehl"/>
        <w:rtl/>
      </w:rPr>
      <w:fldChar w:fldCharType="end"/>
    </w:r>
  </w:p>
  <w:p w14:paraId="3C6154B4" w14:textId="77777777" w:rsidR="00363951" w:rsidRPr="00152957" w:rsidRDefault="00363951" w:rsidP="00152957">
    <w:pPr>
      <w:pStyle w:val="a4"/>
      <w:pBdr>
        <w:top w:val="single" w:sz="4" w:space="1" w:color="auto"/>
        <w:between w:val="single" w:sz="4" w:space="0" w:color="auto"/>
      </w:pBdr>
      <w:spacing w:after="60"/>
      <w:jc w:val="center"/>
      <w:rPr>
        <w:rFonts w:ascii="FrankRuehl" w:hAnsi="FrankRuehl" w:cs="FrankRuehl"/>
        <w:color w:val="000000"/>
      </w:rPr>
    </w:pPr>
    <w:r w:rsidRPr="00152957">
      <w:rPr>
        <w:rFonts w:ascii="FrankRuehl" w:hAnsi="FrankRuehl" w:cs="FrankRuehl"/>
        <w:color w:val="000000"/>
      </w:rPr>
      <w:pict w14:anchorId="43140D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FE0E4E" w14:textId="77777777" w:rsidR="00E2263A" w:rsidRPr="00B64F0C" w:rsidRDefault="00E2263A">
      <w:pPr>
        <w:rPr>
          <w:rFonts w:cs="Arial"/>
          <w:szCs w:val="20"/>
        </w:rPr>
      </w:pPr>
      <w:r>
        <w:separator/>
      </w:r>
    </w:p>
  </w:footnote>
  <w:footnote w:type="continuationSeparator" w:id="0">
    <w:p w14:paraId="67296876" w14:textId="77777777" w:rsidR="00E2263A" w:rsidRPr="00B64F0C" w:rsidRDefault="00E2263A">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1E6981" w14:textId="77777777" w:rsidR="00363951" w:rsidRPr="00152957" w:rsidRDefault="00363951" w:rsidP="0015295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2582-11-12</w:t>
    </w:r>
    <w:r>
      <w:rPr>
        <w:rFonts w:ascii="David" w:hAnsi="David"/>
        <w:color w:val="000000"/>
        <w:sz w:val="22"/>
        <w:szCs w:val="22"/>
        <w:rtl/>
      </w:rPr>
      <w:tab/>
      <w:t xml:space="preserve"> מדינת ישראל נ' אפי אמויאל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579D01" w14:textId="77777777" w:rsidR="00363951" w:rsidRPr="00152957" w:rsidRDefault="00363951" w:rsidP="0015295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2582-11-12</w:t>
    </w:r>
    <w:r>
      <w:rPr>
        <w:rFonts w:ascii="David" w:hAnsi="David"/>
        <w:color w:val="000000"/>
        <w:sz w:val="22"/>
        <w:szCs w:val="22"/>
        <w:rtl/>
      </w:rPr>
      <w:tab/>
      <w:t xml:space="preserve"> מדינת ישראל נ' אפי אמויאל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74793"/>
    <w:multiLevelType w:val="hybridMultilevel"/>
    <w:tmpl w:val="66A08C14"/>
    <w:lvl w:ilvl="0" w:tplc="51245F3E">
      <w:start w:val="1"/>
      <w:numFmt w:val="hebrew1"/>
      <w:lvlText w:val="%1."/>
      <w:lvlJc w:val="left"/>
      <w:pPr>
        <w:tabs>
          <w:tab w:val="num" w:pos="1080"/>
        </w:tabs>
        <w:ind w:left="1080" w:hanging="720"/>
      </w:pPr>
      <w:rPr>
        <w:rFonts w:cs="David" w:hint="default"/>
        <w:sz w:val="26"/>
        <w:szCs w:val="2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59031DA6"/>
    <w:multiLevelType w:val="hybridMultilevel"/>
    <w:tmpl w:val="01DCCAE2"/>
    <w:lvl w:ilvl="0" w:tplc="BF9E8D82">
      <w:start w:val="1"/>
      <w:numFmt w:val="hebrew1"/>
      <w:lvlText w:val="%1."/>
      <w:lvlJc w:val="left"/>
      <w:pPr>
        <w:tabs>
          <w:tab w:val="num" w:pos="1370"/>
        </w:tabs>
        <w:ind w:left="1370" w:hanging="945"/>
      </w:pPr>
      <w:rPr>
        <w:rFonts w:cs="David" w:hint="default"/>
        <w:sz w:val="26"/>
        <w:szCs w:val="2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1401758106">
    <w:abstractNumId w:val="0"/>
  </w:num>
  <w:num w:numId="2" w16cid:durableId="14592981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A120F"/>
    <w:rsid w:val="00072AA9"/>
    <w:rsid w:val="00152957"/>
    <w:rsid w:val="00363951"/>
    <w:rsid w:val="003E0F7B"/>
    <w:rsid w:val="00402B4E"/>
    <w:rsid w:val="00421698"/>
    <w:rsid w:val="004A6F05"/>
    <w:rsid w:val="00903848"/>
    <w:rsid w:val="009668DA"/>
    <w:rsid w:val="009C5712"/>
    <w:rsid w:val="00A06091"/>
    <w:rsid w:val="00B40E68"/>
    <w:rsid w:val="00CA120F"/>
    <w:rsid w:val="00CB50EB"/>
    <w:rsid w:val="00D70BFD"/>
    <w:rsid w:val="00E2263A"/>
    <w:rsid w:val="00FC67A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7B15AB5"/>
  <w15:chartTrackingRefBased/>
  <w15:docId w15:val="{1D0006D9-50E0-4D59-93DF-3F2E169CD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A120F"/>
    <w:pPr>
      <w:bidi/>
    </w:pPr>
    <w:rPr>
      <w:rFonts w:cs="David"/>
      <w:sz w:val="24"/>
      <w:szCs w:val="24"/>
    </w:rPr>
  </w:style>
  <w:style w:type="paragraph" w:styleId="3">
    <w:name w:val="heading 3"/>
    <w:basedOn w:val="a"/>
    <w:next w:val="a"/>
    <w:link w:val="30"/>
    <w:qFormat/>
    <w:rsid w:val="00CA120F"/>
    <w:pPr>
      <w:keepNext/>
      <w:spacing w:line="360" w:lineRule="auto"/>
      <w:jc w:val="both"/>
      <w:outlineLvl w:val="2"/>
    </w:pPr>
    <w:rPr>
      <w:b/>
      <w:bCs/>
      <w:noProof/>
      <w:sz w:val="20"/>
      <w:lang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CA120F"/>
    <w:pPr>
      <w:tabs>
        <w:tab w:val="center" w:pos="4153"/>
        <w:tab w:val="right" w:pos="8306"/>
      </w:tabs>
    </w:pPr>
  </w:style>
  <w:style w:type="paragraph" w:styleId="a4">
    <w:name w:val="footer"/>
    <w:basedOn w:val="a"/>
    <w:rsid w:val="00CA120F"/>
    <w:pPr>
      <w:tabs>
        <w:tab w:val="center" w:pos="4153"/>
        <w:tab w:val="right" w:pos="8306"/>
      </w:tabs>
    </w:pPr>
  </w:style>
  <w:style w:type="character" w:styleId="a5">
    <w:name w:val="page number"/>
    <w:basedOn w:val="a0"/>
    <w:rsid w:val="00CA120F"/>
  </w:style>
  <w:style w:type="paragraph" w:customStyle="1" w:styleId="Quote">
    <w:name w:val="Quote"/>
    <w:basedOn w:val="a"/>
    <w:link w:val="a6"/>
    <w:rsid w:val="00CA120F"/>
    <w:pPr>
      <w:spacing w:line="360" w:lineRule="auto"/>
      <w:ind w:left="1134" w:right="1134"/>
      <w:jc w:val="both"/>
    </w:pPr>
    <w:rPr>
      <w:bCs/>
      <w:sz w:val="20"/>
    </w:rPr>
  </w:style>
  <w:style w:type="character" w:customStyle="1" w:styleId="a6">
    <w:name w:val="הצעת מחיר תו"/>
    <w:link w:val="Quote"/>
    <w:rsid w:val="00CA120F"/>
    <w:rPr>
      <w:rFonts w:cs="David"/>
      <w:bCs/>
      <w:szCs w:val="24"/>
      <w:lang w:val="en-US" w:eastAsia="en-US" w:bidi="he-IL"/>
    </w:rPr>
  </w:style>
  <w:style w:type="character" w:customStyle="1" w:styleId="30">
    <w:name w:val="כותרת 3 תו"/>
    <w:link w:val="3"/>
    <w:rsid w:val="00CA120F"/>
    <w:rPr>
      <w:rFonts w:cs="David"/>
      <w:b/>
      <w:bCs/>
      <w:noProof/>
      <w:szCs w:val="24"/>
      <w:lang w:val="en-US" w:eastAsia="he-IL" w:bidi="he-IL"/>
    </w:rPr>
  </w:style>
  <w:style w:type="character" w:styleId="Hyperlink">
    <w:name w:val="Hyperlink"/>
    <w:rsid w:val="00402B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33" TargetMode="External"/><Relationship Id="rId18" Type="http://schemas.openxmlformats.org/officeDocument/2006/relationships/hyperlink" Target="http://www.nevo.co.il/law/70301/413" TargetMode="External"/><Relationship Id="rId26" Type="http://schemas.openxmlformats.org/officeDocument/2006/relationships/hyperlink" Target="http://www.nevo.co.il/law/70301/379" TargetMode="External"/><Relationship Id="rId39" Type="http://schemas.openxmlformats.org/officeDocument/2006/relationships/hyperlink" Target="http://www.nevo.co.il/law/70301/40d;40e" TargetMode="External"/><Relationship Id="rId21" Type="http://schemas.openxmlformats.org/officeDocument/2006/relationships/hyperlink" Target="http://www.nevo.co.il/law/70301/333" TargetMode="External"/><Relationship Id="rId34" Type="http://schemas.openxmlformats.org/officeDocument/2006/relationships/hyperlink" Target="http://www.nevo.co.il/law/70301/384" TargetMode="External"/><Relationship Id="rId42"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84" TargetMode="External"/><Relationship Id="rId29" Type="http://schemas.openxmlformats.org/officeDocument/2006/relationships/hyperlink" Target="http://www.nevo.co.il/law/70301/144.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 TargetMode="External"/><Relationship Id="rId24" Type="http://schemas.openxmlformats.org/officeDocument/2006/relationships/hyperlink" Target="http://www.nevo.co.il/law/70301/192" TargetMode="External"/><Relationship Id="rId32" Type="http://schemas.openxmlformats.org/officeDocument/2006/relationships/hyperlink" Target="http://www.nevo.co.il/law/70301/192" TargetMode="External"/><Relationship Id="rId37" Type="http://schemas.openxmlformats.org/officeDocument/2006/relationships/hyperlink" Target="http://www.nevo.co.il/case/5743421" TargetMode="External"/><Relationship Id="rId40" Type="http://schemas.openxmlformats.org/officeDocument/2006/relationships/hyperlink" Target="http://www.nevo.co.il/law/70301/40jb"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379" TargetMode="External"/><Relationship Id="rId23" Type="http://schemas.openxmlformats.org/officeDocument/2006/relationships/hyperlink" Target="http://www.nevo.co.il/law/70301/379" TargetMode="External"/><Relationship Id="rId28" Type="http://schemas.openxmlformats.org/officeDocument/2006/relationships/hyperlink" Target="http://www.nevo.co.il/law/70301/413" TargetMode="External"/><Relationship Id="rId36" Type="http://schemas.openxmlformats.org/officeDocument/2006/relationships/hyperlink" Target="http://www.nevo.co.il/case/5688667" TargetMode="External"/><Relationship Id="rId10" Type="http://schemas.openxmlformats.org/officeDocument/2006/relationships/hyperlink" Target="http://www.nevo.co.il/law/70301/144.a" TargetMode="External"/><Relationship Id="rId19" Type="http://schemas.openxmlformats.org/officeDocument/2006/relationships/hyperlink" Target="http://www.nevo.co.il/law/70301/452" TargetMode="External"/><Relationship Id="rId31" Type="http://schemas.openxmlformats.org/officeDocument/2006/relationships/hyperlink" Target="http://www.nevo.co.il/law/70301/456"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40e" TargetMode="External"/><Relationship Id="rId14" Type="http://schemas.openxmlformats.org/officeDocument/2006/relationships/hyperlink" Target="http://www.nevo.co.il/law/70301/335" TargetMode="External"/><Relationship Id="rId22" Type="http://schemas.openxmlformats.org/officeDocument/2006/relationships/hyperlink" Target="http://www.nevo.co.il/law/70301/335" TargetMode="External"/><Relationship Id="rId27" Type="http://schemas.openxmlformats.org/officeDocument/2006/relationships/hyperlink" Target="http://www.nevo.co.il/law/70301/192" TargetMode="External"/><Relationship Id="rId30" Type="http://schemas.openxmlformats.org/officeDocument/2006/relationships/hyperlink" Target="http://www.nevo.co.il/law/70301/144.b" TargetMode="External"/><Relationship Id="rId35" Type="http://schemas.openxmlformats.org/officeDocument/2006/relationships/hyperlink" Target="http://www.nevo.co.il/case/6175747" TargetMode="External"/><Relationship Id="rId43" Type="http://schemas.openxmlformats.org/officeDocument/2006/relationships/footer" Target="footer1.xml"/><Relationship Id="rId8" Type="http://schemas.openxmlformats.org/officeDocument/2006/relationships/hyperlink" Target="http://www.nevo.co.il/law/70301/40d" TargetMode="External"/><Relationship Id="rId3" Type="http://schemas.openxmlformats.org/officeDocument/2006/relationships/settings" Target="settings.xml"/><Relationship Id="rId12" Type="http://schemas.openxmlformats.org/officeDocument/2006/relationships/hyperlink" Target="http://www.nevo.co.il/law/70301/192" TargetMode="External"/><Relationship Id="rId17" Type="http://schemas.openxmlformats.org/officeDocument/2006/relationships/hyperlink" Target="http://www.nevo.co.il/law/70301/40jb"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452" TargetMode="External"/><Relationship Id="rId38" Type="http://schemas.openxmlformats.org/officeDocument/2006/relationships/hyperlink" Target="http://www.nevo.co.il/case/5920165" TargetMode="External"/><Relationship Id="rId46" Type="http://schemas.openxmlformats.org/officeDocument/2006/relationships/theme" Target="theme/theme1.xml"/><Relationship Id="rId20" Type="http://schemas.openxmlformats.org/officeDocument/2006/relationships/hyperlink" Target="http://www.nevo.co.il/law/70301/456"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1778</Words>
  <Characters>8892</Characters>
  <Application>Microsoft Office Word</Application>
  <DocSecurity>0</DocSecurity>
  <Lines>74</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10649</CharactersWithSpaces>
  <SharedDoc>false</SharedDoc>
  <HLinks>
    <vt:vector size="204" baseType="variant">
      <vt:variant>
        <vt:i4>458763</vt:i4>
      </vt:variant>
      <vt:variant>
        <vt:i4>99</vt:i4>
      </vt:variant>
      <vt:variant>
        <vt:i4>0</vt:i4>
      </vt:variant>
      <vt:variant>
        <vt:i4>5</vt:i4>
      </vt:variant>
      <vt:variant>
        <vt:lpwstr>http://www.nevo.co.il/law/70301/40jb</vt:lpwstr>
      </vt:variant>
      <vt:variant>
        <vt:lpwstr/>
      </vt:variant>
      <vt:variant>
        <vt:i4>7209009</vt:i4>
      </vt:variant>
      <vt:variant>
        <vt:i4>96</vt:i4>
      </vt:variant>
      <vt:variant>
        <vt:i4>0</vt:i4>
      </vt:variant>
      <vt:variant>
        <vt:i4>5</vt:i4>
      </vt:variant>
      <vt:variant>
        <vt:lpwstr>http://www.nevo.co.il/law/70301/40d;40e</vt:lpwstr>
      </vt:variant>
      <vt:variant>
        <vt:lpwstr/>
      </vt:variant>
      <vt:variant>
        <vt:i4>3342459</vt:i4>
      </vt:variant>
      <vt:variant>
        <vt:i4>93</vt:i4>
      </vt:variant>
      <vt:variant>
        <vt:i4>0</vt:i4>
      </vt:variant>
      <vt:variant>
        <vt:i4>5</vt:i4>
      </vt:variant>
      <vt:variant>
        <vt:lpwstr>http://www.nevo.co.il/case/5920165</vt:lpwstr>
      </vt:variant>
      <vt:variant>
        <vt:lpwstr/>
      </vt:variant>
      <vt:variant>
        <vt:i4>3407986</vt:i4>
      </vt:variant>
      <vt:variant>
        <vt:i4>90</vt:i4>
      </vt:variant>
      <vt:variant>
        <vt:i4>0</vt:i4>
      </vt:variant>
      <vt:variant>
        <vt:i4>5</vt:i4>
      </vt:variant>
      <vt:variant>
        <vt:lpwstr>http://www.nevo.co.il/case/5743421</vt:lpwstr>
      </vt:variant>
      <vt:variant>
        <vt:lpwstr/>
      </vt:variant>
      <vt:variant>
        <vt:i4>3932284</vt:i4>
      </vt:variant>
      <vt:variant>
        <vt:i4>87</vt:i4>
      </vt:variant>
      <vt:variant>
        <vt:i4>0</vt:i4>
      </vt:variant>
      <vt:variant>
        <vt:i4>5</vt:i4>
      </vt:variant>
      <vt:variant>
        <vt:lpwstr>http://www.nevo.co.il/case/5688667</vt:lpwstr>
      </vt:variant>
      <vt:variant>
        <vt:lpwstr/>
      </vt:variant>
      <vt:variant>
        <vt:i4>3211380</vt:i4>
      </vt:variant>
      <vt:variant>
        <vt:i4>84</vt:i4>
      </vt:variant>
      <vt:variant>
        <vt:i4>0</vt:i4>
      </vt:variant>
      <vt:variant>
        <vt:i4>5</vt:i4>
      </vt:variant>
      <vt:variant>
        <vt:lpwstr>http://www.nevo.co.il/case/6175747</vt:lpwstr>
      </vt:variant>
      <vt:variant>
        <vt:lpwstr/>
      </vt:variant>
      <vt:variant>
        <vt:i4>7143526</vt:i4>
      </vt:variant>
      <vt:variant>
        <vt:i4>81</vt:i4>
      </vt:variant>
      <vt:variant>
        <vt:i4>0</vt:i4>
      </vt:variant>
      <vt:variant>
        <vt:i4>5</vt:i4>
      </vt:variant>
      <vt:variant>
        <vt:lpwstr>http://www.nevo.co.il/law/70301/384</vt:lpwstr>
      </vt:variant>
      <vt:variant>
        <vt:lpwstr/>
      </vt:variant>
      <vt:variant>
        <vt:i4>6291553</vt:i4>
      </vt:variant>
      <vt:variant>
        <vt:i4>78</vt:i4>
      </vt:variant>
      <vt:variant>
        <vt:i4>0</vt:i4>
      </vt:variant>
      <vt:variant>
        <vt:i4>5</vt:i4>
      </vt:variant>
      <vt:variant>
        <vt:lpwstr>http://www.nevo.co.il/law/70301/452</vt:lpwstr>
      </vt:variant>
      <vt:variant>
        <vt:lpwstr/>
      </vt:variant>
      <vt:variant>
        <vt:i4>7077988</vt:i4>
      </vt:variant>
      <vt:variant>
        <vt:i4>75</vt:i4>
      </vt:variant>
      <vt:variant>
        <vt:i4>0</vt:i4>
      </vt:variant>
      <vt:variant>
        <vt:i4>5</vt:i4>
      </vt:variant>
      <vt:variant>
        <vt:lpwstr>http://www.nevo.co.il/law/70301/192</vt:lpwstr>
      </vt:variant>
      <vt:variant>
        <vt:lpwstr/>
      </vt:variant>
      <vt:variant>
        <vt:i4>6291553</vt:i4>
      </vt:variant>
      <vt:variant>
        <vt:i4>72</vt:i4>
      </vt:variant>
      <vt:variant>
        <vt:i4>0</vt:i4>
      </vt:variant>
      <vt:variant>
        <vt:i4>5</vt:i4>
      </vt:variant>
      <vt:variant>
        <vt:lpwstr>http://www.nevo.co.il/law/70301/456</vt:lpwstr>
      </vt:variant>
      <vt:variant>
        <vt:lpwstr/>
      </vt:variant>
      <vt:variant>
        <vt:i4>5177424</vt:i4>
      </vt:variant>
      <vt:variant>
        <vt:i4>69</vt:i4>
      </vt:variant>
      <vt:variant>
        <vt:i4>0</vt:i4>
      </vt:variant>
      <vt:variant>
        <vt:i4>5</vt:i4>
      </vt:variant>
      <vt:variant>
        <vt:lpwstr>http://www.nevo.co.il/law/70301/144.b</vt:lpwstr>
      </vt:variant>
      <vt:variant>
        <vt:lpwstr/>
      </vt:variant>
      <vt:variant>
        <vt:i4>5177424</vt:i4>
      </vt:variant>
      <vt:variant>
        <vt:i4>66</vt:i4>
      </vt:variant>
      <vt:variant>
        <vt:i4>0</vt:i4>
      </vt:variant>
      <vt:variant>
        <vt:i4>5</vt:i4>
      </vt:variant>
      <vt:variant>
        <vt:lpwstr>http://www.nevo.co.il/law/70301/144.a</vt:lpwstr>
      </vt:variant>
      <vt:variant>
        <vt:lpwstr/>
      </vt:variant>
      <vt:variant>
        <vt:i4>6553697</vt:i4>
      </vt:variant>
      <vt:variant>
        <vt:i4>63</vt:i4>
      </vt:variant>
      <vt:variant>
        <vt:i4>0</vt:i4>
      </vt:variant>
      <vt:variant>
        <vt:i4>5</vt:i4>
      </vt:variant>
      <vt:variant>
        <vt:lpwstr>http://www.nevo.co.il/law/70301/413</vt:lpwstr>
      </vt:variant>
      <vt:variant>
        <vt:lpwstr/>
      </vt:variant>
      <vt:variant>
        <vt:i4>7077988</vt:i4>
      </vt:variant>
      <vt:variant>
        <vt:i4>60</vt:i4>
      </vt:variant>
      <vt:variant>
        <vt:i4>0</vt:i4>
      </vt:variant>
      <vt:variant>
        <vt:i4>5</vt:i4>
      </vt:variant>
      <vt:variant>
        <vt:lpwstr>http://www.nevo.co.il/law/70301/192</vt:lpwstr>
      </vt:variant>
      <vt:variant>
        <vt:lpwstr/>
      </vt:variant>
      <vt:variant>
        <vt:i4>6422630</vt:i4>
      </vt:variant>
      <vt:variant>
        <vt:i4>57</vt:i4>
      </vt:variant>
      <vt:variant>
        <vt:i4>0</vt:i4>
      </vt:variant>
      <vt:variant>
        <vt:i4>5</vt:i4>
      </vt:variant>
      <vt:variant>
        <vt:lpwstr>http://www.nevo.co.il/law/70301/379</vt:lpwstr>
      </vt:variant>
      <vt:variant>
        <vt:lpwstr/>
      </vt:variant>
      <vt:variant>
        <vt:i4>7995492</vt:i4>
      </vt:variant>
      <vt:variant>
        <vt:i4>54</vt:i4>
      </vt:variant>
      <vt:variant>
        <vt:i4>0</vt:i4>
      </vt:variant>
      <vt:variant>
        <vt:i4>5</vt:i4>
      </vt:variant>
      <vt:variant>
        <vt:lpwstr>http://www.nevo.co.il/law/70301</vt:lpwstr>
      </vt:variant>
      <vt:variant>
        <vt:lpwstr/>
      </vt:variant>
      <vt:variant>
        <vt:i4>7077988</vt:i4>
      </vt:variant>
      <vt:variant>
        <vt:i4>51</vt:i4>
      </vt:variant>
      <vt:variant>
        <vt:i4>0</vt:i4>
      </vt:variant>
      <vt:variant>
        <vt:i4>5</vt:i4>
      </vt:variant>
      <vt:variant>
        <vt:lpwstr>http://www.nevo.co.il/law/70301/192</vt:lpwstr>
      </vt:variant>
      <vt:variant>
        <vt:lpwstr/>
      </vt:variant>
      <vt:variant>
        <vt:i4>6422630</vt:i4>
      </vt:variant>
      <vt:variant>
        <vt:i4>48</vt:i4>
      </vt:variant>
      <vt:variant>
        <vt:i4>0</vt:i4>
      </vt:variant>
      <vt:variant>
        <vt:i4>5</vt:i4>
      </vt:variant>
      <vt:variant>
        <vt:lpwstr>http://www.nevo.co.il/law/70301/379</vt:lpwstr>
      </vt:variant>
      <vt:variant>
        <vt:lpwstr/>
      </vt:variant>
      <vt:variant>
        <vt:i4>6684774</vt:i4>
      </vt:variant>
      <vt:variant>
        <vt:i4>45</vt:i4>
      </vt:variant>
      <vt:variant>
        <vt:i4>0</vt:i4>
      </vt:variant>
      <vt:variant>
        <vt:i4>5</vt:i4>
      </vt:variant>
      <vt:variant>
        <vt:lpwstr>http://www.nevo.co.il/law/70301/335</vt:lpwstr>
      </vt:variant>
      <vt:variant>
        <vt:lpwstr/>
      </vt:variant>
      <vt:variant>
        <vt:i4>6684774</vt:i4>
      </vt:variant>
      <vt:variant>
        <vt:i4>42</vt:i4>
      </vt:variant>
      <vt:variant>
        <vt:i4>0</vt:i4>
      </vt:variant>
      <vt:variant>
        <vt:i4>5</vt:i4>
      </vt:variant>
      <vt:variant>
        <vt:lpwstr>http://www.nevo.co.il/law/70301/333</vt:lpwstr>
      </vt:variant>
      <vt:variant>
        <vt:lpwstr/>
      </vt:variant>
      <vt:variant>
        <vt:i4>6291553</vt:i4>
      </vt:variant>
      <vt:variant>
        <vt:i4>39</vt:i4>
      </vt:variant>
      <vt:variant>
        <vt:i4>0</vt:i4>
      </vt:variant>
      <vt:variant>
        <vt:i4>5</vt:i4>
      </vt:variant>
      <vt:variant>
        <vt:lpwstr>http://www.nevo.co.il/law/70301/456</vt:lpwstr>
      </vt:variant>
      <vt:variant>
        <vt:lpwstr/>
      </vt:variant>
      <vt:variant>
        <vt:i4>6291553</vt:i4>
      </vt:variant>
      <vt:variant>
        <vt:i4>36</vt:i4>
      </vt:variant>
      <vt:variant>
        <vt:i4>0</vt:i4>
      </vt:variant>
      <vt:variant>
        <vt:i4>5</vt:i4>
      </vt:variant>
      <vt:variant>
        <vt:lpwstr>http://www.nevo.co.il/law/70301/452</vt:lpwstr>
      </vt:variant>
      <vt:variant>
        <vt:lpwstr/>
      </vt:variant>
      <vt:variant>
        <vt:i4>6553697</vt:i4>
      </vt:variant>
      <vt:variant>
        <vt:i4>33</vt:i4>
      </vt:variant>
      <vt:variant>
        <vt:i4>0</vt:i4>
      </vt:variant>
      <vt:variant>
        <vt:i4>5</vt:i4>
      </vt:variant>
      <vt:variant>
        <vt:lpwstr>http://www.nevo.co.il/law/70301/413</vt:lpwstr>
      </vt:variant>
      <vt:variant>
        <vt:lpwstr/>
      </vt:variant>
      <vt:variant>
        <vt:i4>458763</vt:i4>
      </vt:variant>
      <vt:variant>
        <vt:i4>30</vt:i4>
      </vt:variant>
      <vt:variant>
        <vt:i4>0</vt:i4>
      </vt:variant>
      <vt:variant>
        <vt:i4>5</vt:i4>
      </vt:variant>
      <vt:variant>
        <vt:lpwstr>http://www.nevo.co.il/law/70301/40jb</vt:lpwstr>
      </vt:variant>
      <vt:variant>
        <vt:lpwstr/>
      </vt:variant>
      <vt:variant>
        <vt:i4>7143526</vt:i4>
      </vt:variant>
      <vt:variant>
        <vt:i4>27</vt:i4>
      </vt:variant>
      <vt:variant>
        <vt:i4>0</vt:i4>
      </vt:variant>
      <vt:variant>
        <vt:i4>5</vt:i4>
      </vt:variant>
      <vt:variant>
        <vt:lpwstr>http://www.nevo.co.il/law/70301/384</vt:lpwstr>
      </vt:variant>
      <vt:variant>
        <vt:lpwstr/>
      </vt:variant>
      <vt:variant>
        <vt:i4>6422630</vt:i4>
      </vt:variant>
      <vt:variant>
        <vt:i4>24</vt:i4>
      </vt:variant>
      <vt:variant>
        <vt:i4>0</vt:i4>
      </vt:variant>
      <vt:variant>
        <vt:i4>5</vt:i4>
      </vt:variant>
      <vt:variant>
        <vt:lpwstr>http://www.nevo.co.il/law/70301/379</vt:lpwstr>
      </vt:variant>
      <vt:variant>
        <vt:lpwstr/>
      </vt:variant>
      <vt:variant>
        <vt:i4>6684774</vt:i4>
      </vt:variant>
      <vt:variant>
        <vt:i4>21</vt:i4>
      </vt:variant>
      <vt:variant>
        <vt:i4>0</vt:i4>
      </vt:variant>
      <vt:variant>
        <vt:i4>5</vt:i4>
      </vt:variant>
      <vt:variant>
        <vt:lpwstr>http://www.nevo.co.il/law/70301/335</vt:lpwstr>
      </vt:variant>
      <vt:variant>
        <vt:lpwstr/>
      </vt:variant>
      <vt:variant>
        <vt:i4>6684774</vt:i4>
      </vt:variant>
      <vt:variant>
        <vt:i4>18</vt:i4>
      </vt:variant>
      <vt:variant>
        <vt:i4>0</vt:i4>
      </vt:variant>
      <vt:variant>
        <vt:i4>5</vt:i4>
      </vt:variant>
      <vt:variant>
        <vt:lpwstr>http://www.nevo.co.il/law/70301/333</vt:lpwstr>
      </vt:variant>
      <vt:variant>
        <vt:lpwstr/>
      </vt:variant>
      <vt:variant>
        <vt:i4>7077988</vt:i4>
      </vt:variant>
      <vt:variant>
        <vt:i4>15</vt:i4>
      </vt:variant>
      <vt:variant>
        <vt:i4>0</vt:i4>
      </vt:variant>
      <vt:variant>
        <vt:i4>5</vt:i4>
      </vt:variant>
      <vt:variant>
        <vt:lpwstr>http://www.nevo.co.il/law/70301/192</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6619233</vt:i4>
      </vt:variant>
      <vt:variant>
        <vt:i4>6</vt:i4>
      </vt:variant>
      <vt:variant>
        <vt:i4>0</vt:i4>
      </vt:variant>
      <vt:variant>
        <vt:i4>5</vt:i4>
      </vt:variant>
      <vt:variant>
        <vt:lpwstr>http://www.nevo.co.il/law/70301/40e</vt:lpwstr>
      </vt:variant>
      <vt:variant>
        <vt:lpwstr/>
      </vt:variant>
      <vt:variant>
        <vt:i4>6619233</vt:i4>
      </vt:variant>
      <vt:variant>
        <vt:i4>3</vt:i4>
      </vt:variant>
      <vt:variant>
        <vt:i4>0</vt:i4>
      </vt:variant>
      <vt:variant>
        <vt:i4>5</vt:i4>
      </vt:variant>
      <vt:variant>
        <vt:lpwstr>http://www.nevo.co.il/law/70301/40d</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2025-01-19T15:45:00Z</dcterms:created>
  <dcterms:modified xsi:type="dcterms:W3CDTF">2025-01-19T15:45:00Z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2582</vt:lpwstr>
  </property>
  <property fmtid="{D5CDD505-2E9C-101B-9397-08002B2CF9AE}" pid="6" name="NEWPARTB">
    <vt:lpwstr>11</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אפי אמויאל</vt:lpwstr>
  </property>
  <property fmtid="{D5CDD505-2E9C-101B-9397-08002B2CF9AE}" pid="10" name="LAWYER">
    <vt:lpwstr>מיכאל עירוני;נגה בן סידי</vt:lpwstr>
  </property>
  <property fmtid="{D5CDD505-2E9C-101B-9397-08002B2CF9AE}" pid="11" name="JUDGE">
    <vt:lpwstr>צבי סגל</vt:lpwstr>
  </property>
  <property fmtid="{D5CDD505-2E9C-101B-9397-08002B2CF9AE}" pid="12" name="CITY">
    <vt:lpwstr>י-ם</vt:lpwstr>
  </property>
  <property fmtid="{D5CDD505-2E9C-101B-9397-08002B2CF9AE}" pid="13" name="DATE">
    <vt:lpwstr>20130908</vt:lpwstr>
  </property>
  <property fmtid="{D5CDD505-2E9C-101B-9397-08002B2CF9AE}" pid="14" name="TYPE_N_DATE">
    <vt:lpwstr>39020130908</vt:lpwstr>
  </property>
  <property fmtid="{D5CDD505-2E9C-101B-9397-08002B2CF9AE}" pid="15" name="WORDNUMPAGES">
    <vt:lpwstr>9</vt:lpwstr>
  </property>
  <property fmtid="{D5CDD505-2E9C-101B-9397-08002B2CF9AE}" pid="16" name="TYPE_ABS_DATE">
    <vt:lpwstr>390020130908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6175747;5688667;5743421;5920165</vt:lpwstr>
  </property>
  <property fmtid="{D5CDD505-2E9C-101B-9397-08002B2CF9AE}" pid="36" name="LAWLISTTMP1">
    <vt:lpwstr>70301/333;335;379:2;192:3;413;144.a;144.b;456;452;384;040d;040e;40jb</vt:lpwstr>
  </property>
</Properties>
</file>