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3D68A6" w:rsidRPr="008C3250" w14:paraId="164E4196" w14:textId="77777777">
        <w:trPr>
          <w:trHeight w:hRule="exact" w:val="418"/>
          <w:jc w:val="center"/>
        </w:trPr>
        <w:tc>
          <w:tcPr>
            <w:tcW w:w="8721" w:type="dxa"/>
            <w:gridSpan w:val="2"/>
          </w:tcPr>
          <w:p w14:paraId="409E5C78" w14:textId="77777777" w:rsidR="003D68A6" w:rsidRPr="008C3250" w:rsidRDefault="008C3250">
            <w:pPr>
              <w:pStyle w:val="a3"/>
              <w:jc w:val="center"/>
              <w:rPr>
                <w:rFonts w:ascii="Tahoma" w:hAnsi="Tahoma"/>
                <w:b/>
                <w:bCs/>
                <w:color w:val="000080"/>
                <w:rtl/>
              </w:rPr>
            </w:pPr>
            <w:bookmarkStart w:id="0" w:name="FirstLawyer"/>
            <w:r w:rsidRPr="008C3250">
              <w:rPr>
                <w:rFonts w:ascii="Tahoma" w:hAnsi="Tahoma"/>
                <w:b/>
                <w:bCs/>
                <w:color w:val="000080"/>
                <w:rtl/>
              </w:rPr>
              <w:t>בית המשפט המחוזי בתל אביב - יפו</w:t>
            </w:r>
          </w:p>
        </w:tc>
      </w:tr>
      <w:tr w:rsidR="003D68A6" w:rsidRPr="008C3250" w14:paraId="2D2D1235" w14:textId="77777777">
        <w:trPr>
          <w:trHeight w:val="337"/>
          <w:jc w:val="center"/>
        </w:trPr>
        <w:tc>
          <w:tcPr>
            <w:tcW w:w="5058" w:type="dxa"/>
          </w:tcPr>
          <w:p w14:paraId="5336D0BD" w14:textId="77777777" w:rsidR="003D68A6" w:rsidRPr="008C3250" w:rsidRDefault="008C3250">
            <w:pPr>
              <w:rPr>
                <w:b/>
                <w:bCs/>
                <w:rtl/>
              </w:rPr>
            </w:pPr>
            <w:r w:rsidRPr="008C3250">
              <w:rPr>
                <w:b/>
                <w:bCs/>
                <w:rtl/>
              </w:rPr>
              <w:t>תפ"ח</w:t>
            </w:r>
            <w:r w:rsidRPr="008C3250">
              <w:rPr>
                <w:rFonts w:hint="cs"/>
                <w:b/>
                <w:bCs/>
                <w:rtl/>
              </w:rPr>
              <w:t xml:space="preserve"> </w:t>
            </w:r>
            <w:r w:rsidRPr="008C3250">
              <w:rPr>
                <w:b/>
                <w:bCs/>
                <w:rtl/>
              </w:rPr>
              <w:t>32740-12-12</w:t>
            </w:r>
            <w:r w:rsidRPr="008C3250">
              <w:rPr>
                <w:rFonts w:hint="cs"/>
                <w:b/>
                <w:bCs/>
                <w:rtl/>
              </w:rPr>
              <w:t xml:space="preserve"> </w:t>
            </w:r>
            <w:r w:rsidRPr="008C3250">
              <w:rPr>
                <w:b/>
                <w:bCs/>
                <w:rtl/>
              </w:rPr>
              <w:t>מדינת ישראל נ' בראנץ(עציר) ואח'</w:t>
            </w:r>
          </w:p>
          <w:p w14:paraId="78F2B3CE" w14:textId="77777777" w:rsidR="003D68A6" w:rsidRPr="008C3250" w:rsidRDefault="003D68A6">
            <w:pPr>
              <w:pStyle w:val="a3"/>
              <w:rPr>
                <w:b/>
                <w:bCs/>
                <w:rtl/>
              </w:rPr>
            </w:pPr>
          </w:p>
        </w:tc>
        <w:tc>
          <w:tcPr>
            <w:tcW w:w="3663" w:type="dxa"/>
          </w:tcPr>
          <w:p w14:paraId="11E8DB2D" w14:textId="77777777" w:rsidR="003D68A6" w:rsidRPr="008C3250" w:rsidRDefault="003D68A6">
            <w:pPr>
              <w:pStyle w:val="a3"/>
              <w:jc w:val="right"/>
              <w:rPr>
                <w:b/>
                <w:bCs/>
                <w:rtl/>
              </w:rPr>
            </w:pPr>
          </w:p>
        </w:tc>
      </w:tr>
    </w:tbl>
    <w:p w14:paraId="35205252" w14:textId="77777777" w:rsidR="003D68A6" w:rsidRPr="008C3250" w:rsidRDefault="008C3250">
      <w:pPr>
        <w:pStyle w:val="a3"/>
        <w:rPr>
          <w:b/>
          <w:bCs/>
          <w:rtl/>
        </w:rPr>
      </w:pPr>
      <w:r w:rsidRPr="008C3250">
        <w:rPr>
          <w:rFonts w:hint="cs"/>
          <w:b/>
          <w:bCs/>
          <w:rtl/>
        </w:rPr>
        <w:t xml:space="preserve"> </w:t>
      </w:r>
    </w:p>
    <w:p w14:paraId="3402F02D" w14:textId="77777777" w:rsidR="003D68A6" w:rsidRPr="008C3250" w:rsidRDefault="003D68A6">
      <w:pPr>
        <w:rPr>
          <w:rtl/>
        </w:rPr>
      </w:pPr>
    </w:p>
    <w:tbl>
      <w:tblPr>
        <w:bidiVisual/>
        <w:tblW w:w="0" w:type="auto"/>
        <w:tblLook w:val="01E0" w:firstRow="1" w:lastRow="1" w:firstColumn="1" w:lastColumn="1" w:noHBand="0" w:noVBand="0"/>
      </w:tblPr>
      <w:tblGrid>
        <w:gridCol w:w="29"/>
        <w:gridCol w:w="2831"/>
        <w:gridCol w:w="5806"/>
        <w:gridCol w:w="54"/>
      </w:tblGrid>
      <w:tr w:rsidR="003D68A6" w:rsidRPr="008C3250" w14:paraId="425390A2" w14:textId="77777777">
        <w:trPr>
          <w:gridBefore w:val="1"/>
          <w:gridAfter w:val="1"/>
          <w:wBefore w:w="29" w:type="dxa"/>
          <w:wAfter w:w="54" w:type="dxa"/>
        </w:trPr>
        <w:tc>
          <w:tcPr>
            <w:tcW w:w="8637" w:type="dxa"/>
            <w:gridSpan w:val="2"/>
          </w:tcPr>
          <w:p w14:paraId="6FC4C6C3" w14:textId="77777777" w:rsidR="003D68A6" w:rsidRPr="008C3250" w:rsidRDefault="008C3250">
            <w:pPr>
              <w:rPr>
                <w:rStyle w:val="TimesNewRomanTimesNewRoman"/>
                <w:b w:val="0"/>
                <w:bCs w:val="0"/>
                <w:rtl/>
              </w:rPr>
            </w:pPr>
            <w:bookmarkStart w:id="1" w:name="_GoBack"/>
            <w:bookmarkEnd w:id="1"/>
            <w:r w:rsidRPr="008C3250">
              <w:rPr>
                <w:rFonts w:hint="cs"/>
                <w:b/>
                <w:bCs/>
                <w:rtl/>
              </w:rPr>
              <w:t>בפני כב' השופטת שרה דותן - אב"ד</w:t>
            </w:r>
            <w:r w:rsidRPr="008C3250">
              <w:rPr>
                <w:rFonts w:hint="cs"/>
                <w:b/>
                <w:bCs/>
                <w:rtl/>
              </w:rPr>
              <w:br/>
              <w:t>כב' השופט אבי זמיר</w:t>
            </w:r>
            <w:r w:rsidRPr="008C3250">
              <w:rPr>
                <w:rStyle w:val="TimesNewRomanTimesNewRoman"/>
                <w:rFonts w:hint="cs"/>
                <w:rtl/>
              </w:rPr>
              <w:t xml:space="preserve"> </w:t>
            </w:r>
          </w:p>
          <w:p w14:paraId="6B0A0D90" w14:textId="77777777" w:rsidR="003D68A6" w:rsidRPr="008C3250" w:rsidRDefault="008C3250">
            <w:pPr>
              <w:rPr>
                <w:b/>
                <w:bCs/>
                <w:rtl/>
              </w:rPr>
            </w:pPr>
            <w:r w:rsidRPr="008C3250">
              <w:rPr>
                <w:rFonts w:hint="cs"/>
                <w:b/>
                <w:bCs/>
                <w:rtl/>
              </w:rPr>
              <w:t xml:space="preserve">כב' השופט ירון לוי </w:t>
            </w:r>
          </w:p>
          <w:p w14:paraId="7BB74EB6" w14:textId="77777777" w:rsidR="003D68A6" w:rsidRPr="008C3250" w:rsidRDefault="003D68A6">
            <w:pPr>
              <w:rPr>
                <w:b/>
                <w:bCs/>
              </w:rPr>
            </w:pPr>
          </w:p>
        </w:tc>
      </w:tr>
      <w:tr w:rsidR="003D68A6" w:rsidRPr="008C3250" w14:paraId="0F4AE377" w14:textId="77777777">
        <w:tc>
          <w:tcPr>
            <w:tcW w:w="2860" w:type="dxa"/>
            <w:gridSpan w:val="2"/>
          </w:tcPr>
          <w:p w14:paraId="1AE05BB7" w14:textId="77777777" w:rsidR="003D68A6" w:rsidRPr="008C3250" w:rsidRDefault="008C3250">
            <w:pPr>
              <w:rPr>
                <w:b/>
                <w:bCs/>
              </w:rPr>
            </w:pPr>
            <w:bookmarkStart w:id="2" w:name="FirstAppellant"/>
            <w:bookmarkStart w:id="3" w:name="LastJudge"/>
            <w:bookmarkEnd w:id="3"/>
            <w:r w:rsidRPr="008C3250">
              <w:rPr>
                <w:rFonts w:hint="cs"/>
                <w:b/>
                <w:bCs/>
                <w:rtl/>
              </w:rPr>
              <w:t xml:space="preserve">המאשימה </w:t>
            </w:r>
          </w:p>
        </w:tc>
        <w:tc>
          <w:tcPr>
            <w:tcW w:w="5860" w:type="dxa"/>
            <w:gridSpan w:val="2"/>
          </w:tcPr>
          <w:p w14:paraId="2C2B2C2F" w14:textId="77777777" w:rsidR="003D68A6" w:rsidRPr="008C3250" w:rsidRDefault="008C3250">
            <w:pPr>
              <w:rPr>
                <w:b/>
                <w:bCs/>
              </w:rPr>
            </w:pPr>
            <w:r w:rsidRPr="008C3250">
              <w:rPr>
                <w:rFonts w:hint="cs"/>
                <w:b/>
                <w:bCs/>
                <w:rtl/>
              </w:rPr>
              <w:t>מדינת ישראל</w:t>
            </w:r>
            <w:r w:rsidRPr="008C3250">
              <w:rPr>
                <w:rFonts w:hint="cs"/>
                <w:b/>
                <w:bCs/>
                <w:rtl/>
              </w:rPr>
              <w:br/>
              <w:t>ע"י ב"כ עו"ד תמי אניס</w:t>
            </w:r>
          </w:p>
        </w:tc>
      </w:tr>
      <w:bookmarkEnd w:id="2"/>
      <w:tr w:rsidR="003D68A6" w:rsidRPr="008C3250" w14:paraId="2090AE49" w14:textId="77777777">
        <w:tc>
          <w:tcPr>
            <w:tcW w:w="8720" w:type="dxa"/>
            <w:gridSpan w:val="4"/>
          </w:tcPr>
          <w:p w14:paraId="4704FE48" w14:textId="77777777" w:rsidR="003D68A6" w:rsidRPr="008C3250" w:rsidRDefault="003D68A6">
            <w:pPr>
              <w:jc w:val="both"/>
              <w:rPr>
                <w:rFonts w:ascii="Arial" w:hAnsi="Arial"/>
                <w:b/>
                <w:bCs/>
                <w:rtl/>
              </w:rPr>
            </w:pPr>
          </w:p>
          <w:p w14:paraId="259BF6E3" w14:textId="77777777" w:rsidR="003D68A6" w:rsidRPr="008C3250" w:rsidRDefault="008C3250">
            <w:pPr>
              <w:jc w:val="center"/>
              <w:rPr>
                <w:rFonts w:ascii="Arial" w:hAnsi="Arial"/>
                <w:b/>
                <w:bCs/>
                <w:rtl/>
              </w:rPr>
            </w:pPr>
            <w:r w:rsidRPr="008C3250">
              <w:rPr>
                <w:rFonts w:ascii="Arial" w:hAnsi="Arial" w:hint="cs"/>
                <w:b/>
                <w:bCs/>
                <w:rtl/>
              </w:rPr>
              <w:t>נגד</w:t>
            </w:r>
          </w:p>
          <w:p w14:paraId="6B5B1710" w14:textId="77777777" w:rsidR="003D68A6" w:rsidRPr="008C3250" w:rsidRDefault="003D68A6">
            <w:pPr>
              <w:jc w:val="center"/>
              <w:rPr>
                <w:rFonts w:ascii="Arial" w:hAnsi="Arial"/>
                <w:b/>
                <w:bCs/>
              </w:rPr>
            </w:pPr>
          </w:p>
        </w:tc>
      </w:tr>
      <w:tr w:rsidR="003D68A6" w:rsidRPr="008C3250" w14:paraId="58991677" w14:textId="77777777">
        <w:tc>
          <w:tcPr>
            <w:tcW w:w="2860" w:type="dxa"/>
            <w:gridSpan w:val="2"/>
          </w:tcPr>
          <w:p w14:paraId="697AE887" w14:textId="77777777" w:rsidR="003D68A6" w:rsidRPr="008C3250" w:rsidRDefault="008C3250">
            <w:pPr>
              <w:rPr>
                <w:b/>
                <w:bCs/>
              </w:rPr>
            </w:pPr>
            <w:r w:rsidRPr="008C3250">
              <w:rPr>
                <w:rFonts w:hint="cs"/>
                <w:b/>
                <w:bCs/>
                <w:rtl/>
              </w:rPr>
              <w:t xml:space="preserve">הנאשמים </w:t>
            </w:r>
          </w:p>
        </w:tc>
        <w:tc>
          <w:tcPr>
            <w:tcW w:w="5860" w:type="dxa"/>
            <w:gridSpan w:val="2"/>
          </w:tcPr>
          <w:p w14:paraId="2B378439" w14:textId="77777777" w:rsidR="003D68A6" w:rsidRPr="008C3250" w:rsidRDefault="008C3250">
            <w:pPr>
              <w:rPr>
                <w:rFonts w:ascii="David" w:hAnsi="David"/>
                <w:b/>
                <w:bCs/>
                <w:rtl/>
              </w:rPr>
            </w:pPr>
            <w:r w:rsidRPr="008C3250">
              <w:rPr>
                <w:rFonts w:hint="cs"/>
                <w:b/>
                <w:bCs/>
                <w:rtl/>
              </w:rPr>
              <w:t>1. ערן בראנץ (עציר)</w:t>
            </w:r>
          </w:p>
          <w:p w14:paraId="0BD837E1" w14:textId="77777777" w:rsidR="003D68A6" w:rsidRPr="008C3250" w:rsidRDefault="008C3250">
            <w:pPr>
              <w:rPr>
                <w:b/>
                <w:bCs/>
                <w:rtl/>
              </w:rPr>
            </w:pPr>
            <w:r w:rsidRPr="008C3250">
              <w:rPr>
                <w:rFonts w:hint="cs"/>
                <w:b/>
                <w:bCs/>
                <w:rtl/>
              </w:rPr>
              <w:t xml:space="preserve">2. אבירם בראנץ </w:t>
            </w:r>
            <w:r w:rsidRPr="008C3250">
              <w:rPr>
                <w:rFonts w:hint="cs"/>
                <w:b/>
                <w:bCs/>
                <w:rtl/>
              </w:rPr>
              <w:br/>
              <w:t>ע"י ב"כ עו"ד אלי כהן</w:t>
            </w:r>
          </w:p>
          <w:p w14:paraId="00E47CEC" w14:textId="77777777" w:rsidR="003D68A6" w:rsidRPr="008C3250" w:rsidRDefault="008C3250">
            <w:pPr>
              <w:rPr>
                <w:b/>
                <w:bCs/>
              </w:rPr>
            </w:pPr>
            <w:r w:rsidRPr="008C3250">
              <w:rPr>
                <w:rFonts w:hint="cs"/>
                <w:b/>
                <w:bCs/>
                <w:rtl/>
              </w:rPr>
              <w:t xml:space="preserve">3. אליאס בראנץ </w:t>
            </w:r>
            <w:r w:rsidRPr="008C3250">
              <w:rPr>
                <w:rFonts w:hint="cs"/>
                <w:b/>
                <w:bCs/>
                <w:rtl/>
              </w:rPr>
              <w:br/>
              <w:t>ע"י ב"כ עו"ד אורית חיון</w:t>
            </w:r>
          </w:p>
        </w:tc>
      </w:tr>
    </w:tbl>
    <w:p w14:paraId="03FFBDEF" w14:textId="77777777" w:rsidR="0021525A" w:rsidRDefault="0021525A">
      <w:pPr>
        <w:rPr>
          <w:rtl/>
        </w:rPr>
      </w:pPr>
      <w:bookmarkStart w:id="4" w:name="LawTable"/>
    </w:p>
    <w:p w14:paraId="05262B95" w14:textId="77777777" w:rsidR="0021525A" w:rsidRPr="0021525A" w:rsidRDefault="0021525A" w:rsidP="0021525A">
      <w:pPr>
        <w:spacing w:after="120" w:line="240" w:lineRule="exact"/>
        <w:ind w:left="283" w:hanging="283"/>
        <w:jc w:val="both"/>
        <w:rPr>
          <w:rFonts w:ascii="FrankRuehl" w:hAnsi="FrankRuehl" w:cs="FrankRuehl"/>
          <w:rtl/>
        </w:rPr>
      </w:pPr>
    </w:p>
    <w:p w14:paraId="2462979F" w14:textId="77777777" w:rsidR="0021525A" w:rsidRPr="0021525A" w:rsidRDefault="0021525A" w:rsidP="0021525A">
      <w:pPr>
        <w:spacing w:after="120" w:line="240" w:lineRule="exact"/>
        <w:ind w:left="283" w:hanging="283"/>
        <w:jc w:val="both"/>
        <w:rPr>
          <w:rFonts w:ascii="FrankRuehl" w:hAnsi="FrankRuehl" w:cs="FrankRuehl"/>
          <w:rtl/>
        </w:rPr>
      </w:pPr>
      <w:r w:rsidRPr="0021525A">
        <w:rPr>
          <w:rFonts w:ascii="FrankRuehl" w:hAnsi="FrankRuehl" w:cs="FrankRuehl"/>
          <w:rtl/>
        </w:rPr>
        <w:t xml:space="preserve">חקיקה שאוזכרה: </w:t>
      </w:r>
    </w:p>
    <w:p w14:paraId="755F73D8" w14:textId="77777777" w:rsidR="0021525A" w:rsidRPr="0021525A" w:rsidRDefault="0021525A" w:rsidP="0021525A">
      <w:pPr>
        <w:spacing w:after="120" w:line="240" w:lineRule="exact"/>
        <w:ind w:left="283" w:hanging="283"/>
        <w:jc w:val="both"/>
        <w:rPr>
          <w:rFonts w:ascii="FrankRuehl" w:hAnsi="FrankRuehl" w:cs="FrankRuehl"/>
          <w:rtl/>
        </w:rPr>
      </w:pPr>
      <w:hyperlink r:id="rId6" w:history="1">
        <w:r w:rsidRPr="0021525A">
          <w:rPr>
            <w:rFonts w:ascii="FrankRuehl" w:hAnsi="FrankRuehl" w:cs="FrankRuehl"/>
            <w:color w:val="0000FF"/>
            <w:u w:val="single"/>
            <w:rtl/>
          </w:rPr>
          <w:t>חוק זכויות נפגעי עבירה, תשס"א-2001</w:t>
        </w:r>
      </w:hyperlink>
    </w:p>
    <w:p w14:paraId="69EC1170" w14:textId="77777777" w:rsidR="0021525A" w:rsidRPr="0021525A" w:rsidRDefault="0021525A" w:rsidP="0021525A">
      <w:pPr>
        <w:spacing w:after="120" w:line="240" w:lineRule="exact"/>
        <w:ind w:left="283" w:hanging="283"/>
        <w:jc w:val="both"/>
        <w:rPr>
          <w:rFonts w:ascii="FrankRuehl" w:hAnsi="FrankRuehl" w:cs="FrankRuehl"/>
          <w:rtl/>
        </w:rPr>
      </w:pPr>
      <w:hyperlink r:id="rId7" w:history="1">
        <w:r w:rsidRPr="0021525A">
          <w:rPr>
            <w:rFonts w:ascii="FrankRuehl" w:hAnsi="FrankRuehl" w:cs="FrankRuehl"/>
            <w:color w:val="0000FF"/>
            <w:u w:val="single"/>
            <w:rtl/>
          </w:rPr>
          <w:t>חוק העונשין, תשל"ז-1977</w:t>
        </w:r>
      </w:hyperlink>
      <w:r w:rsidRPr="0021525A">
        <w:rPr>
          <w:rFonts w:ascii="FrankRuehl" w:hAnsi="FrankRuehl" w:cs="FrankRuehl"/>
          <w:rtl/>
        </w:rPr>
        <w:t xml:space="preserve">: סע'  </w:t>
      </w:r>
      <w:hyperlink r:id="rId8" w:history="1">
        <w:r w:rsidRPr="0021525A">
          <w:rPr>
            <w:rFonts w:ascii="FrankRuehl" w:hAnsi="FrankRuehl" w:cs="FrankRuehl"/>
            <w:color w:val="0000FF"/>
            <w:u w:val="single"/>
            <w:rtl/>
          </w:rPr>
          <w:t>31</w:t>
        </w:r>
      </w:hyperlink>
      <w:r w:rsidRPr="0021525A">
        <w:rPr>
          <w:rFonts w:ascii="FrankRuehl" w:hAnsi="FrankRuehl" w:cs="FrankRuehl"/>
          <w:rtl/>
        </w:rPr>
        <w:t xml:space="preserve">, </w:t>
      </w:r>
      <w:hyperlink r:id="rId9" w:history="1">
        <w:r w:rsidRPr="0021525A">
          <w:rPr>
            <w:rFonts w:ascii="FrankRuehl" w:hAnsi="FrankRuehl" w:cs="FrankRuehl"/>
            <w:color w:val="0000FF"/>
            <w:u w:val="single"/>
            <w:rtl/>
          </w:rPr>
          <w:t>32</w:t>
        </w:r>
      </w:hyperlink>
      <w:r w:rsidRPr="0021525A">
        <w:rPr>
          <w:rFonts w:ascii="FrankRuehl" w:hAnsi="FrankRuehl" w:cs="FrankRuehl"/>
          <w:rtl/>
        </w:rPr>
        <w:t xml:space="preserve">, </w:t>
      </w:r>
      <w:hyperlink r:id="rId10" w:history="1">
        <w:r w:rsidRPr="0021525A">
          <w:rPr>
            <w:rFonts w:ascii="FrankRuehl" w:hAnsi="FrankRuehl" w:cs="FrankRuehl"/>
            <w:color w:val="0000FF"/>
            <w:u w:val="single"/>
            <w:rtl/>
          </w:rPr>
          <w:t>40ד</w:t>
        </w:r>
      </w:hyperlink>
      <w:r w:rsidRPr="0021525A">
        <w:rPr>
          <w:rFonts w:ascii="FrankRuehl" w:hAnsi="FrankRuehl" w:cs="FrankRuehl"/>
          <w:rtl/>
        </w:rPr>
        <w:t xml:space="preserve">, </w:t>
      </w:r>
      <w:hyperlink r:id="rId11" w:history="1">
        <w:r w:rsidRPr="0021525A">
          <w:rPr>
            <w:rFonts w:ascii="FrankRuehl" w:hAnsi="FrankRuehl" w:cs="FrankRuehl"/>
            <w:color w:val="0000FF"/>
            <w:u w:val="single"/>
            <w:rtl/>
          </w:rPr>
          <w:t>40ה</w:t>
        </w:r>
      </w:hyperlink>
      <w:r w:rsidRPr="0021525A">
        <w:rPr>
          <w:rFonts w:ascii="FrankRuehl" w:hAnsi="FrankRuehl" w:cs="FrankRuehl"/>
          <w:rtl/>
        </w:rPr>
        <w:t xml:space="preserve">, </w:t>
      </w:r>
      <w:hyperlink r:id="rId12" w:history="1">
        <w:r w:rsidRPr="0021525A">
          <w:rPr>
            <w:rFonts w:ascii="FrankRuehl" w:hAnsi="FrankRuehl" w:cs="FrankRuehl"/>
            <w:color w:val="0000FF"/>
            <w:u w:val="single"/>
            <w:rtl/>
          </w:rPr>
          <w:t>40ו</w:t>
        </w:r>
      </w:hyperlink>
      <w:r w:rsidRPr="0021525A">
        <w:rPr>
          <w:rFonts w:ascii="FrankRuehl" w:hAnsi="FrankRuehl" w:cs="FrankRuehl"/>
          <w:rtl/>
        </w:rPr>
        <w:t xml:space="preserve">, </w:t>
      </w:r>
      <w:hyperlink r:id="rId13" w:history="1">
        <w:r w:rsidRPr="0021525A">
          <w:rPr>
            <w:rFonts w:ascii="FrankRuehl" w:hAnsi="FrankRuehl" w:cs="FrankRuehl"/>
            <w:color w:val="0000FF"/>
            <w:u w:val="single"/>
            <w:rtl/>
          </w:rPr>
          <w:t>40ז</w:t>
        </w:r>
      </w:hyperlink>
      <w:r w:rsidRPr="0021525A">
        <w:rPr>
          <w:rFonts w:ascii="FrankRuehl" w:hAnsi="FrankRuehl" w:cs="FrankRuehl"/>
          <w:rtl/>
        </w:rPr>
        <w:t xml:space="preserve">, </w:t>
      </w:r>
      <w:hyperlink r:id="rId14" w:history="1">
        <w:r w:rsidRPr="0021525A">
          <w:rPr>
            <w:rFonts w:ascii="FrankRuehl" w:hAnsi="FrankRuehl" w:cs="FrankRuehl"/>
            <w:color w:val="0000FF"/>
            <w:u w:val="single"/>
            <w:rtl/>
          </w:rPr>
          <w:t>40ט</w:t>
        </w:r>
      </w:hyperlink>
      <w:r w:rsidRPr="0021525A">
        <w:rPr>
          <w:rFonts w:ascii="FrankRuehl" w:hAnsi="FrankRuehl" w:cs="FrankRuehl"/>
          <w:rtl/>
        </w:rPr>
        <w:t xml:space="preserve">, </w:t>
      </w:r>
      <w:hyperlink r:id="rId15" w:history="1">
        <w:r w:rsidRPr="0021525A">
          <w:rPr>
            <w:rFonts w:ascii="FrankRuehl" w:hAnsi="FrankRuehl" w:cs="FrankRuehl"/>
            <w:color w:val="0000FF"/>
            <w:u w:val="single"/>
            <w:rtl/>
          </w:rPr>
          <w:t>144(ב)</w:t>
        </w:r>
      </w:hyperlink>
      <w:r w:rsidRPr="0021525A">
        <w:rPr>
          <w:rFonts w:ascii="FrankRuehl" w:hAnsi="FrankRuehl" w:cs="FrankRuehl"/>
          <w:rtl/>
        </w:rPr>
        <w:t xml:space="preserve">, </w:t>
      </w:r>
      <w:hyperlink r:id="rId16" w:history="1">
        <w:r w:rsidRPr="0021525A">
          <w:rPr>
            <w:rFonts w:ascii="FrankRuehl" w:hAnsi="FrankRuehl" w:cs="FrankRuehl"/>
            <w:color w:val="0000FF"/>
            <w:u w:val="single"/>
            <w:rtl/>
          </w:rPr>
          <w:t>260(א)</w:t>
        </w:r>
      </w:hyperlink>
      <w:r w:rsidRPr="0021525A">
        <w:rPr>
          <w:rFonts w:ascii="FrankRuehl" w:hAnsi="FrankRuehl" w:cs="FrankRuehl"/>
          <w:rtl/>
        </w:rPr>
        <w:t xml:space="preserve">, </w:t>
      </w:r>
      <w:hyperlink r:id="rId17" w:history="1">
        <w:r w:rsidRPr="0021525A">
          <w:rPr>
            <w:rFonts w:ascii="FrankRuehl" w:hAnsi="FrankRuehl" w:cs="FrankRuehl"/>
            <w:color w:val="0000FF"/>
            <w:u w:val="single"/>
            <w:rtl/>
          </w:rPr>
          <w:t>261(1)</w:t>
        </w:r>
      </w:hyperlink>
      <w:r w:rsidRPr="0021525A">
        <w:rPr>
          <w:rFonts w:ascii="FrankRuehl" w:hAnsi="FrankRuehl" w:cs="FrankRuehl"/>
          <w:rtl/>
        </w:rPr>
        <w:t xml:space="preserve">, </w:t>
      </w:r>
      <w:hyperlink r:id="rId18" w:history="1">
        <w:r w:rsidRPr="0021525A">
          <w:rPr>
            <w:rFonts w:ascii="FrankRuehl" w:hAnsi="FrankRuehl" w:cs="FrankRuehl"/>
            <w:color w:val="0000FF"/>
            <w:u w:val="single"/>
            <w:rtl/>
          </w:rPr>
          <w:t>329(א)(1)</w:t>
        </w:r>
      </w:hyperlink>
      <w:r w:rsidRPr="0021525A">
        <w:rPr>
          <w:rFonts w:ascii="FrankRuehl" w:hAnsi="FrankRuehl" w:cs="FrankRuehl"/>
          <w:rtl/>
        </w:rPr>
        <w:t xml:space="preserve">, </w:t>
      </w:r>
      <w:hyperlink r:id="rId19" w:history="1">
        <w:r w:rsidRPr="0021525A">
          <w:rPr>
            <w:rFonts w:ascii="FrankRuehl" w:hAnsi="FrankRuehl" w:cs="FrankRuehl"/>
            <w:color w:val="0000FF"/>
            <w:u w:val="single"/>
            <w:rtl/>
          </w:rPr>
          <w:t>40יא</w:t>
        </w:r>
      </w:hyperlink>
      <w:r w:rsidRPr="0021525A">
        <w:rPr>
          <w:rFonts w:ascii="FrankRuehl" w:hAnsi="FrankRuehl" w:cs="FrankRuehl"/>
          <w:rtl/>
        </w:rPr>
        <w:t xml:space="preserve">, </w:t>
      </w:r>
      <w:hyperlink r:id="rId20" w:history="1">
        <w:r w:rsidRPr="0021525A">
          <w:rPr>
            <w:rFonts w:ascii="FrankRuehl" w:hAnsi="FrankRuehl" w:cs="FrankRuehl"/>
            <w:color w:val="0000FF"/>
            <w:u w:val="single"/>
            <w:rtl/>
          </w:rPr>
          <w:t>40יב</w:t>
        </w:r>
      </w:hyperlink>
      <w:r w:rsidRPr="0021525A">
        <w:rPr>
          <w:rFonts w:ascii="FrankRuehl" w:hAnsi="FrankRuehl" w:cs="FrankRuehl"/>
          <w:rtl/>
        </w:rPr>
        <w:t xml:space="preserve">, </w:t>
      </w:r>
      <w:hyperlink r:id="rId21" w:history="1">
        <w:r w:rsidRPr="0021525A">
          <w:rPr>
            <w:rFonts w:ascii="FrankRuehl" w:hAnsi="FrankRuehl" w:cs="FrankRuehl"/>
            <w:color w:val="0000FF"/>
            <w:u w:val="single"/>
            <w:rtl/>
          </w:rPr>
          <w:t>40יג(א)</w:t>
        </w:r>
      </w:hyperlink>
      <w:r w:rsidRPr="0021525A">
        <w:rPr>
          <w:rFonts w:ascii="FrankRuehl" w:hAnsi="FrankRuehl" w:cs="FrankRuehl"/>
          <w:rtl/>
        </w:rPr>
        <w:t xml:space="preserve">, </w:t>
      </w:r>
      <w:hyperlink r:id="rId22" w:history="1">
        <w:r w:rsidRPr="0021525A">
          <w:rPr>
            <w:rFonts w:ascii="FrankRuehl" w:hAnsi="FrankRuehl" w:cs="FrankRuehl"/>
            <w:color w:val="0000FF"/>
            <w:u w:val="single"/>
            <w:rtl/>
          </w:rPr>
          <w:t>ב ב' לפרק ה1</w:t>
        </w:r>
      </w:hyperlink>
    </w:p>
    <w:bookmarkEnd w:id="4"/>
    <w:p w14:paraId="2065EC27" w14:textId="77777777" w:rsidR="003D68A6" w:rsidRPr="008C3250" w:rsidRDefault="003D68A6">
      <w:pPr>
        <w:spacing w:line="360" w:lineRule="auto"/>
        <w:rPr>
          <w:rFonts w:ascii="Arial" w:hAnsi="Arial"/>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D68A6" w14:paraId="4E706EB2" w14:textId="77777777">
        <w:trPr>
          <w:trHeight w:val="355"/>
          <w:jc w:val="center"/>
        </w:trPr>
        <w:tc>
          <w:tcPr>
            <w:tcW w:w="8820" w:type="dxa"/>
            <w:tcBorders>
              <w:top w:val="nil"/>
              <w:left w:val="nil"/>
              <w:bottom w:val="nil"/>
              <w:right w:val="nil"/>
            </w:tcBorders>
          </w:tcPr>
          <w:p w14:paraId="01214E51" w14:textId="77777777" w:rsidR="008C3250" w:rsidRPr="008C3250" w:rsidRDefault="008C3250" w:rsidP="008C3250">
            <w:pPr>
              <w:jc w:val="center"/>
              <w:rPr>
                <w:rFonts w:ascii="Arial" w:hAnsi="Arial"/>
                <w:b/>
                <w:bCs/>
                <w:sz w:val="28"/>
                <w:szCs w:val="28"/>
                <w:u w:val="single"/>
                <w:rtl/>
              </w:rPr>
            </w:pPr>
            <w:bookmarkStart w:id="5" w:name="PsakDin" w:colFirst="0" w:colLast="0"/>
            <w:bookmarkEnd w:id="0"/>
            <w:r w:rsidRPr="008C3250">
              <w:rPr>
                <w:rFonts w:ascii="Arial" w:hAnsi="Arial"/>
                <w:b/>
                <w:bCs/>
                <w:sz w:val="28"/>
                <w:szCs w:val="28"/>
                <w:u w:val="single"/>
                <w:rtl/>
              </w:rPr>
              <w:t>גזר דין</w:t>
            </w:r>
          </w:p>
          <w:p w14:paraId="75C62B1A" w14:textId="77777777" w:rsidR="003D68A6" w:rsidRPr="008C3250" w:rsidRDefault="003D68A6" w:rsidP="008C3250">
            <w:pPr>
              <w:jc w:val="center"/>
              <w:rPr>
                <w:rFonts w:ascii="Arial" w:hAnsi="Arial"/>
                <w:bCs/>
                <w:u w:val="single"/>
                <w:rtl/>
              </w:rPr>
            </w:pPr>
          </w:p>
        </w:tc>
      </w:tr>
    </w:tbl>
    <w:bookmarkEnd w:id="5"/>
    <w:p w14:paraId="4A537768" w14:textId="77777777" w:rsidR="003D68A6" w:rsidRDefault="008C3250">
      <w:pPr>
        <w:spacing w:line="360" w:lineRule="auto"/>
        <w:rPr>
          <w:rFonts w:ascii="Arial" w:hAnsi="Arial"/>
          <w:b/>
          <w:bCs/>
          <w:u w:val="single"/>
          <w:rtl/>
        </w:rPr>
      </w:pPr>
      <w:r>
        <w:rPr>
          <w:rFonts w:ascii="Arial" w:hAnsi="Arial" w:hint="cs"/>
          <w:b/>
          <w:bCs/>
          <w:u w:val="single"/>
          <w:rtl/>
        </w:rPr>
        <w:t>כב' השופט אבי זמיר:</w:t>
      </w:r>
    </w:p>
    <w:p w14:paraId="7F18BB53" w14:textId="77777777" w:rsidR="003D68A6" w:rsidRDefault="003D68A6">
      <w:pPr>
        <w:spacing w:line="360" w:lineRule="auto"/>
        <w:jc w:val="both"/>
      </w:pPr>
    </w:p>
    <w:p w14:paraId="72D76A97" w14:textId="77777777" w:rsidR="003D68A6" w:rsidRDefault="008C3250">
      <w:pPr>
        <w:spacing w:line="360" w:lineRule="auto"/>
        <w:jc w:val="both"/>
        <w:rPr>
          <w:b/>
          <w:bCs/>
          <w:u w:val="single"/>
          <w:rtl/>
        </w:rPr>
      </w:pPr>
      <w:r>
        <w:rPr>
          <w:rFonts w:hint="cs"/>
          <w:b/>
          <w:bCs/>
          <w:u w:val="single"/>
          <w:rtl/>
        </w:rPr>
        <w:t>רקע</w:t>
      </w:r>
    </w:p>
    <w:p w14:paraId="4D212468" w14:textId="77777777" w:rsidR="003D68A6" w:rsidRDefault="003D68A6">
      <w:pPr>
        <w:spacing w:line="360" w:lineRule="auto"/>
        <w:jc w:val="both"/>
        <w:rPr>
          <w:rtl/>
        </w:rPr>
      </w:pPr>
    </w:p>
    <w:p w14:paraId="0B7E85DF" w14:textId="77777777" w:rsidR="003D68A6" w:rsidRDefault="008C3250">
      <w:pPr>
        <w:spacing w:line="360" w:lineRule="auto"/>
        <w:jc w:val="both"/>
        <w:rPr>
          <w:rtl/>
        </w:rPr>
      </w:pPr>
      <w:r>
        <w:rPr>
          <w:rFonts w:hint="cs"/>
          <w:rtl/>
        </w:rPr>
        <w:t xml:space="preserve">1. עניין לנו בשלושה נאשמים בתיק זה: מר </w:t>
      </w:r>
      <w:r>
        <w:rPr>
          <w:rFonts w:hint="cs"/>
          <w:b/>
          <w:bCs/>
          <w:rtl/>
        </w:rPr>
        <w:t>ערן בראנץ</w:t>
      </w:r>
      <w:r>
        <w:rPr>
          <w:rFonts w:hint="cs"/>
          <w:rtl/>
        </w:rPr>
        <w:t xml:space="preserve">, יליד 1985 (להלן: "הנאשם 1" או "ערן"); מר </w:t>
      </w:r>
      <w:r>
        <w:rPr>
          <w:rFonts w:hint="cs"/>
          <w:b/>
          <w:bCs/>
          <w:rtl/>
        </w:rPr>
        <w:t>אבירם בראנץ</w:t>
      </w:r>
      <w:r>
        <w:rPr>
          <w:rFonts w:hint="cs"/>
          <w:rtl/>
        </w:rPr>
        <w:t xml:space="preserve">, יליד 1987 (להלן: "הנאשם 2" או "אבירם"); ומר </w:t>
      </w:r>
      <w:r>
        <w:rPr>
          <w:rFonts w:hint="cs"/>
          <w:b/>
          <w:bCs/>
          <w:rtl/>
        </w:rPr>
        <w:t>אליאס בראנץ</w:t>
      </w:r>
      <w:r>
        <w:rPr>
          <w:rFonts w:hint="cs"/>
          <w:rtl/>
        </w:rPr>
        <w:t>, יליד 1979 (להלן: "הנאשם 3" או "אליאס").</w:t>
      </w:r>
    </w:p>
    <w:p w14:paraId="0FE2788F" w14:textId="77777777" w:rsidR="003D68A6" w:rsidRDefault="003D68A6">
      <w:pPr>
        <w:spacing w:line="360" w:lineRule="auto"/>
        <w:jc w:val="both"/>
        <w:rPr>
          <w:rtl/>
        </w:rPr>
      </w:pPr>
    </w:p>
    <w:p w14:paraId="7E37B06E" w14:textId="77777777" w:rsidR="003D68A6" w:rsidRDefault="008C3250">
      <w:pPr>
        <w:spacing w:line="360" w:lineRule="auto"/>
        <w:jc w:val="both"/>
        <w:rPr>
          <w:rtl/>
        </w:rPr>
      </w:pPr>
      <w:r>
        <w:rPr>
          <w:rFonts w:hint="cs"/>
          <w:rtl/>
        </w:rPr>
        <w:t xml:space="preserve">בין המאשימה לנאשמים הושג </w:t>
      </w:r>
      <w:r>
        <w:rPr>
          <w:rFonts w:hint="cs"/>
          <w:b/>
          <w:bCs/>
          <w:rtl/>
        </w:rPr>
        <w:t>הסדר טיעון</w:t>
      </w:r>
      <w:r>
        <w:rPr>
          <w:rFonts w:hint="cs"/>
          <w:rtl/>
        </w:rPr>
        <w:t xml:space="preserve">, אשר הוגש לנו בפתח הדיון מיום 2.12.13, שכלל הן הגשת כתב אישום מתוקן בנוסח מוסכם, והן הסכמות עונשיות חלקיות, כפי שיפורט בהמשך (להלן: "הסדר הטיעון"). </w:t>
      </w:r>
    </w:p>
    <w:p w14:paraId="39786BCA" w14:textId="77777777" w:rsidR="003D68A6" w:rsidRDefault="008C3250">
      <w:pPr>
        <w:spacing w:line="360" w:lineRule="auto"/>
        <w:jc w:val="both"/>
        <w:rPr>
          <w:rtl/>
        </w:rPr>
      </w:pPr>
      <w:r>
        <w:rPr>
          <w:rFonts w:hint="cs"/>
          <w:rtl/>
        </w:rPr>
        <w:t xml:space="preserve">ב"כ המאשימה אף פעלה כמצוות </w:t>
      </w:r>
      <w:hyperlink r:id="rId23" w:history="1">
        <w:r w:rsidRPr="008C3250">
          <w:rPr>
            <w:color w:val="0000FF"/>
            <w:u w:val="single"/>
            <w:rtl/>
          </w:rPr>
          <w:t>חוק זכויות נפגעי עבירה</w:t>
        </w:r>
      </w:hyperlink>
      <w:r>
        <w:rPr>
          <w:rFonts w:hint="cs"/>
          <w:rtl/>
        </w:rPr>
        <w:t xml:space="preserve">, תשס"א – 2001, יצרה קשר טלפוני עם נפגע העבירה, ומסרה לנו את עמדתו באשר להסדר הטיעון, כהאי לישנא: "... </w:t>
      </w:r>
      <w:r>
        <w:rPr>
          <w:rFonts w:hint="cs"/>
          <w:b/>
          <w:bCs/>
          <w:rtl/>
        </w:rPr>
        <w:t>הוא מרחם על הנאשמים והם חברים שלו</w:t>
      </w:r>
      <w:r>
        <w:rPr>
          <w:rFonts w:hint="cs"/>
          <w:rtl/>
        </w:rPr>
        <w:t>...".</w:t>
      </w:r>
    </w:p>
    <w:p w14:paraId="5BCBF9BA" w14:textId="77777777" w:rsidR="003D68A6" w:rsidRDefault="003D68A6">
      <w:pPr>
        <w:spacing w:line="360" w:lineRule="auto"/>
        <w:jc w:val="both"/>
        <w:rPr>
          <w:rtl/>
        </w:rPr>
      </w:pPr>
    </w:p>
    <w:p w14:paraId="3B382A24" w14:textId="77777777" w:rsidR="003D68A6" w:rsidRDefault="008C3250">
      <w:pPr>
        <w:spacing w:line="360" w:lineRule="auto"/>
        <w:jc w:val="both"/>
        <w:rPr>
          <w:rtl/>
        </w:rPr>
      </w:pPr>
      <w:bookmarkStart w:id="6" w:name="ABSTRACT_START"/>
      <w:bookmarkEnd w:id="6"/>
      <w:r>
        <w:rPr>
          <w:rFonts w:hint="cs"/>
          <w:rtl/>
        </w:rPr>
        <w:t>בהכרעת הדין מאותו יום התרנו לנאשמים לחזור בהם מכפירה קודמת, והרשענו אותם, על פי הודאותיהם, בעבירות הבאות:</w:t>
      </w:r>
    </w:p>
    <w:p w14:paraId="74B56B2F" w14:textId="77777777" w:rsidR="003D68A6" w:rsidRDefault="008C3250">
      <w:pPr>
        <w:spacing w:line="360" w:lineRule="auto"/>
        <w:jc w:val="both"/>
        <w:rPr>
          <w:rtl/>
        </w:rPr>
      </w:pPr>
      <w:r>
        <w:rPr>
          <w:rFonts w:hint="cs"/>
          <w:rtl/>
        </w:rPr>
        <w:lastRenderedPageBreak/>
        <w:t xml:space="preserve">את הנאשם 1 – בעבירה של חבלה בכוונה מחמירה, לפי </w:t>
      </w:r>
      <w:hyperlink r:id="rId24" w:history="1">
        <w:r w:rsidR="0021525A" w:rsidRPr="0021525A">
          <w:rPr>
            <w:color w:val="0000FF"/>
            <w:u w:val="single"/>
            <w:rtl/>
          </w:rPr>
          <w:t>סעיף 329(א)(1)</w:t>
        </w:r>
      </w:hyperlink>
      <w:r>
        <w:rPr>
          <w:rFonts w:hint="cs"/>
          <w:rtl/>
        </w:rPr>
        <w:t xml:space="preserve"> ל</w:t>
      </w:r>
      <w:hyperlink r:id="rId25" w:history="1">
        <w:r w:rsidRPr="008C3250">
          <w:rPr>
            <w:color w:val="0000FF"/>
            <w:u w:val="single"/>
            <w:rtl/>
          </w:rPr>
          <w:t>חוק העונשין</w:t>
        </w:r>
      </w:hyperlink>
      <w:r>
        <w:rPr>
          <w:rFonts w:hint="cs"/>
          <w:rtl/>
        </w:rPr>
        <w:t xml:space="preserve">, תשל"ז – 1977 (להלן: "החוק"), ובעבירה של נשיאת נשק, לפי </w:t>
      </w:r>
      <w:hyperlink r:id="rId26" w:history="1">
        <w:r w:rsidR="0021525A" w:rsidRPr="0021525A">
          <w:rPr>
            <w:color w:val="0000FF"/>
            <w:u w:val="single"/>
            <w:rtl/>
          </w:rPr>
          <w:t>סעיף 144(ב)</w:t>
        </w:r>
      </w:hyperlink>
      <w:r>
        <w:rPr>
          <w:rFonts w:hint="cs"/>
          <w:rtl/>
        </w:rPr>
        <w:t xml:space="preserve"> רישא לחוק;</w:t>
      </w:r>
    </w:p>
    <w:p w14:paraId="6EDDEE8B" w14:textId="77777777" w:rsidR="003D68A6" w:rsidRDefault="008C3250">
      <w:pPr>
        <w:spacing w:line="360" w:lineRule="auto"/>
        <w:jc w:val="both"/>
        <w:rPr>
          <w:rtl/>
        </w:rPr>
      </w:pPr>
      <w:r>
        <w:rPr>
          <w:rFonts w:hint="cs"/>
          <w:rtl/>
        </w:rPr>
        <w:t xml:space="preserve">את הנאשם 2 – בעבירה של סיוע לחבלה בכוונה מחמירה, לפי </w:t>
      </w:r>
      <w:hyperlink r:id="rId27" w:history="1">
        <w:r w:rsidR="0021525A" w:rsidRPr="0021525A">
          <w:rPr>
            <w:color w:val="0000FF"/>
            <w:u w:val="single"/>
            <w:rtl/>
          </w:rPr>
          <w:t>סעיף 329(א)(1)</w:t>
        </w:r>
      </w:hyperlink>
      <w:r>
        <w:rPr>
          <w:rFonts w:hint="cs"/>
          <w:rtl/>
        </w:rPr>
        <w:t xml:space="preserve"> ביחד עם </w:t>
      </w:r>
      <w:hyperlink r:id="rId28" w:history="1">
        <w:r w:rsidR="0021525A" w:rsidRPr="0021525A">
          <w:rPr>
            <w:color w:val="0000FF"/>
            <w:u w:val="single"/>
            <w:rtl/>
          </w:rPr>
          <w:t>סעיף 31</w:t>
        </w:r>
      </w:hyperlink>
      <w:r>
        <w:rPr>
          <w:rFonts w:hint="cs"/>
          <w:rtl/>
        </w:rPr>
        <w:t xml:space="preserve"> לחוק;</w:t>
      </w:r>
    </w:p>
    <w:p w14:paraId="53155018" w14:textId="77777777" w:rsidR="003D68A6" w:rsidRDefault="008C3250">
      <w:pPr>
        <w:spacing w:line="360" w:lineRule="auto"/>
        <w:jc w:val="both"/>
        <w:rPr>
          <w:rtl/>
        </w:rPr>
      </w:pPr>
      <w:r>
        <w:rPr>
          <w:rFonts w:hint="cs"/>
          <w:rtl/>
        </w:rPr>
        <w:t xml:space="preserve">את הנאשם 3 – בעבירה של סיוע לאחר מעשה, לפי </w:t>
      </w:r>
      <w:hyperlink r:id="rId29" w:history="1">
        <w:r w:rsidR="0021525A" w:rsidRPr="0021525A">
          <w:rPr>
            <w:color w:val="0000FF"/>
            <w:u w:val="single"/>
            <w:rtl/>
          </w:rPr>
          <w:t>סעיף 260(א)</w:t>
        </w:r>
      </w:hyperlink>
      <w:r>
        <w:rPr>
          <w:rFonts w:hint="cs"/>
          <w:rtl/>
        </w:rPr>
        <w:t xml:space="preserve"> לחוק.</w:t>
      </w:r>
    </w:p>
    <w:p w14:paraId="73AE7D76" w14:textId="77777777" w:rsidR="003D68A6" w:rsidRDefault="003D68A6">
      <w:pPr>
        <w:spacing w:line="360" w:lineRule="auto"/>
        <w:jc w:val="both"/>
        <w:rPr>
          <w:rtl/>
        </w:rPr>
      </w:pPr>
      <w:bookmarkStart w:id="7" w:name="ABSTRACT_END"/>
      <w:bookmarkEnd w:id="7"/>
    </w:p>
    <w:p w14:paraId="0810026B" w14:textId="77777777" w:rsidR="003D68A6" w:rsidRDefault="008C3250">
      <w:pPr>
        <w:spacing w:line="360" w:lineRule="auto"/>
        <w:jc w:val="both"/>
        <w:rPr>
          <w:rtl/>
        </w:rPr>
      </w:pPr>
      <w:r>
        <w:rPr>
          <w:rFonts w:hint="cs"/>
          <w:rtl/>
        </w:rPr>
        <w:t>הטיעונים לעונש נשמעו בישיבה נפרדת, ביום 5.2.14. הגיעה שעת גזירת הדין.</w:t>
      </w:r>
    </w:p>
    <w:p w14:paraId="693981BC" w14:textId="77777777" w:rsidR="003D68A6" w:rsidRDefault="003D68A6">
      <w:pPr>
        <w:spacing w:line="360" w:lineRule="auto"/>
        <w:jc w:val="both"/>
        <w:rPr>
          <w:rtl/>
        </w:rPr>
      </w:pPr>
    </w:p>
    <w:p w14:paraId="5E32F258" w14:textId="77777777" w:rsidR="003D68A6" w:rsidRDefault="008C3250">
      <w:pPr>
        <w:spacing w:line="360" w:lineRule="auto"/>
        <w:jc w:val="both"/>
        <w:rPr>
          <w:rtl/>
        </w:rPr>
      </w:pPr>
      <w:r>
        <w:rPr>
          <w:rFonts w:hint="cs"/>
          <w:rtl/>
        </w:rPr>
        <w:t>2. על פי המפורט בכתב האישום המתוקן, ערן ואבירם הם אחים, ואליאס הוא דודם. מר חנן שלום (להלן: "הנפגע") היה ידידם של הנאשמים, אך בשנה האחרונה שלפני הגשת כתב האישום התגלע סכסוך בינו לבין ערן.</w:t>
      </w:r>
    </w:p>
    <w:p w14:paraId="63880D22" w14:textId="77777777" w:rsidR="003D68A6" w:rsidRDefault="008C3250">
      <w:pPr>
        <w:spacing w:line="360" w:lineRule="auto"/>
        <w:jc w:val="both"/>
        <w:rPr>
          <w:rtl/>
        </w:rPr>
      </w:pPr>
      <w:r>
        <w:rPr>
          <w:rFonts w:hint="cs"/>
          <w:rtl/>
        </w:rPr>
        <w:t>ביום 2.12.12, בשעה 18:59 או סמוך לכך, בעת שהנפגע הסתפר במספרה ברח' ז'בוטינסקי 73 בבני ברק, המתינו לו ערן ואבירם על קטנוע מחוץ למספרה, כשהם חבושים בקסדות. אבירם נהג בקטנוע וערן היה הרוכב. ערן היה מצויד באקדח, בידיעת אבירם, והכל כדי לפגוע בנפגע בירי לעברו.</w:t>
      </w:r>
    </w:p>
    <w:p w14:paraId="756CB228" w14:textId="77777777" w:rsidR="003D68A6" w:rsidRDefault="008C3250">
      <w:pPr>
        <w:spacing w:line="360" w:lineRule="auto"/>
        <w:jc w:val="both"/>
        <w:rPr>
          <w:rtl/>
        </w:rPr>
      </w:pPr>
      <w:r>
        <w:rPr>
          <w:rFonts w:hint="cs"/>
          <w:rtl/>
        </w:rPr>
        <w:t>משיצא הנפגע מהמספרה, החל ללכת לכיוון רכב שחיכה לו ברח' ז'בוטינסקי. ערן ירד מהקטנוע, חבוש בקסדה לראשו, הלך בעקבות הנפגע כשבידו אקדח וירה לעברו מספר כדורים, בכוונה לגרום לו חבלה חמורה. הנפגע החל לרוץ, כשאחד הכדורים שירה ערן פגע ברגלו של הנפגע. הנפגע המשיך לרוץ בעוד ערן רודף אחריו, עד שנפל. או אז ירה ערן בנפגע מספר כדורים נוספים לעבר חזהו, בכוונה לגרום לו חבלה חמורה.</w:t>
      </w:r>
    </w:p>
    <w:p w14:paraId="65FB9C71" w14:textId="77777777" w:rsidR="003D68A6" w:rsidRDefault="008C3250">
      <w:pPr>
        <w:spacing w:line="360" w:lineRule="auto"/>
        <w:jc w:val="both"/>
        <w:rPr>
          <w:rtl/>
        </w:rPr>
      </w:pPr>
      <w:r>
        <w:rPr>
          <w:rFonts w:hint="cs"/>
          <w:rtl/>
        </w:rPr>
        <w:t>הנפגע ניסה להתגונן ובעט ברגלו הימנית של ערן בניסיון להגיע לאקדח, ללא הצלחה. הנפגע ניסה להתרומם ובתגובה היכה ערן בראשו באמצעות קת האקדח, בכוונה לגרום לו חבלה חמורה.</w:t>
      </w:r>
    </w:p>
    <w:p w14:paraId="00AD9B42" w14:textId="77777777" w:rsidR="003D68A6" w:rsidRDefault="008C3250">
      <w:pPr>
        <w:spacing w:line="360" w:lineRule="auto"/>
        <w:jc w:val="both"/>
        <w:rPr>
          <w:rtl/>
        </w:rPr>
      </w:pPr>
      <w:r>
        <w:rPr>
          <w:rFonts w:hint="cs"/>
          <w:rtl/>
        </w:rPr>
        <w:t>לאחר הירי עלה ערן על הקטנוע שעליו המתין אבירם, ושניהם נמלטו לרח' הרב ברוט.</w:t>
      </w:r>
    </w:p>
    <w:p w14:paraId="1F29DE4A" w14:textId="77777777" w:rsidR="003D68A6" w:rsidRDefault="008C3250">
      <w:pPr>
        <w:spacing w:line="360" w:lineRule="auto"/>
        <w:jc w:val="both"/>
        <w:rPr>
          <w:rtl/>
        </w:rPr>
      </w:pPr>
      <w:r>
        <w:rPr>
          <w:rFonts w:hint="cs"/>
          <w:rtl/>
        </w:rPr>
        <w:t xml:space="preserve">באותו הזמן הגיע אליאס, יחד עם אשתו, שמפאת שלילת רישיונו של אליאס, הייתה זו שנהגה ברכב מסוג מאזדה </w:t>
      </w:r>
      <w:r>
        <w:t>MPV</w:t>
      </w:r>
      <w:r>
        <w:rPr>
          <w:rFonts w:hint="cs"/>
          <w:rtl/>
        </w:rPr>
        <w:t>, לרח' הרב ברוט, סמוך למקום הירי, שם המתין אליאס לערן ואבירם, ברכב מונע, במטרה למלט אותם מהמקום ולמנוע את תפיסתם.</w:t>
      </w:r>
    </w:p>
    <w:p w14:paraId="24416FEA" w14:textId="77777777" w:rsidR="003D68A6" w:rsidRDefault="008C3250">
      <w:pPr>
        <w:spacing w:line="360" w:lineRule="auto"/>
        <w:jc w:val="both"/>
        <w:rPr>
          <w:rtl/>
        </w:rPr>
      </w:pPr>
      <w:r>
        <w:rPr>
          <w:rFonts w:hint="cs"/>
          <w:rtl/>
        </w:rPr>
        <w:t>משהגיעו ערן ואבירם לרכב, שבו המתין אליאס, ירד ערן מהקטנוע, נכנס לרכב והשניים נסעו לכיוון העיר לוד, במטרה למלט את ערן מהמקום במהירות.</w:t>
      </w:r>
    </w:p>
    <w:p w14:paraId="7D6F175E" w14:textId="77777777" w:rsidR="003D68A6" w:rsidRDefault="008C3250">
      <w:pPr>
        <w:spacing w:line="360" w:lineRule="auto"/>
        <w:jc w:val="both"/>
        <w:rPr>
          <w:rtl/>
        </w:rPr>
      </w:pPr>
      <w:r>
        <w:rPr>
          <w:rFonts w:hint="cs"/>
          <w:rtl/>
        </w:rPr>
        <w:t>אבירם המשיך בנסיעה על הקטנוע לביתו, ברח' נורדאו 42 בבני ברק. בחנייה הסמוכה לביתו הסיר אבירם את הקסדה מעל ראשו והשליך אותה.</w:t>
      </w:r>
    </w:p>
    <w:p w14:paraId="29E071EA" w14:textId="77777777" w:rsidR="003D68A6" w:rsidRDefault="003D68A6">
      <w:pPr>
        <w:spacing w:line="360" w:lineRule="auto"/>
        <w:jc w:val="both"/>
        <w:rPr>
          <w:rtl/>
        </w:rPr>
      </w:pPr>
    </w:p>
    <w:p w14:paraId="227EEA83" w14:textId="77777777" w:rsidR="003D68A6" w:rsidRDefault="008C3250">
      <w:pPr>
        <w:spacing w:line="360" w:lineRule="auto"/>
        <w:jc w:val="both"/>
        <w:rPr>
          <w:rtl/>
        </w:rPr>
      </w:pPr>
      <w:r>
        <w:rPr>
          <w:rFonts w:hint="cs"/>
          <w:rtl/>
        </w:rPr>
        <w:t>כתוצאה מהירי נגרמו לנפגע פצעי ירי בחזה הימני העליון, באזור בית שחי תחתון ומימין לריאות, וכן בכף רגל שמאל. כן נגרמו לו פצע בראשו ונמצאו רסיסים בצווארו, בריאות וסמוך לכבד. בנוסף, לנפגע נגרמו שברים בצלעות והוא נזקק לטיפול רפואי ואושפז בבית החולים תל השומר למשך שבועיים ימים.</w:t>
      </w:r>
    </w:p>
    <w:p w14:paraId="79F76885" w14:textId="77777777" w:rsidR="003D68A6" w:rsidRDefault="003D68A6">
      <w:pPr>
        <w:spacing w:line="360" w:lineRule="auto"/>
        <w:jc w:val="both"/>
        <w:rPr>
          <w:rtl/>
        </w:rPr>
      </w:pPr>
    </w:p>
    <w:p w14:paraId="2371BAB7" w14:textId="77777777" w:rsidR="003D68A6" w:rsidRDefault="008C3250">
      <w:pPr>
        <w:spacing w:line="360" w:lineRule="auto"/>
        <w:jc w:val="both"/>
        <w:rPr>
          <w:rtl/>
        </w:rPr>
      </w:pPr>
      <w:r>
        <w:rPr>
          <w:rFonts w:hint="cs"/>
          <w:rtl/>
        </w:rPr>
        <w:t>במעשיהם אלה חבל ערן בנפגע חבלה חמורה בכוונה מחמירה, ואבירם סייע לו במעשיו. כמו כן נשא ערן נשק, ללא רשות כדין.</w:t>
      </w:r>
    </w:p>
    <w:p w14:paraId="5D14D6D2" w14:textId="77777777" w:rsidR="003D68A6" w:rsidRDefault="008C3250">
      <w:pPr>
        <w:spacing w:line="360" w:lineRule="auto"/>
        <w:jc w:val="both"/>
        <w:rPr>
          <w:rtl/>
        </w:rPr>
      </w:pPr>
      <w:r>
        <w:rPr>
          <w:rFonts w:hint="cs"/>
          <w:rtl/>
        </w:rPr>
        <w:t>אליאס סייע במעשיו לערן ולאבירם להימלט לאחר שביצעו את מעשיהם כאמור לעיל.</w:t>
      </w:r>
    </w:p>
    <w:p w14:paraId="0382160D" w14:textId="77777777" w:rsidR="003D68A6" w:rsidRDefault="008C3250">
      <w:pPr>
        <w:spacing w:line="360" w:lineRule="auto"/>
        <w:jc w:val="both"/>
        <w:rPr>
          <w:rtl/>
        </w:rPr>
      </w:pPr>
      <w:r>
        <w:rPr>
          <w:rFonts w:hint="cs"/>
          <w:rtl/>
        </w:rPr>
        <w:lastRenderedPageBreak/>
        <w:t>עד כאן דבר כתב האישום המתוקן.</w:t>
      </w:r>
    </w:p>
    <w:p w14:paraId="3094A972" w14:textId="77777777" w:rsidR="003D68A6" w:rsidRDefault="003D68A6">
      <w:pPr>
        <w:spacing w:line="360" w:lineRule="auto"/>
        <w:jc w:val="both"/>
        <w:rPr>
          <w:rtl/>
        </w:rPr>
      </w:pPr>
    </w:p>
    <w:p w14:paraId="52354125" w14:textId="77777777" w:rsidR="003D68A6" w:rsidRDefault="008C3250">
      <w:pPr>
        <w:spacing w:line="360" w:lineRule="auto"/>
        <w:jc w:val="both"/>
        <w:rPr>
          <w:b/>
          <w:bCs/>
          <w:u w:val="single"/>
          <w:rtl/>
        </w:rPr>
      </w:pPr>
      <w:r>
        <w:rPr>
          <w:rFonts w:hint="cs"/>
          <w:b/>
          <w:bCs/>
          <w:u w:val="single"/>
          <w:rtl/>
        </w:rPr>
        <w:t>ראיות הצדדים לעונש</w:t>
      </w:r>
    </w:p>
    <w:p w14:paraId="60111443" w14:textId="77777777" w:rsidR="003D68A6" w:rsidRDefault="003D68A6">
      <w:pPr>
        <w:spacing w:line="360" w:lineRule="auto"/>
        <w:jc w:val="both"/>
        <w:rPr>
          <w:rtl/>
        </w:rPr>
      </w:pPr>
    </w:p>
    <w:p w14:paraId="0A4336CB" w14:textId="77777777" w:rsidR="003D68A6" w:rsidRDefault="008C3250">
      <w:pPr>
        <w:spacing w:line="360" w:lineRule="auto"/>
        <w:jc w:val="both"/>
        <w:rPr>
          <w:rtl/>
        </w:rPr>
      </w:pPr>
      <w:r>
        <w:rPr>
          <w:rFonts w:hint="cs"/>
          <w:rtl/>
        </w:rPr>
        <w:t>3. המאשימה הגישה את גיליונות ההרשעות הקודמות של הנאשמים (ת/1, ת/2, ת/3).</w:t>
      </w:r>
    </w:p>
    <w:p w14:paraId="4F99C52A" w14:textId="77777777" w:rsidR="003D68A6" w:rsidRDefault="008C3250">
      <w:pPr>
        <w:spacing w:line="360" w:lineRule="auto"/>
        <w:jc w:val="both"/>
        <w:rPr>
          <w:rtl/>
        </w:rPr>
      </w:pPr>
      <w:r>
        <w:rPr>
          <w:rFonts w:hint="cs"/>
          <w:rtl/>
        </w:rPr>
        <w:t>ב"כ הנאשמים 1 – 2 הגישו מכתב מאת המרכז הטיפולי "בית חם" ואסופה של מסמכים רפואיים בעניינו של אבירם (נ/1) וכן "טבלת ידיעות", בנוגע למידעים ואזהרות בדבר הסכסוך המדובר (נ/2).</w:t>
      </w:r>
    </w:p>
    <w:p w14:paraId="592DB7AB" w14:textId="77777777" w:rsidR="003D68A6" w:rsidRDefault="008C3250">
      <w:pPr>
        <w:spacing w:line="360" w:lineRule="auto"/>
        <w:jc w:val="both"/>
        <w:rPr>
          <w:rtl/>
        </w:rPr>
      </w:pPr>
      <w:r>
        <w:rPr>
          <w:rFonts w:hint="cs"/>
          <w:rtl/>
        </w:rPr>
        <w:t>ב"כ הנאשם 3 הגישה דו"ח סוציאלי וכן מכתב מאת יועצות בית הספר, בנוגע לאליאס ומשפחתו (נ/3).</w:t>
      </w:r>
    </w:p>
    <w:p w14:paraId="49EC0C0A" w14:textId="77777777" w:rsidR="003D68A6" w:rsidRDefault="003D68A6">
      <w:pPr>
        <w:spacing w:line="360" w:lineRule="auto"/>
        <w:jc w:val="both"/>
        <w:rPr>
          <w:rtl/>
        </w:rPr>
      </w:pPr>
    </w:p>
    <w:p w14:paraId="7F96AB34" w14:textId="77777777" w:rsidR="003D68A6" w:rsidRDefault="008C3250">
      <w:pPr>
        <w:spacing w:line="360" w:lineRule="auto"/>
        <w:jc w:val="both"/>
        <w:rPr>
          <w:rtl/>
        </w:rPr>
      </w:pPr>
      <w:r>
        <w:rPr>
          <w:rFonts w:hint="cs"/>
          <w:rtl/>
        </w:rPr>
        <w:t xml:space="preserve">אפנה לראיות אלה בהמשך, לפי העניין והצורך. </w:t>
      </w:r>
    </w:p>
    <w:p w14:paraId="5232E659" w14:textId="77777777" w:rsidR="003D68A6" w:rsidRDefault="003D68A6">
      <w:pPr>
        <w:spacing w:line="360" w:lineRule="auto"/>
        <w:jc w:val="both"/>
        <w:rPr>
          <w:rtl/>
        </w:rPr>
      </w:pPr>
    </w:p>
    <w:p w14:paraId="05BBB2F0" w14:textId="77777777" w:rsidR="003D68A6" w:rsidRDefault="008C3250">
      <w:pPr>
        <w:spacing w:line="360" w:lineRule="auto"/>
        <w:jc w:val="both"/>
        <w:rPr>
          <w:b/>
          <w:bCs/>
          <w:u w:val="single"/>
          <w:rtl/>
        </w:rPr>
      </w:pPr>
      <w:r>
        <w:rPr>
          <w:rFonts w:hint="cs"/>
          <w:b/>
          <w:bCs/>
          <w:u w:val="single"/>
          <w:rtl/>
        </w:rPr>
        <w:t>טיעונים לעונש</w:t>
      </w:r>
    </w:p>
    <w:p w14:paraId="0CCC430F" w14:textId="77777777" w:rsidR="003D68A6" w:rsidRDefault="003D68A6">
      <w:pPr>
        <w:spacing w:line="360" w:lineRule="auto"/>
        <w:jc w:val="both"/>
        <w:rPr>
          <w:rtl/>
        </w:rPr>
      </w:pPr>
    </w:p>
    <w:p w14:paraId="13354DD3" w14:textId="77777777" w:rsidR="003D68A6" w:rsidRDefault="008C3250">
      <w:pPr>
        <w:spacing w:line="360" w:lineRule="auto"/>
        <w:jc w:val="both"/>
        <w:rPr>
          <w:rtl/>
        </w:rPr>
      </w:pPr>
      <w:r>
        <w:rPr>
          <w:rFonts w:hint="cs"/>
          <w:rtl/>
        </w:rPr>
        <w:t>4. ב"כ המאשימה, עוה"ד גב' תמר אניס, פרטה לפנינו את ההסכמות החלקיות שגובשו בהסדר הטיעון, נימקה אותן, וכן טענה בעניינו של כל נאשם, בגדרו של הסדר הטיעון.</w:t>
      </w:r>
    </w:p>
    <w:p w14:paraId="7EF7540B" w14:textId="77777777" w:rsidR="003D68A6" w:rsidRDefault="003D68A6">
      <w:pPr>
        <w:spacing w:line="360" w:lineRule="auto"/>
        <w:jc w:val="both"/>
        <w:rPr>
          <w:rtl/>
        </w:rPr>
      </w:pPr>
    </w:p>
    <w:p w14:paraId="71601345" w14:textId="77777777" w:rsidR="003D68A6" w:rsidRDefault="008C3250">
      <w:pPr>
        <w:spacing w:line="360" w:lineRule="auto"/>
        <w:jc w:val="both"/>
        <w:rPr>
          <w:rtl/>
        </w:rPr>
      </w:pPr>
      <w:r>
        <w:rPr>
          <w:rFonts w:hint="cs"/>
          <w:rtl/>
        </w:rPr>
        <w:t>לגבי ערן הסכימו הצדדים כי התביעה תטען להשית עליו עונש מאסר בפועל בן שמונה שנים מיום מעצרו ומאסר על תנאי, וההגנה תהא רשאית לטעון כרצונה.</w:t>
      </w:r>
    </w:p>
    <w:p w14:paraId="0DD01FDA" w14:textId="77777777" w:rsidR="003D68A6" w:rsidRDefault="008C3250">
      <w:pPr>
        <w:spacing w:line="360" w:lineRule="auto"/>
        <w:jc w:val="both"/>
        <w:rPr>
          <w:rtl/>
        </w:rPr>
      </w:pPr>
      <w:r>
        <w:rPr>
          <w:rFonts w:hint="cs"/>
          <w:rtl/>
        </w:rPr>
        <w:t>לגבי אבירם לא הושגה הסכמה והטיעון נותר פתוח.</w:t>
      </w:r>
    </w:p>
    <w:p w14:paraId="0462A353" w14:textId="77777777" w:rsidR="003D68A6" w:rsidRDefault="008C3250">
      <w:pPr>
        <w:spacing w:line="360" w:lineRule="auto"/>
        <w:jc w:val="both"/>
        <w:rPr>
          <w:rtl/>
        </w:rPr>
      </w:pPr>
      <w:r>
        <w:rPr>
          <w:rFonts w:hint="cs"/>
          <w:rtl/>
        </w:rPr>
        <w:t>לגבי אליאס הוסכם על מאסר בפועל בן ששה חודשים, שיכול וירוצה בעבודות שירות (בכפוף לחוו"ד הממונה על עבודות השירות) ומאסר על תנאי.</w:t>
      </w:r>
    </w:p>
    <w:p w14:paraId="5720524F" w14:textId="77777777" w:rsidR="003D68A6" w:rsidRDefault="008C3250">
      <w:pPr>
        <w:spacing w:line="360" w:lineRule="auto"/>
        <w:jc w:val="both"/>
        <w:rPr>
          <w:rtl/>
        </w:rPr>
      </w:pPr>
      <w:r>
        <w:rPr>
          <w:rFonts w:hint="cs"/>
          <w:rtl/>
        </w:rPr>
        <w:t>תנאי להסדר היה הפקדת פיצוי לנפגע בידי ערן ואבירם בסכום כולל של 20,000 ₪.</w:t>
      </w:r>
    </w:p>
    <w:p w14:paraId="0E029285" w14:textId="77777777" w:rsidR="003D68A6" w:rsidRDefault="008C3250">
      <w:pPr>
        <w:spacing w:line="360" w:lineRule="auto"/>
        <w:jc w:val="both"/>
        <w:rPr>
          <w:rtl/>
        </w:rPr>
      </w:pPr>
      <w:r>
        <w:rPr>
          <w:rFonts w:hint="cs"/>
          <w:rtl/>
        </w:rPr>
        <w:t>כן הוסכם על חילוטו של הקטנוע.</w:t>
      </w:r>
    </w:p>
    <w:p w14:paraId="13BBA86C" w14:textId="77777777" w:rsidR="003D68A6" w:rsidRDefault="003D68A6">
      <w:pPr>
        <w:spacing w:line="360" w:lineRule="auto"/>
        <w:jc w:val="both"/>
        <w:rPr>
          <w:rtl/>
        </w:rPr>
      </w:pPr>
    </w:p>
    <w:p w14:paraId="2139023D" w14:textId="77777777" w:rsidR="003D68A6" w:rsidRDefault="008C3250">
      <w:pPr>
        <w:spacing w:line="360" w:lineRule="auto"/>
        <w:jc w:val="both"/>
        <w:rPr>
          <w:rtl/>
        </w:rPr>
      </w:pPr>
      <w:r>
        <w:rPr>
          <w:rFonts w:hint="cs"/>
          <w:rtl/>
        </w:rPr>
        <w:t>בהיבט הכללי נימקה ב"כ המאשימה כי מעבר לשיקולים של ההודאה, נטילת האחריות והחיסכון בזמן שיפוטי, ישנה, בנסיבות העניין, חשיבות מיוחדת ל"סגירת המעגל" תוך נטילת אחריות, מתוך תקווה שהדבר ימנע את המשך הסכסוך, ובכך יושג גם אינטרס ציבורי חשוב. עוד הודגש, כי סיום התיק ללא שמיעת הוכחות ימנע את הסיכון בחשיפת שיטות העבודה של המשטרה. כן נלקח בחשבון מצבו של הנפגע, שנותר ללא נזק גופני ממשי בעקבות האירוע.</w:t>
      </w:r>
    </w:p>
    <w:p w14:paraId="2317B12F" w14:textId="77777777" w:rsidR="003D68A6" w:rsidRDefault="003D68A6">
      <w:pPr>
        <w:spacing w:line="360" w:lineRule="auto"/>
        <w:jc w:val="both"/>
        <w:rPr>
          <w:rtl/>
        </w:rPr>
      </w:pPr>
    </w:p>
    <w:p w14:paraId="5EF51570" w14:textId="77777777" w:rsidR="003D68A6" w:rsidRDefault="008C3250">
      <w:pPr>
        <w:spacing w:line="360" w:lineRule="auto"/>
        <w:jc w:val="both"/>
        <w:rPr>
          <w:rtl/>
        </w:rPr>
      </w:pPr>
      <w:r>
        <w:rPr>
          <w:rFonts w:hint="cs"/>
          <w:rtl/>
        </w:rPr>
        <w:t xml:space="preserve">ב"כ המאשימה הגישה אסופת פסיקה לעיוננו. </w:t>
      </w:r>
    </w:p>
    <w:p w14:paraId="7B4460D2" w14:textId="77777777" w:rsidR="003D68A6" w:rsidRDefault="008C3250">
      <w:pPr>
        <w:spacing w:line="360" w:lineRule="auto"/>
        <w:jc w:val="both"/>
        <w:rPr>
          <w:rtl/>
        </w:rPr>
      </w:pPr>
      <w:r>
        <w:rPr>
          <w:rFonts w:hint="cs"/>
          <w:rtl/>
        </w:rPr>
        <w:t>בהיבט הפרטני, היא עתרה להטיל על ערן עונש מאסר של שמונה שנים, תקרת הסדר הטיעון, תוך הדגשת העובדה שעונש זה עולה בקנה אחד עם הפסיקה, עקרון ההלימה, שיקולי הסדר הטיעון, עברו הפלילי של ערן וחומרתו של האירוע.</w:t>
      </w:r>
    </w:p>
    <w:p w14:paraId="09435127" w14:textId="77777777" w:rsidR="003D68A6" w:rsidRDefault="008C3250">
      <w:pPr>
        <w:spacing w:line="360" w:lineRule="auto"/>
        <w:jc w:val="both"/>
        <w:rPr>
          <w:rtl/>
        </w:rPr>
      </w:pPr>
      <w:r>
        <w:rPr>
          <w:rFonts w:hint="cs"/>
          <w:rtl/>
        </w:rPr>
        <w:t>לגבי אבירם טענה ב"כ המאשימה למתחם של בין שלוש לחמש שנות מאסר; לטעמה, עונש של ארבע שנות מאסר, קרי מחצית מהעונש הראוי לערן, הולם את עבירת הסיוע שבה הורשע אבירם.</w:t>
      </w:r>
    </w:p>
    <w:p w14:paraId="768CF831" w14:textId="77777777" w:rsidR="003D68A6" w:rsidRDefault="008C3250">
      <w:pPr>
        <w:spacing w:line="360" w:lineRule="auto"/>
        <w:jc w:val="both"/>
        <w:rPr>
          <w:rtl/>
        </w:rPr>
      </w:pPr>
      <w:r>
        <w:rPr>
          <w:rFonts w:hint="cs"/>
          <w:rtl/>
        </w:rPr>
        <w:t>באשר לאליאס ביקשה ב"כ המאשימה לאשר את העונש המוסכם, בשים לב גם לחלקו המצומצם באירוע.</w:t>
      </w:r>
    </w:p>
    <w:p w14:paraId="191A6464" w14:textId="77777777" w:rsidR="003D68A6" w:rsidRDefault="003D68A6">
      <w:pPr>
        <w:spacing w:line="360" w:lineRule="auto"/>
        <w:jc w:val="both"/>
        <w:rPr>
          <w:rtl/>
        </w:rPr>
      </w:pPr>
    </w:p>
    <w:p w14:paraId="248A1C15" w14:textId="77777777" w:rsidR="003D68A6" w:rsidRDefault="008C3250">
      <w:pPr>
        <w:spacing w:line="360" w:lineRule="auto"/>
        <w:jc w:val="both"/>
        <w:rPr>
          <w:rtl/>
        </w:rPr>
      </w:pPr>
      <w:r>
        <w:rPr>
          <w:rFonts w:hint="cs"/>
          <w:rtl/>
        </w:rPr>
        <w:t>5. באי כוחם של ערן ואבירם הגישו אף הם לעיוננו פסיקה ואת הראיות שפורטו לעיל, והוסיפו את טיעוניהם.</w:t>
      </w:r>
    </w:p>
    <w:p w14:paraId="61641D9B" w14:textId="77777777" w:rsidR="003D68A6" w:rsidRDefault="008C3250">
      <w:pPr>
        <w:spacing w:line="360" w:lineRule="auto"/>
        <w:jc w:val="both"/>
        <w:rPr>
          <w:rtl/>
        </w:rPr>
      </w:pPr>
      <w:r>
        <w:rPr>
          <w:rFonts w:hint="cs"/>
          <w:rtl/>
        </w:rPr>
        <w:t>עו"ד גדי זילברשלג טען, כי שיקול הענישה האינדיבידואלית חייב להיות דומיננטי בנסיבות המקרה, כי הפסיקה שהגישה התביעה אינה רלוונטית, וכי העונשים שיוטלו על ערן ואבירם צריכים להיות פחותים מאלה שהתביעה טוענת להם. לטעמו, עונשו של אבירם אף צריך להיות קרוב יותר לזה של אליאס, בהיות שניהם חלק משרשרת המילוט. הסניגור סקר את הנסיבות האישיות והמשפחתיות של השניים, והציע שעל ערן יוטל מאסר בסדר גודל של כשנתיים וחצי, ואילו לגבי אבירם ניתן יהיה להסתפק בתקופת מעצרו, כשמונה חודשים.</w:t>
      </w:r>
    </w:p>
    <w:p w14:paraId="58D0A431" w14:textId="77777777" w:rsidR="003D68A6" w:rsidRDefault="008C3250">
      <w:pPr>
        <w:spacing w:line="360" w:lineRule="auto"/>
        <w:jc w:val="both"/>
        <w:rPr>
          <w:rtl/>
        </w:rPr>
      </w:pPr>
      <w:r>
        <w:rPr>
          <w:rFonts w:hint="cs"/>
          <w:rtl/>
        </w:rPr>
        <w:t>עיקר טיעונו של הסניגור התבסס על נ/2, ועל הטענה שהמתלונן הוא עבריין מסוכן, השייך לארגון פשיעה, שמתכנן לפגוע באחים או במי מהם, מצב אשר הוביל אותם לנקוט צעד של חוסר ברירה, של התגוננות.</w:t>
      </w:r>
    </w:p>
    <w:p w14:paraId="5737C052" w14:textId="77777777" w:rsidR="003D68A6" w:rsidRDefault="003D68A6">
      <w:pPr>
        <w:spacing w:line="360" w:lineRule="auto"/>
        <w:jc w:val="both"/>
        <w:rPr>
          <w:rtl/>
        </w:rPr>
      </w:pPr>
    </w:p>
    <w:p w14:paraId="10D9DF6F" w14:textId="77777777" w:rsidR="003D68A6" w:rsidRDefault="008C3250">
      <w:pPr>
        <w:spacing w:line="360" w:lineRule="auto"/>
        <w:jc w:val="both"/>
        <w:rPr>
          <w:rtl/>
        </w:rPr>
      </w:pPr>
      <w:r>
        <w:rPr>
          <w:rFonts w:hint="cs"/>
          <w:rtl/>
        </w:rPr>
        <w:t>עו"ד אלי כהן הוסיף, כי הפסיקה שהציגה התביעה מתייחסת למקרים של ניהול הוכחות, הפנה לפסיקה אחרת והדגיש את המשמעות הגדולה של לקיחת אחריות והבעת חרטה.</w:t>
      </w:r>
    </w:p>
    <w:p w14:paraId="115D7068" w14:textId="77777777" w:rsidR="003D68A6" w:rsidRDefault="003D68A6">
      <w:pPr>
        <w:spacing w:line="360" w:lineRule="auto"/>
        <w:jc w:val="both"/>
        <w:rPr>
          <w:rtl/>
        </w:rPr>
      </w:pPr>
    </w:p>
    <w:p w14:paraId="48ADF968" w14:textId="77777777" w:rsidR="003D68A6" w:rsidRDefault="008C3250">
      <w:pPr>
        <w:spacing w:line="360" w:lineRule="auto"/>
        <w:jc w:val="both"/>
        <w:rPr>
          <w:rtl/>
        </w:rPr>
      </w:pPr>
      <w:r>
        <w:rPr>
          <w:rFonts w:hint="cs"/>
          <w:rtl/>
        </w:rPr>
        <w:t>באת כוחו של אליאס, עוה"ד אורית חיון, הדגישה את הנסיבות האישיות והמשפחתיות שלו, וביקשה לכבד את ההסדר בעניינו. היא ציינה, כי לא מדובר למעשה אך בששה חודשי עבודות שירות, שכן אליאס כבר שהה במעצר חמישה חודשים וחצי, תקופה שמבוקש כעת שלא לקחתה בחשבון תקופת המאסר (על מנת לאפשר כמובן ריצוי בדרך של עבודות שירות).</w:t>
      </w:r>
    </w:p>
    <w:p w14:paraId="5545EA64" w14:textId="77777777" w:rsidR="003D68A6" w:rsidRDefault="003D68A6">
      <w:pPr>
        <w:spacing w:line="360" w:lineRule="auto"/>
        <w:jc w:val="both"/>
        <w:rPr>
          <w:rtl/>
        </w:rPr>
      </w:pPr>
    </w:p>
    <w:p w14:paraId="763DCF79" w14:textId="77777777" w:rsidR="003D68A6" w:rsidRDefault="008C3250">
      <w:pPr>
        <w:spacing w:line="360" w:lineRule="auto"/>
        <w:jc w:val="both"/>
        <w:rPr>
          <w:rtl/>
        </w:rPr>
      </w:pPr>
      <w:r>
        <w:rPr>
          <w:rFonts w:hint="cs"/>
          <w:rtl/>
        </w:rPr>
        <w:t xml:space="preserve">6. ערן הביע צער על מעשיו, אך תיאר את מצב חוסר הברירה שאליו נקלע, לאור אזהרת המשטרה אותו ואת משפחתו, שלפיה מתכננים לפגוע בהם. אבירם תיאר את בעיותיו הרפואיות, מחלותיו ונכותו, וציין את אזלת ידה של המשטרה בהגנה עליהם מפני אותה משפחת פשע. אליאס הצטרף לדברי באת כוחו והוסיף כי רצה לברוח מהצרות. </w:t>
      </w:r>
    </w:p>
    <w:p w14:paraId="3C4D4A4C" w14:textId="77777777" w:rsidR="003D68A6" w:rsidRDefault="003D68A6">
      <w:pPr>
        <w:spacing w:line="360" w:lineRule="auto"/>
        <w:jc w:val="both"/>
        <w:rPr>
          <w:rtl/>
        </w:rPr>
      </w:pPr>
    </w:p>
    <w:p w14:paraId="7C280A77" w14:textId="77777777" w:rsidR="003D68A6" w:rsidRDefault="008C3250">
      <w:pPr>
        <w:spacing w:line="360" w:lineRule="auto"/>
        <w:jc w:val="both"/>
        <w:rPr>
          <w:b/>
          <w:bCs/>
          <w:u w:val="single"/>
          <w:rtl/>
        </w:rPr>
      </w:pPr>
      <w:r>
        <w:rPr>
          <w:rFonts w:hint="cs"/>
          <w:b/>
          <w:bCs/>
          <w:u w:val="single"/>
          <w:rtl/>
        </w:rPr>
        <w:t>דיון וגזירת הדין</w:t>
      </w:r>
    </w:p>
    <w:p w14:paraId="272674AA" w14:textId="77777777" w:rsidR="003D68A6" w:rsidRDefault="003D68A6">
      <w:pPr>
        <w:spacing w:line="360" w:lineRule="auto"/>
        <w:jc w:val="both"/>
        <w:rPr>
          <w:rtl/>
        </w:rPr>
      </w:pPr>
    </w:p>
    <w:p w14:paraId="095653EF" w14:textId="77777777" w:rsidR="003D68A6" w:rsidRDefault="008C3250">
      <w:pPr>
        <w:spacing w:line="360" w:lineRule="auto"/>
        <w:jc w:val="both"/>
        <w:rPr>
          <w:rtl/>
        </w:rPr>
      </w:pPr>
      <w:r>
        <w:rPr>
          <w:rFonts w:hint="cs"/>
          <w:rtl/>
        </w:rPr>
        <w:t>7. שעה שהמאשימה והנאשם מגיעים להסדר טיעון, הכולל גם הסכמות לעניין העונש או טווח הענישה שיובא לפני בית המשפט, ראוי להבהיר את ההבחנה המושגית בין "טווח ענישה מוסכם" (מלא או חלקי), במסגרתו של הסדר הטיעון, לבין "מתחם ענישה", בגדרו של תיקון 113 לחוק.</w:t>
      </w:r>
    </w:p>
    <w:p w14:paraId="4FDEB7D0" w14:textId="77777777" w:rsidR="003D68A6" w:rsidRDefault="003D68A6">
      <w:pPr>
        <w:spacing w:line="360" w:lineRule="auto"/>
        <w:jc w:val="both"/>
        <w:rPr>
          <w:rtl/>
        </w:rPr>
      </w:pPr>
    </w:p>
    <w:p w14:paraId="2E3E850C" w14:textId="77777777" w:rsidR="003D68A6" w:rsidRDefault="008C3250">
      <w:pPr>
        <w:spacing w:line="360" w:lineRule="auto"/>
        <w:jc w:val="both"/>
        <w:rPr>
          <w:rtl/>
        </w:rPr>
      </w:pPr>
      <w:r>
        <w:rPr>
          <w:rFonts w:hint="cs"/>
          <w:rtl/>
        </w:rPr>
        <w:t>בית המשפט העליון הבהיר זאת לאחרונה ב</w:t>
      </w:r>
      <w:hyperlink r:id="rId30" w:history="1">
        <w:r w:rsidRPr="008C3250">
          <w:rPr>
            <w:color w:val="0000FF"/>
            <w:u w:val="single"/>
            <w:rtl/>
          </w:rPr>
          <w:t>ע"פ 512/13</w:t>
        </w:r>
      </w:hyperlink>
      <w:r>
        <w:rPr>
          <w:rFonts w:hint="cs"/>
          <w:rtl/>
        </w:rPr>
        <w:t xml:space="preserve"> </w:t>
      </w:r>
      <w:r>
        <w:rPr>
          <w:rFonts w:hint="cs"/>
          <w:b/>
          <w:bCs/>
          <w:rtl/>
        </w:rPr>
        <w:t xml:space="preserve">פלוני נ' מדינת ישראל </w:t>
      </w:r>
      <w:r>
        <w:rPr>
          <w:rFonts w:hint="cs"/>
          <w:rtl/>
        </w:rPr>
        <w:t xml:space="preserve">(4.12.13). נפסק, כי תיקון 113 לא קבע במפורש מהו היחס הראוי שבין מתחם הענישה לבין הסדרי טיעון (ובכלל זה טווח הענישה, ככל שהוא כלול במסגרתו), שכן נושא זה הושאר מחוץ לתיקון 113 על מנת שילובן ויגובש במסגרת החוק שיעסוק בהסדרי טיעון. </w:t>
      </w:r>
    </w:p>
    <w:p w14:paraId="2F82F913" w14:textId="77777777" w:rsidR="003D68A6" w:rsidRDefault="008C3250">
      <w:pPr>
        <w:spacing w:line="360" w:lineRule="auto"/>
        <w:jc w:val="both"/>
        <w:rPr>
          <w:rtl/>
        </w:rPr>
      </w:pPr>
      <w:r>
        <w:rPr>
          <w:rFonts w:hint="cs"/>
          <w:rtl/>
        </w:rPr>
        <w:t>עם זאת נקבע, כי:</w:t>
      </w:r>
    </w:p>
    <w:p w14:paraId="4E9A0DF7" w14:textId="77777777" w:rsidR="003D68A6" w:rsidRDefault="008C3250">
      <w:pPr>
        <w:spacing w:line="360" w:lineRule="auto"/>
        <w:jc w:val="both"/>
        <w:rPr>
          <w:rtl/>
        </w:rPr>
      </w:pPr>
      <w:r>
        <w:rPr>
          <w:rFonts w:hint="cs"/>
          <w:rtl/>
        </w:rPr>
        <w:t>"</w:t>
      </w:r>
      <w:r>
        <w:rPr>
          <w:rFonts w:hint="cs"/>
          <w:b/>
          <w:bCs/>
          <w:rtl/>
        </w:rPr>
        <w:t xml:space="preserve">מתחם הענישה משקף כאמור קביעה נורמטיבית של בית המשפט באשר לאיזון בין החומרה המושגית של העבירה, החומרה הקונקרטית של העבירה והענישה המקובלת במקרים דומים... עם זאת – אין הוא מביא בחשבון את האינטרסים שצויינו לעיל, הבאים בגדרי הסדרי טיעון. ואכן, משאבי התביעה, רצונו של הנאשם בסיום ההליך בהקדם האפשרי וחששו של נאשם מעונש חמור הינם שיקולים משמעותיים, המשפיעים על טווח הענישה בהסדרי טיעון, אך אין הם חלק מקביעת מתחם הענישה ככזה. ב- </w:t>
      </w:r>
      <w:hyperlink r:id="rId31" w:history="1">
        <w:r w:rsidRPr="008C3250">
          <w:rPr>
            <w:b/>
            <w:bCs/>
            <w:color w:val="0000FF"/>
            <w:u w:val="single"/>
            <w:rtl/>
          </w:rPr>
          <w:t>ע"פ 1958/98 פלוני נ' מדינת ישראל, פ"ד נז</w:t>
        </w:r>
      </w:hyperlink>
      <w:r>
        <w:rPr>
          <w:rFonts w:hint="cs"/>
          <w:b/>
          <w:bCs/>
          <w:rtl/>
        </w:rPr>
        <w:t>(1) 577 (2002), שנפסק עוד קודם לתיקון 113 בהרכב מורחב (להלן – הלכת פלוני) בית המשפט פסק כי גם אם העונש שעליו הוסכם בהסדר הטיעון איננו ראוי לפי מבחן ההלימה – יש עדיין לכבד את ההסדר, אם התביעה ערכה איזון מתאים בין ההקלה שניתנה לנאשם לבין התועלת הציבורית שהיתה כרוכה בעריכת ההסדר... במסגרת הנתחמת על פי הלכת פלוני, יש להביא בחשבון גם שיקולים שאינם רלבנטיים עתה בקביעת מתחם הענישה ככזה, בהיותם מוגדרים על פי תיקון 113 'כנסיבות שאינן קשורות בביצוע העבירות'... לפיכך עולה השאלה האם הלכת פלוני עומדת כיום בסתירה לתיקון 113. נראה שהתשובה לכך – שלילית</w:t>
      </w:r>
      <w:r>
        <w:rPr>
          <w:rFonts w:hint="cs"/>
          <w:rtl/>
        </w:rPr>
        <w:t>" (פסקה 16 לפסק הדין).</w:t>
      </w:r>
    </w:p>
    <w:p w14:paraId="0716A230" w14:textId="77777777" w:rsidR="003D68A6" w:rsidRDefault="003D68A6">
      <w:pPr>
        <w:spacing w:line="360" w:lineRule="auto"/>
        <w:jc w:val="both"/>
        <w:rPr>
          <w:rtl/>
        </w:rPr>
      </w:pPr>
    </w:p>
    <w:p w14:paraId="0A58BCAB" w14:textId="77777777" w:rsidR="003D68A6" w:rsidRDefault="008C3250">
      <w:pPr>
        <w:spacing w:line="360" w:lineRule="auto"/>
        <w:jc w:val="both"/>
        <w:rPr>
          <w:rtl/>
        </w:rPr>
      </w:pPr>
      <w:r>
        <w:rPr>
          <w:rFonts w:hint="cs"/>
          <w:rtl/>
        </w:rPr>
        <w:t>מדברי בית המשפט העליון (פסקה 19 לפסק הדין) ניתן להבין, כי בית המשפט מצווה כיום לפעול למעשה במתווה הבא:</w:t>
      </w:r>
    </w:p>
    <w:p w14:paraId="094AAC90" w14:textId="77777777" w:rsidR="003D68A6" w:rsidRDefault="008C3250">
      <w:pPr>
        <w:spacing w:line="360" w:lineRule="auto"/>
        <w:jc w:val="both"/>
        <w:rPr>
          <w:rtl/>
        </w:rPr>
      </w:pPr>
      <w:r>
        <w:rPr>
          <w:rFonts w:hint="cs"/>
          <w:rtl/>
        </w:rPr>
        <w:t xml:space="preserve">א. לקבוע הן את מתחם הענישה ואת העונש בתוך המתחם שהיה נקבע </w:t>
      </w:r>
      <w:r>
        <w:rPr>
          <w:rFonts w:hint="cs"/>
          <w:u w:val="single"/>
          <w:rtl/>
        </w:rPr>
        <w:t>אלמלא</w:t>
      </w:r>
      <w:r>
        <w:rPr>
          <w:rFonts w:hint="cs"/>
          <w:rtl/>
        </w:rPr>
        <w:t xml:space="preserve"> הסדר הטיעון;</w:t>
      </w:r>
    </w:p>
    <w:p w14:paraId="10CACBE2" w14:textId="77777777" w:rsidR="003D68A6" w:rsidRDefault="008C3250">
      <w:pPr>
        <w:spacing w:line="360" w:lineRule="auto"/>
        <w:jc w:val="both"/>
        <w:rPr>
          <w:rtl/>
        </w:rPr>
      </w:pPr>
      <w:r>
        <w:rPr>
          <w:rFonts w:hint="cs"/>
          <w:rtl/>
        </w:rPr>
        <w:t>ב. להשוות את העונש המוסכם לזה שצפוי היה להיות מוטל על נאשם ללא ההסדר, כדי לבחון מה מידת ההקלה שהנאשם זכה לה, והאם הקלה זו עומדת במבחן האיזון (שבין ההקלה לנאשם לתועלת הציבורית בעריכת ההסדר);</w:t>
      </w:r>
    </w:p>
    <w:p w14:paraId="4EFC6016" w14:textId="77777777" w:rsidR="003D68A6" w:rsidRDefault="008C3250">
      <w:pPr>
        <w:spacing w:line="360" w:lineRule="auto"/>
        <w:jc w:val="both"/>
        <w:rPr>
          <w:rtl/>
        </w:rPr>
      </w:pPr>
      <w:r>
        <w:rPr>
          <w:rFonts w:hint="cs"/>
          <w:rtl/>
        </w:rPr>
        <w:t>ג. אם מדובר בטווח ענישה, וזה נמצא מאוזן וסביר, יקבע בית המשפט את העונש המדויק בתוך הטווח בהתחשב בכל שיקולי הענישה, כמו גם בהסדר הטיעון ובאינטרס הציבורי שעמד בבסיס עריכתו.</w:t>
      </w:r>
    </w:p>
    <w:p w14:paraId="42FF14AB" w14:textId="77777777" w:rsidR="003D68A6" w:rsidRDefault="003D68A6">
      <w:pPr>
        <w:spacing w:line="360" w:lineRule="auto"/>
        <w:jc w:val="both"/>
        <w:rPr>
          <w:rtl/>
        </w:rPr>
      </w:pPr>
    </w:p>
    <w:p w14:paraId="4EC8B472" w14:textId="77777777" w:rsidR="003D68A6" w:rsidRDefault="008C3250">
      <w:pPr>
        <w:spacing w:line="360" w:lineRule="auto"/>
        <w:jc w:val="both"/>
        <w:rPr>
          <w:rtl/>
        </w:rPr>
      </w:pPr>
      <w:r>
        <w:rPr>
          <w:rFonts w:hint="cs"/>
          <w:rtl/>
        </w:rPr>
        <w:t>ואכן, בימים אלה שב ופסק בית המשפט העליון ב</w:t>
      </w:r>
      <w:hyperlink r:id="rId32" w:history="1">
        <w:r w:rsidRPr="008C3250">
          <w:rPr>
            <w:color w:val="0000FF"/>
            <w:u w:val="single"/>
            <w:rtl/>
          </w:rPr>
          <w:t>ע"פ 3856/13</w:t>
        </w:r>
      </w:hyperlink>
      <w:r>
        <w:rPr>
          <w:rFonts w:hint="cs"/>
          <w:rtl/>
        </w:rPr>
        <w:t xml:space="preserve"> </w:t>
      </w:r>
      <w:r>
        <w:rPr>
          <w:rFonts w:hint="cs"/>
          <w:b/>
          <w:bCs/>
          <w:rtl/>
        </w:rPr>
        <w:t xml:space="preserve">גוני נ' מדינת ישראל </w:t>
      </w:r>
      <w:r>
        <w:rPr>
          <w:rFonts w:hint="cs"/>
          <w:rtl/>
        </w:rPr>
        <w:t>(3.2.14), באופן חד-משמעי, כי:</w:t>
      </w:r>
    </w:p>
    <w:p w14:paraId="04BF4878" w14:textId="77777777" w:rsidR="003D68A6" w:rsidRDefault="008C3250">
      <w:pPr>
        <w:spacing w:line="360" w:lineRule="auto"/>
        <w:jc w:val="both"/>
        <w:rPr>
          <w:rtl/>
        </w:rPr>
      </w:pPr>
      <w:r>
        <w:rPr>
          <w:rFonts w:hint="cs"/>
          <w:b/>
          <w:bCs/>
          <w:rtl/>
        </w:rPr>
        <w:t>"... קיומו של הסדר טיעון המתייחס לעונשו של הנאשם, בין אם קובע טווח ענישה ובין אם עונש קונקרטי, אינו מבטל את תחולת ההוראות שנקבעו במסגרת התיקון... התיקון אינו מוציא במפורש, לעניין תחולת אמות מידה אלו, מצב בו ערכו הצדדים הסדר טיעון לעניין העונש... אין בו [בתיקון] לשנות מהמדיניות המשפטית שהייתה נהוגה ערב כניסתו לתוקף, לפיה בית המשפט אינו כבול לעונש עליו הסכימו הצדדים במסגרת הסדר טיעון, ועליו לבוחנו בהתאם לאמות המידה המקובלות, כאשר אליהן יתווספו, ואף יקבלו מקום מרכזי, השיקולים המתחייבים מקיומו של הסדר טיעון... על פי אמות מידה אלו יש לבחון את הסדר הטיעון בין הצדדים לעניין העונש, זאת לצד הכלל המצמצם התערבות של בית המשפט בהסדר כאמור"</w:t>
      </w:r>
      <w:r>
        <w:rPr>
          <w:rFonts w:hint="cs"/>
          <w:rtl/>
        </w:rPr>
        <w:t xml:space="preserve"> (פסקה 12 לפסק הדין).</w:t>
      </w:r>
    </w:p>
    <w:p w14:paraId="394BC8E9" w14:textId="77777777" w:rsidR="003D68A6" w:rsidRDefault="003D68A6">
      <w:pPr>
        <w:spacing w:line="360" w:lineRule="auto"/>
        <w:jc w:val="both"/>
        <w:rPr>
          <w:rtl/>
        </w:rPr>
      </w:pPr>
    </w:p>
    <w:p w14:paraId="2B6757A8" w14:textId="77777777" w:rsidR="003D68A6" w:rsidRDefault="008C3250">
      <w:pPr>
        <w:spacing w:line="360" w:lineRule="auto"/>
        <w:jc w:val="both"/>
        <w:rPr>
          <w:rtl/>
        </w:rPr>
      </w:pPr>
      <w:r>
        <w:rPr>
          <w:rFonts w:hint="cs"/>
          <w:rtl/>
        </w:rPr>
        <w:t xml:space="preserve">אעיר, כי המתווה רלוונטי רק כאשר הסדר הטיעון כולל רכיב של הסכמה עונשית; במקרה שבו מדובר בהסדר שכולל אך הסכמה על נוסח כתב האישום ועל סעיפי האישום, ברור שיש לפעול לפי המתווה ה"רגיל" של תיקון 113. </w:t>
      </w:r>
    </w:p>
    <w:p w14:paraId="369A86AC" w14:textId="77777777" w:rsidR="003D68A6" w:rsidRDefault="003D68A6">
      <w:pPr>
        <w:spacing w:line="360" w:lineRule="auto"/>
        <w:jc w:val="both"/>
        <w:rPr>
          <w:rtl/>
        </w:rPr>
      </w:pPr>
    </w:p>
    <w:p w14:paraId="612D48A1" w14:textId="77777777" w:rsidR="003D68A6" w:rsidRDefault="008C3250">
      <w:pPr>
        <w:spacing w:line="360" w:lineRule="auto"/>
        <w:jc w:val="both"/>
        <w:rPr>
          <w:rtl/>
        </w:rPr>
      </w:pPr>
      <w:r>
        <w:rPr>
          <w:rFonts w:hint="cs"/>
          <w:rtl/>
        </w:rPr>
        <w:t xml:space="preserve">ויודגש – התביעה היא זו שמגבשת את כתב האישום, על העובדות המפורטות בו ועל סעיפי האישום הנגזרים, לדעת התביעה, מעובדות אלה. אותו חלק הסכמי בהסדר הטיעון, שבמסגרתו מתוקן כתב אישום, כך שיכלול סעיפי עבירה פחותים בחומרתם מאלה שנכללו בכתב האישום המקורי, אינו מסור לביקורתו ולאישורו של בית המשפט הדן בתיק. תפקידה של ערכאה זו מתמצה בבדיקת סבירותו של הרכיב </w:t>
      </w:r>
      <w:r>
        <w:rPr>
          <w:rFonts w:hint="cs"/>
          <w:u w:val="single"/>
          <w:rtl/>
        </w:rPr>
        <w:t>העונשי</w:t>
      </w:r>
      <w:r>
        <w:rPr>
          <w:rFonts w:hint="cs"/>
          <w:rtl/>
        </w:rPr>
        <w:t xml:space="preserve"> המוסכם בהסדר הטיעון, ככל שקיים כזה, אל מול סעיפי האישום המפורטים בכתב האישום המתוקן. מכאן, כי כעיקרון, </w:t>
      </w:r>
      <w:r>
        <w:rPr>
          <w:rFonts w:hint="cs"/>
          <w:u w:val="single"/>
          <w:rtl/>
        </w:rPr>
        <w:t>מתן ההקלה לנאשם על דרך של שינוי סעיפי האישום (שמטבע הדברים טומנת בחובה הקלה אינהרנטית בעונש), הוא פררוגטיבה של התביעה</w:t>
      </w:r>
      <w:r>
        <w:rPr>
          <w:rFonts w:hint="cs"/>
          <w:rtl/>
        </w:rPr>
        <w:t xml:space="preserve">. </w:t>
      </w:r>
    </w:p>
    <w:p w14:paraId="214821A8" w14:textId="77777777" w:rsidR="003D68A6" w:rsidRDefault="003D68A6">
      <w:pPr>
        <w:spacing w:line="360" w:lineRule="auto"/>
        <w:jc w:val="both"/>
        <w:rPr>
          <w:rtl/>
        </w:rPr>
      </w:pPr>
    </w:p>
    <w:p w14:paraId="673FE359" w14:textId="77777777" w:rsidR="003D68A6" w:rsidRDefault="008C3250">
      <w:pPr>
        <w:spacing w:line="360" w:lineRule="auto"/>
        <w:jc w:val="both"/>
        <w:rPr>
          <w:rtl/>
        </w:rPr>
      </w:pPr>
      <w:r>
        <w:rPr>
          <w:rFonts w:hint="cs"/>
          <w:rtl/>
        </w:rPr>
        <w:t xml:space="preserve">8. אפנה אפוא לשלב הראשון, של קביעת העונש המתאים לפי הוראות תיקון 113. </w:t>
      </w:r>
    </w:p>
    <w:p w14:paraId="1901CBD0" w14:textId="77777777" w:rsidR="003D68A6" w:rsidRDefault="008C3250">
      <w:pPr>
        <w:spacing w:line="360" w:lineRule="auto"/>
        <w:jc w:val="both"/>
        <w:rPr>
          <w:rtl/>
        </w:rPr>
      </w:pPr>
      <w:r>
        <w:rPr>
          <w:rFonts w:hint="cs"/>
          <w:rtl/>
        </w:rPr>
        <w:t>בנסיבותיו של מקרה זה מדובר לטעמי באירוע אחד (</w:t>
      </w:r>
      <w:hyperlink r:id="rId33" w:history="1">
        <w:r w:rsidR="0021525A" w:rsidRPr="0021525A">
          <w:rPr>
            <w:color w:val="0000FF"/>
            <w:u w:val="single"/>
            <w:rtl/>
          </w:rPr>
          <w:t>סעיף 40יג(א)</w:t>
        </w:r>
      </w:hyperlink>
      <w:r>
        <w:rPr>
          <w:rFonts w:hint="cs"/>
          <w:rtl/>
        </w:rPr>
        <w:t xml:space="preserve"> לחוק), הגם שבוצעו בו, על ידי ערן, שתי עבירות (חבלה בכוונה מחמירה ונשיאת נשק).</w:t>
      </w:r>
    </w:p>
    <w:p w14:paraId="74F4B56A" w14:textId="77777777" w:rsidR="003D68A6" w:rsidRDefault="003D68A6">
      <w:pPr>
        <w:spacing w:line="360" w:lineRule="auto"/>
        <w:jc w:val="both"/>
        <w:rPr>
          <w:rtl/>
        </w:rPr>
      </w:pPr>
    </w:p>
    <w:p w14:paraId="6AE08EF4" w14:textId="77777777" w:rsidR="003D68A6" w:rsidRDefault="008C3250">
      <w:pPr>
        <w:spacing w:line="360" w:lineRule="auto"/>
        <w:jc w:val="both"/>
        <w:rPr>
          <w:rtl/>
        </w:rPr>
      </w:pPr>
      <w:r>
        <w:rPr>
          <w:rFonts w:hint="cs"/>
          <w:rtl/>
        </w:rPr>
        <w:t xml:space="preserve">לפי התיקון האמור, בעת </w:t>
      </w:r>
      <w:r>
        <w:rPr>
          <w:rFonts w:hint="cs"/>
          <w:b/>
          <w:bCs/>
          <w:rtl/>
        </w:rPr>
        <w:t>קביעת מתחם העונש ההולם</w:t>
      </w:r>
      <w:r>
        <w:rPr>
          <w:rFonts w:hint="cs"/>
          <w:rtl/>
        </w:rPr>
        <w:t xml:space="preserve">, בהתאם לעקרון ההלימה, יש להתחשב בערך החברתי שנפגע, במידת הפגיעה בו, במדיניות הענישה הנוהגת ובנסיבות הקשורות בביצוע העבירה. ויודגש: אין לזהות את מתחם העונש ההולם רק עם מדיניות הענישה הנוהגת, שכן מדיניות זו מהווה אך שיקול אחד בעת קביעת המתחם (ראו, לאחרונה: </w:t>
      </w:r>
      <w:hyperlink r:id="rId34" w:history="1">
        <w:r w:rsidRPr="008C3250">
          <w:rPr>
            <w:color w:val="0000FF"/>
            <w:u w:val="single"/>
            <w:rtl/>
          </w:rPr>
          <w:t>ע"פ 200/13</w:t>
        </w:r>
      </w:hyperlink>
      <w:r>
        <w:rPr>
          <w:rFonts w:hint="cs"/>
          <w:rtl/>
        </w:rPr>
        <w:t xml:space="preserve"> </w:t>
      </w:r>
      <w:r>
        <w:rPr>
          <w:rFonts w:hint="cs"/>
          <w:b/>
          <w:bCs/>
          <w:rtl/>
        </w:rPr>
        <w:t xml:space="preserve">ברמן נ' מדינת ישראל </w:t>
      </w:r>
      <w:r>
        <w:rPr>
          <w:rFonts w:hint="cs"/>
          <w:rtl/>
        </w:rPr>
        <w:t>(5.2.14)).</w:t>
      </w:r>
    </w:p>
    <w:p w14:paraId="43D912C3" w14:textId="77777777" w:rsidR="003D68A6" w:rsidRDefault="003D68A6">
      <w:pPr>
        <w:spacing w:line="360" w:lineRule="auto"/>
        <w:jc w:val="both"/>
        <w:rPr>
          <w:rtl/>
        </w:rPr>
      </w:pPr>
    </w:p>
    <w:p w14:paraId="79B1A0DF" w14:textId="77777777" w:rsidR="003D68A6" w:rsidRDefault="008C3250">
      <w:pPr>
        <w:spacing w:line="360" w:lineRule="auto"/>
        <w:jc w:val="both"/>
        <w:rPr>
          <w:rtl/>
        </w:rPr>
      </w:pPr>
      <w:r>
        <w:rPr>
          <w:rFonts w:hint="cs"/>
          <w:rtl/>
        </w:rPr>
        <w:t xml:space="preserve">9. במקרה דנן, </w:t>
      </w:r>
      <w:r>
        <w:rPr>
          <w:rFonts w:hint="cs"/>
          <w:u w:val="single"/>
          <w:rtl/>
        </w:rPr>
        <w:t>הערך החברתי אשר נפגע כתוצאה מהעבירה</w:t>
      </w:r>
      <w:r>
        <w:rPr>
          <w:rFonts w:hint="cs"/>
          <w:rtl/>
        </w:rPr>
        <w:t xml:space="preserve"> של חבלה בכוונה מחמירה (כמו גם הסיוע לה) הוא הפגיעה בגופו, בנפשו ובכבודו של הפרט, ומהעבירה של נשיאת נשק (ללא היתר) הוא הפגיעה בסדרי חברה תקינה, אשר לא יכולה להשלים עם מצב של נשיאת נשק לא מבוקרת ולא מורשית כחוק. </w:t>
      </w:r>
    </w:p>
    <w:p w14:paraId="2E7589A4" w14:textId="77777777" w:rsidR="003D68A6" w:rsidRDefault="003D68A6">
      <w:pPr>
        <w:spacing w:line="360" w:lineRule="auto"/>
        <w:jc w:val="both"/>
        <w:rPr>
          <w:rtl/>
        </w:rPr>
      </w:pPr>
    </w:p>
    <w:p w14:paraId="6E2E3184" w14:textId="77777777" w:rsidR="003D68A6" w:rsidRDefault="008C3250">
      <w:pPr>
        <w:spacing w:line="360" w:lineRule="auto"/>
        <w:jc w:val="both"/>
        <w:rPr>
          <w:rtl/>
        </w:rPr>
      </w:pPr>
      <w:r>
        <w:rPr>
          <w:rFonts w:hint="cs"/>
          <w:rtl/>
        </w:rPr>
        <w:t xml:space="preserve">10. בחינת </w:t>
      </w:r>
      <w:r>
        <w:rPr>
          <w:rFonts w:hint="cs"/>
          <w:u w:val="single"/>
          <w:rtl/>
        </w:rPr>
        <w:t>מידת הפגיעה בערך המוגן</w:t>
      </w:r>
      <w:r>
        <w:rPr>
          <w:rFonts w:hint="cs"/>
          <w:rtl/>
        </w:rPr>
        <w:t xml:space="preserve"> מובילה למסקנה כי מדובר בפגיעה משמעותית, בעיקר בכל הנוגע לערן ולאבירם. גרימת חבלה לאדם בכוונה מחמירה, בוודאי תוך שימוש בנשק חם, פוגעת באוטונומיה של הנפגע ובזכותו החוקתית לשלמות גופו, כמו גם בשלום הציבור ככלל. </w:t>
      </w:r>
    </w:p>
    <w:p w14:paraId="7D2E8617" w14:textId="77777777" w:rsidR="003D68A6" w:rsidRDefault="003D68A6">
      <w:pPr>
        <w:spacing w:line="360" w:lineRule="auto"/>
        <w:jc w:val="both"/>
        <w:rPr>
          <w:rtl/>
        </w:rPr>
      </w:pPr>
    </w:p>
    <w:p w14:paraId="7CDB2B58" w14:textId="77777777" w:rsidR="003D68A6" w:rsidRDefault="008C3250">
      <w:pPr>
        <w:spacing w:line="360" w:lineRule="auto"/>
        <w:jc w:val="both"/>
        <w:rPr>
          <w:rtl/>
        </w:rPr>
      </w:pPr>
      <w:r>
        <w:rPr>
          <w:rFonts w:hint="cs"/>
          <w:rtl/>
        </w:rPr>
        <w:t xml:space="preserve">11. בחינת </w:t>
      </w:r>
      <w:r>
        <w:rPr>
          <w:rFonts w:hint="cs"/>
          <w:u w:val="single"/>
          <w:rtl/>
        </w:rPr>
        <w:t>מדיניות הענישה הנוהגת</w:t>
      </w:r>
      <w:r>
        <w:rPr>
          <w:rFonts w:hint="cs"/>
          <w:rtl/>
        </w:rPr>
        <w:t xml:space="preserve">: </w:t>
      </w:r>
    </w:p>
    <w:p w14:paraId="7F1ACD12" w14:textId="77777777" w:rsidR="003D68A6" w:rsidRDefault="003D68A6">
      <w:pPr>
        <w:spacing w:line="360" w:lineRule="auto"/>
        <w:jc w:val="both"/>
        <w:rPr>
          <w:rtl/>
        </w:rPr>
      </w:pPr>
    </w:p>
    <w:p w14:paraId="423A205A" w14:textId="77777777" w:rsidR="003D68A6" w:rsidRDefault="008C3250">
      <w:pPr>
        <w:spacing w:line="360" w:lineRule="auto"/>
        <w:jc w:val="both"/>
        <w:rPr>
          <w:rtl/>
        </w:rPr>
      </w:pPr>
      <w:r>
        <w:rPr>
          <w:rFonts w:hint="cs"/>
          <w:rtl/>
        </w:rPr>
        <w:t xml:space="preserve">עבירה של חבלה בכוונה מחמירה, לפי </w:t>
      </w:r>
      <w:hyperlink r:id="rId35" w:history="1">
        <w:r w:rsidR="0021525A" w:rsidRPr="0021525A">
          <w:rPr>
            <w:color w:val="0000FF"/>
            <w:u w:val="single"/>
            <w:rtl/>
          </w:rPr>
          <w:t>סעיף 329(א)(1)</w:t>
        </w:r>
      </w:hyperlink>
      <w:r>
        <w:rPr>
          <w:rFonts w:hint="cs"/>
          <w:rtl/>
        </w:rPr>
        <w:t>, תוך שימוש ונשיאת נשק (</w:t>
      </w:r>
      <w:hyperlink r:id="rId36" w:history="1">
        <w:r w:rsidR="0021525A" w:rsidRPr="0021525A">
          <w:rPr>
            <w:color w:val="0000FF"/>
            <w:u w:val="single"/>
            <w:rtl/>
          </w:rPr>
          <w:t>סעיף 144(ב)</w:t>
        </w:r>
      </w:hyperlink>
      <w:r>
        <w:rPr>
          <w:rFonts w:hint="cs"/>
          <w:rtl/>
        </w:rPr>
        <w:t xml:space="preserve"> רישא) – העונש המקסימלי על עבירה של חבלה בכוונה מחמירה הוא עשרים שנות מאסר, ועל נשיאת נשק – עשר שנים (כאמור, כאן מדובר באירוע אחד שיש לקבוע בגינו מתחם אחד, וגם אם לא כך הוא, היה מקום להטיל עונשים חופפים). מכאן, שהרף המקסימלי האפשרי עומד על עשרים שנות מאסר.</w:t>
      </w:r>
    </w:p>
    <w:p w14:paraId="4AF7FD6D" w14:textId="77777777" w:rsidR="003D68A6" w:rsidRDefault="008C3250">
      <w:pPr>
        <w:spacing w:line="360" w:lineRule="auto"/>
        <w:jc w:val="both"/>
        <w:rPr>
          <w:rtl/>
        </w:rPr>
      </w:pPr>
      <w:r>
        <w:rPr>
          <w:rFonts w:hint="cs"/>
          <w:rtl/>
        </w:rPr>
        <w:t>פסקי הדין פזורים על פני קשת רחבה של עונשים, חלקם קובעים פרקי מאסר קצרים יחסית, אחרים מטילים תקופות מאסר משמעותיות ביותר, הכל בהתאם לנסיבות הספציפיות.</w:t>
      </w:r>
    </w:p>
    <w:p w14:paraId="26C22B8C" w14:textId="77777777" w:rsidR="003D68A6" w:rsidRDefault="008C3250">
      <w:pPr>
        <w:spacing w:line="360" w:lineRule="auto"/>
        <w:jc w:val="both"/>
        <w:rPr>
          <w:rtl/>
        </w:rPr>
      </w:pPr>
      <w:r>
        <w:rPr>
          <w:rFonts w:hint="cs"/>
          <w:rtl/>
        </w:rPr>
        <w:t>אפנה למספר דוגמאות מפסיקת בית המשפט העליון:</w:t>
      </w:r>
    </w:p>
    <w:p w14:paraId="020D5163" w14:textId="77777777" w:rsidR="003D68A6" w:rsidRDefault="008C3250">
      <w:pPr>
        <w:spacing w:line="360" w:lineRule="auto"/>
        <w:jc w:val="both"/>
        <w:rPr>
          <w:rtl/>
        </w:rPr>
      </w:pPr>
      <w:r>
        <w:rPr>
          <w:rFonts w:hint="cs"/>
          <w:rtl/>
        </w:rPr>
        <w:t>ב</w:t>
      </w:r>
      <w:hyperlink r:id="rId37" w:history="1">
        <w:r w:rsidRPr="008C3250">
          <w:rPr>
            <w:color w:val="0000FF"/>
            <w:u w:val="single"/>
            <w:rtl/>
          </w:rPr>
          <w:t>ע"פ 3573/08</w:t>
        </w:r>
      </w:hyperlink>
      <w:r>
        <w:rPr>
          <w:rFonts w:hint="cs"/>
          <w:rtl/>
        </w:rPr>
        <w:t xml:space="preserve"> </w:t>
      </w:r>
      <w:r>
        <w:rPr>
          <w:rFonts w:hint="cs"/>
          <w:b/>
          <w:bCs/>
          <w:rtl/>
        </w:rPr>
        <w:t xml:space="preserve">עוואדרה נ' מדינת ישראל </w:t>
      </w:r>
      <w:r>
        <w:rPr>
          <w:rFonts w:hint="cs"/>
          <w:rtl/>
        </w:rPr>
        <w:t>(13.4.10) דובר בעבירות של חבלה בכוונה מחמירה, נשיאת נשק, ירי באזור מגורים והחזקת סכין; בשל סכסוך בין שתי משפחות תקפו המערערים את הנפגע במקל ובסכין; היריות שירו לעברו החטיאו; הנפגע נזקק לטיפול רפואי. המערערים הורשעו, לאחר ניהול הוכחות; על המבצע העיקרי נגזרו שמונה שנות מאסר.</w:t>
      </w:r>
    </w:p>
    <w:p w14:paraId="53F7E6EE" w14:textId="77777777" w:rsidR="003D68A6" w:rsidRDefault="008C3250">
      <w:pPr>
        <w:spacing w:line="360" w:lineRule="auto"/>
        <w:jc w:val="both"/>
        <w:rPr>
          <w:rtl/>
        </w:rPr>
      </w:pPr>
      <w:r>
        <w:rPr>
          <w:rFonts w:hint="cs"/>
          <w:rtl/>
        </w:rPr>
        <w:t>ב</w:t>
      </w:r>
      <w:hyperlink r:id="rId38" w:history="1">
        <w:r w:rsidRPr="008C3250">
          <w:rPr>
            <w:color w:val="0000FF"/>
            <w:u w:val="single"/>
            <w:rtl/>
          </w:rPr>
          <w:t>ע"פ 4697/11</w:t>
        </w:r>
      </w:hyperlink>
      <w:r>
        <w:rPr>
          <w:rFonts w:hint="cs"/>
          <w:rtl/>
        </w:rPr>
        <w:t xml:space="preserve"> </w:t>
      </w:r>
      <w:r>
        <w:rPr>
          <w:rFonts w:hint="cs"/>
          <w:b/>
          <w:bCs/>
          <w:rtl/>
        </w:rPr>
        <w:t xml:space="preserve">מדינת ישראל נ' אלצאנע </w:t>
      </w:r>
      <w:r>
        <w:rPr>
          <w:rFonts w:hint="cs"/>
          <w:rtl/>
        </w:rPr>
        <w:t>(24.3.13) הורשע המשיב, במסגרת הסדר טיעון, בעבירות של חבלה בכוונה מחמירה ונשיאת נשק, ובית המשפט המחוזי גזר עליו שמונה שנות מאסר. המדינה ערערה על קולת העונש. המשיב ירה באחותו (בעודה אוחזת בתינוקה) וגרם לה לפגיעות קשות. בית המשפט העליון, תוך התחשבות בכך שערכאת הערעור אינה נוהגת למצות את הדין, החמיר את העונש לתשע שנות מאסר.</w:t>
      </w:r>
    </w:p>
    <w:p w14:paraId="6863197E" w14:textId="77777777" w:rsidR="003D68A6" w:rsidRDefault="008C3250">
      <w:pPr>
        <w:spacing w:line="360" w:lineRule="auto"/>
        <w:jc w:val="both"/>
        <w:rPr>
          <w:rtl/>
        </w:rPr>
      </w:pPr>
      <w:r>
        <w:rPr>
          <w:rFonts w:hint="cs"/>
          <w:rtl/>
        </w:rPr>
        <w:t>ב</w:t>
      </w:r>
      <w:hyperlink r:id="rId39" w:history="1">
        <w:r w:rsidRPr="008C3250">
          <w:rPr>
            <w:color w:val="0000FF"/>
            <w:u w:val="single"/>
            <w:rtl/>
          </w:rPr>
          <w:t>ע"פ 6141/11</w:t>
        </w:r>
      </w:hyperlink>
      <w:r>
        <w:rPr>
          <w:rFonts w:hint="cs"/>
          <w:rtl/>
        </w:rPr>
        <w:t xml:space="preserve"> </w:t>
      </w:r>
      <w:r>
        <w:rPr>
          <w:rFonts w:hint="cs"/>
          <w:b/>
          <w:bCs/>
          <w:rtl/>
        </w:rPr>
        <w:t xml:space="preserve">מדינת ישראל נ' פלוני </w:t>
      </w:r>
      <w:r>
        <w:rPr>
          <w:rFonts w:hint="cs"/>
          <w:rtl/>
        </w:rPr>
        <w:t>(5.7.12) דובר בהסדר טיעון, שכלל הודאה בעבירות של חבלה בכוונה מחמירה, נשיאת נשק ופציעה בנסיבות מחמירות (ללא הסכמה עונשית). המשיב, שחשד שהנפגע היה זה שירה לעברו כמה ימים קודם לכן, ירה לעבר הנפגע ופצעו בידו. דעת הרוב בבית המשפט המחוזי קבעה עונש של שלוש שנות מאסר בגין האירוע; דעת המיעוט סברה שיש להטיל ארבע שנים ושבעה חודשים. המדינה ערערה על קולת העונש. בית המשפט העליון העמיד את תקופת המאסר על ארבע שנים.</w:t>
      </w:r>
    </w:p>
    <w:p w14:paraId="3CD5F03C" w14:textId="77777777" w:rsidR="003D68A6" w:rsidRDefault="003D68A6">
      <w:pPr>
        <w:spacing w:line="360" w:lineRule="auto"/>
        <w:jc w:val="both"/>
        <w:rPr>
          <w:rtl/>
        </w:rPr>
      </w:pPr>
    </w:p>
    <w:p w14:paraId="766DF221" w14:textId="77777777" w:rsidR="003D68A6" w:rsidRDefault="008C3250">
      <w:pPr>
        <w:spacing w:line="360" w:lineRule="auto"/>
        <w:jc w:val="both"/>
        <w:rPr>
          <w:rtl/>
        </w:rPr>
      </w:pPr>
      <w:r>
        <w:rPr>
          <w:rFonts w:hint="cs"/>
          <w:rtl/>
        </w:rPr>
        <w:t xml:space="preserve">בעבירה של סיוע לחבלה מחמירה כאמור (גם אם טכנית לא "מוצמד" הסיוע לעבירת נשיאת הנשק), חל </w:t>
      </w:r>
      <w:hyperlink r:id="rId40" w:history="1">
        <w:r w:rsidR="0021525A" w:rsidRPr="0021525A">
          <w:rPr>
            <w:color w:val="0000FF"/>
            <w:u w:val="single"/>
            <w:rtl/>
          </w:rPr>
          <w:t>סעיף 32</w:t>
        </w:r>
      </w:hyperlink>
      <w:r>
        <w:rPr>
          <w:rFonts w:hint="cs"/>
          <w:rtl/>
        </w:rPr>
        <w:t xml:space="preserve"> לחוק, שלפיו העונש עומד על מחצית מזה של מבצע העבירה העיקרית.</w:t>
      </w:r>
    </w:p>
    <w:p w14:paraId="72EECF00" w14:textId="77777777" w:rsidR="003D68A6" w:rsidRDefault="003D68A6">
      <w:pPr>
        <w:spacing w:line="360" w:lineRule="auto"/>
        <w:jc w:val="both"/>
        <w:rPr>
          <w:rtl/>
        </w:rPr>
      </w:pPr>
    </w:p>
    <w:p w14:paraId="4E882C4F" w14:textId="77777777" w:rsidR="003D68A6" w:rsidRDefault="008C3250">
      <w:pPr>
        <w:spacing w:line="360" w:lineRule="auto"/>
        <w:jc w:val="both"/>
        <w:rPr>
          <w:rtl/>
        </w:rPr>
      </w:pPr>
      <w:r>
        <w:rPr>
          <w:rFonts w:hint="cs"/>
          <w:rtl/>
        </w:rPr>
        <w:t xml:space="preserve">עבירה של סיוע לאחר מעשה, לפי </w:t>
      </w:r>
      <w:hyperlink r:id="rId41" w:history="1">
        <w:r w:rsidR="0021525A" w:rsidRPr="0021525A">
          <w:rPr>
            <w:color w:val="0000FF"/>
            <w:u w:val="single"/>
            <w:rtl/>
          </w:rPr>
          <w:t>סעיף 260(א)</w:t>
        </w:r>
      </w:hyperlink>
      <w:r>
        <w:rPr>
          <w:rFonts w:hint="cs"/>
          <w:rtl/>
        </w:rPr>
        <w:t xml:space="preserve"> לחוק, נושאת (במקרה שהעבירה הייתה עבירת פשע) עונש מקסימלי של שלוש שנות מאסר (</w:t>
      </w:r>
      <w:hyperlink r:id="rId42" w:history="1">
        <w:r w:rsidR="0021525A" w:rsidRPr="0021525A">
          <w:rPr>
            <w:color w:val="0000FF"/>
            <w:u w:val="single"/>
            <w:rtl/>
          </w:rPr>
          <w:t>סעיף 261(1)</w:t>
        </w:r>
      </w:hyperlink>
      <w:r>
        <w:rPr>
          <w:rFonts w:hint="cs"/>
          <w:rtl/>
        </w:rPr>
        <w:t xml:space="preserve"> לחוק). מטבע הדברים, תלוי העונש בין היתר בחומרתה של העבירה העיקרית שמדובר בה, כך שהעונשים בפסיקה מגוונים ביותר. </w:t>
      </w:r>
    </w:p>
    <w:p w14:paraId="5918AF89" w14:textId="77777777" w:rsidR="003D68A6" w:rsidRDefault="003D68A6">
      <w:pPr>
        <w:spacing w:line="360" w:lineRule="auto"/>
        <w:jc w:val="both"/>
        <w:rPr>
          <w:rtl/>
        </w:rPr>
      </w:pPr>
    </w:p>
    <w:p w14:paraId="2312F6A2" w14:textId="77777777" w:rsidR="003D68A6" w:rsidRDefault="008C3250">
      <w:pPr>
        <w:spacing w:line="360" w:lineRule="auto"/>
        <w:jc w:val="both"/>
        <w:rPr>
          <w:rtl/>
        </w:rPr>
      </w:pPr>
      <w:r>
        <w:rPr>
          <w:rFonts w:hint="cs"/>
          <w:rtl/>
        </w:rPr>
        <w:t xml:space="preserve">12. במסגרת </w:t>
      </w:r>
      <w:r>
        <w:rPr>
          <w:rFonts w:hint="cs"/>
          <w:u w:val="single"/>
          <w:rtl/>
        </w:rPr>
        <w:t>הנסיבות הקשורות בביצוע העבירה</w:t>
      </w:r>
      <w:r>
        <w:rPr>
          <w:rFonts w:hint="cs"/>
          <w:rtl/>
        </w:rPr>
        <w:t xml:space="preserve"> (</w:t>
      </w:r>
      <w:hyperlink r:id="rId43" w:history="1">
        <w:r w:rsidR="0021525A" w:rsidRPr="0021525A">
          <w:rPr>
            <w:color w:val="0000FF"/>
            <w:u w:val="single"/>
            <w:rtl/>
          </w:rPr>
          <w:t>סעיף 40ט</w:t>
        </w:r>
      </w:hyperlink>
      <w:r>
        <w:rPr>
          <w:rFonts w:hint="cs"/>
          <w:rtl/>
        </w:rPr>
        <w:t xml:space="preserve"> לחוק), יש ליתן את הדעת לשיקולים האפשריים הבאים:</w:t>
      </w:r>
    </w:p>
    <w:p w14:paraId="298C72DB" w14:textId="77777777" w:rsidR="003D68A6" w:rsidRDefault="003D68A6">
      <w:pPr>
        <w:spacing w:line="360" w:lineRule="auto"/>
        <w:jc w:val="both"/>
        <w:rPr>
          <w:rtl/>
        </w:rPr>
      </w:pPr>
    </w:p>
    <w:p w14:paraId="0C1EF269" w14:textId="77777777" w:rsidR="003D68A6" w:rsidRDefault="008C3250">
      <w:pPr>
        <w:spacing w:line="360" w:lineRule="auto"/>
        <w:jc w:val="both"/>
        <w:rPr>
          <w:rtl/>
        </w:rPr>
      </w:pPr>
      <w:r>
        <w:rPr>
          <w:rFonts w:hint="cs"/>
          <w:rtl/>
        </w:rPr>
        <w:t>א.</w:t>
      </w:r>
      <w:r>
        <w:rPr>
          <w:rFonts w:hint="cs"/>
          <w:rtl/>
        </w:rPr>
        <w:tab/>
        <w:t>התכנון שקדם לביצוע העבירה – במקרה זה אין חולק כי העבירות בוצעו לאחר תכנון מוקדם ומדוקדק, ולא בהיסח הדעת או כתגובה ספונטנית.</w:t>
      </w:r>
    </w:p>
    <w:p w14:paraId="1A465820" w14:textId="77777777" w:rsidR="003D68A6" w:rsidRDefault="003D68A6">
      <w:pPr>
        <w:spacing w:line="360" w:lineRule="auto"/>
        <w:jc w:val="both"/>
        <w:rPr>
          <w:rtl/>
        </w:rPr>
      </w:pPr>
    </w:p>
    <w:p w14:paraId="17AF7D06" w14:textId="77777777" w:rsidR="003D68A6" w:rsidRDefault="008C3250">
      <w:pPr>
        <w:spacing w:line="360" w:lineRule="auto"/>
        <w:jc w:val="both"/>
        <w:rPr>
          <w:rtl/>
        </w:rPr>
      </w:pPr>
      <w:r>
        <w:rPr>
          <w:rFonts w:hint="cs"/>
          <w:rtl/>
        </w:rPr>
        <w:t>ב.</w:t>
      </w:r>
      <w:r>
        <w:rPr>
          <w:rFonts w:hint="cs"/>
          <w:rtl/>
        </w:rPr>
        <w:tab/>
        <w:t xml:space="preserve">חלקו היחסי של הנאשם בביצוע העבירה ומידת ההשפעה של אחר על הנאשם בביצוע העבירה – ברור שחלקו היחסי של ערן הוא המשמעותי ביותר; הוא זה שנשא את הנשק ופגע בעצמו בנפגע. חלקו של אבירם הוא השני במדרג; הוא אמנם לא הורשע בעבירת נשק, אלא בסיוע לחבלה בכוונה מחמירה, אך הסיוע שנתן לערן היה סיוע תכוף ומידי, שכלל אף את הבאתו של ערן למקום האירוע, נוכחות במהלכו והברחתו של ערן מהמקום מיד לאחר גרימת החבלה כאמור. חלקו של אליאס היה משני, ולפיכך הואשם והורשע בעבירה פחותה, של סיוע לאחר מעשה. </w:t>
      </w:r>
    </w:p>
    <w:p w14:paraId="425C07E7" w14:textId="77777777" w:rsidR="003D68A6" w:rsidRDefault="003D68A6">
      <w:pPr>
        <w:spacing w:line="360" w:lineRule="auto"/>
        <w:jc w:val="both"/>
        <w:rPr>
          <w:rtl/>
        </w:rPr>
      </w:pPr>
    </w:p>
    <w:p w14:paraId="5FA7EFA6" w14:textId="77777777" w:rsidR="003D68A6" w:rsidRDefault="008C3250">
      <w:pPr>
        <w:spacing w:line="360" w:lineRule="auto"/>
        <w:jc w:val="both"/>
        <w:rPr>
          <w:rtl/>
        </w:rPr>
      </w:pPr>
      <w:r>
        <w:rPr>
          <w:rFonts w:hint="cs"/>
          <w:rtl/>
        </w:rPr>
        <w:t>ג.</w:t>
      </w:r>
      <w:r>
        <w:rPr>
          <w:rFonts w:hint="cs"/>
          <w:rtl/>
        </w:rPr>
        <w:tab/>
        <w:t xml:space="preserve">הנזק שהיה צפוי להיגרם או שנגרם מביצוע העבירה – הנפגע נפגע מירי ומחבלות נוספות, כמתואר לעיל, אך נראה כי לא נותר עם נזק גופני ממשי בעקבות האירוע. עם זאת, הנזק שהיה צפוי להיגרם, הן לנפגע והן לעוברי אורח תמימים, חמור בהרבה. למרבה המזל, לא גבה האירוע קורבנות בנפש. </w:t>
      </w:r>
    </w:p>
    <w:p w14:paraId="48A19F20" w14:textId="77777777" w:rsidR="003D68A6" w:rsidRDefault="003D68A6">
      <w:pPr>
        <w:spacing w:line="360" w:lineRule="auto"/>
        <w:jc w:val="both"/>
        <w:rPr>
          <w:rtl/>
        </w:rPr>
      </w:pPr>
    </w:p>
    <w:p w14:paraId="7B627712" w14:textId="77777777" w:rsidR="003D68A6" w:rsidRDefault="008C3250">
      <w:pPr>
        <w:spacing w:line="360" w:lineRule="auto"/>
        <w:jc w:val="both"/>
        <w:rPr>
          <w:rtl/>
        </w:rPr>
      </w:pPr>
      <w:r>
        <w:rPr>
          <w:rFonts w:hint="cs"/>
          <w:rtl/>
        </w:rPr>
        <w:t>ד.</w:t>
      </w:r>
      <w:r>
        <w:rPr>
          <w:rFonts w:hint="cs"/>
          <w:rtl/>
        </w:rPr>
        <w:tab/>
        <w:t xml:space="preserve">הסיבות שהביאו את הנאשם לבצע את העבירה – ערן ואבירם חששו לחייהם ולחיי בני משפחתם בשל אותן אזהרות מודיעיניות מצד המשטרה בעקבות אותו סכסוך עם "משפחת פשע" כהגדרתם או מי מטעמם, ובהם הנפגע. אליאס, דודם, ניסה לעזור להם. </w:t>
      </w:r>
    </w:p>
    <w:p w14:paraId="0B7EF5B0" w14:textId="77777777" w:rsidR="003D68A6" w:rsidRDefault="008C3250">
      <w:pPr>
        <w:spacing w:line="360" w:lineRule="auto"/>
        <w:jc w:val="both"/>
        <w:rPr>
          <w:rtl/>
        </w:rPr>
      </w:pPr>
      <w:r>
        <w:rPr>
          <w:rFonts w:hint="cs"/>
          <w:rtl/>
        </w:rPr>
        <w:t xml:space="preserve">אני מוכן לצאת מנקודת הנחה שחששם היה אותנטי ואולי גם מבוסס, אך עליי להעיר בהקשר זה שתי הערות: ראשית, לא הוברר מקור הסכסוך בין הנאשמים לבין אותם עבריינים אחרים, אך הגיונם של דברים וניסיון החיים מלמדים, והדעת נותנת, שסכסוך כה חריף, כפי שמתבטא בנ/2, מקורו בפעילות עבריינית, וכפי שנכתב: </w:t>
      </w:r>
      <w:r>
        <w:rPr>
          <w:rFonts w:hint="cs"/>
          <w:b/>
          <w:bCs/>
          <w:rtl/>
        </w:rPr>
        <w:t>"... בהמשך לסכסוך בין משפחת בית עדה למשפחת בראנץ העניינים מתחממים. שמיל (ציון בראנץ) ביחד עם ילדיו ערן ואבירם מתכוונים להגיב בפגיעה במשפחת בית עדה לפני שמשפחת בית עדה יפגעו בהם...".</w:t>
      </w:r>
      <w:r>
        <w:rPr>
          <w:rFonts w:hint="cs"/>
          <w:rtl/>
        </w:rPr>
        <w:t xml:space="preserve"> הדברים מדברים בעד עצמם.</w:t>
      </w:r>
    </w:p>
    <w:p w14:paraId="20A41610" w14:textId="77777777" w:rsidR="003D68A6" w:rsidRDefault="008C3250">
      <w:pPr>
        <w:spacing w:line="360" w:lineRule="auto"/>
        <w:jc w:val="both"/>
        <w:rPr>
          <w:rtl/>
        </w:rPr>
      </w:pPr>
      <w:r>
        <w:rPr>
          <w:rFonts w:hint="cs"/>
          <w:rtl/>
        </w:rPr>
        <w:t>שנית, תהא סיבת הסכסוך בין המשפחות אשר תהא, חברה מתוקנת לא יכולה להרשות לעצמה תופעה של יישוב סכסוכים בכוח ובאלימות, בסגנון "המערב הפרוע" או בסגנון שיקגו של שנות ה- 20 של המאה הקודמת; זו תופעה מסוכנת והרסנית לשלומם וביטחונם של המעורבים ושל אחרים, תופעה שאף מערערת את תחושת הביטחון ושלוות החיים של הציבור בכללותו.</w:t>
      </w:r>
    </w:p>
    <w:p w14:paraId="51EF3555" w14:textId="77777777" w:rsidR="003D68A6" w:rsidRDefault="003D68A6">
      <w:pPr>
        <w:spacing w:line="360" w:lineRule="auto"/>
        <w:jc w:val="both"/>
        <w:rPr>
          <w:rtl/>
        </w:rPr>
      </w:pPr>
    </w:p>
    <w:p w14:paraId="60DDEFB1" w14:textId="77777777" w:rsidR="003D68A6" w:rsidRDefault="008C3250">
      <w:pPr>
        <w:spacing w:line="360" w:lineRule="auto"/>
        <w:jc w:val="both"/>
        <w:rPr>
          <w:rtl/>
        </w:rPr>
      </w:pPr>
      <w:r>
        <w:rPr>
          <w:rFonts w:hint="cs"/>
          <w:rtl/>
        </w:rPr>
        <w:t>ה.</w:t>
      </w:r>
      <w:r>
        <w:rPr>
          <w:rFonts w:hint="cs"/>
          <w:rtl/>
        </w:rPr>
        <w:tab/>
        <w:t>יכולתו של הנאשם להבין את אשר הוא עושה, את הפסול שבמעשהו או את משמעות מעשהו, לרבות בשל גילו – אין חולק שהנאשמים הבינו זאת היטב.</w:t>
      </w:r>
    </w:p>
    <w:p w14:paraId="3D415622" w14:textId="77777777" w:rsidR="003D68A6" w:rsidRDefault="003D68A6">
      <w:pPr>
        <w:spacing w:line="360" w:lineRule="auto"/>
        <w:jc w:val="both"/>
        <w:rPr>
          <w:rtl/>
        </w:rPr>
      </w:pPr>
    </w:p>
    <w:p w14:paraId="0E92215C" w14:textId="77777777" w:rsidR="003D68A6" w:rsidRDefault="008C3250">
      <w:pPr>
        <w:spacing w:line="360" w:lineRule="auto"/>
        <w:jc w:val="both"/>
        <w:rPr>
          <w:rtl/>
        </w:rPr>
      </w:pPr>
      <w:r>
        <w:rPr>
          <w:rFonts w:hint="cs"/>
          <w:rtl/>
        </w:rPr>
        <w:t>ו.</w:t>
      </w:r>
      <w:r>
        <w:rPr>
          <w:rFonts w:hint="cs"/>
          <w:rtl/>
        </w:rPr>
        <w:tab/>
        <w:t xml:space="preserve">יכולתו של הנאשם להימנע מהמעשה ומידת השליטה שלו על מעשהו, לרבות עקב התגרות של נפגע העבירה – כאמור לעיל, אין לקבל את הלגיטימיות של טענת מצב חוסר הברירה, טענה של מעין "הגנה עצמית", במיוחד כאשר לא ברור חלקם של הנאשמים בעצם יצירת הנסיבות שהובילו לפרוץ הסכסוך. </w:t>
      </w:r>
    </w:p>
    <w:p w14:paraId="17167315" w14:textId="77777777" w:rsidR="003D68A6" w:rsidRDefault="003D68A6">
      <w:pPr>
        <w:spacing w:line="360" w:lineRule="auto"/>
        <w:jc w:val="both"/>
        <w:rPr>
          <w:rtl/>
        </w:rPr>
      </w:pPr>
    </w:p>
    <w:p w14:paraId="5349A9FF" w14:textId="77777777" w:rsidR="003D68A6" w:rsidRDefault="008C3250">
      <w:pPr>
        <w:spacing w:line="360" w:lineRule="auto"/>
        <w:jc w:val="both"/>
        <w:rPr>
          <w:rtl/>
        </w:rPr>
      </w:pPr>
      <w:r>
        <w:rPr>
          <w:rFonts w:hint="cs"/>
          <w:rtl/>
        </w:rPr>
        <w:t>ז.</w:t>
      </w:r>
      <w:r>
        <w:rPr>
          <w:rFonts w:hint="cs"/>
          <w:rtl/>
        </w:rPr>
        <w:tab/>
        <w:t>מצוקתו הנפשית של הנאשם עקב התעללות בו על ידי נפגע העבירה – כנ"ל.</w:t>
      </w:r>
    </w:p>
    <w:p w14:paraId="4C0B6C69" w14:textId="77777777" w:rsidR="003D68A6" w:rsidRDefault="003D68A6">
      <w:pPr>
        <w:spacing w:line="360" w:lineRule="auto"/>
        <w:jc w:val="both"/>
        <w:rPr>
          <w:rtl/>
        </w:rPr>
      </w:pPr>
    </w:p>
    <w:p w14:paraId="6D4ACAA3" w14:textId="77777777" w:rsidR="003D68A6" w:rsidRDefault="008C3250">
      <w:pPr>
        <w:spacing w:line="360" w:lineRule="auto"/>
        <w:jc w:val="both"/>
        <w:rPr>
          <w:rtl/>
        </w:rPr>
      </w:pPr>
      <w:r>
        <w:rPr>
          <w:rFonts w:hint="cs"/>
          <w:rtl/>
        </w:rPr>
        <w:t>ח.</w:t>
      </w:r>
      <w:r>
        <w:rPr>
          <w:rFonts w:hint="cs"/>
          <w:rtl/>
        </w:rPr>
        <w:tab/>
        <w:t xml:space="preserve">הקירבה לסייג לאחריות פלילית כאמור </w:t>
      </w:r>
      <w:hyperlink r:id="rId44" w:history="1">
        <w:r w:rsidR="0021525A" w:rsidRPr="0021525A">
          <w:rPr>
            <w:color w:val="0000FF"/>
            <w:u w:val="single"/>
            <w:rtl/>
          </w:rPr>
          <w:t>בסימן ב' לפרק ה1</w:t>
        </w:r>
      </w:hyperlink>
      <w:r>
        <w:rPr>
          <w:rFonts w:hint="cs"/>
          <w:rtl/>
        </w:rPr>
        <w:t xml:space="preserve"> לחוק – לא נטענה בצורה מפורשת קירבה כזו. חוזר על האמור בסעיף ו' לעיל.</w:t>
      </w:r>
    </w:p>
    <w:p w14:paraId="694CCEE4" w14:textId="77777777" w:rsidR="003D68A6" w:rsidRDefault="003D68A6">
      <w:pPr>
        <w:spacing w:line="360" w:lineRule="auto"/>
        <w:jc w:val="both"/>
        <w:rPr>
          <w:rtl/>
        </w:rPr>
      </w:pPr>
    </w:p>
    <w:p w14:paraId="42A9EE73" w14:textId="77777777" w:rsidR="003D68A6" w:rsidRDefault="008C3250">
      <w:pPr>
        <w:spacing w:line="360" w:lineRule="auto"/>
        <w:jc w:val="both"/>
        <w:rPr>
          <w:rtl/>
        </w:rPr>
      </w:pPr>
      <w:r>
        <w:rPr>
          <w:rFonts w:hint="cs"/>
          <w:rtl/>
        </w:rPr>
        <w:t>ט.</w:t>
      </w:r>
      <w:r>
        <w:rPr>
          <w:rFonts w:hint="cs"/>
          <w:rtl/>
        </w:rPr>
        <w:tab/>
        <w:t>האכזריות, האלימות וההתעללות של הנאשם בנפגע העבירה או ניצולו – בנוגע לערן ניתן לומר שמדובר באירוע אלים וקשה.</w:t>
      </w:r>
    </w:p>
    <w:p w14:paraId="0C2D81A8" w14:textId="77777777" w:rsidR="003D68A6" w:rsidRDefault="003D68A6">
      <w:pPr>
        <w:spacing w:line="360" w:lineRule="auto"/>
        <w:jc w:val="both"/>
        <w:rPr>
          <w:rtl/>
        </w:rPr>
      </w:pPr>
    </w:p>
    <w:p w14:paraId="48D3AF45" w14:textId="77777777" w:rsidR="003D68A6" w:rsidRDefault="008C3250">
      <w:pPr>
        <w:spacing w:line="360" w:lineRule="auto"/>
        <w:jc w:val="both"/>
        <w:rPr>
          <w:rtl/>
        </w:rPr>
      </w:pPr>
      <w:r>
        <w:rPr>
          <w:rFonts w:hint="cs"/>
          <w:rtl/>
        </w:rPr>
        <w:t>י.</w:t>
      </w:r>
      <w:r>
        <w:rPr>
          <w:rFonts w:hint="cs"/>
          <w:rtl/>
        </w:rPr>
        <w:tab/>
        <w:t>הניצול לרעה של כוחו או מעמדו של הנאשם או של יחסיו עם נפגע העבירה – לא רלוונטי.</w:t>
      </w:r>
    </w:p>
    <w:p w14:paraId="7BF7CE78" w14:textId="77777777" w:rsidR="003D68A6" w:rsidRDefault="003D68A6">
      <w:pPr>
        <w:spacing w:line="360" w:lineRule="auto"/>
        <w:jc w:val="both"/>
        <w:rPr>
          <w:rtl/>
        </w:rPr>
      </w:pPr>
    </w:p>
    <w:p w14:paraId="6CB8BAB7" w14:textId="77777777" w:rsidR="003D68A6" w:rsidRDefault="0021525A">
      <w:pPr>
        <w:spacing w:line="360" w:lineRule="auto"/>
        <w:jc w:val="both"/>
        <w:rPr>
          <w:rtl/>
        </w:rPr>
      </w:pPr>
      <w:hyperlink r:id="rId45" w:history="1">
        <w:r w:rsidRPr="0021525A">
          <w:rPr>
            <w:color w:val="0000FF"/>
            <w:u w:val="single"/>
            <w:rtl/>
          </w:rPr>
          <w:t>סעיף 40יב</w:t>
        </w:r>
      </w:hyperlink>
      <w:r w:rsidR="008C3250">
        <w:rPr>
          <w:rFonts w:hint="cs"/>
          <w:rtl/>
        </w:rPr>
        <w:t xml:space="preserve"> לחוק מאפשר לשקול </w:t>
      </w:r>
      <w:r w:rsidR="008C3250">
        <w:rPr>
          <w:rFonts w:hint="cs"/>
          <w:u w:val="single"/>
          <w:rtl/>
        </w:rPr>
        <w:t>נסיבות נוספות הקשורות בביצוע העבירה</w:t>
      </w:r>
      <w:r w:rsidR="008C3250">
        <w:rPr>
          <w:rFonts w:hint="cs"/>
          <w:rtl/>
        </w:rPr>
        <w:t xml:space="preserve"> לשם קביעת המתחם ההולם; במקרה זה אין נסיבות נוספות רלוונטיות.</w:t>
      </w:r>
    </w:p>
    <w:p w14:paraId="05DFF8B1" w14:textId="77777777" w:rsidR="003D68A6" w:rsidRDefault="003D68A6">
      <w:pPr>
        <w:spacing w:line="360" w:lineRule="auto"/>
        <w:jc w:val="both"/>
        <w:rPr>
          <w:rtl/>
        </w:rPr>
      </w:pPr>
    </w:p>
    <w:p w14:paraId="7C545BAA" w14:textId="77777777" w:rsidR="003D68A6" w:rsidRDefault="008C3250">
      <w:pPr>
        <w:spacing w:line="360" w:lineRule="auto"/>
        <w:jc w:val="both"/>
        <w:rPr>
          <w:rtl/>
        </w:rPr>
      </w:pPr>
      <w:r>
        <w:rPr>
          <w:rFonts w:hint="cs"/>
          <w:rtl/>
        </w:rPr>
        <w:t xml:space="preserve">13. בהתחשב בכל האמור לעיל, סבורני כי מתחם העונש ההולם בגין האירוע שבו הורשע ערן נע </w:t>
      </w:r>
      <w:r>
        <w:rPr>
          <w:rFonts w:hint="cs"/>
          <w:u w:val="single"/>
          <w:rtl/>
        </w:rPr>
        <w:t>בין שבע לעשר שנות מאסר בפועל</w:t>
      </w:r>
      <w:r>
        <w:rPr>
          <w:rFonts w:hint="cs"/>
          <w:rtl/>
        </w:rPr>
        <w:t xml:space="preserve">; באשר לעבירת הסיוע שעבר אבירם – מחצית מכך, קרי </w:t>
      </w:r>
      <w:r>
        <w:rPr>
          <w:rFonts w:hint="cs"/>
          <w:u w:val="single"/>
          <w:rtl/>
        </w:rPr>
        <w:t>בין שלוש שנים וחצי לחמש שנים</w:t>
      </w:r>
      <w:r>
        <w:rPr>
          <w:rFonts w:hint="cs"/>
          <w:rtl/>
        </w:rPr>
        <w:t xml:space="preserve">. באשר לאליאס, המתחם ההולם נע בין </w:t>
      </w:r>
      <w:r>
        <w:rPr>
          <w:rFonts w:hint="cs"/>
          <w:u w:val="single"/>
          <w:rtl/>
        </w:rPr>
        <w:t>חצי שנת מאסר לשנה וחצי</w:t>
      </w:r>
      <w:r>
        <w:rPr>
          <w:rFonts w:hint="cs"/>
          <w:rtl/>
        </w:rPr>
        <w:t>.</w:t>
      </w:r>
    </w:p>
    <w:p w14:paraId="4B4D7FE5" w14:textId="77777777" w:rsidR="003D68A6" w:rsidRDefault="003D68A6">
      <w:pPr>
        <w:spacing w:line="360" w:lineRule="auto"/>
        <w:jc w:val="both"/>
        <w:rPr>
          <w:rtl/>
        </w:rPr>
      </w:pPr>
    </w:p>
    <w:p w14:paraId="773046D6" w14:textId="77777777" w:rsidR="003D68A6" w:rsidRDefault="008C3250">
      <w:pPr>
        <w:spacing w:line="360" w:lineRule="auto"/>
        <w:jc w:val="both"/>
        <w:rPr>
          <w:rtl/>
        </w:rPr>
      </w:pPr>
      <w:r>
        <w:rPr>
          <w:rFonts w:hint="cs"/>
          <w:rtl/>
        </w:rPr>
        <w:t xml:space="preserve">14. יש עוד לבחון, האם קיימים שיקולים אשר מצדיקים סטייה מהמתחם, לחומרה או לקולא. </w:t>
      </w:r>
    </w:p>
    <w:p w14:paraId="121A66FF" w14:textId="77777777" w:rsidR="003D68A6" w:rsidRDefault="003D68A6">
      <w:pPr>
        <w:spacing w:line="360" w:lineRule="auto"/>
        <w:jc w:val="both"/>
        <w:rPr>
          <w:rtl/>
        </w:rPr>
      </w:pPr>
    </w:p>
    <w:p w14:paraId="19EE03CE" w14:textId="77777777" w:rsidR="003D68A6" w:rsidRDefault="008C3250">
      <w:pPr>
        <w:spacing w:line="360" w:lineRule="auto"/>
        <w:jc w:val="both"/>
        <w:rPr>
          <w:rtl/>
        </w:rPr>
      </w:pPr>
      <w:r>
        <w:rPr>
          <w:rFonts w:hint="cs"/>
          <w:rtl/>
        </w:rPr>
        <w:t xml:space="preserve">שיקול </w:t>
      </w:r>
      <w:r>
        <w:rPr>
          <w:rFonts w:hint="cs"/>
          <w:b/>
          <w:bCs/>
          <w:rtl/>
        </w:rPr>
        <w:t>ההגנה על שלום הציבור</w:t>
      </w:r>
      <w:r>
        <w:rPr>
          <w:rFonts w:hint="cs"/>
          <w:rtl/>
        </w:rPr>
        <w:t xml:space="preserve"> (</w:t>
      </w:r>
      <w:hyperlink r:id="rId46" w:history="1">
        <w:r w:rsidR="0021525A" w:rsidRPr="0021525A">
          <w:rPr>
            <w:color w:val="0000FF"/>
            <w:u w:val="single"/>
            <w:rtl/>
          </w:rPr>
          <w:t>סעיף 40ה</w:t>
        </w:r>
      </w:hyperlink>
      <w:r>
        <w:rPr>
          <w:rFonts w:hint="cs"/>
          <w:rtl/>
        </w:rPr>
        <w:t xml:space="preserve"> לחוק) מאפשר לחרוג מהמתחם לחומרה (חריגה שאינה ניכרת), אם יש חשש ממשי שהנאשם יחזור ויבצע עבירות, והחמרה בעונשו והרחקתו מהציבור נדרשות כדי להגן על שלום הציבור; חריגה כזו אפשרית רק אם מדובר בנאשם בעל עבר פלילי משמעותי, או אם הוצגה לבית המשפט חוות דעת מקצועית מתאימה. בענייננו, לא הוצגו חוות דעת כאלה, והגם שהעבר הפלילי של ערן ושל אליאס הוא משמעותי יחסית, לא נטען שיש לחרוג מהמתחם לפי סעיף זה.</w:t>
      </w:r>
    </w:p>
    <w:p w14:paraId="5B14AE08" w14:textId="77777777" w:rsidR="003D68A6" w:rsidRDefault="003D68A6">
      <w:pPr>
        <w:spacing w:line="360" w:lineRule="auto"/>
        <w:jc w:val="both"/>
        <w:rPr>
          <w:rtl/>
        </w:rPr>
      </w:pPr>
    </w:p>
    <w:p w14:paraId="43654B96" w14:textId="77777777" w:rsidR="003D68A6" w:rsidRDefault="008C3250">
      <w:pPr>
        <w:spacing w:line="360" w:lineRule="auto"/>
        <w:jc w:val="both"/>
        <w:rPr>
          <w:rtl/>
        </w:rPr>
      </w:pPr>
      <w:r>
        <w:rPr>
          <w:rFonts w:hint="cs"/>
          <w:rtl/>
        </w:rPr>
        <w:t xml:space="preserve">השיקול בדבר </w:t>
      </w:r>
      <w:r>
        <w:rPr>
          <w:rFonts w:hint="cs"/>
          <w:b/>
          <w:bCs/>
          <w:rtl/>
        </w:rPr>
        <w:t>שיקום</w:t>
      </w:r>
      <w:r>
        <w:rPr>
          <w:rFonts w:hint="cs"/>
          <w:rtl/>
        </w:rPr>
        <w:t xml:space="preserve"> (</w:t>
      </w:r>
      <w:hyperlink r:id="rId47" w:history="1">
        <w:r w:rsidR="0021525A" w:rsidRPr="0021525A">
          <w:rPr>
            <w:color w:val="0000FF"/>
            <w:u w:val="single"/>
            <w:rtl/>
          </w:rPr>
          <w:t>סעיף 40ד</w:t>
        </w:r>
      </w:hyperlink>
      <w:r>
        <w:rPr>
          <w:rFonts w:hint="cs"/>
          <w:rtl/>
        </w:rPr>
        <w:t xml:space="preserve"> לחוק), מאפשר לחרוג לקולא מהמתחם, לקבוע את העונש לפי שיקולי שיקומו של הנאשם, וכן להורות על נקיטת אמצעי שיקומי, לרבות העמדה במבחן. עם זאת, במקרה של מעשה עבירה או מידת אשם בעלי חומרה יתרה, רשאי בית המשפט לעשות כן רק בנסיבות מיוחדות ויוצאות דופן, לאחר שבית המשפט השתכנע שהן גוברות על הצורך בקביעת העונש במסגרת המתחם ההולם, בהתאם לעקרון המנחה. בענייננו שיקול זה אינו מתקיים.</w:t>
      </w:r>
    </w:p>
    <w:p w14:paraId="20119BCD" w14:textId="77777777" w:rsidR="003D68A6" w:rsidRDefault="003D68A6">
      <w:pPr>
        <w:spacing w:line="360" w:lineRule="auto"/>
        <w:jc w:val="both"/>
        <w:rPr>
          <w:rtl/>
        </w:rPr>
      </w:pPr>
    </w:p>
    <w:p w14:paraId="5E92C6EF" w14:textId="77777777" w:rsidR="003D68A6" w:rsidRDefault="008C3250">
      <w:pPr>
        <w:spacing w:line="360" w:lineRule="auto"/>
        <w:jc w:val="both"/>
        <w:rPr>
          <w:rtl/>
        </w:rPr>
      </w:pPr>
      <w:r>
        <w:rPr>
          <w:rFonts w:hint="cs"/>
          <w:rtl/>
        </w:rPr>
        <w:t xml:space="preserve">15. בגזירת העונש המתאים לנאשם, בגדרי מתחם העונש ההולם, יש להתחשב </w:t>
      </w:r>
      <w:r>
        <w:rPr>
          <w:rFonts w:hint="cs"/>
          <w:b/>
          <w:bCs/>
          <w:rtl/>
        </w:rPr>
        <w:t>בנסיבות שאינן קשורות בביצוע העבירה</w:t>
      </w:r>
      <w:r>
        <w:rPr>
          <w:rFonts w:hint="cs"/>
          <w:rtl/>
        </w:rPr>
        <w:t xml:space="preserve"> (</w:t>
      </w:r>
      <w:hyperlink r:id="rId48" w:history="1">
        <w:r w:rsidR="0021525A" w:rsidRPr="0021525A">
          <w:rPr>
            <w:color w:val="0000FF"/>
            <w:u w:val="single"/>
            <w:rtl/>
          </w:rPr>
          <w:t>סעיף 40יא</w:t>
        </w:r>
      </w:hyperlink>
      <w:r>
        <w:rPr>
          <w:rFonts w:hint="cs"/>
          <w:rtl/>
        </w:rPr>
        <w:t xml:space="preserve"> לחוק). במסגרת הנסיבות שאינן קשורות בביצוע העבירה מן הראוי ליתן את הדעת לנסיבות הבאות:</w:t>
      </w:r>
    </w:p>
    <w:p w14:paraId="3FE6B942" w14:textId="77777777" w:rsidR="003D68A6" w:rsidRDefault="003D68A6">
      <w:pPr>
        <w:spacing w:line="360" w:lineRule="auto"/>
        <w:jc w:val="both"/>
        <w:rPr>
          <w:rtl/>
        </w:rPr>
      </w:pPr>
    </w:p>
    <w:p w14:paraId="115DEB2D" w14:textId="77777777" w:rsidR="003D68A6" w:rsidRDefault="008C3250">
      <w:pPr>
        <w:spacing w:line="360" w:lineRule="auto"/>
        <w:jc w:val="both"/>
        <w:rPr>
          <w:rtl/>
        </w:rPr>
      </w:pPr>
      <w:r>
        <w:rPr>
          <w:rFonts w:hint="cs"/>
          <w:rtl/>
        </w:rPr>
        <w:t>א.</w:t>
      </w:r>
      <w:r>
        <w:rPr>
          <w:rFonts w:hint="cs"/>
          <w:rtl/>
        </w:rPr>
        <w:tab/>
        <w:t>הפגיעה של העונש בנאשם, לרבות בשל גילו – אין ספק שעונש מאסר למספר שנים מהווה פגיעה מהותית בחירותם של ערן ואבירם, כמו גם פגיעה נגזרת בחירויות נוספות (חופש התנועה, חופש העיסוק, חופש הביטוי, פרטיות). עונש של מאסר לריצוי בדרך של עבודות שירות פוגע בעיקר בחופש העיסוק, שכן הוא מונע, או לפחות מצמצמם עד למאוד, את אפשרויות ההשתכרות במהלך תקופה זו.</w:t>
      </w:r>
    </w:p>
    <w:p w14:paraId="5B13DACA" w14:textId="77777777" w:rsidR="003D68A6" w:rsidRDefault="003D68A6">
      <w:pPr>
        <w:spacing w:line="360" w:lineRule="auto"/>
        <w:jc w:val="both"/>
        <w:rPr>
          <w:rtl/>
        </w:rPr>
      </w:pPr>
    </w:p>
    <w:p w14:paraId="23BD4F20" w14:textId="77777777" w:rsidR="003D68A6" w:rsidRDefault="008C3250">
      <w:pPr>
        <w:spacing w:line="360" w:lineRule="auto"/>
        <w:jc w:val="both"/>
        <w:rPr>
          <w:rtl/>
        </w:rPr>
      </w:pPr>
      <w:r>
        <w:rPr>
          <w:rFonts w:hint="cs"/>
          <w:rtl/>
        </w:rPr>
        <w:t>ב.</w:t>
      </w:r>
      <w:r>
        <w:rPr>
          <w:rFonts w:hint="cs"/>
          <w:rtl/>
        </w:rPr>
        <w:tab/>
        <w:t xml:space="preserve">הפגיעה של העונש במשפחתו של הנאשם – עונש של מאסר בפועל פוגע, מטבע הדברים, במרקם היחסים המשפחתיים ובכלכלת המשפחה. </w:t>
      </w:r>
    </w:p>
    <w:p w14:paraId="30914D00" w14:textId="77777777" w:rsidR="003D68A6" w:rsidRDefault="003D68A6">
      <w:pPr>
        <w:spacing w:line="360" w:lineRule="auto"/>
        <w:jc w:val="both"/>
        <w:rPr>
          <w:rtl/>
        </w:rPr>
      </w:pPr>
    </w:p>
    <w:p w14:paraId="5143D2B0" w14:textId="77777777" w:rsidR="003D68A6" w:rsidRDefault="008C3250">
      <w:pPr>
        <w:spacing w:line="360" w:lineRule="auto"/>
        <w:jc w:val="both"/>
        <w:rPr>
          <w:rtl/>
        </w:rPr>
      </w:pPr>
      <w:r>
        <w:rPr>
          <w:rFonts w:hint="cs"/>
          <w:rtl/>
        </w:rPr>
        <w:t>ג.</w:t>
      </w:r>
      <w:r>
        <w:rPr>
          <w:rFonts w:hint="cs"/>
          <w:rtl/>
        </w:rPr>
        <w:tab/>
        <w:t>הנזקים שנגרמו לנאשם מביצוע העבירה ומהרשעתו – כמפורט לעיל.</w:t>
      </w:r>
    </w:p>
    <w:p w14:paraId="31F6940A" w14:textId="77777777" w:rsidR="003D68A6" w:rsidRDefault="003D68A6">
      <w:pPr>
        <w:spacing w:line="360" w:lineRule="auto"/>
        <w:jc w:val="both"/>
        <w:rPr>
          <w:rtl/>
        </w:rPr>
      </w:pPr>
    </w:p>
    <w:p w14:paraId="5B99FEE6" w14:textId="77777777" w:rsidR="003D68A6" w:rsidRDefault="008C3250">
      <w:pPr>
        <w:spacing w:line="360" w:lineRule="auto"/>
        <w:jc w:val="both"/>
        <w:rPr>
          <w:rtl/>
        </w:rPr>
      </w:pPr>
      <w:r>
        <w:rPr>
          <w:rFonts w:hint="cs"/>
          <w:rtl/>
        </w:rPr>
        <w:t>ד.</w:t>
      </w:r>
      <w:r>
        <w:rPr>
          <w:rFonts w:hint="cs"/>
          <w:rtl/>
        </w:rPr>
        <w:tab/>
        <w:t xml:space="preserve">נטילת האחריות של הנאשם על מעשיו, וחזרתו למוטב או מאמציו לחזור למוטב – אין לפנינו תסקירים של שירות המבחן בעניינם של הנאשמים. שלושת הנאשמים נטלו אחריות במקרה זה. ערן שוהה במעצר מאז המקרה, ידע שייעצר ושיישלח למאסר, אך מדגיש, כאמור, את מצב חוסר הברירה שאליו נקלע, להבנתו. הוא ציין שמאז שחרורו ממאסר קודם, בשנת 2008 הקים בית ושיקם את עצמו. גם אבירם נטל אחריות, אם כי באופן חלקי, בהפנותו אצבע מאשימה לאזלת ידה של המשטרה בכל הנוגע לטיפול באותה משפחת פשע. עם זאת ראוי לציין, כי אבירם השתלב, במסגרת חלופת מעצר, במרכז "בית חם למכור", השתלבות שהפיקה תוצאות חיוביות (נ/1). אליאס נוטל אחריות, ודומה שהוא מבקש להתרחק מפעילות עבריינית, הן גיאוגרפית (דרום הארץ) והן עניינית (נ/3). </w:t>
      </w:r>
    </w:p>
    <w:p w14:paraId="3DD4B165" w14:textId="77777777" w:rsidR="003D68A6" w:rsidRDefault="003D68A6">
      <w:pPr>
        <w:spacing w:line="360" w:lineRule="auto"/>
        <w:jc w:val="both"/>
        <w:rPr>
          <w:rtl/>
        </w:rPr>
      </w:pPr>
    </w:p>
    <w:p w14:paraId="23A6427D" w14:textId="77777777" w:rsidR="003D68A6" w:rsidRDefault="008C3250">
      <w:pPr>
        <w:spacing w:line="360" w:lineRule="auto"/>
        <w:jc w:val="both"/>
        <w:rPr>
          <w:rtl/>
        </w:rPr>
      </w:pPr>
      <w:r>
        <w:rPr>
          <w:rFonts w:hint="cs"/>
          <w:rtl/>
        </w:rPr>
        <w:t>ה.</w:t>
      </w:r>
      <w:r>
        <w:rPr>
          <w:rFonts w:hint="cs"/>
          <w:rtl/>
        </w:rPr>
        <w:tab/>
        <w:t xml:space="preserve">מאמצי הנאשם לתיקון תוצאות העבירה ולפיצוי על הנזק שנגרם בשלה – בהקשר זה רלוונטי להזכיר את הסכמתם של ערן ואבירם לשלם פיצוי של 20,000 ₪ לנפגע. </w:t>
      </w:r>
    </w:p>
    <w:p w14:paraId="3C51843C" w14:textId="77777777" w:rsidR="003D68A6" w:rsidRDefault="003D68A6">
      <w:pPr>
        <w:spacing w:line="360" w:lineRule="auto"/>
        <w:jc w:val="both"/>
        <w:rPr>
          <w:rtl/>
        </w:rPr>
      </w:pPr>
    </w:p>
    <w:p w14:paraId="1E4ACEEF" w14:textId="77777777" w:rsidR="003D68A6" w:rsidRDefault="008C3250">
      <w:pPr>
        <w:spacing w:line="360" w:lineRule="auto"/>
        <w:jc w:val="both"/>
        <w:rPr>
          <w:rtl/>
        </w:rPr>
      </w:pPr>
      <w:r>
        <w:rPr>
          <w:rFonts w:hint="cs"/>
          <w:rtl/>
        </w:rPr>
        <w:t>ו.</w:t>
      </w:r>
      <w:r>
        <w:rPr>
          <w:rFonts w:hint="cs"/>
          <w:rtl/>
        </w:rPr>
        <w:tab/>
        <w:t xml:space="preserve">שיתוף הפעולה של הנאשם עם רשויות אכיפת החוק (כפירה באשמה וניהול משפט על ידי הנאשם לא ייזקפו לחובתו) – במקרה של הגעה להסדר טיעון, מתבטא שיתוף הפעולה בעצם ניהולו של משא ומתן, הגעה להסכם והודאה בכתב אישום מוסכם. </w:t>
      </w:r>
    </w:p>
    <w:p w14:paraId="36F17832" w14:textId="77777777" w:rsidR="003D68A6" w:rsidRDefault="003D68A6">
      <w:pPr>
        <w:spacing w:line="360" w:lineRule="auto"/>
        <w:jc w:val="both"/>
        <w:rPr>
          <w:rtl/>
        </w:rPr>
      </w:pPr>
    </w:p>
    <w:p w14:paraId="689CFA0B" w14:textId="77777777" w:rsidR="003D68A6" w:rsidRDefault="008C3250">
      <w:pPr>
        <w:spacing w:line="360" w:lineRule="auto"/>
        <w:jc w:val="both"/>
        <w:rPr>
          <w:rtl/>
        </w:rPr>
      </w:pPr>
      <w:r>
        <w:rPr>
          <w:rFonts w:hint="cs"/>
          <w:rtl/>
        </w:rPr>
        <w:t>ז.</w:t>
      </w:r>
      <w:r>
        <w:rPr>
          <w:rFonts w:hint="cs"/>
          <w:rtl/>
        </w:rPr>
        <w:tab/>
        <w:t xml:space="preserve">התנהגותו החיובית של הנאשם ותרומתו לחברה – לא הובאו ראיות לעניין זה. </w:t>
      </w:r>
    </w:p>
    <w:p w14:paraId="693156B4" w14:textId="77777777" w:rsidR="003D68A6" w:rsidRDefault="003D68A6">
      <w:pPr>
        <w:spacing w:line="360" w:lineRule="auto"/>
        <w:jc w:val="both"/>
        <w:rPr>
          <w:rtl/>
        </w:rPr>
      </w:pPr>
    </w:p>
    <w:p w14:paraId="24D82803" w14:textId="77777777" w:rsidR="003D68A6" w:rsidRDefault="008C3250">
      <w:pPr>
        <w:spacing w:line="360" w:lineRule="auto"/>
        <w:jc w:val="both"/>
        <w:rPr>
          <w:rtl/>
        </w:rPr>
      </w:pPr>
      <w:r>
        <w:rPr>
          <w:rFonts w:hint="cs"/>
          <w:rtl/>
        </w:rPr>
        <w:t>ח.</w:t>
      </w:r>
      <w:r>
        <w:rPr>
          <w:rFonts w:hint="cs"/>
          <w:rtl/>
        </w:rPr>
        <w:tab/>
        <w:t>נסיבות חיים קשות של הנאשם שהייתה להן השפעה על ביצוע מעשה העבירה – כאמור, לא הועלתה בקשה לעריכת תסקירים של שירות המבחן לקראת גזירת הדין, הגם שיש להניח ששירות המבחן היה מעורב בהכנת תסקירי מעצר (לפחות לגבי אבירם ואליאס, ששוחררו לחלופה). לגבי ערן נטען, מפי סנגורו, כי גדל בפנימייה צבאית ובבית וברקע קשים, עם אב שהיה בבתי סוהר, והוא עצמו הדרדר ונאסר לראשונה כבר בגיל 17.</w:t>
      </w:r>
    </w:p>
    <w:p w14:paraId="1383AECB" w14:textId="77777777" w:rsidR="003D68A6" w:rsidRDefault="003D68A6">
      <w:pPr>
        <w:spacing w:line="360" w:lineRule="auto"/>
        <w:jc w:val="both"/>
        <w:rPr>
          <w:rtl/>
        </w:rPr>
      </w:pPr>
    </w:p>
    <w:p w14:paraId="3DD561F6" w14:textId="77777777" w:rsidR="003D68A6" w:rsidRDefault="008C3250">
      <w:pPr>
        <w:spacing w:line="360" w:lineRule="auto"/>
        <w:jc w:val="both"/>
        <w:rPr>
          <w:rtl/>
        </w:rPr>
      </w:pPr>
      <w:r>
        <w:rPr>
          <w:rFonts w:hint="cs"/>
          <w:rtl/>
        </w:rPr>
        <w:t>ט.</w:t>
      </w:r>
      <w:r>
        <w:rPr>
          <w:rFonts w:hint="cs"/>
          <w:rtl/>
        </w:rPr>
        <w:tab/>
        <w:t>התנהגות רשויות אכיפת החוק - לא רלוונטי.</w:t>
      </w:r>
    </w:p>
    <w:p w14:paraId="3E1BE765" w14:textId="77777777" w:rsidR="003D68A6" w:rsidRDefault="003D68A6">
      <w:pPr>
        <w:spacing w:line="360" w:lineRule="auto"/>
        <w:jc w:val="both"/>
        <w:rPr>
          <w:rtl/>
        </w:rPr>
      </w:pPr>
    </w:p>
    <w:p w14:paraId="4F88DD0A" w14:textId="77777777" w:rsidR="003D68A6" w:rsidRDefault="008C3250">
      <w:pPr>
        <w:spacing w:line="360" w:lineRule="auto"/>
        <w:jc w:val="both"/>
        <w:rPr>
          <w:rtl/>
        </w:rPr>
      </w:pPr>
      <w:r>
        <w:rPr>
          <w:rFonts w:hint="cs"/>
          <w:rtl/>
        </w:rPr>
        <w:t>י.</w:t>
      </w:r>
      <w:r>
        <w:rPr>
          <w:rFonts w:hint="cs"/>
          <w:rtl/>
        </w:rPr>
        <w:tab/>
        <w:t xml:space="preserve">חלוף הזמן מעת ביצוע העבירה - העבירות בוצעו ביום 2.12.12; כתב האישום (המקורי) הוגש ביום 17.12.12. </w:t>
      </w:r>
    </w:p>
    <w:p w14:paraId="5094B02F" w14:textId="77777777" w:rsidR="003D68A6" w:rsidRDefault="003D68A6">
      <w:pPr>
        <w:spacing w:line="360" w:lineRule="auto"/>
        <w:jc w:val="both"/>
        <w:rPr>
          <w:rtl/>
        </w:rPr>
      </w:pPr>
    </w:p>
    <w:p w14:paraId="7337D5F6" w14:textId="77777777" w:rsidR="003D68A6" w:rsidRDefault="008C3250">
      <w:pPr>
        <w:spacing w:line="360" w:lineRule="auto"/>
        <w:jc w:val="both"/>
        <w:rPr>
          <w:rtl/>
        </w:rPr>
      </w:pPr>
      <w:r>
        <w:rPr>
          <w:rFonts w:hint="cs"/>
          <w:rtl/>
        </w:rPr>
        <w:t>יא.</w:t>
      </w:r>
      <w:r>
        <w:rPr>
          <w:rFonts w:hint="cs"/>
          <w:rtl/>
        </w:rPr>
        <w:tab/>
        <w:t xml:space="preserve">עברו הפלילי של הנאשם או העדרו – לשלושת הנאשמים יש עבר פלילי. באשר לערן, גיליון ההרשעות (ת/1) מפרט עבירות רכוש ואלימות, לרבות עבירות של שוד מזויין. הוא ריצה מאסר משמעותי בפועל. גיליון ההרשעות של אבירם (ת/2) מפרט הרשעות בבית המשפט לנוער ובבית משפט השלום בעיקר בעבירות רכוש ואלימות. גיליונו של אליאס (ת/3) מפרט אף הוא עבירות רכוש ואלימות, כולל עבירות של שוד מזויין, בגינן ריצה תקופת מאסר משמעותית, בדומה לערן. יצוין עם זאת, כי ערן ואליאס שוחררו ממאסר בשנת 2008, ומאז לא נרשמה כל הרשעה נוספת. העבירה האחרונה שבגינה הורשע אבירם נעברה בשנת 2007. </w:t>
      </w:r>
    </w:p>
    <w:p w14:paraId="401824DF" w14:textId="77777777" w:rsidR="003D68A6" w:rsidRDefault="003D68A6">
      <w:pPr>
        <w:spacing w:line="360" w:lineRule="auto"/>
        <w:jc w:val="both"/>
        <w:rPr>
          <w:rtl/>
        </w:rPr>
      </w:pPr>
    </w:p>
    <w:p w14:paraId="794B4511" w14:textId="77777777" w:rsidR="003D68A6" w:rsidRDefault="008C3250">
      <w:pPr>
        <w:spacing w:line="360" w:lineRule="auto"/>
        <w:jc w:val="both"/>
        <w:rPr>
          <w:rtl/>
        </w:rPr>
      </w:pPr>
      <w:r>
        <w:rPr>
          <w:rFonts w:hint="cs"/>
          <w:rtl/>
        </w:rPr>
        <w:t xml:space="preserve"> </w:t>
      </w:r>
    </w:p>
    <w:p w14:paraId="57A59702" w14:textId="77777777" w:rsidR="003D68A6" w:rsidRDefault="008C3250">
      <w:pPr>
        <w:spacing w:line="360" w:lineRule="auto"/>
        <w:jc w:val="both"/>
        <w:rPr>
          <w:rtl/>
        </w:rPr>
      </w:pPr>
      <w:r>
        <w:rPr>
          <w:rFonts w:hint="cs"/>
          <w:rtl/>
        </w:rPr>
        <w:t xml:space="preserve">16. בהתאם </w:t>
      </w:r>
      <w:hyperlink r:id="rId49" w:history="1">
        <w:r w:rsidR="0021525A" w:rsidRPr="0021525A">
          <w:rPr>
            <w:color w:val="0000FF"/>
            <w:u w:val="single"/>
            <w:rtl/>
          </w:rPr>
          <w:t>לסעיפים 40ו</w:t>
        </w:r>
      </w:hyperlink>
      <w:r>
        <w:rPr>
          <w:rFonts w:hint="cs"/>
          <w:rtl/>
        </w:rPr>
        <w:t xml:space="preserve"> – </w:t>
      </w:r>
      <w:hyperlink r:id="rId50" w:history="1">
        <w:r w:rsidR="0021525A" w:rsidRPr="0021525A">
          <w:rPr>
            <w:color w:val="0000FF"/>
            <w:u w:val="single"/>
            <w:rtl/>
          </w:rPr>
          <w:t>40ז</w:t>
        </w:r>
      </w:hyperlink>
      <w:r>
        <w:rPr>
          <w:rFonts w:hint="cs"/>
          <w:rtl/>
        </w:rPr>
        <w:t xml:space="preserve"> לחוק יש לשקול, בגדרו של המתחם, הן את שיקול </w:t>
      </w:r>
      <w:r>
        <w:rPr>
          <w:rFonts w:hint="cs"/>
          <w:b/>
          <w:bCs/>
          <w:rtl/>
        </w:rPr>
        <w:t>הרתעת היחיד</w:t>
      </w:r>
      <w:r>
        <w:rPr>
          <w:rFonts w:hint="cs"/>
          <w:rtl/>
        </w:rPr>
        <w:t xml:space="preserve"> (אם יש סיכוי של ממש שהטלת עונש מסוים תביא להרתעתו מפני ביצוע עבירה נוספת) והן את שיקול </w:t>
      </w:r>
      <w:r>
        <w:rPr>
          <w:rFonts w:hint="cs"/>
          <w:b/>
          <w:bCs/>
          <w:rtl/>
        </w:rPr>
        <w:t>הרתעת הרבים</w:t>
      </w:r>
      <w:r>
        <w:rPr>
          <w:rFonts w:hint="cs"/>
          <w:rtl/>
        </w:rPr>
        <w:t xml:space="preserve"> (אם יש סיכוי של ממש שהחמרה בעונשו של הנאשם, בגדרי המתחם, תביא להרתעת הרבים מפני ביצוע עבירה מסוג העבירה שביצע הנאשם). </w:t>
      </w:r>
    </w:p>
    <w:p w14:paraId="069F0F0E" w14:textId="77777777" w:rsidR="003D68A6" w:rsidRDefault="008C3250">
      <w:pPr>
        <w:spacing w:line="360" w:lineRule="auto"/>
        <w:jc w:val="both"/>
        <w:rPr>
          <w:rtl/>
        </w:rPr>
      </w:pPr>
      <w:r>
        <w:rPr>
          <w:rFonts w:hint="cs"/>
          <w:rtl/>
        </w:rPr>
        <w:t>לדעתי, ספק רב אם בעבירות שמדובר בהן, על נסיבותיהן והרקע שלהן, יש סיכוי של ממש כאמור, בשני ההיבטים.</w:t>
      </w:r>
    </w:p>
    <w:p w14:paraId="1F115212" w14:textId="77777777" w:rsidR="003D68A6" w:rsidRDefault="003D68A6">
      <w:pPr>
        <w:spacing w:line="360" w:lineRule="auto"/>
        <w:jc w:val="both"/>
        <w:rPr>
          <w:rtl/>
        </w:rPr>
      </w:pPr>
    </w:p>
    <w:p w14:paraId="7686490A" w14:textId="77777777" w:rsidR="003D68A6" w:rsidRDefault="008C3250">
      <w:pPr>
        <w:spacing w:line="360" w:lineRule="auto"/>
        <w:jc w:val="both"/>
        <w:rPr>
          <w:rtl/>
        </w:rPr>
      </w:pPr>
      <w:r>
        <w:rPr>
          <w:rFonts w:hint="cs"/>
          <w:rtl/>
        </w:rPr>
        <w:t xml:space="preserve">17. באיזון בין השיקולים השונים סבורני כי ראוי היה לגזור על הנאשמים, </w:t>
      </w:r>
      <w:r>
        <w:rPr>
          <w:rFonts w:hint="cs"/>
          <w:u w:val="single"/>
          <w:rtl/>
        </w:rPr>
        <w:t>אלמלא</w:t>
      </w:r>
      <w:r>
        <w:rPr>
          <w:rFonts w:hint="cs"/>
          <w:rtl/>
        </w:rPr>
        <w:t xml:space="preserve"> הסדר הטיעון, את העונשים הבאים: על ערן עונש מאסר בפועל של </w:t>
      </w:r>
      <w:r>
        <w:rPr>
          <w:rFonts w:hint="cs"/>
          <w:u w:val="single"/>
          <w:rtl/>
        </w:rPr>
        <w:t>תשע שנים</w:t>
      </w:r>
      <w:r>
        <w:rPr>
          <w:rFonts w:hint="cs"/>
          <w:rtl/>
        </w:rPr>
        <w:t xml:space="preserve">; על אבירם מחצית מכך, קרי </w:t>
      </w:r>
      <w:r>
        <w:rPr>
          <w:rFonts w:hint="cs"/>
          <w:u w:val="single"/>
          <w:rtl/>
        </w:rPr>
        <w:t>ארבע שנים וחצי</w:t>
      </w:r>
      <w:r>
        <w:rPr>
          <w:rFonts w:hint="cs"/>
          <w:rtl/>
        </w:rPr>
        <w:t xml:space="preserve">; ועל אליאס – </w:t>
      </w:r>
      <w:r>
        <w:rPr>
          <w:rFonts w:hint="cs"/>
          <w:u w:val="single"/>
          <w:rtl/>
        </w:rPr>
        <w:t>שנת מאסר</w:t>
      </w:r>
      <w:r>
        <w:rPr>
          <w:rFonts w:hint="cs"/>
          <w:rtl/>
        </w:rPr>
        <w:t xml:space="preserve"> בפועל. </w:t>
      </w:r>
    </w:p>
    <w:p w14:paraId="18ACEFEF" w14:textId="77777777" w:rsidR="003D68A6" w:rsidRDefault="003D68A6">
      <w:pPr>
        <w:spacing w:line="360" w:lineRule="auto"/>
        <w:jc w:val="both"/>
        <w:rPr>
          <w:rtl/>
        </w:rPr>
      </w:pPr>
    </w:p>
    <w:p w14:paraId="3D7D5B7F" w14:textId="77777777" w:rsidR="003D68A6" w:rsidRDefault="008C3250">
      <w:pPr>
        <w:spacing w:line="360" w:lineRule="auto"/>
        <w:jc w:val="both"/>
        <w:rPr>
          <w:rtl/>
        </w:rPr>
      </w:pPr>
      <w:r>
        <w:rPr>
          <w:rFonts w:hint="cs"/>
          <w:rtl/>
        </w:rPr>
        <w:t xml:space="preserve">18. כעת יש להשוות את העונש המוסכם לזה שצפוי היה להיות מוטל על הנאשמים ללא ההסדר, כדי לבחון מה מידת ההקלה שהנאשמים זכו לה, והאם הקלה זו עומדת במבחן האיזון (שבין ההקלה לנאשמים לתועלת הציבורית בעריכת ההסדר). </w:t>
      </w:r>
    </w:p>
    <w:p w14:paraId="0D2BEF68" w14:textId="77777777" w:rsidR="003D68A6" w:rsidRDefault="003D68A6">
      <w:pPr>
        <w:spacing w:line="360" w:lineRule="auto"/>
        <w:jc w:val="both"/>
        <w:rPr>
          <w:rtl/>
        </w:rPr>
      </w:pPr>
    </w:p>
    <w:p w14:paraId="698C1B35" w14:textId="77777777" w:rsidR="003D68A6" w:rsidRDefault="008C3250">
      <w:pPr>
        <w:spacing w:line="360" w:lineRule="auto"/>
        <w:jc w:val="both"/>
        <w:rPr>
          <w:rtl/>
        </w:rPr>
      </w:pPr>
      <w:r>
        <w:rPr>
          <w:rFonts w:hint="cs"/>
          <w:rtl/>
        </w:rPr>
        <w:t xml:space="preserve">בעניינו של ערן הגבילה עצמה המדינה לתקרת עונש של שמונה שנים, לגבי אבירם מחצית מכך למעשה (למרות הטיעון הפתוח לכאורה) ולגבי אליאס הוסכם על ששה חודשים, לריצוי בדרך של עבודות שירות (זאת בנוסף לתקופת המעצר שאותה כבר ריצה מעבר לסורג ובריח, בת כחמישה חודשים וחצי). </w:t>
      </w:r>
    </w:p>
    <w:p w14:paraId="3EFCA376" w14:textId="77777777" w:rsidR="003D68A6" w:rsidRDefault="008C3250">
      <w:pPr>
        <w:spacing w:line="360" w:lineRule="auto"/>
        <w:jc w:val="both"/>
        <w:rPr>
          <w:rtl/>
        </w:rPr>
      </w:pPr>
      <w:r>
        <w:rPr>
          <w:rFonts w:hint="cs"/>
          <w:rtl/>
        </w:rPr>
        <w:t>אני מוצא שהקלה מסוימת זו עומדת במבחן האיזון, לאור השיקולים שהנחו את התביעה בהגעה להסדר, כמפורט לעיל.</w:t>
      </w:r>
    </w:p>
    <w:p w14:paraId="7D17AC39" w14:textId="77777777" w:rsidR="003D68A6" w:rsidRDefault="003D68A6">
      <w:pPr>
        <w:spacing w:line="360" w:lineRule="auto"/>
        <w:jc w:val="both"/>
        <w:rPr>
          <w:rtl/>
        </w:rPr>
      </w:pPr>
    </w:p>
    <w:p w14:paraId="1036F60E" w14:textId="77777777" w:rsidR="003D68A6" w:rsidRDefault="008C3250">
      <w:pPr>
        <w:spacing w:line="360" w:lineRule="auto"/>
        <w:jc w:val="both"/>
        <w:rPr>
          <w:rtl/>
        </w:rPr>
      </w:pPr>
      <w:r>
        <w:rPr>
          <w:rFonts w:hint="cs"/>
          <w:rtl/>
        </w:rPr>
        <w:t>19. עתה, בעת קביעת העונש המדויק בתוך הטווח, יש להתחשב בכל שיקולי הענישה שפורטו לעיל, כמו גם בהסדר הטיעון ובאינטרס הציבורי שעמד בבסיס עריכתו.</w:t>
      </w:r>
    </w:p>
    <w:p w14:paraId="278A2791" w14:textId="77777777" w:rsidR="003D68A6" w:rsidRDefault="003D68A6">
      <w:pPr>
        <w:spacing w:line="360" w:lineRule="auto"/>
        <w:jc w:val="both"/>
        <w:rPr>
          <w:rtl/>
        </w:rPr>
      </w:pPr>
    </w:p>
    <w:p w14:paraId="7A1CAD27" w14:textId="77777777" w:rsidR="003D68A6" w:rsidRDefault="008C3250">
      <w:pPr>
        <w:spacing w:line="360" w:lineRule="auto"/>
        <w:jc w:val="both"/>
        <w:rPr>
          <w:b/>
          <w:bCs/>
          <w:u w:val="single"/>
          <w:rtl/>
        </w:rPr>
      </w:pPr>
      <w:r>
        <w:rPr>
          <w:rFonts w:hint="cs"/>
          <w:b/>
          <w:bCs/>
          <w:u w:val="single"/>
          <w:rtl/>
        </w:rPr>
        <w:t>לסיכום</w:t>
      </w:r>
    </w:p>
    <w:p w14:paraId="392BBC50" w14:textId="77777777" w:rsidR="003D68A6" w:rsidRDefault="003D68A6">
      <w:pPr>
        <w:spacing w:line="360" w:lineRule="auto"/>
        <w:jc w:val="both"/>
        <w:rPr>
          <w:rtl/>
        </w:rPr>
      </w:pPr>
    </w:p>
    <w:p w14:paraId="5DE40860" w14:textId="77777777" w:rsidR="003D68A6" w:rsidRDefault="008C3250">
      <w:pPr>
        <w:spacing w:line="360" w:lineRule="auto"/>
        <w:jc w:val="both"/>
        <w:rPr>
          <w:rtl/>
        </w:rPr>
      </w:pPr>
      <w:r>
        <w:rPr>
          <w:rFonts w:hint="cs"/>
          <w:rtl/>
        </w:rPr>
        <w:t>20. אשר על-כן, הייתי מציע לחבריי לגזור על הנאשמים את העונשים הבאים:</w:t>
      </w:r>
    </w:p>
    <w:p w14:paraId="10223760" w14:textId="77777777" w:rsidR="003D68A6" w:rsidRDefault="003D68A6">
      <w:pPr>
        <w:spacing w:line="360" w:lineRule="auto"/>
        <w:jc w:val="both"/>
        <w:rPr>
          <w:rtl/>
        </w:rPr>
      </w:pPr>
    </w:p>
    <w:p w14:paraId="0BB311F4" w14:textId="77777777" w:rsidR="003D68A6" w:rsidRDefault="008C3250">
      <w:pPr>
        <w:spacing w:line="360" w:lineRule="auto"/>
        <w:jc w:val="both"/>
        <w:rPr>
          <w:u w:val="single"/>
          <w:rtl/>
        </w:rPr>
      </w:pPr>
      <w:r>
        <w:rPr>
          <w:rFonts w:hint="cs"/>
          <w:u w:val="single"/>
          <w:rtl/>
        </w:rPr>
        <w:t>נאשם 1 – ערן בראנץ</w:t>
      </w:r>
    </w:p>
    <w:p w14:paraId="6FC47A54" w14:textId="77777777" w:rsidR="003D68A6" w:rsidRDefault="003D68A6">
      <w:pPr>
        <w:spacing w:line="360" w:lineRule="auto"/>
        <w:jc w:val="both"/>
        <w:rPr>
          <w:rtl/>
        </w:rPr>
      </w:pPr>
    </w:p>
    <w:p w14:paraId="5F95EDA9" w14:textId="77777777" w:rsidR="003D68A6" w:rsidRDefault="008C3250">
      <w:pPr>
        <w:spacing w:line="360" w:lineRule="auto"/>
        <w:ind w:left="720" w:hanging="720"/>
        <w:jc w:val="both"/>
        <w:rPr>
          <w:rtl/>
        </w:rPr>
      </w:pPr>
      <w:r>
        <w:rPr>
          <w:rFonts w:hint="cs"/>
          <w:rtl/>
        </w:rPr>
        <w:t>א.</w:t>
      </w:r>
      <w:r>
        <w:rPr>
          <w:rFonts w:hint="cs"/>
          <w:rtl/>
        </w:rPr>
        <w:tab/>
        <w:t xml:space="preserve">7 (שבע) שנות מאסר בפועל, החל מיום מעצרו – 2.12.12; </w:t>
      </w:r>
    </w:p>
    <w:p w14:paraId="15CB640F" w14:textId="77777777" w:rsidR="003D68A6" w:rsidRDefault="008C3250">
      <w:pPr>
        <w:spacing w:line="360" w:lineRule="auto"/>
        <w:ind w:left="720" w:hanging="720"/>
        <w:jc w:val="both"/>
        <w:rPr>
          <w:rtl/>
        </w:rPr>
      </w:pPr>
      <w:r>
        <w:rPr>
          <w:rFonts w:hint="cs"/>
          <w:rtl/>
        </w:rPr>
        <w:t>ב.</w:t>
      </w:r>
      <w:r>
        <w:rPr>
          <w:rFonts w:hint="cs"/>
          <w:rtl/>
        </w:rPr>
        <w:tab/>
        <w:t xml:space="preserve">12 חודשי מאסר על תנאי, לבל יעבור הנאשם במשך שלוש שנים מיום שחרורו ממאסרו (אפילו שחרור ברישיון) עבירת אלימות מסוג פשע או עבירה של נשיאת נשק; </w:t>
      </w:r>
    </w:p>
    <w:p w14:paraId="36CA49FF" w14:textId="77777777" w:rsidR="003D68A6" w:rsidRDefault="008C3250">
      <w:pPr>
        <w:spacing w:line="360" w:lineRule="auto"/>
        <w:ind w:left="720" w:hanging="720"/>
        <w:jc w:val="both"/>
        <w:rPr>
          <w:rtl/>
        </w:rPr>
      </w:pPr>
      <w:r>
        <w:rPr>
          <w:rFonts w:hint="cs"/>
          <w:rtl/>
        </w:rPr>
        <w:t>ג.</w:t>
      </w:r>
      <w:r>
        <w:rPr>
          <w:rFonts w:hint="cs"/>
          <w:rtl/>
        </w:rPr>
        <w:tab/>
        <w:t xml:space="preserve">פיצוי כספי למתלונן חנן שלום בסך של 10,000 ₪. הפיצוי ישולם באמצעות כספי הפיקדון שהפקיד הנאשם 3 (אליאס בראנץ) (הסכמתו לכך ניתנה לפנינו בדיון מיום 5.2.14) בתיק </w:t>
      </w:r>
      <w:r>
        <w:t>32699-12-12</w:t>
      </w:r>
      <w:r>
        <w:rPr>
          <w:rFonts w:hint="cs"/>
          <w:rtl/>
        </w:rPr>
        <w:t xml:space="preserve">, שובר מס' 10042410215, מיום 18.4.13, ויועבר למתלונן בהתאם לפרטים שתמסור המאשימה למזכירות. </w:t>
      </w:r>
    </w:p>
    <w:p w14:paraId="09859E79" w14:textId="77777777" w:rsidR="003D68A6" w:rsidRDefault="003D68A6">
      <w:pPr>
        <w:spacing w:line="360" w:lineRule="auto"/>
        <w:jc w:val="both"/>
        <w:rPr>
          <w:rtl/>
        </w:rPr>
      </w:pPr>
    </w:p>
    <w:p w14:paraId="661D2B79" w14:textId="77777777" w:rsidR="003D68A6" w:rsidRDefault="008C3250">
      <w:pPr>
        <w:spacing w:line="360" w:lineRule="auto"/>
        <w:jc w:val="both"/>
        <w:rPr>
          <w:u w:val="single"/>
          <w:rtl/>
        </w:rPr>
      </w:pPr>
      <w:r>
        <w:rPr>
          <w:rFonts w:hint="cs"/>
          <w:rtl/>
        </w:rPr>
        <w:t xml:space="preserve"> </w:t>
      </w:r>
      <w:r>
        <w:rPr>
          <w:rFonts w:hint="cs"/>
          <w:u w:val="single"/>
          <w:rtl/>
        </w:rPr>
        <w:t>נאשם 2 – אבירם בראנץ</w:t>
      </w:r>
    </w:p>
    <w:p w14:paraId="08199E8C" w14:textId="77777777" w:rsidR="003D68A6" w:rsidRDefault="003D68A6">
      <w:pPr>
        <w:spacing w:line="360" w:lineRule="auto"/>
        <w:jc w:val="both"/>
        <w:rPr>
          <w:rtl/>
        </w:rPr>
      </w:pPr>
    </w:p>
    <w:p w14:paraId="59E40F50" w14:textId="77777777" w:rsidR="003D68A6" w:rsidRDefault="008C3250">
      <w:pPr>
        <w:spacing w:line="360" w:lineRule="auto"/>
        <w:ind w:left="720" w:hanging="720"/>
        <w:jc w:val="both"/>
        <w:rPr>
          <w:rtl/>
        </w:rPr>
      </w:pPr>
      <w:r>
        <w:rPr>
          <w:rFonts w:hint="cs"/>
          <w:rtl/>
        </w:rPr>
        <w:t>א.</w:t>
      </w:r>
      <w:r>
        <w:rPr>
          <w:rFonts w:hint="cs"/>
          <w:rtl/>
        </w:rPr>
        <w:tab/>
        <w:t xml:space="preserve">3 (שלוש) שנות מאסר בפועל, בניכוי ימי המעצר (מיום 2.12.12 עד יום 29.7.13 כולל); </w:t>
      </w:r>
    </w:p>
    <w:p w14:paraId="1D2C6195" w14:textId="77777777" w:rsidR="003D68A6" w:rsidRDefault="008C3250">
      <w:pPr>
        <w:spacing w:line="360" w:lineRule="auto"/>
        <w:ind w:left="720" w:hanging="720"/>
        <w:jc w:val="both"/>
        <w:rPr>
          <w:rtl/>
        </w:rPr>
      </w:pPr>
      <w:r>
        <w:rPr>
          <w:rFonts w:hint="cs"/>
          <w:rtl/>
        </w:rPr>
        <w:t>ב.</w:t>
      </w:r>
      <w:r>
        <w:rPr>
          <w:rFonts w:hint="cs"/>
          <w:rtl/>
        </w:rPr>
        <w:tab/>
        <w:t xml:space="preserve">6 (ששה) חודשי מאסר על תנאי, לבל יעבור הנאשם במשך שלוש שנים מיום שחרורו ממאסרו (אפילו שחרור ברישיון) עבירת אלימות מסוג פשע, לרבות סיוע לעבירה כזו; </w:t>
      </w:r>
    </w:p>
    <w:p w14:paraId="4AA84BB9" w14:textId="77777777" w:rsidR="003D68A6" w:rsidRDefault="008C3250">
      <w:pPr>
        <w:spacing w:line="360" w:lineRule="auto"/>
        <w:ind w:left="720" w:hanging="720"/>
        <w:jc w:val="both"/>
        <w:rPr>
          <w:rtl/>
        </w:rPr>
      </w:pPr>
      <w:r>
        <w:rPr>
          <w:rFonts w:hint="cs"/>
          <w:rtl/>
        </w:rPr>
        <w:t>ג.</w:t>
      </w:r>
      <w:r>
        <w:rPr>
          <w:rFonts w:hint="cs"/>
          <w:rtl/>
        </w:rPr>
        <w:tab/>
        <w:t xml:space="preserve">פיצוי כספי למתלונן חנן שלום בסך של 10,000 ₪. הפיצוי ישולם באמצעות כספי הפיקדון שהפקיד הנאשם 2 בתיק </w:t>
      </w:r>
      <w:r>
        <w:t>32699-12-12</w:t>
      </w:r>
      <w:r>
        <w:rPr>
          <w:rFonts w:hint="cs"/>
          <w:rtl/>
        </w:rPr>
        <w:t xml:space="preserve">, שובר מס' 10045716703, מיום 29.7.13, ויועבר למתלונן בהתאם לפרטים שתמסור המאשימה למזכירות. </w:t>
      </w:r>
    </w:p>
    <w:p w14:paraId="356DD3B2" w14:textId="77777777" w:rsidR="003D68A6" w:rsidRDefault="003D68A6">
      <w:pPr>
        <w:spacing w:line="360" w:lineRule="auto"/>
        <w:jc w:val="both"/>
        <w:rPr>
          <w:rtl/>
        </w:rPr>
      </w:pPr>
    </w:p>
    <w:p w14:paraId="515F252F" w14:textId="77777777" w:rsidR="003D68A6" w:rsidRDefault="008C3250">
      <w:pPr>
        <w:spacing w:line="360" w:lineRule="auto"/>
        <w:jc w:val="both"/>
        <w:rPr>
          <w:u w:val="single"/>
          <w:rtl/>
        </w:rPr>
      </w:pPr>
      <w:r>
        <w:rPr>
          <w:rFonts w:hint="cs"/>
          <w:u w:val="single"/>
          <w:rtl/>
        </w:rPr>
        <w:t>נאשם 3 – אליאס בראנץ</w:t>
      </w:r>
    </w:p>
    <w:p w14:paraId="4A226DE4" w14:textId="77777777" w:rsidR="003D68A6" w:rsidRDefault="003D68A6">
      <w:pPr>
        <w:spacing w:line="360" w:lineRule="auto"/>
        <w:jc w:val="both"/>
        <w:rPr>
          <w:rtl/>
        </w:rPr>
      </w:pPr>
    </w:p>
    <w:p w14:paraId="25DE9A4C" w14:textId="77777777" w:rsidR="003D68A6" w:rsidRDefault="008C3250">
      <w:pPr>
        <w:spacing w:line="360" w:lineRule="auto"/>
        <w:ind w:left="720" w:hanging="720"/>
        <w:jc w:val="both"/>
        <w:rPr>
          <w:rtl/>
        </w:rPr>
      </w:pPr>
      <w:r>
        <w:rPr>
          <w:rFonts w:hint="cs"/>
          <w:rtl/>
        </w:rPr>
        <w:t>א.</w:t>
      </w:r>
      <w:r>
        <w:rPr>
          <w:rFonts w:hint="cs"/>
          <w:rtl/>
        </w:rPr>
        <w:tab/>
        <w:t xml:space="preserve">6 (ששה) חודשי מאסר בפועל; המאסר ירוצה בדרך של עבודות שירות, במועצה המקומית שגב שלום, מחלקת שפ"ע, חמישה ימים בשבוע, שמונה שעות וחצי בכל יום, זאת החל מיום 5.3.14 (מפקח אחראי: מר אריה מלול, טל. </w:t>
      </w:r>
      <w:r>
        <w:t>050-4063862</w:t>
      </w:r>
      <w:r>
        <w:rPr>
          <w:rFonts w:hint="cs"/>
          <w:rtl/>
        </w:rPr>
        <w:t xml:space="preserve">). על הנאשם להתייצב במועד האמור במשרדי הממונה על עבודות השירות. </w:t>
      </w:r>
    </w:p>
    <w:p w14:paraId="67D2209C" w14:textId="77777777" w:rsidR="003D68A6" w:rsidRDefault="008C3250">
      <w:pPr>
        <w:spacing w:line="360" w:lineRule="auto"/>
        <w:ind w:left="720" w:hanging="720"/>
        <w:jc w:val="both"/>
        <w:rPr>
          <w:rtl/>
        </w:rPr>
      </w:pPr>
      <w:r>
        <w:rPr>
          <w:rFonts w:hint="cs"/>
          <w:rtl/>
        </w:rPr>
        <w:t>ב.</w:t>
      </w:r>
      <w:r>
        <w:rPr>
          <w:rFonts w:hint="cs"/>
          <w:rtl/>
        </w:rPr>
        <w:tab/>
        <w:t xml:space="preserve">6 (ששה) חודשי מאסר על תנאי, לבל יעבור הנאשם במשך שלוש שנים מהיום עבירת אלימות או נשיאת נשק, לרבות עבירת סיוע לעבירות אלו; </w:t>
      </w:r>
    </w:p>
    <w:p w14:paraId="0339FA0F" w14:textId="77777777" w:rsidR="003D68A6" w:rsidRDefault="003D68A6">
      <w:pPr>
        <w:spacing w:line="360" w:lineRule="auto"/>
        <w:jc w:val="both"/>
        <w:rPr>
          <w:rtl/>
        </w:rPr>
      </w:pPr>
    </w:p>
    <w:p w14:paraId="623ACED0" w14:textId="77777777" w:rsidR="003D68A6" w:rsidRDefault="008C3250">
      <w:pPr>
        <w:spacing w:line="360" w:lineRule="auto"/>
        <w:ind w:left="720"/>
        <w:jc w:val="both"/>
        <w:rPr>
          <w:rtl/>
        </w:rPr>
      </w:pPr>
      <w:r>
        <w:rPr>
          <w:rFonts w:hint="cs"/>
          <w:rtl/>
        </w:rPr>
        <w:t xml:space="preserve">האופנוע סאן יאנג מדגם </w:t>
      </w:r>
      <w:r>
        <w:t>jr200</w:t>
      </w:r>
      <w:r>
        <w:rPr>
          <w:rFonts w:hint="cs"/>
          <w:rtl/>
        </w:rPr>
        <w:t xml:space="preserve"> מ"ר </w:t>
      </w:r>
      <w:r>
        <w:t>52-047-13</w:t>
      </w:r>
      <w:r>
        <w:rPr>
          <w:rFonts w:hint="cs"/>
          <w:rtl/>
        </w:rPr>
        <w:t>השייך לנאשם 2, ואשר שימש לביצוע העבירה – יחולט לטובת המדינה.</w:t>
      </w:r>
    </w:p>
    <w:p w14:paraId="051CF8B4" w14:textId="77777777" w:rsidR="003D68A6" w:rsidRDefault="003D68A6">
      <w:pPr>
        <w:spacing w:line="360" w:lineRule="auto"/>
        <w:jc w:val="both"/>
        <w:rPr>
          <w:rtl/>
        </w:rPr>
      </w:pPr>
    </w:p>
    <w:p w14:paraId="437DD487" w14:textId="77777777" w:rsidR="003D68A6" w:rsidRDefault="003D68A6">
      <w:pPr>
        <w:spacing w:line="360" w:lineRule="auto"/>
        <w:jc w:val="both"/>
        <w:rPr>
          <w:rtl/>
        </w:rPr>
      </w:pPr>
    </w:p>
    <w:tbl>
      <w:tblPr>
        <w:tblpPr w:leftFromText="180" w:rightFromText="180" w:vertAnchor="text" w:horzAnchor="margin" w:tblpY="94"/>
        <w:bidiVisual/>
        <w:tblW w:w="0" w:type="auto"/>
        <w:tblLook w:val="01E0" w:firstRow="1" w:lastRow="1" w:firstColumn="1" w:lastColumn="1" w:noHBand="0" w:noVBand="0"/>
      </w:tblPr>
      <w:tblGrid>
        <w:gridCol w:w="2976"/>
      </w:tblGrid>
      <w:tr w:rsidR="003D68A6" w14:paraId="6D0A7853" w14:textId="77777777">
        <w:tc>
          <w:tcPr>
            <w:tcW w:w="2976" w:type="dxa"/>
            <w:tcBorders>
              <w:top w:val="nil"/>
              <w:left w:val="nil"/>
              <w:bottom w:val="single" w:sz="4" w:space="0" w:color="auto"/>
              <w:right w:val="nil"/>
            </w:tcBorders>
            <w:vAlign w:val="center"/>
          </w:tcPr>
          <w:p w14:paraId="4D4F0F4A" w14:textId="77777777" w:rsidR="003D68A6" w:rsidRDefault="003D68A6">
            <w:pPr>
              <w:spacing w:line="360" w:lineRule="auto"/>
              <w:jc w:val="center"/>
              <w:rPr>
                <w:rFonts w:ascii="Courier New" w:hAnsi="Courier New"/>
                <w:b/>
                <w:bCs/>
              </w:rPr>
            </w:pPr>
          </w:p>
        </w:tc>
      </w:tr>
      <w:tr w:rsidR="003D68A6" w14:paraId="7DC1BDD7" w14:textId="77777777">
        <w:tc>
          <w:tcPr>
            <w:tcW w:w="2976" w:type="dxa"/>
            <w:tcBorders>
              <w:top w:val="single" w:sz="4" w:space="0" w:color="auto"/>
              <w:left w:val="nil"/>
              <w:bottom w:val="nil"/>
              <w:right w:val="nil"/>
            </w:tcBorders>
            <w:vAlign w:val="bottom"/>
          </w:tcPr>
          <w:p w14:paraId="45B6FE50" w14:textId="77777777" w:rsidR="003D68A6" w:rsidRDefault="008C3250">
            <w:pPr>
              <w:spacing w:line="360" w:lineRule="auto"/>
              <w:jc w:val="center"/>
              <w:rPr>
                <w:rFonts w:ascii="Courier New" w:hAnsi="Courier New"/>
                <w:b/>
                <w:bCs/>
                <w:rtl/>
              </w:rPr>
            </w:pPr>
            <w:r>
              <w:rPr>
                <w:rFonts w:ascii="Courier New" w:hAnsi="Courier New" w:hint="cs"/>
                <w:b/>
                <w:bCs/>
                <w:rtl/>
              </w:rPr>
              <w:t>אבי זמיר, שופט</w:t>
            </w:r>
          </w:p>
          <w:p w14:paraId="18472E23" w14:textId="77777777" w:rsidR="003D68A6" w:rsidRDefault="003D68A6">
            <w:pPr>
              <w:spacing w:line="360" w:lineRule="auto"/>
              <w:jc w:val="center"/>
              <w:rPr>
                <w:rFonts w:ascii="Courier New" w:hAnsi="Courier New"/>
                <w:b/>
                <w:bCs/>
              </w:rPr>
            </w:pPr>
          </w:p>
        </w:tc>
      </w:tr>
    </w:tbl>
    <w:p w14:paraId="0C9CEC1A" w14:textId="77777777" w:rsidR="003D68A6" w:rsidRDefault="003D68A6">
      <w:pPr>
        <w:spacing w:line="360" w:lineRule="auto"/>
        <w:rPr>
          <w:rtl/>
        </w:rPr>
      </w:pPr>
    </w:p>
    <w:p w14:paraId="7B1A52D2" w14:textId="77777777" w:rsidR="003D68A6" w:rsidRDefault="003D68A6">
      <w:pPr>
        <w:spacing w:line="360" w:lineRule="auto"/>
      </w:pPr>
    </w:p>
    <w:p w14:paraId="3BE83707" w14:textId="77777777" w:rsidR="003D68A6" w:rsidRDefault="003D68A6">
      <w:pPr>
        <w:spacing w:line="360" w:lineRule="auto"/>
        <w:jc w:val="both"/>
        <w:rPr>
          <w:rtl/>
        </w:rPr>
      </w:pPr>
    </w:p>
    <w:p w14:paraId="5693E162" w14:textId="77777777" w:rsidR="003D68A6" w:rsidRDefault="003D68A6">
      <w:pPr>
        <w:spacing w:line="360" w:lineRule="auto"/>
        <w:jc w:val="both"/>
      </w:pPr>
    </w:p>
    <w:p w14:paraId="023A3E47" w14:textId="77777777" w:rsidR="003D68A6" w:rsidRDefault="003D68A6">
      <w:pPr>
        <w:spacing w:line="360" w:lineRule="auto"/>
        <w:jc w:val="both"/>
      </w:pPr>
    </w:p>
    <w:p w14:paraId="0F73DCD3" w14:textId="77777777" w:rsidR="003D68A6" w:rsidRDefault="003D68A6">
      <w:pPr>
        <w:spacing w:line="360" w:lineRule="auto"/>
        <w:jc w:val="both"/>
        <w:rPr>
          <w:b/>
          <w:bCs/>
          <w:u w:val="single"/>
          <w:rtl/>
        </w:rPr>
      </w:pPr>
    </w:p>
    <w:p w14:paraId="6AEB3284" w14:textId="77777777" w:rsidR="003D68A6" w:rsidRDefault="003D68A6">
      <w:pPr>
        <w:spacing w:line="360" w:lineRule="auto"/>
        <w:jc w:val="both"/>
        <w:rPr>
          <w:b/>
          <w:bCs/>
          <w:u w:val="single"/>
          <w:rtl/>
        </w:rPr>
      </w:pPr>
    </w:p>
    <w:p w14:paraId="5BFDD4B5" w14:textId="77777777" w:rsidR="003D68A6" w:rsidRDefault="003D68A6">
      <w:pPr>
        <w:spacing w:line="360" w:lineRule="auto"/>
        <w:jc w:val="both"/>
        <w:rPr>
          <w:b/>
          <w:bCs/>
          <w:u w:val="single"/>
          <w:rtl/>
        </w:rPr>
      </w:pPr>
    </w:p>
    <w:p w14:paraId="33D60D2E" w14:textId="77777777" w:rsidR="003D68A6" w:rsidRDefault="003D68A6">
      <w:pPr>
        <w:spacing w:line="360" w:lineRule="auto"/>
        <w:jc w:val="both"/>
        <w:rPr>
          <w:b/>
          <w:bCs/>
          <w:u w:val="single"/>
          <w:rtl/>
        </w:rPr>
      </w:pPr>
    </w:p>
    <w:p w14:paraId="35C466FE" w14:textId="77777777" w:rsidR="003D68A6" w:rsidRDefault="003D68A6">
      <w:pPr>
        <w:spacing w:line="360" w:lineRule="auto"/>
        <w:jc w:val="both"/>
        <w:rPr>
          <w:b/>
          <w:bCs/>
          <w:u w:val="single"/>
          <w:rtl/>
        </w:rPr>
      </w:pPr>
    </w:p>
    <w:p w14:paraId="4AAFEA7A" w14:textId="77777777" w:rsidR="003D68A6" w:rsidRDefault="003D68A6">
      <w:pPr>
        <w:spacing w:line="360" w:lineRule="auto"/>
        <w:jc w:val="both"/>
        <w:rPr>
          <w:b/>
          <w:bCs/>
          <w:u w:val="single"/>
          <w:rtl/>
        </w:rPr>
      </w:pPr>
    </w:p>
    <w:p w14:paraId="59C319BE" w14:textId="77777777" w:rsidR="003D68A6" w:rsidRDefault="008C3250">
      <w:pPr>
        <w:spacing w:line="360" w:lineRule="auto"/>
        <w:jc w:val="both"/>
        <w:rPr>
          <w:b/>
          <w:bCs/>
          <w:u w:val="single"/>
          <w:rtl/>
        </w:rPr>
      </w:pPr>
      <w:r>
        <w:rPr>
          <w:rFonts w:hint="cs"/>
          <w:b/>
          <w:bCs/>
          <w:u w:val="single"/>
          <w:rtl/>
        </w:rPr>
        <w:t xml:space="preserve">כב' השופטת שרה דותן </w:t>
      </w:r>
      <w:r>
        <w:rPr>
          <w:b/>
          <w:bCs/>
          <w:u w:val="single"/>
          <w:rtl/>
        </w:rPr>
        <w:t>–</w:t>
      </w:r>
      <w:r>
        <w:rPr>
          <w:rFonts w:hint="cs"/>
          <w:b/>
          <w:bCs/>
          <w:u w:val="single"/>
          <w:rtl/>
        </w:rPr>
        <w:t xml:space="preserve"> אב"ד:</w:t>
      </w:r>
    </w:p>
    <w:p w14:paraId="2CBF7C8B" w14:textId="77777777" w:rsidR="003D68A6" w:rsidRDefault="008C3250">
      <w:pPr>
        <w:spacing w:line="360" w:lineRule="auto"/>
        <w:jc w:val="both"/>
        <w:rPr>
          <w:rtl/>
        </w:rPr>
      </w:pPr>
      <w:r>
        <w:rPr>
          <w:rFonts w:hint="cs"/>
          <w:rtl/>
        </w:rPr>
        <w:t>אני מסכימה.</w:t>
      </w:r>
    </w:p>
    <w:tbl>
      <w:tblPr>
        <w:tblpPr w:leftFromText="180" w:rightFromText="180" w:vertAnchor="page" w:horzAnchor="page" w:tblpX="2098" w:tblpY="3661"/>
        <w:bidiVisual/>
        <w:tblW w:w="0" w:type="auto"/>
        <w:tblLook w:val="01E0" w:firstRow="1" w:lastRow="1" w:firstColumn="1" w:lastColumn="1" w:noHBand="0" w:noVBand="0"/>
      </w:tblPr>
      <w:tblGrid>
        <w:gridCol w:w="2962"/>
      </w:tblGrid>
      <w:tr w:rsidR="003D68A6" w14:paraId="7A986C37" w14:textId="77777777">
        <w:tc>
          <w:tcPr>
            <w:tcW w:w="2962" w:type="dxa"/>
            <w:tcBorders>
              <w:top w:val="nil"/>
              <w:left w:val="nil"/>
              <w:bottom w:val="single" w:sz="4" w:space="0" w:color="auto"/>
              <w:right w:val="nil"/>
            </w:tcBorders>
            <w:vAlign w:val="center"/>
          </w:tcPr>
          <w:p w14:paraId="4919B743" w14:textId="77777777" w:rsidR="003D68A6" w:rsidRDefault="003D68A6">
            <w:pPr>
              <w:spacing w:line="360" w:lineRule="auto"/>
              <w:jc w:val="center"/>
              <w:rPr>
                <w:rFonts w:ascii="Courier New" w:hAnsi="Courier New"/>
                <w:b/>
                <w:bCs/>
                <w:rtl/>
              </w:rPr>
            </w:pPr>
          </w:p>
        </w:tc>
      </w:tr>
      <w:tr w:rsidR="003D68A6" w14:paraId="1E4B8AC8" w14:textId="77777777">
        <w:tc>
          <w:tcPr>
            <w:tcW w:w="2962" w:type="dxa"/>
            <w:tcBorders>
              <w:top w:val="single" w:sz="4" w:space="0" w:color="auto"/>
              <w:left w:val="nil"/>
              <w:bottom w:val="nil"/>
              <w:right w:val="nil"/>
            </w:tcBorders>
            <w:vAlign w:val="bottom"/>
          </w:tcPr>
          <w:p w14:paraId="447C62E1" w14:textId="77777777" w:rsidR="003D68A6" w:rsidRDefault="008C3250">
            <w:pPr>
              <w:spacing w:line="360" w:lineRule="auto"/>
              <w:jc w:val="center"/>
              <w:rPr>
                <w:rFonts w:ascii="Courier New" w:hAnsi="Courier New"/>
                <w:b/>
                <w:bCs/>
                <w:rtl/>
              </w:rPr>
            </w:pPr>
            <w:r>
              <w:rPr>
                <w:rFonts w:ascii="Courier New" w:hAnsi="Courier New" w:hint="cs"/>
                <w:b/>
                <w:bCs/>
                <w:rtl/>
              </w:rPr>
              <w:t>שרה דותן, שופטת</w:t>
            </w:r>
          </w:p>
          <w:p w14:paraId="72EA36F7" w14:textId="77777777" w:rsidR="003D68A6" w:rsidRDefault="008C3250">
            <w:pPr>
              <w:spacing w:line="360" w:lineRule="auto"/>
              <w:jc w:val="center"/>
              <w:rPr>
                <w:rFonts w:ascii="Courier New" w:hAnsi="Courier New"/>
                <w:b/>
                <w:bCs/>
              </w:rPr>
            </w:pPr>
            <w:r>
              <w:rPr>
                <w:rFonts w:ascii="Courier New" w:hAnsi="Courier New" w:hint="cs"/>
                <w:b/>
                <w:bCs/>
                <w:rtl/>
              </w:rPr>
              <w:t>אב"ד</w:t>
            </w:r>
          </w:p>
        </w:tc>
      </w:tr>
    </w:tbl>
    <w:p w14:paraId="5317E79B" w14:textId="77777777" w:rsidR="003D68A6" w:rsidRDefault="003D68A6">
      <w:pPr>
        <w:spacing w:line="360" w:lineRule="auto"/>
        <w:jc w:val="both"/>
        <w:rPr>
          <w:rtl/>
        </w:rPr>
      </w:pPr>
    </w:p>
    <w:p w14:paraId="571D140D" w14:textId="77777777" w:rsidR="003D68A6" w:rsidRDefault="003D68A6">
      <w:pPr>
        <w:spacing w:line="360" w:lineRule="auto"/>
        <w:jc w:val="both"/>
        <w:rPr>
          <w:rtl/>
        </w:rPr>
      </w:pPr>
    </w:p>
    <w:p w14:paraId="11972266" w14:textId="77777777" w:rsidR="003D68A6" w:rsidRDefault="003D68A6">
      <w:pPr>
        <w:spacing w:line="360" w:lineRule="auto"/>
        <w:jc w:val="both"/>
        <w:rPr>
          <w:rtl/>
        </w:rPr>
      </w:pPr>
    </w:p>
    <w:p w14:paraId="6E0F5734" w14:textId="77777777" w:rsidR="003D68A6" w:rsidRDefault="003D68A6">
      <w:pPr>
        <w:spacing w:line="360" w:lineRule="auto"/>
        <w:jc w:val="both"/>
        <w:rPr>
          <w:b/>
          <w:bCs/>
          <w:u w:val="single"/>
          <w:rtl/>
        </w:rPr>
      </w:pPr>
    </w:p>
    <w:p w14:paraId="5D914FEA" w14:textId="77777777" w:rsidR="003D68A6" w:rsidRDefault="003D68A6">
      <w:pPr>
        <w:spacing w:line="360" w:lineRule="auto"/>
        <w:jc w:val="both"/>
        <w:rPr>
          <w:b/>
          <w:bCs/>
          <w:u w:val="single"/>
          <w:rtl/>
        </w:rPr>
      </w:pPr>
    </w:p>
    <w:p w14:paraId="2AB39EBF" w14:textId="77777777" w:rsidR="003D68A6" w:rsidRDefault="003D68A6">
      <w:pPr>
        <w:spacing w:line="360" w:lineRule="auto"/>
        <w:rPr>
          <w:rtl/>
        </w:rPr>
      </w:pPr>
    </w:p>
    <w:p w14:paraId="47DDDDF4" w14:textId="77777777" w:rsidR="003D68A6" w:rsidRDefault="003D68A6">
      <w:pPr>
        <w:spacing w:line="360" w:lineRule="auto"/>
      </w:pPr>
    </w:p>
    <w:p w14:paraId="2598A7F1" w14:textId="77777777" w:rsidR="003D68A6" w:rsidRDefault="003D68A6">
      <w:pPr>
        <w:spacing w:line="360" w:lineRule="auto"/>
        <w:jc w:val="both"/>
        <w:rPr>
          <w:rtl/>
        </w:rPr>
      </w:pPr>
    </w:p>
    <w:p w14:paraId="6C6F9B45" w14:textId="77777777" w:rsidR="003D68A6" w:rsidRDefault="003D68A6">
      <w:pPr>
        <w:spacing w:line="360" w:lineRule="auto"/>
        <w:jc w:val="both"/>
        <w:rPr>
          <w:rtl/>
        </w:rPr>
      </w:pPr>
    </w:p>
    <w:p w14:paraId="10A4944A" w14:textId="77777777" w:rsidR="003D68A6" w:rsidRDefault="003D68A6">
      <w:pPr>
        <w:spacing w:line="360" w:lineRule="auto"/>
        <w:jc w:val="both"/>
        <w:rPr>
          <w:rtl/>
        </w:rPr>
      </w:pPr>
    </w:p>
    <w:p w14:paraId="14D995DB" w14:textId="77777777" w:rsidR="003D68A6" w:rsidRDefault="003D68A6">
      <w:pPr>
        <w:spacing w:line="360" w:lineRule="auto"/>
        <w:jc w:val="both"/>
        <w:rPr>
          <w:rtl/>
        </w:rPr>
      </w:pPr>
    </w:p>
    <w:p w14:paraId="7A56A428" w14:textId="77777777" w:rsidR="003D68A6" w:rsidRDefault="008C3250">
      <w:pPr>
        <w:spacing w:line="360" w:lineRule="auto"/>
        <w:jc w:val="both"/>
        <w:rPr>
          <w:b/>
          <w:bCs/>
          <w:u w:val="single"/>
          <w:rtl/>
        </w:rPr>
      </w:pPr>
      <w:r>
        <w:rPr>
          <w:rFonts w:hint="cs"/>
          <w:b/>
          <w:bCs/>
          <w:u w:val="single"/>
          <w:rtl/>
        </w:rPr>
        <w:t>כב' השופט ירון לוי:</w:t>
      </w:r>
    </w:p>
    <w:p w14:paraId="68E49C2C" w14:textId="77777777" w:rsidR="003D68A6" w:rsidRDefault="008C3250">
      <w:pPr>
        <w:spacing w:line="360" w:lineRule="auto"/>
        <w:jc w:val="both"/>
        <w:rPr>
          <w:rtl/>
        </w:rPr>
      </w:pPr>
      <w:r>
        <w:rPr>
          <w:rFonts w:hint="cs"/>
          <w:rtl/>
        </w:rPr>
        <w:t>אני מסכים.</w:t>
      </w:r>
    </w:p>
    <w:tbl>
      <w:tblPr>
        <w:bidiVisual/>
        <w:tblW w:w="0" w:type="auto"/>
        <w:tblInd w:w="4785" w:type="dxa"/>
        <w:tblLook w:val="01E0" w:firstRow="1" w:lastRow="1" w:firstColumn="1" w:lastColumn="1" w:noHBand="0" w:noVBand="0"/>
      </w:tblPr>
      <w:tblGrid>
        <w:gridCol w:w="2977"/>
      </w:tblGrid>
      <w:tr w:rsidR="003D68A6" w14:paraId="5E8F8C93" w14:textId="77777777">
        <w:tc>
          <w:tcPr>
            <w:tcW w:w="2977" w:type="dxa"/>
            <w:tcBorders>
              <w:top w:val="nil"/>
              <w:left w:val="nil"/>
              <w:bottom w:val="single" w:sz="4" w:space="0" w:color="auto"/>
              <w:right w:val="nil"/>
            </w:tcBorders>
            <w:vAlign w:val="center"/>
          </w:tcPr>
          <w:p w14:paraId="254837C0" w14:textId="77777777" w:rsidR="003D68A6" w:rsidRDefault="003D68A6">
            <w:pPr>
              <w:spacing w:line="360" w:lineRule="auto"/>
              <w:jc w:val="center"/>
              <w:rPr>
                <w:rFonts w:ascii="Courier New" w:hAnsi="Courier New"/>
                <w:b/>
                <w:bCs/>
                <w:lang w:eastAsia="he-IL"/>
              </w:rPr>
            </w:pPr>
          </w:p>
        </w:tc>
      </w:tr>
      <w:tr w:rsidR="003D68A6" w14:paraId="55F00EE1" w14:textId="77777777">
        <w:tc>
          <w:tcPr>
            <w:tcW w:w="2977" w:type="dxa"/>
            <w:tcBorders>
              <w:top w:val="single" w:sz="4" w:space="0" w:color="auto"/>
              <w:left w:val="nil"/>
              <w:bottom w:val="nil"/>
              <w:right w:val="nil"/>
            </w:tcBorders>
          </w:tcPr>
          <w:p w14:paraId="4410DCB6" w14:textId="77777777" w:rsidR="003D68A6" w:rsidRDefault="008C3250">
            <w:pPr>
              <w:spacing w:line="360" w:lineRule="auto"/>
              <w:jc w:val="center"/>
              <w:rPr>
                <w:rFonts w:ascii="Courier New" w:hAnsi="Courier New"/>
                <w:b/>
                <w:bCs/>
                <w:lang w:eastAsia="he-IL"/>
              </w:rPr>
            </w:pPr>
            <w:r>
              <w:rPr>
                <w:rFonts w:ascii="Courier New" w:hAnsi="Courier New"/>
                <w:b/>
                <w:bCs/>
                <w:rtl/>
              </w:rPr>
              <w:t>ירון לוי, שופט</w:t>
            </w:r>
          </w:p>
        </w:tc>
      </w:tr>
    </w:tbl>
    <w:p w14:paraId="7577A2A1" w14:textId="77777777" w:rsidR="003D68A6" w:rsidRDefault="003D68A6">
      <w:pPr>
        <w:spacing w:line="360" w:lineRule="auto"/>
        <w:jc w:val="both"/>
        <w:rPr>
          <w:rtl/>
        </w:rPr>
      </w:pPr>
    </w:p>
    <w:p w14:paraId="09A6F2FA" w14:textId="77777777" w:rsidR="003D68A6" w:rsidRDefault="008C3250">
      <w:pPr>
        <w:spacing w:line="360" w:lineRule="auto"/>
        <w:jc w:val="both"/>
        <w:rPr>
          <w:b/>
          <w:bCs/>
          <w:u w:val="single"/>
          <w:rtl/>
        </w:rPr>
      </w:pPr>
      <w:r>
        <w:rPr>
          <w:rFonts w:hint="cs"/>
          <w:b/>
          <w:bCs/>
          <w:u w:val="single"/>
          <w:rtl/>
        </w:rPr>
        <w:t>סוף דבר:</w:t>
      </w:r>
    </w:p>
    <w:p w14:paraId="64C4174B" w14:textId="77777777" w:rsidR="003D68A6" w:rsidRDefault="008C3250">
      <w:pPr>
        <w:spacing w:line="360" w:lineRule="auto"/>
        <w:jc w:val="both"/>
        <w:rPr>
          <w:rtl/>
        </w:rPr>
      </w:pPr>
      <w:r>
        <w:rPr>
          <w:rFonts w:hint="cs"/>
          <w:rtl/>
        </w:rPr>
        <w:t>אנו גוזרים על הנאשמים את העונשים הבאים:</w:t>
      </w:r>
    </w:p>
    <w:p w14:paraId="51BE741C" w14:textId="77777777" w:rsidR="003D68A6" w:rsidRDefault="003D68A6">
      <w:pPr>
        <w:spacing w:line="360" w:lineRule="auto"/>
        <w:jc w:val="both"/>
        <w:rPr>
          <w:rtl/>
        </w:rPr>
      </w:pPr>
    </w:p>
    <w:p w14:paraId="1279242D" w14:textId="77777777" w:rsidR="003D68A6" w:rsidRDefault="008C3250">
      <w:pPr>
        <w:spacing w:line="360" w:lineRule="auto"/>
        <w:jc w:val="both"/>
        <w:rPr>
          <w:u w:val="single"/>
          <w:rtl/>
        </w:rPr>
      </w:pPr>
      <w:r>
        <w:rPr>
          <w:rFonts w:hint="cs"/>
          <w:u w:val="single"/>
          <w:rtl/>
        </w:rPr>
        <w:t>נאשם 1 – ערן בראנץ</w:t>
      </w:r>
    </w:p>
    <w:p w14:paraId="4C6D8932" w14:textId="77777777" w:rsidR="003D68A6" w:rsidRDefault="003D68A6">
      <w:pPr>
        <w:spacing w:line="360" w:lineRule="auto"/>
        <w:jc w:val="both"/>
        <w:rPr>
          <w:rtl/>
        </w:rPr>
      </w:pPr>
    </w:p>
    <w:p w14:paraId="21351B82" w14:textId="77777777" w:rsidR="003D68A6" w:rsidRDefault="008C3250">
      <w:pPr>
        <w:spacing w:line="360" w:lineRule="auto"/>
        <w:ind w:left="720" w:hanging="720"/>
        <w:jc w:val="both"/>
        <w:rPr>
          <w:rtl/>
        </w:rPr>
      </w:pPr>
      <w:r>
        <w:rPr>
          <w:rFonts w:hint="cs"/>
          <w:rtl/>
        </w:rPr>
        <w:t>א.</w:t>
      </w:r>
      <w:r>
        <w:rPr>
          <w:rFonts w:hint="cs"/>
          <w:rtl/>
        </w:rPr>
        <w:tab/>
        <w:t xml:space="preserve">7 (שבע) שנות מאסר בפועל, החל מיום מעצרו – 2.12.12; </w:t>
      </w:r>
    </w:p>
    <w:p w14:paraId="0D6D03A0" w14:textId="77777777" w:rsidR="003D68A6" w:rsidRDefault="008C3250">
      <w:pPr>
        <w:spacing w:line="360" w:lineRule="auto"/>
        <w:ind w:left="720" w:hanging="720"/>
        <w:jc w:val="both"/>
        <w:rPr>
          <w:rtl/>
        </w:rPr>
      </w:pPr>
      <w:r>
        <w:rPr>
          <w:rFonts w:hint="cs"/>
          <w:rtl/>
        </w:rPr>
        <w:t>ב.</w:t>
      </w:r>
      <w:r>
        <w:rPr>
          <w:rFonts w:hint="cs"/>
          <w:rtl/>
        </w:rPr>
        <w:tab/>
        <w:t xml:space="preserve">12 חודשי מאסר על תנאי, לבל יעבור הנאשם במשך שלוש שנים מיום שחרורו ממאסרו (אפילו שחרור ברישיון) עבירת אלימות מסוג פשע או עבירה של נשיאת נשק; </w:t>
      </w:r>
    </w:p>
    <w:p w14:paraId="2A30C9D9" w14:textId="77777777" w:rsidR="003D68A6" w:rsidRDefault="008C3250">
      <w:pPr>
        <w:spacing w:line="360" w:lineRule="auto"/>
        <w:ind w:left="720" w:hanging="720"/>
        <w:jc w:val="both"/>
        <w:rPr>
          <w:rtl/>
        </w:rPr>
      </w:pPr>
      <w:r>
        <w:rPr>
          <w:rFonts w:hint="cs"/>
          <w:rtl/>
        </w:rPr>
        <w:t>ג.</w:t>
      </w:r>
      <w:r>
        <w:rPr>
          <w:rFonts w:hint="cs"/>
          <w:rtl/>
        </w:rPr>
        <w:tab/>
        <w:t xml:space="preserve">פיצוי כספי למתלונן חנן שלום בסך של 10,000 ₪. הפיצוי ישולם באמצעות כספי הפיקדון שהפקיד הנאשם 3 (אליאס בראנץ) (הסכמתו לכך ניתנה לפנינו בדיון מיום 5.2.14) בתיק </w:t>
      </w:r>
      <w:r>
        <w:t>32699-12-12</w:t>
      </w:r>
      <w:r>
        <w:rPr>
          <w:rFonts w:hint="cs"/>
          <w:rtl/>
        </w:rPr>
        <w:t xml:space="preserve">, שובר מס' 10042410215, מיום 18.4.13, ויועבר למתלונן בהתאם לפרטים שתמסור המאשימה למזכירות. </w:t>
      </w:r>
    </w:p>
    <w:p w14:paraId="2CBC5091" w14:textId="77777777" w:rsidR="003D68A6" w:rsidRDefault="003D68A6">
      <w:pPr>
        <w:spacing w:line="360" w:lineRule="auto"/>
        <w:jc w:val="both"/>
        <w:rPr>
          <w:rtl/>
        </w:rPr>
      </w:pPr>
    </w:p>
    <w:p w14:paraId="4F6B9022" w14:textId="77777777" w:rsidR="003D68A6" w:rsidRDefault="003D68A6">
      <w:pPr>
        <w:spacing w:line="360" w:lineRule="auto"/>
        <w:jc w:val="both"/>
        <w:rPr>
          <w:rtl/>
        </w:rPr>
      </w:pPr>
    </w:p>
    <w:p w14:paraId="6C8550CD" w14:textId="77777777" w:rsidR="003D68A6" w:rsidRDefault="003D68A6">
      <w:pPr>
        <w:spacing w:line="360" w:lineRule="auto"/>
        <w:jc w:val="both"/>
        <w:rPr>
          <w:rtl/>
        </w:rPr>
      </w:pPr>
    </w:p>
    <w:p w14:paraId="5179AA41" w14:textId="77777777" w:rsidR="003D68A6" w:rsidRDefault="003D68A6">
      <w:pPr>
        <w:spacing w:line="360" w:lineRule="auto"/>
        <w:jc w:val="both"/>
        <w:rPr>
          <w:rtl/>
        </w:rPr>
      </w:pPr>
    </w:p>
    <w:p w14:paraId="43855B1A" w14:textId="77777777" w:rsidR="003D68A6" w:rsidRDefault="008C3250">
      <w:pPr>
        <w:spacing w:line="360" w:lineRule="auto"/>
        <w:jc w:val="both"/>
        <w:rPr>
          <w:u w:val="single"/>
          <w:rtl/>
        </w:rPr>
      </w:pPr>
      <w:r>
        <w:rPr>
          <w:rFonts w:hint="cs"/>
          <w:rtl/>
        </w:rPr>
        <w:t xml:space="preserve"> </w:t>
      </w:r>
      <w:r>
        <w:rPr>
          <w:rFonts w:hint="cs"/>
          <w:u w:val="single"/>
          <w:rtl/>
        </w:rPr>
        <w:t>נאשם 2 – אבירם בראנץ</w:t>
      </w:r>
    </w:p>
    <w:p w14:paraId="6E04C5F7" w14:textId="77777777" w:rsidR="003D68A6" w:rsidRDefault="003D68A6">
      <w:pPr>
        <w:spacing w:line="360" w:lineRule="auto"/>
        <w:jc w:val="both"/>
        <w:rPr>
          <w:rtl/>
        </w:rPr>
      </w:pPr>
    </w:p>
    <w:p w14:paraId="482B868C" w14:textId="77777777" w:rsidR="003D68A6" w:rsidRDefault="008C3250">
      <w:pPr>
        <w:spacing w:line="360" w:lineRule="auto"/>
        <w:ind w:left="720" w:hanging="720"/>
        <w:jc w:val="both"/>
        <w:rPr>
          <w:rtl/>
        </w:rPr>
      </w:pPr>
      <w:r>
        <w:rPr>
          <w:rFonts w:hint="cs"/>
          <w:rtl/>
        </w:rPr>
        <w:t>א.</w:t>
      </w:r>
      <w:r>
        <w:rPr>
          <w:rFonts w:hint="cs"/>
          <w:rtl/>
        </w:rPr>
        <w:tab/>
        <w:t xml:space="preserve">3 (שלוש) שנות מאסר בפועל, בניכוי ימי המעצר (מיום 2.12.12 עד יום 29.7.13 כולל); </w:t>
      </w:r>
    </w:p>
    <w:p w14:paraId="48D57F67" w14:textId="77777777" w:rsidR="003D68A6" w:rsidRDefault="008C3250">
      <w:pPr>
        <w:spacing w:line="360" w:lineRule="auto"/>
        <w:ind w:left="720" w:hanging="720"/>
        <w:jc w:val="both"/>
        <w:rPr>
          <w:rtl/>
        </w:rPr>
      </w:pPr>
      <w:r>
        <w:rPr>
          <w:rFonts w:hint="cs"/>
          <w:rtl/>
        </w:rPr>
        <w:t>ב.</w:t>
      </w:r>
      <w:r>
        <w:rPr>
          <w:rFonts w:hint="cs"/>
          <w:rtl/>
        </w:rPr>
        <w:tab/>
        <w:t xml:space="preserve">6 (ששה) חודשי מאסר על תנאי, לבל יעבור הנאשם במשך שלוש שנים מיום שחרורו ממאסרו (אפילו שחרור ברישיון) עבירת אלימות מסוג פשע, לרבות סיוע לעבירה כזו; </w:t>
      </w:r>
    </w:p>
    <w:p w14:paraId="41856464" w14:textId="77777777" w:rsidR="003D68A6" w:rsidRDefault="008C3250">
      <w:pPr>
        <w:spacing w:line="360" w:lineRule="auto"/>
        <w:ind w:left="720" w:hanging="720"/>
        <w:jc w:val="both"/>
        <w:rPr>
          <w:rtl/>
        </w:rPr>
      </w:pPr>
      <w:r>
        <w:rPr>
          <w:rFonts w:hint="cs"/>
          <w:rtl/>
        </w:rPr>
        <w:t>ג.</w:t>
      </w:r>
      <w:r>
        <w:rPr>
          <w:rFonts w:hint="cs"/>
          <w:rtl/>
        </w:rPr>
        <w:tab/>
        <w:t xml:space="preserve">פיצוי כספי למתלונן חנן שלום בסך של 10,000 ₪. הפיצוי ישולם באמצעות כספי הפיקדון שהפקיד הנאשם 2 בתיק </w:t>
      </w:r>
      <w:r>
        <w:t>32699-12-12</w:t>
      </w:r>
      <w:r>
        <w:rPr>
          <w:rFonts w:hint="cs"/>
          <w:rtl/>
        </w:rPr>
        <w:t xml:space="preserve">, שובר מס' 10045716703, מיום 29.7.13, ויועבר למתלונן בהתאם לפרטים שתמסור המאשימה למזכירות. </w:t>
      </w:r>
    </w:p>
    <w:p w14:paraId="35691F3B" w14:textId="77777777" w:rsidR="003D68A6" w:rsidRDefault="003D68A6">
      <w:pPr>
        <w:spacing w:line="360" w:lineRule="auto"/>
        <w:jc w:val="both"/>
        <w:rPr>
          <w:rtl/>
        </w:rPr>
      </w:pPr>
    </w:p>
    <w:p w14:paraId="1CDFD82D" w14:textId="77777777" w:rsidR="003D68A6" w:rsidRDefault="008C3250">
      <w:pPr>
        <w:spacing w:line="360" w:lineRule="auto"/>
        <w:jc w:val="both"/>
        <w:rPr>
          <w:u w:val="single"/>
          <w:rtl/>
        </w:rPr>
      </w:pPr>
      <w:r>
        <w:rPr>
          <w:rFonts w:hint="cs"/>
          <w:u w:val="single"/>
          <w:rtl/>
        </w:rPr>
        <w:t>נאשם 3 – אליאס בראנץ</w:t>
      </w:r>
    </w:p>
    <w:p w14:paraId="52750399" w14:textId="77777777" w:rsidR="003D68A6" w:rsidRDefault="003D68A6">
      <w:pPr>
        <w:spacing w:line="360" w:lineRule="auto"/>
        <w:jc w:val="both"/>
        <w:rPr>
          <w:rtl/>
        </w:rPr>
      </w:pPr>
    </w:p>
    <w:p w14:paraId="6E17E8D5" w14:textId="77777777" w:rsidR="003D68A6" w:rsidRDefault="008C3250">
      <w:pPr>
        <w:spacing w:line="360" w:lineRule="auto"/>
        <w:ind w:left="720" w:hanging="720"/>
        <w:jc w:val="both"/>
        <w:rPr>
          <w:rtl/>
        </w:rPr>
      </w:pPr>
      <w:r>
        <w:rPr>
          <w:rFonts w:hint="cs"/>
          <w:rtl/>
        </w:rPr>
        <w:t>א.</w:t>
      </w:r>
      <w:r>
        <w:rPr>
          <w:rFonts w:hint="cs"/>
          <w:rtl/>
        </w:rPr>
        <w:tab/>
        <w:t xml:space="preserve">6 (ששה) חודשי מאסר בפועל; המאסר ירוצה בדרך של עבודות שירות, במועצה המקומית שגב שלום, מחלקת שפ"ע, חמישה ימים בשבוע, שמונה שעות וחצי בכל יום, זאת החל מיום 5.3.14 (מפקח אחראי: מר אריה מלול, טל. </w:t>
      </w:r>
      <w:r>
        <w:t>050-4063862</w:t>
      </w:r>
      <w:r>
        <w:rPr>
          <w:rFonts w:hint="cs"/>
          <w:rtl/>
        </w:rPr>
        <w:t xml:space="preserve">). על הנאשם להתייצב במועד האמור במשרדי הממונה על עבודות השירות. </w:t>
      </w:r>
    </w:p>
    <w:p w14:paraId="264C34EF" w14:textId="77777777" w:rsidR="003D68A6" w:rsidRDefault="008C3250">
      <w:pPr>
        <w:spacing w:line="360" w:lineRule="auto"/>
        <w:ind w:left="720" w:hanging="720"/>
        <w:jc w:val="both"/>
        <w:rPr>
          <w:rtl/>
        </w:rPr>
      </w:pPr>
      <w:r>
        <w:rPr>
          <w:rFonts w:hint="cs"/>
          <w:rtl/>
        </w:rPr>
        <w:t>ב.</w:t>
      </w:r>
      <w:r>
        <w:rPr>
          <w:rFonts w:hint="cs"/>
          <w:rtl/>
        </w:rPr>
        <w:tab/>
        <w:t xml:space="preserve">6 (ששה) חודשי מאסר על תנאי, לבל יעבור הנאשם במשך שלוש שנים מהיום עבירת אלימות או נשיאת נשק, לרבות עבירת סיוע לעבירות אלו; </w:t>
      </w:r>
    </w:p>
    <w:p w14:paraId="54976A8C" w14:textId="77777777" w:rsidR="003D68A6" w:rsidRDefault="003D68A6">
      <w:pPr>
        <w:spacing w:line="360" w:lineRule="auto"/>
        <w:jc w:val="both"/>
        <w:rPr>
          <w:rtl/>
        </w:rPr>
      </w:pPr>
    </w:p>
    <w:p w14:paraId="4FDF5FC4" w14:textId="77777777" w:rsidR="003D68A6" w:rsidRDefault="008C3250">
      <w:pPr>
        <w:spacing w:line="360" w:lineRule="auto"/>
        <w:ind w:left="720"/>
        <w:jc w:val="both"/>
        <w:rPr>
          <w:rtl/>
        </w:rPr>
      </w:pPr>
      <w:r>
        <w:rPr>
          <w:rFonts w:hint="cs"/>
          <w:rtl/>
        </w:rPr>
        <w:t xml:space="preserve">האופנוע סאן יאנג מדגם </w:t>
      </w:r>
      <w:r>
        <w:t>jr200</w:t>
      </w:r>
      <w:r>
        <w:rPr>
          <w:rFonts w:hint="cs"/>
          <w:rtl/>
        </w:rPr>
        <w:t xml:space="preserve"> מ"ר </w:t>
      </w:r>
      <w:r>
        <w:t>52-047-13</w:t>
      </w:r>
      <w:r>
        <w:rPr>
          <w:rFonts w:hint="cs"/>
          <w:rtl/>
        </w:rPr>
        <w:t>השייך לנאשם 2, ואשר שימש לביצוע העבירה – יחולט לטובת המדינה.</w:t>
      </w:r>
    </w:p>
    <w:p w14:paraId="4769B30D" w14:textId="77777777" w:rsidR="003D68A6" w:rsidRDefault="003D68A6">
      <w:pPr>
        <w:spacing w:line="360" w:lineRule="auto"/>
        <w:jc w:val="both"/>
        <w:rPr>
          <w:rtl/>
        </w:rPr>
      </w:pPr>
    </w:p>
    <w:p w14:paraId="3D06D330" w14:textId="77777777" w:rsidR="003D68A6" w:rsidRDefault="008C3250">
      <w:pPr>
        <w:spacing w:line="360" w:lineRule="auto"/>
        <w:jc w:val="both"/>
        <w:rPr>
          <w:b/>
          <w:bCs/>
          <w:u w:val="single"/>
          <w:rtl/>
        </w:rPr>
      </w:pPr>
      <w:r>
        <w:rPr>
          <w:rFonts w:hint="cs"/>
          <w:b/>
          <w:bCs/>
          <w:u w:val="single"/>
          <w:rtl/>
        </w:rPr>
        <w:t>מזכירות בית-המשפט תשלח העתק גזר הדין לממונה על עבודות השירות וכן לשירות המבחן למבוגרים.</w:t>
      </w:r>
    </w:p>
    <w:p w14:paraId="49E0ADA1" w14:textId="77777777" w:rsidR="003D68A6" w:rsidRDefault="003D68A6">
      <w:pPr>
        <w:spacing w:line="360" w:lineRule="auto"/>
        <w:jc w:val="both"/>
        <w:rPr>
          <w:b/>
          <w:bCs/>
          <w:u w:val="single"/>
          <w:rtl/>
        </w:rPr>
      </w:pPr>
    </w:p>
    <w:p w14:paraId="4B71E77C" w14:textId="77777777" w:rsidR="003D68A6" w:rsidRDefault="008C3250">
      <w:pPr>
        <w:spacing w:line="360" w:lineRule="auto"/>
        <w:jc w:val="both"/>
        <w:rPr>
          <w:b/>
          <w:bCs/>
          <w:u w:val="single"/>
          <w:rtl/>
        </w:rPr>
      </w:pPr>
      <w:r>
        <w:rPr>
          <w:rFonts w:hint="cs"/>
          <w:b/>
          <w:bCs/>
          <w:u w:val="single"/>
          <w:rtl/>
        </w:rPr>
        <w:t xml:space="preserve">זכות ערעור לבית-המשפט העליון בתוך 45 יום. </w:t>
      </w:r>
    </w:p>
    <w:p w14:paraId="6BCA4C65" w14:textId="77777777" w:rsidR="003D68A6" w:rsidRDefault="003D68A6">
      <w:pPr>
        <w:spacing w:line="360" w:lineRule="auto"/>
        <w:rPr>
          <w:rtl/>
        </w:rPr>
      </w:pPr>
    </w:p>
    <w:p w14:paraId="4AE1C26A" w14:textId="77777777" w:rsidR="003D68A6" w:rsidRPr="008C3250" w:rsidRDefault="008C3250">
      <w:pPr>
        <w:spacing w:line="360" w:lineRule="auto"/>
        <w:rPr>
          <w:color w:val="FFFFFF"/>
          <w:sz w:val="2"/>
          <w:szCs w:val="2"/>
          <w:rtl/>
        </w:rPr>
      </w:pPr>
      <w:r w:rsidRPr="008C3250">
        <w:rPr>
          <w:color w:val="FFFFFF"/>
          <w:sz w:val="2"/>
          <w:szCs w:val="2"/>
          <w:rtl/>
        </w:rPr>
        <w:t>5129371</w:t>
      </w:r>
    </w:p>
    <w:tbl>
      <w:tblPr>
        <w:bidiVisual/>
        <w:tblW w:w="0" w:type="auto"/>
        <w:tblLook w:val="01E0" w:firstRow="1" w:lastRow="1" w:firstColumn="1" w:lastColumn="1" w:noHBand="0" w:noVBand="0"/>
      </w:tblPr>
      <w:tblGrid>
        <w:gridCol w:w="2719"/>
        <w:gridCol w:w="233"/>
        <w:gridCol w:w="3006"/>
        <w:gridCol w:w="282"/>
        <w:gridCol w:w="2481"/>
      </w:tblGrid>
      <w:tr w:rsidR="003D68A6" w14:paraId="27D3F393" w14:textId="77777777">
        <w:tc>
          <w:tcPr>
            <w:tcW w:w="2719" w:type="dxa"/>
            <w:tcBorders>
              <w:top w:val="nil"/>
              <w:left w:val="nil"/>
              <w:bottom w:val="single" w:sz="4" w:space="0" w:color="auto"/>
              <w:right w:val="nil"/>
            </w:tcBorders>
            <w:vAlign w:val="center"/>
          </w:tcPr>
          <w:p w14:paraId="51EC42EF" w14:textId="77777777" w:rsidR="003D68A6" w:rsidRDefault="008C3250">
            <w:pPr>
              <w:spacing w:line="360" w:lineRule="auto"/>
              <w:jc w:val="center"/>
              <w:rPr>
                <w:rFonts w:ascii="Courier New" w:hAnsi="Courier New"/>
                <w:b/>
                <w:bCs/>
                <w:lang w:eastAsia="he-IL"/>
              </w:rPr>
            </w:pPr>
            <w:r w:rsidRPr="008C3250">
              <w:rPr>
                <w:rFonts w:ascii="Arial" w:hAnsi="Arial"/>
                <w:b/>
                <w:bCs/>
                <w:color w:val="FFFFFF"/>
                <w:sz w:val="2"/>
                <w:szCs w:val="2"/>
                <w:rtl/>
              </w:rPr>
              <w:t>54678313</w:t>
            </w:r>
            <w:r>
              <w:rPr>
                <w:rFonts w:ascii="Arial" w:hAnsi="Arial"/>
                <w:b/>
                <w:bCs/>
                <w:rtl/>
              </w:rPr>
              <w:t xml:space="preserve">ניתן היום 24.2.14 במעמד הצדדים. </w:t>
            </w:r>
          </w:p>
        </w:tc>
        <w:tc>
          <w:tcPr>
            <w:tcW w:w="233" w:type="dxa"/>
            <w:vAlign w:val="center"/>
          </w:tcPr>
          <w:p w14:paraId="6FD0B046" w14:textId="77777777" w:rsidR="003D68A6" w:rsidRDefault="008C3250">
            <w:pPr>
              <w:spacing w:line="360" w:lineRule="auto"/>
              <w:jc w:val="center"/>
              <w:rPr>
                <w:rFonts w:ascii="Courier New" w:hAnsi="Courier New"/>
                <w:b/>
                <w:bCs/>
                <w:lang w:eastAsia="he-IL"/>
              </w:rPr>
            </w:pPr>
            <w:r>
              <w:rPr>
                <w:rFonts w:ascii="Courier New" w:hAnsi="Courier New"/>
                <w:b/>
                <w:bCs/>
                <w:rtl/>
                <w:lang w:eastAsia="he-IL"/>
              </w:rPr>
              <w:t xml:space="preserve">   </w:t>
            </w:r>
          </w:p>
        </w:tc>
        <w:tc>
          <w:tcPr>
            <w:tcW w:w="3006" w:type="dxa"/>
            <w:tcBorders>
              <w:top w:val="nil"/>
              <w:left w:val="nil"/>
              <w:bottom w:val="single" w:sz="4" w:space="0" w:color="auto"/>
              <w:right w:val="nil"/>
            </w:tcBorders>
            <w:vAlign w:val="center"/>
          </w:tcPr>
          <w:p w14:paraId="34076B63" w14:textId="77777777" w:rsidR="003D68A6" w:rsidRDefault="003D68A6">
            <w:pPr>
              <w:spacing w:line="360" w:lineRule="auto"/>
              <w:jc w:val="center"/>
              <w:rPr>
                <w:rFonts w:ascii="Courier New" w:hAnsi="Courier New"/>
                <w:b/>
                <w:bCs/>
                <w:lang w:eastAsia="he-IL"/>
              </w:rPr>
            </w:pPr>
          </w:p>
        </w:tc>
        <w:tc>
          <w:tcPr>
            <w:tcW w:w="282" w:type="dxa"/>
            <w:vAlign w:val="center"/>
          </w:tcPr>
          <w:p w14:paraId="1BAF757B" w14:textId="77777777" w:rsidR="003D68A6" w:rsidRDefault="003D68A6">
            <w:pPr>
              <w:spacing w:line="360" w:lineRule="auto"/>
              <w:jc w:val="center"/>
              <w:rPr>
                <w:rFonts w:ascii="Courier New" w:hAnsi="Courier New"/>
                <w:b/>
                <w:bCs/>
                <w:lang w:eastAsia="he-IL"/>
              </w:rPr>
            </w:pPr>
          </w:p>
        </w:tc>
        <w:tc>
          <w:tcPr>
            <w:tcW w:w="2481" w:type="dxa"/>
            <w:tcBorders>
              <w:top w:val="nil"/>
              <w:left w:val="nil"/>
              <w:bottom w:val="single" w:sz="4" w:space="0" w:color="auto"/>
              <w:right w:val="nil"/>
            </w:tcBorders>
            <w:vAlign w:val="center"/>
          </w:tcPr>
          <w:p w14:paraId="353AB239" w14:textId="77777777" w:rsidR="003D68A6" w:rsidRDefault="003D68A6">
            <w:pPr>
              <w:spacing w:line="360" w:lineRule="auto"/>
              <w:jc w:val="center"/>
              <w:rPr>
                <w:rFonts w:ascii="Courier New" w:hAnsi="Courier New"/>
                <w:b/>
                <w:bCs/>
                <w:lang w:eastAsia="he-IL"/>
              </w:rPr>
            </w:pPr>
          </w:p>
        </w:tc>
      </w:tr>
      <w:tr w:rsidR="003D68A6" w14:paraId="32C76693" w14:textId="77777777">
        <w:tc>
          <w:tcPr>
            <w:tcW w:w="2719" w:type="dxa"/>
            <w:tcBorders>
              <w:top w:val="single" w:sz="4" w:space="0" w:color="auto"/>
              <w:left w:val="nil"/>
              <w:bottom w:val="nil"/>
              <w:right w:val="nil"/>
            </w:tcBorders>
            <w:vAlign w:val="bottom"/>
          </w:tcPr>
          <w:p w14:paraId="09341118" w14:textId="77777777" w:rsidR="003D68A6" w:rsidRDefault="008C3250">
            <w:pPr>
              <w:spacing w:line="360" w:lineRule="auto"/>
              <w:jc w:val="center"/>
              <w:rPr>
                <w:rFonts w:ascii="Courier New" w:hAnsi="Courier New"/>
                <w:b/>
                <w:bCs/>
                <w:rtl/>
                <w:lang w:eastAsia="he-IL"/>
              </w:rPr>
            </w:pPr>
            <w:r>
              <w:rPr>
                <w:rFonts w:ascii="Courier New" w:hAnsi="Courier New"/>
                <w:b/>
                <w:bCs/>
                <w:rtl/>
              </w:rPr>
              <w:t>שרה דותן, שופטת</w:t>
            </w:r>
          </w:p>
          <w:p w14:paraId="2D806C29" w14:textId="77777777" w:rsidR="003D68A6" w:rsidRDefault="008C3250">
            <w:pPr>
              <w:spacing w:line="360" w:lineRule="auto"/>
              <w:jc w:val="center"/>
              <w:rPr>
                <w:rFonts w:ascii="Courier New" w:hAnsi="Courier New"/>
                <w:b/>
                <w:bCs/>
                <w:lang w:eastAsia="he-IL"/>
              </w:rPr>
            </w:pPr>
            <w:r>
              <w:rPr>
                <w:rFonts w:ascii="Courier New" w:hAnsi="Courier New"/>
                <w:b/>
                <w:bCs/>
                <w:rtl/>
              </w:rPr>
              <w:t>אב"ד</w:t>
            </w:r>
          </w:p>
        </w:tc>
        <w:tc>
          <w:tcPr>
            <w:tcW w:w="233" w:type="dxa"/>
            <w:vAlign w:val="bottom"/>
          </w:tcPr>
          <w:p w14:paraId="32C21B57" w14:textId="77777777" w:rsidR="003D68A6" w:rsidRDefault="003D68A6">
            <w:pPr>
              <w:spacing w:line="360" w:lineRule="auto"/>
              <w:jc w:val="center"/>
              <w:rPr>
                <w:rFonts w:ascii="Courier New" w:hAnsi="Courier New"/>
                <w:b/>
                <w:bCs/>
                <w:lang w:eastAsia="he-IL"/>
              </w:rPr>
            </w:pPr>
          </w:p>
        </w:tc>
        <w:tc>
          <w:tcPr>
            <w:tcW w:w="3006" w:type="dxa"/>
            <w:tcBorders>
              <w:top w:val="single" w:sz="4" w:space="0" w:color="auto"/>
              <w:left w:val="nil"/>
              <w:bottom w:val="nil"/>
              <w:right w:val="nil"/>
            </w:tcBorders>
          </w:tcPr>
          <w:p w14:paraId="5B9FA628" w14:textId="77777777" w:rsidR="003D68A6" w:rsidRDefault="008C3250">
            <w:pPr>
              <w:spacing w:line="360" w:lineRule="auto"/>
              <w:jc w:val="center"/>
              <w:rPr>
                <w:rFonts w:ascii="Courier New" w:hAnsi="Courier New"/>
                <w:b/>
                <w:bCs/>
                <w:lang w:eastAsia="he-IL"/>
              </w:rPr>
            </w:pPr>
            <w:r>
              <w:rPr>
                <w:rFonts w:ascii="Courier New" w:hAnsi="Courier New"/>
                <w:b/>
                <w:bCs/>
                <w:rtl/>
              </w:rPr>
              <w:t>אבי זמיר, שופט</w:t>
            </w:r>
          </w:p>
        </w:tc>
        <w:tc>
          <w:tcPr>
            <w:tcW w:w="282" w:type="dxa"/>
          </w:tcPr>
          <w:p w14:paraId="16B6264C" w14:textId="77777777" w:rsidR="003D68A6" w:rsidRDefault="003D68A6">
            <w:pPr>
              <w:spacing w:line="360" w:lineRule="auto"/>
              <w:jc w:val="center"/>
              <w:rPr>
                <w:rFonts w:ascii="Courier New" w:hAnsi="Courier New"/>
                <w:b/>
                <w:bCs/>
                <w:lang w:eastAsia="he-IL"/>
              </w:rPr>
            </w:pPr>
          </w:p>
        </w:tc>
        <w:tc>
          <w:tcPr>
            <w:tcW w:w="2481" w:type="dxa"/>
            <w:tcBorders>
              <w:top w:val="single" w:sz="4" w:space="0" w:color="auto"/>
              <w:left w:val="nil"/>
              <w:bottom w:val="nil"/>
              <w:right w:val="nil"/>
            </w:tcBorders>
          </w:tcPr>
          <w:p w14:paraId="64E7FC50" w14:textId="77777777" w:rsidR="003D68A6" w:rsidRDefault="008C3250">
            <w:pPr>
              <w:spacing w:line="360" w:lineRule="auto"/>
              <w:jc w:val="center"/>
              <w:rPr>
                <w:rFonts w:ascii="Courier New" w:hAnsi="Courier New"/>
                <w:b/>
                <w:bCs/>
                <w:lang w:eastAsia="he-IL"/>
              </w:rPr>
            </w:pPr>
            <w:r>
              <w:rPr>
                <w:rFonts w:ascii="Courier New" w:hAnsi="Courier New"/>
                <w:b/>
                <w:bCs/>
                <w:rtl/>
              </w:rPr>
              <w:t>ירון לוי, שופט</w:t>
            </w:r>
          </w:p>
        </w:tc>
      </w:tr>
    </w:tbl>
    <w:p w14:paraId="26B6E341" w14:textId="77777777" w:rsidR="003D68A6" w:rsidRPr="0021525A" w:rsidRDefault="0021525A">
      <w:pPr>
        <w:pStyle w:val="a3"/>
        <w:spacing w:line="360" w:lineRule="auto"/>
        <w:rPr>
          <w:color w:val="FFFFFF"/>
          <w:sz w:val="2"/>
          <w:szCs w:val="2"/>
          <w:rtl/>
        </w:rPr>
      </w:pPr>
      <w:r w:rsidRPr="0021525A">
        <w:rPr>
          <w:color w:val="FFFFFF"/>
          <w:sz w:val="2"/>
          <w:szCs w:val="2"/>
          <w:rtl/>
        </w:rPr>
        <w:t>5129371</w:t>
      </w:r>
    </w:p>
    <w:p w14:paraId="513903E3" w14:textId="77777777" w:rsidR="008C3250" w:rsidRPr="0021525A" w:rsidRDefault="0021525A" w:rsidP="008C3250">
      <w:pPr>
        <w:keepNext/>
        <w:rPr>
          <w:rFonts w:ascii="David" w:hAnsi="David"/>
          <w:color w:val="FFFFFF"/>
          <w:sz w:val="2"/>
          <w:szCs w:val="2"/>
          <w:rtl/>
        </w:rPr>
      </w:pPr>
      <w:r w:rsidRPr="0021525A">
        <w:rPr>
          <w:rFonts w:ascii="David" w:hAnsi="David"/>
          <w:color w:val="FFFFFF"/>
          <w:sz w:val="2"/>
          <w:szCs w:val="2"/>
          <w:rtl/>
        </w:rPr>
        <w:t>54678313</w:t>
      </w:r>
    </w:p>
    <w:p w14:paraId="1356FC0D" w14:textId="77777777" w:rsidR="008C3250" w:rsidRDefault="008C3250" w:rsidP="008C3250">
      <w:pPr>
        <w:rPr>
          <w:rtl/>
        </w:rPr>
      </w:pPr>
    </w:p>
    <w:p w14:paraId="0B10375F" w14:textId="77777777" w:rsidR="008C3250" w:rsidRDefault="008C3250" w:rsidP="008C3250">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0828F748" w14:textId="77777777" w:rsidR="0021525A" w:rsidRPr="0021525A" w:rsidRDefault="0021525A" w:rsidP="0021525A">
      <w:pPr>
        <w:keepNext/>
        <w:rPr>
          <w:rFonts w:ascii="David" w:hAnsi="David"/>
          <w:color w:val="000000"/>
          <w:sz w:val="22"/>
          <w:szCs w:val="22"/>
          <w:rtl/>
        </w:rPr>
      </w:pPr>
    </w:p>
    <w:p w14:paraId="26A32860" w14:textId="77777777" w:rsidR="0021525A" w:rsidRPr="0021525A" w:rsidRDefault="0021525A" w:rsidP="0021525A">
      <w:pPr>
        <w:keepNext/>
        <w:rPr>
          <w:rFonts w:ascii="David" w:hAnsi="David"/>
          <w:color w:val="000000"/>
          <w:sz w:val="22"/>
          <w:szCs w:val="22"/>
          <w:rtl/>
        </w:rPr>
      </w:pPr>
      <w:r w:rsidRPr="0021525A">
        <w:rPr>
          <w:rFonts w:ascii="David" w:hAnsi="David"/>
          <w:color w:val="000000"/>
          <w:sz w:val="22"/>
          <w:szCs w:val="22"/>
          <w:rtl/>
        </w:rPr>
        <w:t>שרה דותן 54678313-/</w:t>
      </w:r>
    </w:p>
    <w:p w14:paraId="5C50AC96" w14:textId="77777777" w:rsidR="003D68A6" w:rsidRPr="008C3250" w:rsidRDefault="0021525A" w:rsidP="0021525A">
      <w:pPr>
        <w:rPr>
          <w:color w:val="0000FF"/>
          <w:u w:val="single"/>
        </w:rPr>
      </w:pPr>
      <w:r w:rsidRPr="0021525A">
        <w:rPr>
          <w:color w:val="000000"/>
          <w:u w:val="single"/>
          <w:rtl/>
        </w:rPr>
        <w:t>נוסח מסמך זה כפוף לשינויי ניסוח ועריכה</w:t>
      </w:r>
    </w:p>
    <w:sectPr w:rsidR="003D68A6" w:rsidRPr="008C3250" w:rsidSect="0021525A">
      <w:headerReference w:type="even" r:id="rId52"/>
      <w:headerReference w:type="default" r:id="rId53"/>
      <w:footerReference w:type="even" r:id="rId54"/>
      <w:footerReference w:type="default" r:id="rId55"/>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43C63" w14:textId="77777777" w:rsidR="00DE1097" w:rsidRPr="00E74E8C" w:rsidRDefault="00DE1097">
      <w:pPr>
        <w:rPr>
          <w:rFonts w:cs="Arial"/>
          <w:szCs w:val="20"/>
        </w:rPr>
      </w:pPr>
      <w:r>
        <w:separator/>
      </w:r>
    </w:p>
  </w:endnote>
  <w:endnote w:type="continuationSeparator" w:id="0">
    <w:p w14:paraId="0A96D89E" w14:textId="77777777" w:rsidR="00DE1097" w:rsidRPr="00E74E8C" w:rsidRDefault="00DE109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F7F4A" w14:textId="77777777" w:rsidR="0021525A" w:rsidRDefault="0021525A" w:rsidP="0021525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B92F647" w14:textId="77777777" w:rsidR="003D68A6" w:rsidRPr="0021525A" w:rsidRDefault="0021525A" w:rsidP="0021525A">
    <w:pPr>
      <w:pStyle w:val="a4"/>
      <w:pBdr>
        <w:top w:val="single" w:sz="4" w:space="1" w:color="auto"/>
        <w:between w:val="single" w:sz="4" w:space="0" w:color="auto"/>
      </w:pBdr>
      <w:spacing w:after="60"/>
      <w:jc w:val="center"/>
      <w:rPr>
        <w:rFonts w:ascii="FrankRuehl" w:hAnsi="FrankRuehl" w:cs="FrankRuehl"/>
        <w:color w:val="000000"/>
      </w:rPr>
    </w:pPr>
    <w:r w:rsidRPr="0021525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D0F1A" w14:textId="77777777" w:rsidR="0021525A" w:rsidRDefault="0021525A" w:rsidP="0021525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67970">
      <w:rPr>
        <w:rFonts w:ascii="FrankRuehl" w:hAnsi="FrankRuehl" w:cs="FrankRuehl"/>
        <w:noProof/>
        <w:rtl/>
      </w:rPr>
      <w:t>1</w:t>
    </w:r>
    <w:r>
      <w:rPr>
        <w:rFonts w:ascii="FrankRuehl" w:hAnsi="FrankRuehl" w:cs="FrankRuehl"/>
        <w:rtl/>
      </w:rPr>
      <w:fldChar w:fldCharType="end"/>
    </w:r>
  </w:p>
  <w:p w14:paraId="24C90687" w14:textId="77777777" w:rsidR="003D68A6" w:rsidRPr="0021525A" w:rsidRDefault="0021525A" w:rsidP="0021525A">
    <w:pPr>
      <w:pStyle w:val="a4"/>
      <w:pBdr>
        <w:top w:val="single" w:sz="4" w:space="1" w:color="auto"/>
        <w:between w:val="single" w:sz="4" w:space="0" w:color="auto"/>
      </w:pBdr>
      <w:spacing w:after="60"/>
      <w:jc w:val="center"/>
      <w:rPr>
        <w:rFonts w:ascii="FrankRuehl" w:hAnsi="FrankRuehl" w:cs="FrankRuehl"/>
        <w:color w:val="000000"/>
      </w:rPr>
    </w:pPr>
    <w:r w:rsidRPr="0021525A">
      <w:rPr>
        <w:rFonts w:ascii="FrankRuehl" w:hAnsi="FrankRuehl" w:cs="FrankRuehl"/>
        <w:color w:val="000000"/>
      </w:rPr>
      <w:pict w14:anchorId="15784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1EAC4" w14:textId="77777777" w:rsidR="00DE1097" w:rsidRPr="00E74E8C" w:rsidRDefault="00DE1097">
      <w:pPr>
        <w:rPr>
          <w:rFonts w:cs="Arial"/>
          <w:szCs w:val="20"/>
        </w:rPr>
      </w:pPr>
      <w:r>
        <w:separator/>
      </w:r>
    </w:p>
  </w:footnote>
  <w:footnote w:type="continuationSeparator" w:id="0">
    <w:p w14:paraId="417BA449" w14:textId="77777777" w:rsidR="00DE1097" w:rsidRPr="00E74E8C" w:rsidRDefault="00DE109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FBAEB" w14:textId="77777777" w:rsidR="008C3250" w:rsidRPr="0021525A" w:rsidRDefault="0021525A" w:rsidP="0021525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32740-12-12</w:t>
    </w:r>
    <w:r>
      <w:rPr>
        <w:rFonts w:ascii="David" w:hAnsi="David"/>
        <w:color w:val="000000"/>
        <w:sz w:val="22"/>
        <w:szCs w:val="22"/>
        <w:rtl/>
      </w:rPr>
      <w:tab/>
      <w:t xml:space="preserve"> מדינת ישראל נ' ערן בראנץ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CC82D" w14:textId="77777777" w:rsidR="008C3250" w:rsidRPr="0021525A" w:rsidRDefault="0021525A" w:rsidP="0021525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32740-12-12</w:t>
    </w:r>
    <w:r>
      <w:rPr>
        <w:rFonts w:ascii="David" w:hAnsi="David"/>
        <w:color w:val="000000"/>
        <w:sz w:val="22"/>
        <w:szCs w:val="22"/>
        <w:rtl/>
      </w:rPr>
      <w:tab/>
      <w:t xml:space="preserve"> מדינת ישראל נ' ערן בראנץ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D68A6"/>
    <w:rsid w:val="0021525A"/>
    <w:rsid w:val="003D68A6"/>
    <w:rsid w:val="00567970"/>
    <w:rsid w:val="008C3250"/>
    <w:rsid w:val="00A92407"/>
    <w:rsid w:val="00DA3740"/>
    <w:rsid w:val="00DE10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9E27D3A"/>
  <w15:chartTrackingRefBased/>
  <w15:docId w15:val="{4E65AE8C-A6DE-4C29-81AB-F4A49D2E7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D68A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D68A6"/>
    <w:pPr>
      <w:tabs>
        <w:tab w:val="center" w:pos="4153"/>
        <w:tab w:val="right" w:pos="8306"/>
      </w:tabs>
    </w:pPr>
  </w:style>
  <w:style w:type="paragraph" w:styleId="a4">
    <w:name w:val="footer"/>
    <w:basedOn w:val="a"/>
    <w:rsid w:val="003D68A6"/>
    <w:pPr>
      <w:tabs>
        <w:tab w:val="center" w:pos="4153"/>
        <w:tab w:val="right" w:pos="8306"/>
      </w:tabs>
    </w:pPr>
  </w:style>
  <w:style w:type="character" w:styleId="a5">
    <w:name w:val="page number"/>
    <w:basedOn w:val="a0"/>
    <w:rsid w:val="003D68A6"/>
  </w:style>
  <w:style w:type="character" w:customStyle="1" w:styleId="TimesNewRomanTimesNewRoman">
    <w:name w:val="סגנון (לטיני) Times New Roman (עברית ושפות אחרות) Times New Roman..."/>
    <w:basedOn w:val="a0"/>
    <w:rsid w:val="003D68A6"/>
    <w:rPr>
      <w:rFonts w:ascii="Times New Roman" w:hAnsi="Times New Roman" w:cs="David" w:hint="default"/>
      <w:b/>
      <w:bCs/>
      <w:sz w:val="26"/>
      <w:szCs w:val="26"/>
    </w:rPr>
  </w:style>
  <w:style w:type="character" w:styleId="Hyperlink">
    <w:name w:val="Hyperlink"/>
    <w:basedOn w:val="a0"/>
    <w:rsid w:val="008C32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g" TargetMode="External"/><Relationship Id="rId18" Type="http://schemas.openxmlformats.org/officeDocument/2006/relationships/hyperlink" Target="http://www.nevo.co.il/law/70301/329.a.1" TargetMode="External"/><Relationship Id="rId26" Type="http://schemas.openxmlformats.org/officeDocument/2006/relationships/hyperlink" Target="http://www.nevo.co.il/law/70301/144.b" TargetMode="External"/><Relationship Id="rId39" Type="http://schemas.openxmlformats.org/officeDocument/2006/relationships/hyperlink" Target="http://www.nevo.co.il/links/psika/?link=&#1506;&#1508;%206141/11" TargetMode="External"/><Relationship Id="rId21" Type="http://schemas.openxmlformats.org/officeDocument/2006/relationships/hyperlink" Target="http://www.nevo.co.il/law/70301/40jc.a" TargetMode="External"/><Relationship Id="rId34" Type="http://schemas.openxmlformats.org/officeDocument/2006/relationships/hyperlink" Target="http://www.nevo.co.il/links/psika/?link=&#1506;&#1508;%20200/13" TargetMode="External"/><Relationship Id="rId42" Type="http://schemas.openxmlformats.org/officeDocument/2006/relationships/hyperlink" Target="http://www.nevo.co.il/law/70301/261.1" TargetMode="External"/><Relationship Id="rId47" Type="http://schemas.openxmlformats.org/officeDocument/2006/relationships/hyperlink" Target="http://www.nevo.co.il/law/70301/40d" TargetMode="External"/><Relationship Id="rId50" Type="http://schemas.openxmlformats.org/officeDocument/2006/relationships/hyperlink" Target="http://www.nevo.co.il/law/70301/40g" TargetMode="External"/><Relationship Id="rId55"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70301/260.a" TargetMode="External"/><Relationship Id="rId29" Type="http://schemas.openxmlformats.org/officeDocument/2006/relationships/hyperlink" Target="http://www.nevo.co.il/law/70301/260.a" TargetMode="External"/><Relationship Id="rId11" Type="http://schemas.openxmlformats.org/officeDocument/2006/relationships/hyperlink" Target="http://www.nevo.co.il/law/70301/40e" TargetMode="External"/><Relationship Id="rId24" Type="http://schemas.openxmlformats.org/officeDocument/2006/relationships/hyperlink" Target="http://www.nevo.co.il/law/70301/329.a.1" TargetMode="External"/><Relationship Id="rId32" Type="http://schemas.openxmlformats.org/officeDocument/2006/relationships/hyperlink" Target="http://www.nevo.co.il/links/psika/?link=&#1506;&#1508;%203856/13" TargetMode="External"/><Relationship Id="rId37" Type="http://schemas.openxmlformats.org/officeDocument/2006/relationships/hyperlink" Target="http://www.nevo.co.il/links/psika/?link=&#1506;&#1508;%203573/08" TargetMode="External"/><Relationship Id="rId40" Type="http://schemas.openxmlformats.org/officeDocument/2006/relationships/hyperlink" Target="http://www.nevo.co.il/law/70301/32" TargetMode="External"/><Relationship Id="rId45" Type="http://schemas.openxmlformats.org/officeDocument/2006/relationships/hyperlink" Target="http://www.nevo.co.il/law/70301/40jb"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70301/40ja" TargetMode="External"/><Relationship Id="rId4" Type="http://schemas.openxmlformats.org/officeDocument/2006/relationships/footnotes" Target="footnotes.xml"/><Relationship Id="rId9" Type="http://schemas.openxmlformats.org/officeDocument/2006/relationships/hyperlink" Target="http://www.nevo.co.il/law/70301/32"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bSe1C" TargetMode="External"/><Relationship Id="rId27" Type="http://schemas.openxmlformats.org/officeDocument/2006/relationships/hyperlink" Target="http://www.nevo.co.il/law/70301/329.a.1" TargetMode="External"/><Relationship Id="rId30" Type="http://schemas.openxmlformats.org/officeDocument/2006/relationships/hyperlink" Target="http://www.nevo.co.il/links/psika/?link=&#1506;&#1508;%20512/13" TargetMode="External"/><Relationship Id="rId35" Type="http://schemas.openxmlformats.org/officeDocument/2006/relationships/hyperlink" Target="http://www.nevo.co.il/law/70301/329.a.1" TargetMode="External"/><Relationship Id="rId43" Type="http://schemas.openxmlformats.org/officeDocument/2006/relationships/hyperlink" Target="http://www.nevo.co.il/law/70301/40i" TargetMode="External"/><Relationship Id="rId48" Type="http://schemas.openxmlformats.org/officeDocument/2006/relationships/hyperlink" Target="http://www.nevo.co.il/law/70301/40ja" TargetMode="External"/><Relationship Id="rId56" Type="http://schemas.openxmlformats.org/officeDocument/2006/relationships/fontTable" Target="fontTable.xml"/><Relationship Id="rId8" Type="http://schemas.openxmlformats.org/officeDocument/2006/relationships/hyperlink" Target="http://www.nevo.co.il/law/70301/31" TargetMode="External"/><Relationship Id="rId51"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70301/40f" TargetMode="External"/><Relationship Id="rId17" Type="http://schemas.openxmlformats.org/officeDocument/2006/relationships/hyperlink" Target="http://www.nevo.co.il/law/70301/261.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0jc.a" TargetMode="External"/><Relationship Id="rId38" Type="http://schemas.openxmlformats.org/officeDocument/2006/relationships/hyperlink" Target="http://www.nevo.co.il/links/psika/?link=&#1506;&#1508;%204697/11" TargetMode="External"/><Relationship Id="rId46" Type="http://schemas.openxmlformats.org/officeDocument/2006/relationships/hyperlink" Target="http://www.nevo.co.il/law/70301/40e" TargetMode="External"/><Relationship Id="rId20" Type="http://schemas.openxmlformats.org/officeDocument/2006/relationships/hyperlink" Target="http://www.nevo.co.il/law/70301/40jb" TargetMode="External"/><Relationship Id="rId41" Type="http://schemas.openxmlformats.org/officeDocument/2006/relationships/hyperlink" Target="http://www.nevo.co.il/law/70301/260.a"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1835" TargetMode="External"/><Relationship Id="rId15" Type="http://schemas.openxmlformats.org/officeDocument/2006/relationships/hyperlink" Target="http://www.nevo.co.il/law/70301/144.b" TargetMode="External"/><Relationship Id="rId23" Type="http://schemas.openxmlformats.org/officeDocument/2006/relationships/hyperlink" Target="http://www.nevo.co.il/law/71835" TargetMode="External"/><Relationship Id="rId28" Type="http://schemas.openxmlformats.org/officeDocument/2006/relationships/hyperlink" Target="http://www.nevo.co.il/law/70301/31" TargetMode="External"/><Relationship Id="rId36" Type="http://schemas.openxmlformats.org/officeDocument/2006/relationships/hyperlink" Target="http://www.nevo.co.il/law/70301/144.b" TargetMode="External"/><Relationship Id="rId49" Type="http://schemas.openxmlformats.org/officeDocument/2006/relationships/hyperlink" Target="http://www.nevo.co.il/law/70301/40f" TargetMode="External"/><Relationship Id="rId57" Type="http://schemas.openxmlformats.org/officeDocument/2006/relationships/theme" Target="theme/theme1.xml"/><Relationship Id="rId10" Type="http://schemas.openxmlformats.org/officeDocument/2006/relationships/hyperlink" Target="http://www.nevo.co.il/law/70301/40d" TargetMode="External"/><Relationship Id="rId31" Type="http://schemas.openxmlformats.org/officeDocument/2006/relationships/hyperlink" Target="http://www.nevo.co.il/links/psika/?link=&#1506;&#1508;%201958/98&amp;Pvol=&#1504;&#1494;" TargetMode="External"/><Relationship Id="rId44" Type="http://schemas.openxmlformats.org/officeDocument/2006/relationships/hyperlink" Target="http://www.nevo.co.il/law/70301/bSe1C"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4701</Words>
  <Characters>23506</Characters>
  <Application>Microsoft Office Word</Application>
  <DocSecurity>0</DocSecurity>
  <Lines>195</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28151</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6619233</vt:i4>
      </vt:variant>
      <vt:variant>
        <vt:i4>132</vt:i4>
      </vt:variant>
      <vt:variant>
        <vt:i4>0</vt:i4>
      </vt:variant>
      <vt:variant>
        <vt:i4>5</vt:i4>
      </vt:variant>
      <vt:variant>
        <vt:lpwstr>http://www.nevo.co.il/law/70301/40g</vt:lpwstr>
      </vt:variant>
      <vt:variant>
        <vt:lpwstr/>
      </vt:variant>
      <vt:variant>
        <vt:i4>6619233</vt:i4>
      </vt:variant>
      <vt:variant>
        <vt:i4>129</vt:i4>
      </vt:variant>
      <vt:variant>
        <vt:i4>0</vt:i4>
      </vt:variant>
      <vt:variant>
        <vt:i4>5</vt:i4>
      </vt:variant>
      <vt:variant>
        <vt:lpwstr>http://www.nevo.co.il/law/70301/40f</vt:lpwstr>
      </vt:variant>
      <vt:variant>
        <vt:lpwstr/>
      </vt:variant>
      <vt:variant>
        <vt:i4>262155</vt:i4>
      </vt:variant>
      <vt:variant>
        <vt:i4>126</vt:i4>
      </vt:variant>
      <vt:variant>
        <vt:i4>0</vt:i4>
      </vt:variant>
      <vt:variant>
        <vt:i4>5</vt:i4>
      </vt:variant>
      <vt:variant>
        <vt:lpwstr>http://www.nevo.co.il/law/70301/40ja</vt:lpwstr>
      </vt:variant>
      <vt:variant>
        <vt:lpwstr/>
      </vt:variant>
      <vt:variant>
        <vt:i4>6619233</vt:i4>
      </vt:variant>
      <vt:variant>
        <vt:i4>123</vt:i4>
      </vt:variant>
      <vt:variant>
        <vt:i4>0</vt:i4>
      </vt:variant>
      <vt:variant>
        <vt:i4>5</vt:i4>
      </vt:variant>
      <vt:variant>
        <vt:lpwstr>http://www.nevo.co.il/law/70301/40d</vt:lpwstr>
      </vt:variant>
      <vt:variant>
        <vt:lpwstr/>
      </vt:variant>
      <vt:variant>
        <vt:i4>6619233</vt:i4>
      </vt:variant>
      <vt:variant>
        <vt:i4>120</vt:i4>
      </vt:variant>
      <vt:variant>
        <vt:i4>0</vt:i4>
      </vt:variant>
      <vt:variant>
        <vt:i4>5</vt:i4>
      </vt:variant>
      <vt:variant>
        <vt:lpwstr>http://www.nevo.co.il/law/70301/40e</vt:lpwstr>
      </vt:variant>
      <vt:variant>
        <vt:lpwstr/>
      </vt:variant>
      <vt:variant>
        <vt:i4>458763</vt:i4>
      </vt:variant>
      <vt:variant>
        <vt:i4>117</vt:i4>
      </vt:variant>
      <vt:variant>
        <vt:i4>0</vt:i4>
      </vt:variant>
      <vt:variant>
        <vt:i4>5</vt:i4>
      </vt:variant>
      <vt:variant>
        <vt:lpwstr>http://www.nevo.co.il/law/70301/40jb</vt:lpwstr>
      </vt:variant>
      <vt:variant>
        <vt:lpwstr/>
      </vt:variant>
      <vt:variant>
        <vt:i4>1507410</vt:i4>
      </vt:variant>
      <vt:variant>
        <vt:i4>114</vt:i4>
      </vt:variant>
      <vt:variant>
        <vt:i4>0</vt:i4>
      </vt:variant>
      <vt:variant>
        <vt:i4>5</vt:i4>
      </vt:variant>
      <vt:variant>
        <vt:lpwstr>http://www.nevo.co.il/law/70301/bSe1C</vt:lpwstr>
      </vt:variant>
      <vt:variant>
        <vt:lpwstr/>
      </vt:variant>
      <vt:variant>
        <vt:i4>6619233</vt:i4>
      </vt:variant>
      <vt:variant>
        <vt:i4>111</vt:i4>
      </vt:variant>
      <vt:variant>
        <vt:i4>0</vt:i4>
      </vt:variant>
      <vt:variant>
        <vt:i4>5</vt:i4>
      </vt:variant>
      <vt:variant>
        <vt:lpwstr>http://www.nevo.co.il/law/70301/40i</vt:lpwstr>
      </vt:variant>
      <vt:variant>
        <vt:lpwstr/>
      </vt:variant>
      <vt:variant>
        <vt:i4>5046358</vt:i4>
      </vt:variant>
      <vt:variant>
        <vt:i4>108</vt:i4>
      </vt:variant>
      <vt:variant>
        <vt:i4>0</vt:i4>
      </vt:variant>
      <vt:variant>
        <vt:i4>5</vt:i4>
      </vt:variant>
      <vt:variant>
        <vt:lpwstr>http://www.nevo.co.il/law/70301/261.1</vt:lpwstr>
      </vt:variant>
      <vt:variant>
        <vt:lpwstr/>
      </vt:variant>
      <vt:variant>
        <vt:i4>5046359</vt:i4>
      </vt:variant>
      <vt:variant>
        <vt:i4>105</vt:i4>
      </vt:variant>
      <vt:variant>
        <vt:i4>0</vt:i4>
      </vt:variant>
      <vt:variant>
        <vt:i4>5</vt:i4>
      </vt:variant>
      <vt:variant>
        <vt:lpwstr>http://www.nevo.co.il/law/70301/260.a</vt:lpwstr>
      </vt:variant>
      <vt:variant>
        <vt:lpwstr/>
      </vt:variant>
      <vt:variant>
        <vt:i4>6750310</vt:i4>
      </vt:variant>
      <vt:variant>
        <vt:i4>102</vt:i4>
      </vt:variant>
      <vt:variant>
        <vt:i4>0</vt:i4>
      </vt:variant>
      <vt:variant>
        <vt:i4>5</vt:i4>
      </vt:variant>
      <vt:variant>
        <vt:lpwstr>http://www.nevo.co.il/law/70301/32</vt:lpwstr>
      </vt:variant>
      <vt:variant>
        <vt:lpwstr/>
      </vt:variant>
      <vt:variant>
        <vt:i4>99157436</vt:i4>
      </vt:variant>
      <vt:variant>
        <vt:i4>99</vt:i4>
      </vt:variant>
      <vt:variant>
        <vt:i4>0</vt:i4>
      </vt:variant>
      <vt:variant>
        <vt:i4>5</vt:i4>
      </vt:variant>
      <vt:variant>
        <vt:lpwstr>http://www.nevo.co.il/links/psika/?link=עפ 6141/11</vt:lpwstr>
      </vt:variant>
      <vt:variant>
        <vt:lpwstr/>
      </vt:variant>
      <vt:variant>
        <vt:i4>98960829</vt:i4>
      </vt:variant>
      <vt:variant>
        <vt:i4>96</vt:i4>
      </vt:variant>
      <vt:variant>
        <vt:i4>0</vt:i4>
      </vt:variant>
      <vt:variant>
        <vt:i4>5</vt:i4>
      </vt:variant>
      <vt:variant>
        <vt:lpwstr>http://www.nevo.co.il/links/psika/?link=עפ 4697/11</vt:lpwstr>
      </vt:variant>
      <vt:variant>
        <vt:lpwstr/>
      </vt:variant>
      <vt:variant>
        <vt:i4>98960827</vt:i4>
      </vt:variant>
      <vt:variant>
        <vt:i4>93</vt:i4>
      </vt:variant>
      <vt:variant>
        <vt:i4>0</vt:i4>
      </vt:variant>
      <vt:variant>
        <vt:i4>5</vt:i4>
      </vt:variant>
      <vt:variant>
        <vt:lpwstr>http://www.nevo.co.il/links/psika/?link=עפ 3573/08</vt:lpwstr>
      </vt:variant>
      <vt:variant>
        <vt:lpwstr/>
      </vt:variant>
      <vt:variant>
        <vt:i4>5177424</vt:i4>
      </vt:variant>
      <vt:variant>
        <vt:i4>90</vt:i4>
      </vt:variant>
      <vt:variant>
        <vt:i4>0</vt:i4>
      </vt:variant>
      <vt:variant>
        <vt:i4>5</vt:i4>
      </vt:variant>
      <vt:variant>
        <vt:lpwstr>http://www.nevo.co.il/law/70301/144.b</vt:lpwstr>
      </vt:variant>
      <vt:variant>
        <vt:lpwstr/>
      </vt:variant>
      <vt:variant>
        <vt:i4>6750270</vt:i4>
      </vt:variant>
      <vt:variant>
        <vt:i4>87</vt:i4>
      </vt:variant>
      <vt:variant>
        <vt:i4>0</vt:i4>
      </vt:variant>
      <vt:variant>
        <vt:i4>5</vt:i4>
      </vt:variant>
      <vt:variant>
        <vt:lpwstr>http://www.nevo.co.il/law/70301/329.a.1</vt:lpwstr>
      </vt:variant>
      <vt:variant>
        <vt:lpwstr/>
      </vt:variant>
      <vt:variant>
        <vt:i4>96863634</vt:i4>
      </vt:variant>
      <vt:variant>
        <vt:i4>84</vt:i4>
      </vt:variant>
      <vt:variant>
        <vt:i4>0</vt:i4>
      </vt:variant>
      <vt:variant>
        <vt:i4>5</vt:i4>
      </vt:variant>
      <vt:variant>
        <vt:lpwstr>http://www.nevo.co.il/links/psika/?link=עפ 200/13</vt:lpwstr>
      </vt:variant>
      <vt:variant>
        <vt:lpwstr/>
      </vt:variant>
      <vt:variant>
        <vt:i4>6750245</vt:i4>
      </vt:variant>
      <vt:variant>
        <vt:i4>81</vt:i4>
      </vt:variant>
      <vt:variant>
        <vt:i4>0</vt:i4>
      </vt:variant>
      <vt:variant>
        <vt:i4>5</vt:i4>
      </vt:variant>
      <vt:variant>
        <vt:lpwstr>http://www.nevo.co.il/law/70301/40jc.a</vt:lpwstr>
      </vt:variant>
      <vt:variant>
        <vt:lpwstr/>
      </vt:variant>
      <vt:variant>
        <vt:i4>99550642</vt:i4>
      </vt:variant>
      <vt:variant>
        <vt:i4>78</vt:i4>
      </vt:variant>
      <vt:variant>
        <vt:i4>0</vt:i4>
      </vt:variant>
      <vt:variant>
        <vt:i4>5</vt:i4>
      </vt:variant>
      <vt:variant>
        <vt:lpwstr>http://www.nevo.co.il/links/psika/?link=עפ 3856/13</vt:lpwstr>
      </vt:variant>
      <vt:variant>
        <vt:lpwstr/>
      </vt:variant>
      <vt:variant>
        <vt:i4>1179753</vt:i4>
      </vt:variant>
      <vt:variant>
        <vt:i4>75</vt:i4>
      </vt:variant>
      <vt:variant>
        <vt:i4>0</vt:i4>
      </vt:variant>
      <vt:variant>
        <vt:i4>5</vt:i4>
      </vt:variant>
      <vt:variant>
        <vt:lpwstr>http://www.nevo.co.il/links/psika/?link=עפ 1958/98&amp;Pvol=נז</vt:lpwstr>
      </vt:variant>
      <vt:variant>
        <vt:lpwstr/>
      </vt:variant>
      <vt:variant>
        <vt:i4>96667027</vt:i4>
      </vt:variant>
      <vt:variant>
        <vt:i4>72</vt:i4>
      </vt:variant>
      <vt:variant>
        <vt:i4>0</vt:i4>
      </vt:variant>
      <vt:variant>
        <vt:i4>5</vt:i4>
      </vt:variant>
      <vt:variant>
        <vt:lpwstr>http://www.nevo.co.il/links/psika/?link=עפ 512/13</vt:lpwstr>
      </vt:variant>
      <vt:variant>
        <vt:lpwstr/>
      </vt:variant>
      <vt:variant>
        <vt:i4>5046359</vt:i4>
      </vt:variant>
      <vt:variant>
        <vt:i4>69</vt:i4>
      </vt:variant>
      <vt:variant>
        <vt:i4>0</vt:i4>
      </vt:variant>
      <vt:variant>
        <vt:i4>5</vt:i4>
      </vt:variant>
      <vt:variant>
        <vt:lpwstr>http://www.nevo.co.il/law/70301/260.a</vt:lpwstr>
      </vt:variant>
      <vt:variant>
        <vt:lpwstr/>
      </vt:variant>
      <vt:variant>
        <vt:i4>6553702</vt:i4>
      </vt:variant>
      <vt:variant>
        <vt:i4>66</vt:i4>
      </vt:variant>
      <vt:variant>
        <vt:i4>0</vt:i4>
      </vt:variant>
      <vt:variant>
        <vt:i4>5</vt:i4>
      </vt:variant>
      <vt:variant>
        <vt:lpwstr>http://www.nevo.co.il/law/70301/31</vt:lpwstr>
      </vt:variant>
      <vt:variant>
        <vt:lpwstr/>
      </vt:variant>
      <vt:variant>
        <vt:i4>6750270</vt:i4>
      </vt:variant>
      <vt:variant>
        <vt:i4>63</vt:i4>
      </vt:variant>
      <vt:variant>
        <vt:i4>0</vt:i4>
      </vt:variant>
      <vt:variant>
        <vt:i4>5</vt:i4>
      </vt:variant>
      <vt:variant>
        <vt:lpwstr>http://www.nevo.co.il/law/70301/329.a.1</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7995492</vt:i4>
      </vt:variant>
      <vt:variant>
        <vt:i4>57</vt:i4>
      </vt:variant>
      <vt:variant>
        <vt:i4>0</vt:i4>
      </vt:variant>
      <vt:variant>
        <vt:i4>5</vt:i4>
      </vt:variant>
      <vt:variant>
        <vt:lpwstr>http://www.nevo.co.il/law/70301</vt:lpwstr>
      </vt:variant>
      <vt:variant>
        <vt:lpwstr/>
      </vt:variant>
      <vt:variant>
        <vt:i4>6750270</vt:i4>
      </vt:variant>
      <vt:variant>
        <vt:i4>54</vt:i4>
      </vt:variant>
      <vt:variant>
        <vt:i4>0</vt:i4>
      </vt:variant>
      <vt:variant>
        <vt:i4>5</vt:i4>
      </vt:variant>
      <vt:variant>
        <vt:lpwstr>http://www.nevo.co.il/law/70301/329.a.1</vt:lpwstr>
      </vt:variant>
      <vt:variant>
        <vt:lpwstr/>
      </vt:variant>
      <vt:variant>
        <vt:i4>7864431</vt:i4>
      </vt:variant>
      <vt:variant>
        <vt:i4>51</vt:i4>
      </vt:variant>
      <vt:variant>
        <vt:i4>0</vt:i4>
      </vt:variant>
      <vt:variant>
        <vt:i4>5</vt:i4>
      </vt:variant>
      <vt:variant>
        <vt:lpwstr>http://www.nevo.co.il/law/71835</vt:lpwstr>
      </vt:variant>
      <vt:variant>
        <vt:lpwstr/>
      </vt:variant>
      <vt:variant>
        <vt:i4>1507410</vt:i4>
      </vt:variant>
      <vt:variant>
        <vt:i4>48</vt:i4>
      </vt:variant>
      <vt:variant>
        <vt:i4>0</vt:i4>
      </vt:variant>
      <vt:variant>
        <vt:i4>5</vt:i4>
      </vt:variant>
      <vt:variant>
        <vt:lpwstr>http://www.nevo.co.il/law/70301/bSe1C</vt:lpwstr>
      </vt:variant>
      <vt:variant>
        <vt:lpwstr/>
      </vt:variant>
      <vt:variant>
        <vt:i4>6750245</vt:i4>
      </vt:variant>
      <vt:variant>
        <vt:i4>45</vt:i4>
      </vt:variant>
      <vt:variant>
        <vt:i4>0</vt:i4>
      </vt:variant>
      <vt:variant>
        <vt:i4>5</vt:i4>
      </vt:variant>
      <vt:variant>
        <vt:lpwstr>http://www.nevo.co.il/law/70301/40jc.a</vt:lpwstr>
      </vt:variant>
      <vt:variant>
        <vt:lpwstr/>
      </vt:variant>
      <vt:variant>
        <vt:i4>458763</vt:i4>
      </vt:variant>
      <vt:variant>
        <vt:i4>42</vt:i4>
      </vt:variant>
      <vt:variant>
        <vt:i4>0</vt:i4>
      </vt:variant>
      <vt:variant>
        <vt:i4>5</vt:i4>
      </vt:variant>
      <vt:variant>
        <vt:lpwstr>http://www.nevo.co.il/law/70301/40jb</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6750270</vt:i4>
      </vt:variant>
      <vt:variant>
        <vt:i4>36</vt:i4>
      </vt:variant>
      <vt:variant>
        <vt:i4>0</vt:i4>
      </vt:variant>
      <vt:variant>
        <vt:i4>5</vt:i4>
      </vt:variant>
      <vt:variant>
        <vt:lpwstr>http://www.nevo.co.il/law/70301/329.a.1</vt:lpwstr>
      </vt:variant>
      <vt:variant>
        <vt:lpwstr/>
      </vt:variant>
      <vt:variant>
        <vt:i4>5046358</vt:i4>
      </vt:variant>
      <vt:variant>
        <vt:i4>33</vt:i4>
      </vt:variant>
      <vt:variant>
        <vt:i4>0</vt:i4>
      </vt:variant>
      <vt:variant>
        <vt:i4>5</vt:i4>
      </vt:variant>
      <vt:variant>
        <vt:lpwstr>http://www.nevo.co.il/law/70301/261.1</vt:lpwstr>
      </vt:variant>
      <vt:variant>
        <vt:lpwstr/>
      </vt:variant>
      <vt:variant>
        <vt:i4>5046359</vt:i4>
      </vt:variant>
      <vt:variant>
        <vt:i4>30</vt:i4>
      </vt:variant>
      <vt:variant>
        <vt:i4>0</vt:i4>
      </vt:variant>
      <vt:variant>
        <vt:i4>5</vt:i4>
      </vt:variant>
      <vt:variant>
        <vt:lpwstr>http://www.nevo.co.il/law/70301/260.a</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http://www.nevo.co.il/law/70301/40g</vt:lpwstr>
      </vt:variant>
      <vt:variant>
        <vt:lpwstr/>
      </vt:variant>
      <vt:variant>
        <vt:i4>6619233</vt:i4>
      </vt:variant>
      <vt:variant>
        <vt:i4>18</vt:i4>
      </vt:variant>
      <vt:variant>
        <vt:i4>0</vt:i4>
      </vt:variant>
      <vt:variant>
        <vt:i4>5</vt:i4>
      </vt:variant>
      <vt:variant>
        <vt:lpwstr>http://www.nevo.co.il/law/70301/40f</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6750310</vt:i4>
      </vt:variant>
      <vt:variant>
        <vt:i4>9</vt:i4>
      </vt:variant>
      <vt:variant>
        <vt:i4>0</vt:i4>
      </vt:variant>
      <vt:variant>
        <vt:i4>5</vt:i4>
      </vt:variant>
      <vt:variant>
        <vt:lpwstr>http://www.nevo.co.il/law/70301/32</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7995492</vt:i4>
      </vt:variant>
      <vt:variant>
        <vt:i4>3</vt:i4>
      </vt:variant>
      <vt:variant>
        <vt:i4>0</vt:i4>
      </vt:variant>
      <vt:variant>
        <vt:i4>5</vt:i4>
      </vt:variant>
      <vt:variant>
        <vt:lpwstr>http://www.nevo.co.il/law/70301</vt:lpwstr>
      </vt:variant>
      <vt:variant>
        <vt:lpwstr/>
      </vt:variant>
      <vt:variant>
        <vt:i4>7864431</vt:i4>
      </vt:variant>
      <vt:variant>
        <vt:i4>0</vt:i4>
      </vt:variant>
      <vt:variant>
        <vt:i4>0</vt:i4>
      </vt:variant>
      <vt:variant>
        <vt:i4>5</vt:i4>
      </vt:variant>
      <vt:variant>
        <vt:lpwstr>http://www.nevo.co.il/law/71835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2025-04-25T10:29:00Z</dcterms:created>
  <dcterms:modified xsi:type="dcterms:W3CDTF">2025-04-25T10:29:00Z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32740</vt:lpwstr>
  </property>
  <property fmtid="{D5CDD505-2E9C-101B-9397-08002B2CF9AE}" pid="6" name="NEWPARTB">
    <vt:lpwstr>12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ערן בראנץ;אבירם בראנץ;אליאס בראנץ</vt:lpwstr>
  </property>
  <property fmtid="{D5CDD505-2E9C-101B-9397-08002B2CF9AE}" pid="10" name="LAWYER">
    <vt:lpwstr>תמי אניס;אלי כהן;אורית חיון</vt:lpwstr>
  </property>
  <property fmtid="{D5CDD505-2E9C-101B-9397-08002B2CF9AE}" pid="11" name="JUDGE">
    <vt:lpwstr>שרה דותן;אבי זמיר;ירון לוי</vt:lpwstr>
  </property>
  <property fmtid="{D5CDD505-2E9C-101B-9397-08002B2CF9AE}" pid="12" name="CITY">
    <vt:lpwstr>ת"א</vt:lpwstr>
  </property>
  <property fmtid="{D5CDD505-2E9C-101B-9397-08002B2CF9AE}" pid="13" name="DATE">
    <vt:lpwstr>20140224</vt:lpwstr>
  </property>
  <property fmtid="{D5CDD505-2E9C-101B-9397-08002B2CF9AE}" pid="14" name="TYPE_N_DATE">
    <vt:lpwstr>39020140224</vt:lpwstr>
  </property>
  <property fmtid="{D5CDD505-2E9C-101B-9397-08002B2CF9AE}" pid="15" name="WORDNUMPAGES">
    <vt:lpwstr>14</vt:lpwstr>
  </property>
  <property fmtid="{D5CDD505-2E9C-101B-9397-08002B2CF9AE}" pid="16" name="TYPE_ABS_DATE">
    <vt:lpwstr>390020140224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71835</vt:lpwstr>
  </property>
  <property fmtid="{D5CDD505-2E9C-101B-9397-08002B2CF9AE}" pid="36" name="LAWLISTTMP2">
    <vt:lpwstr>70301/329.a.1;144.b;031;260.a;40jc.a;032;261.1;040i;bSe1C;40jb;040e;040d;40ja;040f;040g</vt:lpwstr>
  </property>
</Properties>
</file>