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113419" w:rsidRPr="00113419" w14:paraId="7F018B5D" w14:textId="77777777">
        <w:trPr>
          <w:trHeight w:hRule="exact" w:val="418"/>
          <w:jc w:val="center"/>
        </w:trPr>
        <w:tc>
          <w:tcPr>
            <w:tcW w:w="8721" w:type="dxa"/>
            <w:gridSpan w:val="2"/>
          </w:tcPr>
          <w:p w14:paraId="1E1DF9B6" w14:textId="77777777" w:rsidR="00113419" w:rsidRPr="00113419" w:rsidRDefault="00113419" w:rsidP="00113419">
            <w:pPr>
              <w:pStyle w:val="a3"/>
              <w:jc w:val="center"/>
              <w:rPr>
                <w:rFonts w:ascii="Tahoma" w:hAnsi="Tahoma" w:cs="Tahoma"/>
                <w:color w:val="000080"/>
                <w:rtl/>
              </w:rPr>
            </w:pPr>
            <w:r w:rsidRPr="00113419">
              <w:rPr>
                <w:rFonts w:ascii="Tahoma" w:hAnsi="Tahoma" w:cs="Tahoma"/>
                <w:b/>
                <w:bCs/>
                <w:color w:val="000080"/>
                <w:rtl/>
              </w:rPr>
              <w:t>בית המשפט המחוזי בבאר שבע</w:t>
            </w:r>
          </w:p>
        </w:tc>
      </w:tr>
      <w:tr w:rsidR="00113419" w:rsidRPr="00113419" w14:paraId="10D18224" w14:textId="77777777">
        <w:trPr>
          <w:trHeight w:val="337"/>
          <w:jc w:val="center"/>
        </w:trPr>
        <w:tc>
          <w:tcPr>
            <w:tcW w:w="5049" w:type="dxa"/>
          </w:tcPr>
          <w:p w14:paraId="794C5D3A" w14:textId="77777777" w:rsidR="00113419" w:rsidRPr="00113419" w:rsidRDefault="00113419" w:rsidP="00113419">
            <w:pPr>
              <w:rPr>
                <w:rFonts w:cs="FrankRuehl"/>
                <w:sz w:val="28"/>
                <w:szCs w:val="28"/>
                <w:rtl/>
              </w:rPr>
            </w:pPr>
            <w:r w:rsidRPr="00113419">
              <w:rPr>
                <w:rtl/>
              </w:rPr>
              <w:t xml:space="preserve">     </w:t>
            </w:r>
          </w:p>
          <w:p w14:paraId="01A17063" w14:textId="77777777" w:rsidR="00113419" w:rsidRPr="00113419" w:rsidRDefault="00113419" w:rsidP="00113419">
            <w:pPr>
              <w:pStyle w:val="a3"/>
              <w:rPr>
                <w:rFonts w:cs="FrankRuehl"/>
                <w:sz w:val="28"/>
                <w:szCs w:val="28"/>
                <w:rtl/>
              </w:rPr>
            </w:pPr>
          </w:p>
        </w:tc>
        <w:tc>
          <w:tcPr>
            <w:tcW w:w="3672" w:type="dxa"/>
          </w:tcPr>
          <w:p w14:paraId="29613240" w14:textId="77777777" w:rsidR="00113419" w:rsidRPr="00113419" w:rsidRDefault="00113419" w:rsidP="00113419">
            <w:pPr>
              <w:pStyle w:val="a3"/>
              <w:jc w:val="right"/>
              <w:rPr>
                <w:rFonts w:cs="FrankRuehl"/>
                <w:sz w:val="28"/>
                <w:szCs w:val="28"/>
                <w:rtl/>
              </w:rPr>
            </w:pPr>
          </w:p>
        </w:tc>
      </w:tr>
    </w:tbl>
    <w:p w14:paraId="507A6998" w14:textId="77777777" w:rsidR="00113419" w:rsidRPr="00113419" w:rsidRDefault="00113419" w:rsidP="00113419">
      <w:pPr>
        <w:pStyle w:val="a3"/>
        <w:rPr>
          <w:rtl/>
        </w:rPr>
      </w:pPr>
      <w:r w:rsidRPr="00113419">
        <w:rPr>
          <w:rFonts w:hint="cs"/>
          <w:rtl/>
        </w:rPr>
        <w:t xml:space="preserve"> </w:t>
      </w:r>
    </w:p>
    <w:p w14:paraId="0331CB7E" w14:textId="77777777" w:rsidR="00113419" w:rsidRPr="00113419" w:rsidRDefault="00113419">
      <w:pPr>
        <w:rPr>
          <w:rFonts w:ascii="Arial" w:hAnsi="Arial" w:cs="Arial"/>
          <w:b/>
          <w:bCs/>
          <w:rtl/>
        </w:rPr>
      </w:pPr>
    </w:p>
    <w:tbl>
      <w:tblPr>
        <w:tblpPr w:leftFromText="180" w:rightFromText="180" w:vertAnchor="text" w:horzAnchor="margin" w:tblpXSpec="center" w:tblpY="-203"/>
        <w:bidiVisual/>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4126"/>
        <w:gridCol w:w="3771"/>
      </w:tblGrid>
      <w:tr w:rsidR="00113419" w:rsidRPr="00113419" w14:paraId="16605865" w14:textId="77777777">
        <w:trPr>
          <w:trHeight w:val="295"/>
        </w:trPr>
        <w:tc>
          <w:tcPr>
            <w:tcW w:w="983" w:type="dxa"/>
            <w:tcBorders>
              <w:top w:val="nil"/>
              <w:left w:val="nil"/>
              <w:bottom w:val="nil"/>
              <w:right w:val="nil"/>
            </w:tcBorders>
            <w:shd w:val="clear" w:color="auto" w:fill="auto"/>
          </w:tcPr>
          <w:p w14:paraId="285865B6" w14:textId="77777777" w:rsidR="00113419" w:rsidRPr="00113419" w:rsidRDefault="00113419" w:rsidP="00113419">
            <w:pPr>
              <w:suppressLineNumbers/>
              <w:jc w:val="both"/>
              <w:rPr>
                <w:rFonts w:ascii="Arial" w:hAnsi="Arial" w:cs="Arial"/>
                <w:b/>
                <w:bCs/>
              </w:rPr>
            </w:pPr>
            <w:r w:rsidRPr="00113419">
              <w:rPr>
                <w:rFonts w:ascii="Arial" w:hAnsi="Arial" w:cs="Arial"/>
                <w:b/>
                <w:bCs/>
                <w:rtl/>
              </w:rPr>
              <w:t xml:space="preserve">בפני: </w:t>
            </w:r>
          </w:p>
        </w:tc>
        <w:tc>
          <w:tcPr>
            <w:tcW w:w="7897" w:type="dxa"/>
            <w:gridSpan w:val="2"/>
            <w:tcBorders>
              <w:top w:val="nil"/>
              <w:left w:val="nil"/>
              <w:bottom w:val="nil"/>
              <w:right w:val="nil"/>
            </w:tcBorders>
            <w:shd w:val="clear" w:color="auto" w:fill="auto"/>
          </w:tcPr>
          <w:p w14:paraId="6242AECA" w14:textId="77777777" w:rsidR="00113419" w:rsidRPr="00113419" w:rsidRDefault="00113419" w:rsidP="00113419">
            <w:pPr>
              <w:rPr>
                <w:rFonts w:ascii="Arial" w:hAnsi="Arial" w:cs="Arial"/>
                <w:b/>
                <w:bCs/>
                <w:rtl/>
              </w:rPr>
            </w:pPr>
            <w:r w:rsidRPr="00113419">
              <w:rPr>
                <w:rFonts w:ascii="Arial" w:hAnsi="Arial" w:cs="Arial"/>
                <w:b/>
                <w:bCs/>
                <w:rtl/>
              </w:rPr>
              <w:t>כב' ס. הנשיא</w:t>
            </w:r>
            <w:r w:rsidRPr="00113419">
              <w:rPr>
                <w:rFonts w:ascii="Arial" w:hAnsi="Arial" w:cs="Arial" w:hint="cs"/>
                <w:b/>
                <w:bCs/>
                <w:rtl/>
              </w:rPr>
              <w:t xml:space="preserve"> השופטת</w:t>
            </w:r>
            <w:r w:rsidRPr="00113419">
              <w:rPr>
                <w:rFonts w:ascii="Arial" w:hAnsi="Arial" w:cs="Arial"/>
                <w:b/>
                <w:bCs/>
                <w:rtl/>
              </w:rPr>
              <w:t xml:space="preserve"> ר. יפה – כ"ץ, אב"ד                      </w:t>
            </w:r>
            <w:r w:rsidRPr="00635EE0">
              <w:rPr>
                <w:rFonts w:ascii="Arial" w:hAnsi="Arial" w:cs="Arial"/>
                <w:b/>
                <w:bCs/>
                <w:rtl/>
              </w:rPr>
              <w:t>תפ"ח 39974-12-12</w:t>
            </w:r>
            <w:r w:rsidRPr="00635EE0">
              <w:rPr>
                <w:rFonts w:ascii="Arial" w:hAnsi="Arial" w:cs="Arial"/>
                <w:b/>
                <w:bCs/>
                <w:rtl/>
              </w:rPr>
              <w:cr/>
            </w:r>
            <w:r w:rsidRPr="00113419">
              <w:rPr>
                <w:rFonts w:ascii="Arial" w:hAnsi="Arial" w:cs="Arial"/>
                <w:b/>
                <w:bCs/>
                <w:rtl/>
              </w:rPr>
              <w:t>כב' השופט א. ואגו</w:t>
            </w:r>
          </w:p>
          <w:p w14:paraId="33386AA7" w14:textId="77777777" w:rsidR="00113419" w:rsidRPr="00113419" w:rsidRDefault="00113419" w:rsidP="00113419">
            <w:pPr>
              <w:rPr>
                <w:rFonts w:ascii="Arial" w:hAnsi="Arial" w:cs="Arial"/>
                <w:b/>
                <w:bCs/>
                <w:rtl/>
              </w:rPr>
            </w:pPr>
            <w:r w:rsidRPr="00113419">
              <w:rPr>
                <w:rFonts w:ascii="Arial" w:hAnsi="Arial" w:cs="Arial"/>
                <w:b/>
                <w:bCs/>
                <w:rtl/>
              </w:rPr>
              <w:t>כב' השופט י. צלקובניק</w:t>
            </w:r>
          </w:p>
        </w:tc>
      </w:tr>
      <w:tr w:rsidR="00113419" w:rsidRPr="00113419" w14:paraId="256036DC" w14:textId="77777777">
        <w:trPr>
          <w:trHeight w:val="355"/>
        </w:trPr>
        <w:tc>
          <w:tcPr>
            <w:tcW w:w="983" w:type="dxa"/>
            <w:tcBorders>
              <w:top w:val="nil"/>
              <w:left w:val="nil"/>
              <w:bottom w:val="nil"/>
              <w:right w:val="nil"/>
            </w:tcBorders>
            <w:shd w:val="clear" w:color="auto" w:fill="auto"/>
          </w:tcPr>
          <w:p w14:paraId="092BD85C" w14:textId="77777777" w:rsidR="00113419" w:rsidRPr="00113419" w:rsidRDefault="00113419" w:rsidP="00113419">
            <w:pPr>
              <w:jc w:val="both"/>
              <w:rPr>
                <w:rFonts w:ascii="Arial" w:hAnsi="Arial" w:cs="Arial"/>
                <w:b/>
                <w:bCs/>
                <w:rtl/>
              </w:rPr>
            </w:pPr>
            <w:bookmarkStart w:id="0" w:name="FirstAppellant"/>
            <w:bookmarkStart w:id="1" w:name="LastJudge"/>
            <w:bookmarkEnd w:id="1"/>
          </w:p>
          <w:p w14:paraId="721807B4" w14:textId="77777777" w:rsidR="00113419" w:rsidRPr="00113419" w:rsidRDefault="00113419" w:rsidP="00113419">
            <w:pPr>
              <w:jc w:val="both"/>
              <w:rPr>
                <w:rFonts w:ascii="Arial" w:hAnsi="Arial" w:cs="Arial"/>
                <w:b/>
                <w:bCs/>
              </w:rPr>
            </w:pPr>
            <w:r w:rsidRPr="00113419">
              <w:rPr>
                <w:rFonts w:ascii="Arial" w:hAnsi="Arial" w:cs="Arial"/>
                <w:b/>
                <w:bCs/>
                <w:rtl/>
              </w:rPr>
              <w:t>בעניין:</w:t>
            </w:r>
          </w:p>
        </w:tc>
        <w:tc>
          <w:tcPr>
            <w:tcW w:w="4126" w:type="dxa"/>
            <w:tcBorders>
              <w:top w:val="nil"/>
              <w:left w:val="nil"/>
              <w:bottom w:val="nil"/>
              <w:right w:val="nil"/>
            </w:tcBorders>
            <w:shd w:val="clear" w:color="auto" w:fill="auto"/>
          </w:tcPr>
          <w:p w14:paraId="1EEC6CC5" w14:textId="77777777" w:rsidR="00113419" w:rsidRPr="00113419" w:rsidRDefault="00113419" w:rsidP="00113419">
            <w:pPr>
              <w:rPr>
                <w:rFonts w:ascii="Arial" w:hAnsi="Arial" w:cs="Arial"/>
                <w:b/>
                <w:bCs/>
              </w:rPr>
            </w:pPr>
            <w:r w:rsidRPr="00113419">
              <w:rPr>
                <w:rFonts w:ascii="Arial" w:hAnsi="Arial" w:cs="Arial"/>
                <w:b/>
                <w:bCs/>
                <w:rtl/>
              </w:rPr>
              <w:t xml:space="preserve">                                               </w:t>
            </w:r>
            <w:r w:rsidRPr="00113419">
              <w:rPr>
                <w:rFonts w:ascii="Arial" w:hAnsi="Arial" w:cs="Arial"/>
                <w:b/>
                <w:bCs/>
                <w:rtl/>
              </w:rPr>
              <w:br/>
              <w:t xml:space="preserve">                     מדינת ישראל</w:t>
            </w:r>
          </w:p>
        </w:tc>
        <w:tc>
          <w:tcPr>
            <w:tcW w:w="3771" w:type="dxa"/>
            <w:tcBorders>
              <w:top w:val="nil"/>
              <w:left w:val="nil"/>
              <w:bottom w:val="nil"/>
              <w:right w:val="nil"/>
            </w:tcBorders>
            <w:shd w:val="clear" w:color="auto" w:fill="auto"/>
          </w:tcPr>
          <w:p w14:paraId="6F157617" w14:textId="77777777" w:rsidR="00113419" w:rsidRPr="00113419" w:rsidRDefault="00113419" w:rsidP="00113419">
            <w:pPr>
              <w:jc w:val="both"/>
              <w:rPr>
                <w:rFonts w:ascii="Arial" w:hAnsi="Arial" w:cs="Arial"/>
                <w:b/>
                <w:bCs/>
              </w:rPr>
            </w:pPr>
          </w:p>
        </w:tc>
      </w:tr>
      <w:tr w:rsidR="00113419" w:rsidRPr="00113419" w14:paraId="1E6D9C36" w14:textId="77777777">
        <w:trPr>
          <w:trHeight w:val="355"/>
        </w:trPr>
        <w:tc>
          <w:tcPr>
            <w:tcW w:w="983" w:type="dxa"/>
            <w:tcBorders>
              <w:top w:val="nil"/>
              <w:left w:val="nil"/>
              <w:bottom w:val="nil"/>
              <w:right w:val="nil"/>
            </w:tcBorders>
            <w:shd w:val="clear" w:color="auto" w:fill="auto"/>
          </w:tcPr>
          <w:p w14:paraId="77255BFA" w14:textId="77777777" w:rsidR="00113419" w:rsidRPr="00113419" w:rsidRDefault="00113419" w:rsidP="00113419">
            <w:pPr>
              <w:jc w:val="both"/>
              <w:rPr>
                <w:rFonts w:ascii="Arial" w:hAnsi="Arial" w:cs="Arial"/>
                <w:b/>
                <w:bCs/>
                <w:rtl/>
              </w:rPr>
            </w:pPr>
            <w:bookmarkStart w:id="2" w:name="FirstLawyer"/>
            <w:bookmarkEnd w:id="0"/>
          </w:p>
        </w:tc>
        <w:tc>
          <w:tcPr>
            <w:tcW w:w="4126" w:type="dxa"/>
            <w:tcBorders>
              <w:top w:val="nil"/>
              <w:left w:val="nil"/>
              <w:bottom w:val="nil"/>
              <w:right w:val="nil"/>
            </w:tcBorders>
            <w:shd w:val="clear" w:color="auto" w:fill="auto"/>
          </w:tcPr>
          <w:p w14:paraId="6F467FA7" w14:textId="77777777" w:rsidR="00113419" w:rsidRPr="00113419" w:rsidRDefault="00113419" w:rsidP="00113419">
            <w:pPr>
              <w:jc w:val="both"/>
              <w:rPr>
                <w:rFonts w:ascii="Arial" w:hAnsi="Arial" w:cs="Arial"/>
                <w:b/>
                <w:bCs/>
                <w:rtl/>
              </w:rPr>
            </w:pPr>
            <w:r w:rsidRPr="00113419">
              <w:rPr>
                <w:rFonts w:ascii="Arial" w:hAnsi="Arial" w:cs="Arial"/>
                <w:b/>
                <w:bCs/>
                <w:rtl/>
              </w:rPr>
              <w:t xml:space="preserve">                                </w:t>
            </w:r>
          </w:p>
          <w:p w14:paraId="7E9C10FE" w14:textId="77777777" w:rsidR="00113419" w:rsidRPr="00113419" w:rsidRDefault="00113419" w:rsidP="00113419">
            <w:pPr>
              <w:jc w:val="both"/>
              <w:rPr>
                <w:rFonts w:ascii="Arial" w:hAnsi="Arial" w:cs="Arial"/>
                <w:rtl/>
              </w:rPr>
            </w:pPr>
            <w:r w:rsidRPr="00113419">
              <w:rPr>
                <w:rFonts w:ascii="Arial" w:hAnsi="Arial" w:cs="Arial"/>
                <w:b/>
                <w:bCs/>
                <w:rtl/>
              </w:rPr>
              <w:t xml:space="preserve">                     </w:t>
            </w:r>
            <w:r w:rsidRPr="00113419">
              <w:rPr>
                <w:rFonts w:ascii="Arial" w:hAnsi="Arial" w:cs="Arial"/>
                <w:rtl/>
              </w:rPr>
              <w:t>ע"י ב"כ עו"ד ל' לוי - סיגל</w:t>
            </w:r>
          </w:p>
        </w:tc>
        <w:tc>
          <w:tcPr>
            <w:tcW w:w="3771" w:type="dxa"/>
            <w:tcBorders>
              <w:top w:val="nil"/>
              <w:left w:val="nil"/>
              <w:bottom w:val="nil"/>
              <w:right w:val="nil"/>
            </w:tcBorders>
            <w:shd w:val="clear" w:color="auto" w:fill="auto"/>
          </w:tcPr>
          <w:p w14:paraId="4444CCB2" w14:textId="77777777" w:rsidR="00113419" w:rsidRPr="00113419" w:rsidRDefault="00113419" w:rsidP="00113419">
            <w:pPr>
              <w:jc w:val="right"/>
              <w:rPr>
                <w:rFonts w:ascii="Arial" w:hAnsi="Arial" w:cs="Arial"/>
                <w:b/>
                <w:bCs/>
                <w:rtl/>
              </w:rPr>
            </w:pPr>
            <w:r w:rsidRPr="00113419">
              <w:rPr>
                <w:rFonts w:ascii="Arial" w:hAnsi="Arial" w:cs="Arial"/>
                <w:b/>
                <w:bCs/>
                <w:rtl/>
              </w:rPr>
              <w:t>המאשימה</w:t>
            </w:r>
          </w:p>
        </w:tc>
      </w:tr>
      <w:bookmarkEnd w:id="2"/>
      <w:tr w:rsidR="00113419" w:rsidRPr="00113419" w14:paraId="6D98982D" w14:textId="77777777">
        <w:trPr>
          <w:trHeight w:val="355"/>
        </w:trPr>
        <w:tc>
          <w:tcPr>
            <w:tcW w:w="983" w:type="dxa"/>
            <w:tcBorders>
              <w:top w:val="nil"/>
              <w:left w:val="nil"/>
              <w:bottom w:val="nil"/>
              <w:right w:val="nil"/>
            </w:tcBorders>
            <w:shd w:val="clear" w:color="auto" w:fill="auto"/>
          </w:tcPr>
          <w:p w14:paraId="6E0E8B65" w14:textId="77777777" w:rsidR="00113419" w:rsidRPr="00113419" w:rsidRDefault="00113419" w:rsidP="00113419">
            <w:pPr>
              <w:jc w:val="both"/>
              <w:rPr>
                <w:rFonts w:ascii="Arial" w:hAnsi="Arial" w:cs="Arial"/>
                <w:b/>
                <w:bCs/>
                <w:rtl/>
              </w:rPr>
            </w:pPr>
          </w:p>
        </w:tc>
        <w:tc>
          <w:tcPr>
            <w:tcW w:w="7897" w:type="dxa"/>
            <w:gridSpan w:val="2"/>
            <w:tcBorders>
              <w:top w:val="nil"/>
              <w:left w:val="nil"/>
              <w:bottom w:val="nil"/>
              <w:right w:val="nil"/>
            </w:tcBorders>
            <w:shd w:val="clear" w:color="auto" w:fill="auto"/>
          </w:tcPr>
          <w:p w14:paraId="3F06A258" w14:textId="77777777" w:rsidR="00113419" w:rsidRPr="00113419" w:rsidRDefault="00113419" w:rsidP="00113419">
            <w:pPr>
              <w:jc w:val="center"/>
              <w:rPr>
                <w:rFonts w:ascii="Arial" w:hAnsi="Arial" w:cs="Arial"/>
                <w:b/>
                <w:bCs/>
                <w:rtl/>
              </w:rPr>
            </w:pPr>
          </w:p>
          <w:p w14:paraId="7C8EDF29" w14:textId="77777777" w:rsidR="00113419" w:rsidRPr="00113419" w:rsidRDefault="00113419" w:rsidP="00113419">
            <w:pPr>
              <w:rPr>
                <w:rFonts w:ascii="Arial" w:hAnsi="Arial" w:cs="Arial"/>
                <w:b/>
                <w:bCs/>
                <w:rtl/>
              </w:rPr>
            </w:pPr>
            <w:r w:rsidRPr="00113419">
              <w:rPr>
                <w:rFonts w:ascii="Arial" w:hAnsi="Arial" w:cs="Arial"/>
                <w:b/>
                <w:bCs/>
                <w:rtl/>
              </w:rPr>
              <w:t xml:space="preserve">                                         נגד</w:t>
            </w:r>
          </w:p>
          <w:p w14:paraId="101415E4" w14:textId="77777777" w:rsidR="00113419" w:rsidRPr="00113419" w:rsidRDefault="00113419" w:rsidP="00113419">
            <w:pPr>
              <w:jc w:val="both"/>
              <w:rPr>
                <w:rFonts w:ascii="Arial" w:hAnsi="Arial" w:cs="Arial"/>
                <w:b/>
                <w:bCs/>
              </w:rPr>
            </w:pPr>
          </w:p>
        </w:tc>
      </w:tr>
      <w:tr w:rsidR="00113419" w:rsidRPr="00113419" w14:paraId="4AF0C1D1" w14:textId="77777777">
        <w:trPr>
          <w:trHeight w:val="355"/>
        </w:trPr>
        <w:tc>
          <w:tcPr>
            <w:tcW w:w="983" w:type="dxa"/>
            <w:tcBorders>
              <w:top w:val="nil"/>
              <w:left w:val="nil"/>
              <w:bottom w:val="nil"/>
              <w:right w:val="nil"/>
            </w:tcBorders>
            <w:shd w:val="clear" w:color="auto" w:fill="auto"/>
          </w:tcPr>
          <w:p w14:paraId="1212FA13" w14:textId="77777777" w:rsidR="00113419" w:rsidRPr="00113419" w:rsidRDefault="00113419" w:rsidP="00113419">
            <w:pPr>
              <w:rPr>
                <w:rFonts w:ascii="Arial" w:hAnsi="Arial" w:cs="Arial"/>
                <w:b/>
                <w:bCs/>
                <w:rtl/>
              </w:rPr>
            </w:pPr>
          </w:p>
        </w:tc>
        <w:tc>
          <w:tcPr>
            <w:tcW w:w="4126" w:type="dxa"/>
            <w:tcBorders>
              <w:top w:val="nil"/>
              <w:left w:val="nil"/>
              <w:bottom w:val="nil"/>
              <w:right w:val="nil"/>
            </w:tcBorders>
            <w:shd w:val="clear" w:color="auto" w:fill="auto"/>
          </w:tcPr>
          <w:p w14:paraId="7D106AF6" w14:textId="77777777" w:rsidR="00113419" w:rsidRPr="00113419" w:rsidRDefault="00113419" w:rsidP="00113419">
            <w:pPr>
              <w:rPr>
                <w:rFonts w:ascii="Arial" w:hAnsi="Arial" w:cs="Arial"/>
                <w:b/>
                <w:bCs/>
                <w:rtl/>
              </w:rPr>
            </w:pPr>
            <w:r w:rsidRPr="00113419">
              <w:rPr>
                <w:rFonts w:ascii="Arial" w:hAnsi="Arial" w:cs="Arial"/>
                <w:b/>
                <w:bCs/>
                <w:rtl/>
              </w:rPr>
              <w:t xml:space="preserve">                    עבדאללה סמחאן </w:t>
            </w:r>
          </w:p>
        </w:tc>
        <w:tc>
          <w:tcPr>
            <w:tcW w:w="3771" w:type="dxa"/>
            <w:tcBorders>
              <w:top w:val="nil"/>
              <w:left w:val="nil"/>
              <w:bottom w:val="nil"/>
              <w:right w:val="nil"/>
            </w:tcBorders>
            <w:shd w:val="clear" w:color="auto" w:fill="auto"/>
          </w:tcPr>
          <w:p w14:paraId="79E46B2E" w14:textId="77777777" w:rsidR="00113419" w:rsidRPr="00113419" w:rsidRDefault="00113419" w:rsidP="00113419">
            <w:pPr>
              <w:jc w:val="right"/>
              <w:rPr>
                <w:rFonts w:ascii="Arial" w:hAnsi="Arial" w:cs="Arial"/>
                <w:b/>
                <w:bCs/>
              </w:rPr>
            </w:pPr>
          </w:p>
        </w:tc>
      </w:tr>
      <w:tr w:rsidR="00113419" w:rsidRPr="00113419" w14:paraId="3C9EB2A0" w14:textId="77777777">
        <w:trPr>
          <w:trHeight w:val="355"/>
        </w:trPr>
        <w:tc>
          <w:tcPr>
            <w:tcW w:w="983" w:type="dxa"/>
            <w:tcBorders>
              <w:top w:val="nil"/>
              <w:left w:val="nil"/>
              <w:bottom w:val="nil"/>
              <w:right w:val="nil"/>
            </w:tcBorders>
            <w:shd w:val="clear" w:color="auto" w:fill="auto"/>
          </w:tcPr>
          <w:p w14:paraId="11483D61" w14:textId="77777777" w:rsidR="00113419" w:rsidRPr="00113419" w:rsidRDefault="00113419" w:rsidP="00113419">
            <w:pPr>
              <w:jc w:val="both"/>
              <w:rPr>
                <w:rFonts w:ascii="Arial" w:hAnsi="Arial" w:cs="Arial"/>
                <w:b/>
                <w:bCs/>
                <w:rtl/>
              </w:rPr>
            </w:pPr>
          </w:p>
        </w:tc>
        <w:tc>
          <w:tcPr>
            <w:tcW w:w="4126" w:type="dxa"/>
            <w:tcBorders>
              <w:top w:val="nil"/>
              <w:left w:val="nil"/>
              <w:bottom w:val="nil"/>
              <w:right w:val="nil"/>
            </w:tcBorders>
            <w:shd w:val="clear" w:color="auto" w:fill="auto"/>
          </w:tcPr>
          <w:p w14:paraId="1B676C89" w14:textId="77777777" w:rsidR="00113419" w:rsidRPr="00113419" w:rsidRDefault="00113419" w:rsidP="00113419">
            <w:pPr>
              <w:jc w:val="both"/>
              <w:rPr>
                <w:rFonts w:ascii="Arial" w:hAnsi="Arial" w:cs="Arial"/>
                <w:b/>
                <w:bCs/>
                <w:rtl/>
              </w:rPr>
            </w:pPr>
            <w:r w:rsidRPr="00113419">
              <w:rPr>
                <w:rFonts w:ascii="Arial" w:hAnsi="Arial" w:cs="Arial"/>
                <w:b/>
                <w:bCs/>
                <w:rtl/>
              </w:rPr>
              <w:t xml:space="preserve">                            </w:t>
            </w:r>
          </w:p>
          <w:p w14:paraId="69BB8362" w14:textId="77777777" w:rsidR="00113419" w:rsidRPr="00113419" w:rsidRDefault="00113419" w:rsidP="00113419">
            <w:pPr>
              <w:jc w:val="both"/>
              <w:rPr>
                <w:rFonts w:ascii="Arial" w:hAnsi="Arial" w:cs="Arial"/>
                <w:rtl/>
              </w:rPr>
            </w:pPr>
            <w:r w:rsidRPr="00113419">
              <w:rPr>
                <w:rFonts w:ascii="Arial" w:hAnsi="Arial" w:cs="Arial"/>
                <w:b/>
                <w:bCs/>
                <w:rtl/>
              </w:rPr>
              <w:t xml:space="preserve">                   </w:t>
            </w:r>
            <w:r w:rsidRPr="00113419">
              <w:rPr>
                <w:rFonts w:ascii="Arial" w:hAnsi="Arial" w:cs="Arial"/>
                <w:rtl/>
              </w:rPr>
              <w:t>ע"י ב"כ עו"ד ע' אבו עמאר</w:t>
            </w:r>
          </w:p>
        </w:tc>
        <w:tc>
          <w:tcPr>
            <w:tcW w:w="3771" w:type="dxa"/>
            <w:tcBorders>
              <w:top w:val="nil"/>
              <w:left w:val="nil"/>
              <w:bottom w:val="nil"/>
              <w:right w:val="nil"/>
            </w:tcBorders>
            <w:shd w:val="clear" w:color="auto" w:fill="auto"/>
          </w:tcPr>
          <w:p w14:paraId="59AC289B" w14:textId="77777777" w:rsidR="00113419" w:rsidRPr="00113419" w:rsidRDefault="00113419" w:rsidP="00113419">
            <w:pPr>
              <w:jc w:val="right"/>
              <w:rPr>
                <w:rFonts w:ascii="Arial" w:hAnsi="Arial" w:cs="Arial"/>
                <w:b/>
                <w:bCs/>
              </w:rPr>
            </w:pPr>
            <w:r w:rsidRPr="00113419">
              <w:rPr>
                <w:rFonts w:ascii="Arial" w:hAnsi="Arial" w:cs="Arial"/>
                <w:b/>
                <w:bCs/>
                <w:rtl/>
              </w:rPr>
              <w:t>הנאשם</w:t>
            </w:r>
          </w:p>
        </w:tc>
      </w:tr>
    </w:tbl>
    <w:p w14:paraId="2F3788AE" w14:textId="77777777" w:rsidR="00635EE0" w:rsidRPr="00635EE0" w:rsidRDefault="00635EE0" w:rsidP="00635EE0">
      <w:pPr>
        <w:pStyle w:val="aa"/>
        <w:spacing w:after="120" w:line="240" w:lineRule="exact"/>
        <w:ind w:left="283" w:hanging="283"/>
        <w:jc w:val="both"/>
        <w:rPr>
          <w:rFonts w:ascii="FrankRuehl" w:hAnsi="FrankRuehl" w:cs="FrankRuehl"/>
          <w:sz w:val="24"/>
          <w:szCs w:val="24"/>
          <w:rtl/>
        </w:rPr>
      </w:pPr>
      <w:bookmarkStart w:id="3" w:name="LawTable"/>
      <w:bookmarkEnd w:id="3"/>
    </w:p>
    <w:p w14:paraId="00834BEA" w14:textId="77777777" w:rsidR="00635EE0" w:rsidRPr="00635EE0" w:rsidRDefault="00635EE0" w:rsidP="00635EE0">
      <w:pPr>
        <w:pStyle w:val="aa"/>
        <w:spacing w:after="120" w:line="240" w:lineRule="exact"/>
        <w:ind w:left="283" w:hanging="283"/>
        <w:jc w:val="both"/>
        <w:rPr>
          <w:rFonts w:ascii="FrankRuehl" w:hAnsi="FrankRuehl" w:cs="FrankRuehl"/>
          <w:sz w:val="24"/>
          <w:szCs w:val="24"/>
          <w:rtl/>
        </w:rPr>
      </w:pPr>
      <w:r w:rsidRPr="00635EE0">
        <w:rPr>
          <w:rFonts w:ascii="FrankRuehl" w:hAnsi="FrankRuehl" w:cs="FrankRuehl"/>
          <w:sz w:val="24"/>
          <w:szCs w:val="24"/>
          <w:rtl/>
        </w:rPr>
        <w:t xml:space="preserve">חקיקה שאוזכרה: </w:t>
      </w:r>
    </w:p>
    <w:p w14:paraId="4803F52C" w14:textId="77777777" w:rsidR="00635EE0" w:rsidRPr="00635EE0" w:rsidRDefault="00635EE0" w:rsidP="00635EE0">
      <w:pPr>
        <w:pStyle w:val="aa"/>
        <w:spacing w:after="120" w:line="240" w:lineRule="exact"/>
        <w:ind w:left="283" w:hanging="283"/>
        <w:jc w:val="both"/>
        <w:rPr>
          <w:rFonts w:ascii="FrankRuehl" w:hAnsi="FrankRuehl" w:cs="FrankRuehl"/>
          <w:sz w:val="24"/>
          <w:szCs w:val="24"/>
          <w:rtl/>
        </w:rPr>
      </w:pPr>
      <w:hyperlink r:id="rId8" w:history="1">
        <w:r w:rsidRPr="00635EE0">
          <w:rPr>
            <w:rFonts w:ascii="FrankRuehl" w:hAnsi="FrankRuehl" w:cs="FrankRuehl"/>
            <w:color w:val="0000FF"/>
            <w:sz w:val="24"/>
            <w:szCs w:val="24"/>
            <w:u w:val="single"/>
            <w:rtl/>
          </w:rPr>
          <w:t>חוק הכניסה לישראל, תשי"ב-1952</w:t>
        </w:r>
      </w:hyperlink>
      <w:r w:rsidRPr="00635EE0">
        <w:rPr>
          <w:rFonts w:ascii="FrankRuehl" w:hAnsi="FrankRuehl" w:cs="FrankRuehl"/>
          <w:sz w:val="24"/>
          <w:szCs w:val="24"/>
          <w:rtl/>
        </w:rPr>
        <w:t xml:space="preserve">: סע'  </w:t>
      </w:r>
      <w:hyperlink r:id="rId9" w:history="1">
        <w:r w:rsidRPr="00635EE0">
          <w:rPr>
            <w:rFonts w:ascii="FrankRuehl" w:hAnsi="FrankRuehl" w:cs="FrankRuehl"/>
            <w:color w:val="0000FF"/>
            <w:sz w:val="24"/>
            <w:szCs w:val="24"/>
            <w:u w:val="single"/>
            <w:rtl/>
          </w:rPr>
          <w:t>12</w:t>
        </w:r>
      </w:hyperlink>
    </w:p>
    <w:p w14:paraId="5AE1766B" w14:textId="77777777" w:rsidR="00635EE0" w:rsidRPr="00635EE0" w:rsidRDefault="00635EE0" w:rsidP="00635EE0">
      <w:pPr>
        <w:pStyle w:val="aa"/>
        <w:spacing w:after="120" w:line="240" w:lineRule="exact"/>
        <w:ind w:left="283" w:hanging="283"/>
        <w:jc w:val="both"/>
        <w:rPr>
          <w:rFonts w:ascii="FrankRuehl" w:hAnsi="FrankRuehl" w:cs="FrankRuehl"/>
          <w:sz w:val="24"/>
          <w:szCs w:val="24"/>
          <w:rtl/>
        </w:rPr>
      </w:pPr>
      <w:hyperlink r:id="rId10" w:history="1">
        <w:r w:rsidRPr="00635EE0">
          <w:rPr>
            <w:rFonts w:ascii="FrankRuehl" w:hAnsi="FrankRuehl" w:cs="FrankRuehl"/>
            <w:color w:val="0000FF"/>
            <w:sz w:val="24"/>
            <w:szCs w:val="24"/>
            <w:u w:val="single"/>
            <w:rtl/>
          </w:rPr>
          <w:t>חוק העונשין, תשל"ז-1977</w:t>
        </w:r>
      </w:hyperlink>
      <w:r w:rsidRPr="00635EE0">
        <w:rPr>
          <w:rFonts w:ascii="FrankRuehl" w:hAnsi="FrankRuehl" w:cs="FrankRuehl"/>
          <w:sz w:val="24"/>
          <w:szCs w:val="24"/>
          <w:rtl/>
        </w:rPr>
        <w:t xml:space="preserve">: סע'  </w:t>
      </w:r>
      <w:hyperlink r:id="rId11" w:history="1">
        <w:r w:rsidRPr="00635EE0">
          <w:rPr>
            <w:rFonts w:ascii="FrankRuehl" w:hAnsi="FrankRuehl" w:cs="FrankRuehl"/>
            <w:color w:val="0000FF"/>
            <w:sz w:val="24"/>
            <w:szCs w:val="24"/>
            <w:u w:val="single"/>
            <w:rtl/>
          </w:rPr>
          <w:t>31</w:t>
        </w:r>
      </w:hyperlink>
      <w:r w:rsidRPr="00635EE0">
        <w:rPr>
          <w:rFonts w:ascii="FrankRuehl" w:hAnsi="FrankRuehl" w:cs="FrankRuehl"/>
          <w:sz w:val="24"/>
          <w:szCs w:val="24"/>
          <w:rtl/>
        </w:rPr>
        <w:t xml:space="preserve">, </w:t>
      </w:r>
      <w:hyperlink r:id="rId12" w:history="1">
        <w:r w:rsidRPr="00635EE0">
          <w:rPr>
            <w:rFonts w:ascii="FrankRuehl" w:hAnsi="FrankRuehl" w:cs="FrankRuehl"/>
            <w:color w:val="0000FF"/>
            <w:sz w:val="24"/>
            <w:szCs w:val="24"/>
            <w:u w:val="single"/>
            <w:rtl/>
          </w:rPr>
          <w:t>114(א)</w:t>
        </w:r>
      </w:hyperlink>
      <w:r w:rsidRPr="00635EE0">
        <w:rPr>
          <w:rFonts w:ascii="FrankRuehl" w:hAnsi="FrankRuehl" w:cs="FrankRuehl"/>
          <w:sz w:val="24"/>
          <w:szCs w:val="24"/>
          <w:rtl/>
        </w:rPr>
        <w:t xml:space="preserve">, </w:t>
      </w:r>
      <w:hyperlink r:id="rId13" w:history="1">
        <w:r w:rsidRPr="00635EE0">
          <w:rPr>
            <w:rFonts w:ascii="FrankRuehl" w:hAnsi="FrankRuehl" w:cs="FrankRuehl"/>
            <w:color w:val="0000FF"/>
            <w:sz w:val="24"/>
            <w:szCs w:val="24"/>
            <w:u w:val="single"/>
            <w:rtl/>
          </w:rPr>
          <w:t>143(ב)</w:t>
        </w:r>
      </w:hyperlink>
      <w:r w:rsidRPr="00635EE0">
        <w:rPr>
          <w:rFonts w:ascii="FrankRuehl" w:hAnsi="FrankRuehl" w:cs="FrankRuehl"/>
          <w:sz w:val="24"/>
          <w:szCs w:val="24"/>
          <w:rtl/>
        </w:rPr>
        <w:t xml:space="preserve">, </w:t>
      </w:r>
      <w:hyperlink r:id="rId14" w:history="1">
        <w:r w:rsidRPr="00635EE0">
          <w:rPr>
            <w:rFonts w:ascii="FrankRuehl" w:hAnsi="FrankRuehl" w:cs="FrankRuehl"/>
            <w:color w:val="0000FF"/>
            <w:sz w:val="24"/>
            <w:szCs w:val="24"/>
            <w:u w:val="single"/>
            <w:rtl/>
          </w:rPr>
          <w:t>144(ב)</w:t>
        </w:r>
      </w:hyperlink>
      <w:r w:rsidRPr="00635EE0">
        <w:rPr>
          <w:rFonts w:ascii="FrankRuehl" w:hAnsi="FrankRuehl" w:cs="FrankRuehl"/>
          <w:sz w:val="24"/>
          <w:szCs w:val="24"/>
          <w:rtl/>
        </w:rPr>
        <w:t xml:space="preserve">, </w:t>
      </w:r>
      <w:hyperlink r:id="rId15" w:history="1">
        <w:r w:rsidRPr="00635EE0">
          <w:rPr>
            <w:rFonts w:ascii="FrankRuehl" w:hAnsi="FrankRuehl" w:cs="FrankRuehl"/>
            <w:color w:val="0000FF"/>
            <w:sz w:val="24"/>
            <w:szCs w:val="24"/>
            <w:u w:val="single"/>
            <w:rtl/>
          </w:rPr>
          <w:t>144ו</w:t>
        </w:r>
      </w:hyperlink>
      <w:r w:rsidRPr="00635EE0">
        <w:rPr>
          <w:rFonts w:ascii="FrankRuehl" w:hAnsi="FrankRuehl" w:cs="FrankRuehl"/>
          <w:sz w:val="24"/>
          <w:szCs w:val="24"/>
          <w:rtl/>
        </w:rPr>
        <w:t xml:space="preserve">, </w:t>
      </w:r>
      <w:hyperlink r:id="rId16" w:history="1">
        <w:r w:rsidRPr="00635EE0">
          <w:rPr>
            <w:rFonts w:ascii="FrankRuehl" w:hAnsi="FrankRuehl" w:cs="FrankRuehl"/>
            <w:color w:val="0000FF"/>
            <w:sz w:val="24"/>
            <w:szCs w:val="24"/>
            <w:u w:val="single"/>
            <w:rtl/>
          </w:rPr>
          <w:t>186</w:t>
        </w:r>
      </w:hyperlink>
      <w:r w:rsidRPr="00635EE0">
        <w:rPr>
          <w:rFonts w:ascii="FrankRuehl" w:hAnsi="FrankRuehl" w:cs="FrankRuehl"/>
          <w:sz w:val="24"/>
          <w:szCs w:val="24"/>
          <w:rtl/>
        </w:rPr>
        <w:t xml:space="preserve">, </w:t>
      </w:r>
      <w:hyperlink r:id="rId17" w:history="1">
        <w:r w:rsidRPr="00635EE0">
          <w:rPr>
            <w:rFonts w:ascii="FrankRuehl" w:hAnsi="FrankRuehl" w:cs="FrankRuehl"/>
            <w:color w:val="0000FF"/>
            <w:sz w:val="24"/>
            <w:szCs w:val="24"/>
            <w:u w:val="single"/>
            <w:rtl/>
          </w:rPr>
          <w:t>244</w:t>
        </w:r>
      </w:hyperlink>
      <w:r w:rsidRPr="00635EE0">
        <w:rPr>
          <w:rFonts w:ascii="FrankRuehl" w:hAnsi="FrankRuehl" w:cs="FrankRuehl"/>
          <w:sz w:val="24"/>
          <w:szCs w:val="24"/>
          <w:rtl/>
        </w:rPr>
        <w:t xml:space="preserve">, </w:t>
      </w:r>
      <w:hyperlink r:id="rId18" w:history="1">
        <w:r w:rsidRPr="00635EE0">
          <w:rPr>
            <w:rFonts w:ascii="FrankRuehl" w:hAnsi="FrankRuehl" w:cs="FrankRuehl"/>
            <w:color w:val="0000FF"/>
            <w:sz w:val="24"/>
            <w:szCs w:val="24"/>
            <w:u w:val="single"/>
            <w:rtl/>
          </w:rPr>
          <w:t>305(1)</w:t>
        </w:r>
      </w:hyperlink>
      <w:r w:rsidRPr="00635EE0">
        <w:rPr>
          <w:rFonts w:ascii="FrankRuehl" w:hAnsi="FrankRuehl" w:cs="FrankRuehl"/>
          <w:sz w:val="24"/>
          <w:szCs w:val="24"/>
          <w:rtl/>
        </w:rPr>
        <w:t xml:space="preserve">, </w:t>
      </w:r>
      <w:hyperlink r:id="rId19" w:history="1">
        <w:r w:rsidRPr="00635EE0">
          <w:rPr>
            <w:rFonts w:ascii="FrankRuehl" w:hAnsi="FrankRuehl" w:cs="FrankRuehl"/>
            <w:color w:val="0000FF"/>
            <w:sz w:val="24"/>
            <w:szCs w:val="24"/>
            <w:u w:val="single"/>
            <w:rtl/>
          </w:rPr>
          <w:t>334</w:t>
        </w:r>
      </w:hyperlink>
      <w:r w:rsidRPr="00635EE0">
        <w:rPr>
          <w:rFonts w:ascii="FrankRuehl" w:hAnsi="FrankRuehl" w:cs="FrankRuehl"/>
          <w:sz w:val="24"/>
          <w:szCs w:val="24"/>
          <w:rtl/>
        </w:rPr>
        <w:t xml:space="preserve">, </w:t>
      </w:r>
      <w:hyperlink r:id="rId20" w:history="1">
        <w:r w:rsidRPr="00635EE0">
          <w:rPr>
            <w:rFonts w:ascii="FrankRuehl" w:hAnsi="FrankRuehl" w:cs="FrankRuehl"/>
            <w:color w:val="0000FF"/>
            <w:sz w:val="24"/>
            <w:szCs w:val="24"/>
            <w:u w:val="single"/>
            <w:rtl/>
          </w:rPr>
          <w:t>335(א)(1)</w:t>
        </w:r>
      </w:hyperlink>
      <w:r w:rsidRPr="00635EE0">
        <w:rPr>
          <w:rFonts w:ascii="FrankRuehl" w:hAnsi="FrankRuehl" w:cs="FrankRuehl"/>
          <w:sz w:val="24"/>
          <w:szCs w:val="24"/>
          <w:rtl/>
        </w:rPr>
        <w:t xml:space="preserve">, </w:t>
      </w:r>
      <w:hyperlink r:id="rId21" w:history="1">
        <w:r w:rsidRPr="00635EE0">
          <w:rPr>
            <w:rFonts w:ascii="FrankRuehl" w:hAnsi="FrankRuehl" w:cs="FrankRuehl"/>
            <w:color w:val="0000FF"/>
            <w:sz w:val="24"/>
            <w:szCs w:val="24"/>
            <w:u w:val="single"/>
            <w:rtl/>
          </w:rPr>
          <w:t>499(א)(1)</w:t>
        </w:r>
      </w:hyperlink>
    </w:p>
    <w:p w14:paraId="1688DF95" w14:textId="77777777" w:rsidR="00635EE0" w:rsidRPr="00635EE0" w:rsidRDefault="00635EE0" w:rsidP="00635EE0">
      <w:pPr>
        <w:pStyle w:val="aa"/>
        <w:spacing w:after="120" w:line="240" w:lineRule="exact"/>
        <w:ind w:left="283" w:hanging="283"/>
        <w:jc w:val="both"/>
        <w:rPr>
          <w:rFonts w:ascii="FrankRuehl" w:hAnsi="FrankRuehl" w:cs="FrankRuehl"/>
          <w:sz w:val="24"/>
          <w:szCs w:val="24"/>
          <w:rtl/>
        </w:rPr>
      </w:pPr>
      <w:hyperlink r:id="rId22" w:history="1">
        <w:r w:rsidRPr="00635EE0">
          <w:rPr>
            <w:rFonts w:ascii="FrankRuehl" w:hAnsi="FrankRuehl" w:cs="FrankRuehl"/>
            <w:color w:val="0000FF"/>
            <w:sz w:val="24"/>
            <w:szCs w:val="24"/>
            <w:u w:val="single"/>
            <w:rtl/>
          </w:rPr>
          <w:t>תקנות ההגנה (שעת-חירום), 1945</w:t>
        </w:r>
      </w:hyperlink>
      <w:r w:rsidRPr="00635EE0">
        <w:rPr>
          <w:rFonts w:ascii="FrankRuehl" w:hAnsi="FrankRuehl" w:cs="FrankRuehl"/>
          <w:sz w:val="24"/>
          <w:szCs w:val="24"/>
          <w:rtl/>
        </w:rPr>
        <w:t xml:space="preserve">: סע'  </w:t>
      </w:r>
      <w:hyperlink r:id="rId23" w:history="1">
        <w:r w:rsidRPr="00635EE0">
          <w:rPr>
            <w:rFonts w:ascii="FrankRuehl" w:hAnsi="FrankRuehl" w:cs="FrankRuehl"/>
            <w:color w:val="0000FF"/>
            <w:sz w:val="24"/>
            <w:szCs w:val="24"/>
            <w:u w:val="single"/>
            <w:rtl/>
          </w:rPr>
          <w:t>85(1)(א)</w:t>
        </w:r>
      </w:hyperlink>
    </w:p>
    <w:p w14:paraId="1BF62282" w14:textId="77777777" w:rsidR="00113419" w:rsidRDefault="00113419">
      <w:pPr>
        <w:rPr>
          <w:rFonts w:ascii="Arial" w:hAnsi="Arial" w:cs="Arial" w:hint="cs"/>
          <w:b/>
          <w:bCs/>
          <w:rtl/>
        </w:rPr>
      </w:pPr>
      <w:bookmarkStart w:id="4" w:name="LawTable_End"/>
      <w:bookmarkEnd w:id="4"/>
    </w:p>
    <w:p w14:paraId="4C96A4BA" w14:textId="77777777" w:rsidR="00635EE0" w:rsidRDefault="00635EE0" w:rsidP="00635EE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4A3A42B2" w14:textId="77777777" w:rsidR="00635EE0" w:rsidRPr="008067B0" w:rsidRDefault="00635EE0" w:rsidP="00635EE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8067B0">
        <w:rPr>
          <w:rFonts w:ascii="Times New Roman" w:hAnsi="Times New Roman" w:cs="FrankRuehl" w:hint="cs"/>
          <w:sz w:val="24"/>
          <w:szCs w:val="26"/>
          <w:rtl/>
        </w:rPr>
        <w:t xml:space="preserve">בית המשפט גזר על הנאשם, שהורשע בעבירות חמורות שונות כנגד בטחון המדינה ואזרחיה, 19 שנות מאסר, </w:t>
      </w:r>
      <w:r w:rsidRPr="008067B0">
        <w:rPr>
          <w:rFonts w:ascii="Times New Roman" w:hAnsi="Times New Roman" w:cs="FrankRuehl"/>
          <w:sz w:val="24"/>
          <w:szCs w:val="26"/>
          <w:rtl/>
        </w:rPr>
        <w:t xml:space="preserve">18 חדשי מאסר מותנים </w:t>
      </w:r>
      <w:r w:rsidRPr="008067B0">
        <w:rPr>
          <w:rFonts w:ascii="Times New Roman" w:hAnsi="Times New Roman" w:cs="FrankRuehl" w:hint="cs"/>
          <w:sz w:val="24"/>
          <w:szCs w:val="26"/>
          <w:rtl/>
        </w:rPr>
        <w:t xml:space="preserve">ופיצוי </w:t>
      </w:r>
      <w:r w:rsidRPr="008067B0">
        <w:rPr>
          <w:rFonts w:ascii="Times New Roman" w:hAnsi="Times New Roman" w:cs="FrankRuehl"/>
          <w:sz w:val="24"/>
          <w:szCs w:val="26"/>
          <w:rtl/>
        </w:rPr>
        <w:t>המתלונן</w:t>
      </w:r>
      <w:r w:rsidRPr="008067B0">
        <w:rPr>
          <w:rFonts w:ascii="Times New Roman" w:hAnsi="Times New Roman" w:cs="FrankRuehl" w:hint="cs"/>
          <w:sz w:val="24"/>
          <w:szCs w:val="26"/>
          <w:rtl/>
        </w:rPr>
        <w:t>.</w:t>
      </w:r>
    </w:p>
    <w:p w14:paraId="381D7950" w14:textId="77777777" w:rsidR="00635EE0" w:rsidRDefault="00635EE0" w:rsidP="00635EE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ביטחון</w:t>
      </w:r>
    </w:p>
    <w:p w14:paraId="5DC3B2F3" w14:textId="77777777" w:rsidR="00635EE0" w:rsidRDefault="00635EE0" w:rsidP="00635EE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37B4F9A8" w14:textId="77777777" w:rsidR="00635EE0" w:rsidRPr="008067B0" w:rsidRDefault="00635EE0" w:rsidP="00635EE0">
      <w:pPr>
        <w:pBdr>
          <w:top w:val="single" w:sz="4" w:space="1" w:color="auto"/>
          <w:bottom w:val="single" w:sz="4" w:space="1" w:color="auto"/>
        </w:pBdr>
        <w:spacing w:after="120" w:line="320" w:lineRule="exact"/>
        <w:jc w:val="both"/>
        <w:rPr>
          <w:rFonts w:cs="FrankRuehl" w:hint="cs"/>
          <w:szCs w:val="26"/>
          <w:rtl/>
        </w:rPr>
      </w:pPr>
      <w:r w:rsidRPr="008067B0">
        <w:rPr>
          <w:rFonts w:cs="FrankRuehl"/>
          <w:szCs w:val="26"/>
          <w:rtl/>
        </w:rPr>
        <w:t xml:space="preserve">הנאשם הורשע </w:t>
      </w:r>
      <w:r w:rsidRPr="008067B0">
        <w:rPr>
          <w:rFonts w:cs="FrankRuehl" w:hint="cs"/>
          <w:szCs w:val="26"/>
          <w:rtl/>
        </w:rPr>
        <w:t>ע"פ</w:t>
      </w:r>
      <w:r w:rsidRPr="008067B0">
        <w:rPr>
          <w:rFonts w:cs="FrankRuehl"/>
          <w:szCs w:val="26"/>
          <w:rtl/>
        </w:rPr>
        <w:t xml:space="preserve"> הודאתו בעבירות</w:t>
      </w:r>
      <w:r w:rsidRPr="008067B0">
        <w:rPr>
          <w:rFonts w:cs="FrankRuehl" w:hint="cs"/>
          <w:szCs w:val="26"/>
          <w:rtl/>
        </w:rPr>
        <w:t xml:space="preserve"> </w:t>
      </w:r>
      <w:r w:rsidRPr="008067B0">
        <w:rPr>
          <w:rFonts w:cs="FrankRuehl"/>
          <w:szCs w:val="26"/>
          <w:rtl/>
        </w:rPr>
        <w:t>כניסה לישראל שלא כדין, ניסיון לרצח, פציעה בנסיבות מחמירות, החזקת סכין שלא כדין</w:t>
      </w:r>
      <w:r w:rsidRPr="008067B0">
        <w:rPr>
          <w:rFonts w:cs="FrankRuehl" w:hint="cs"/>
          <w:szCs w:val="26"/>
          <w:rtl/>
        </w:rPr>
        <w:t xml:space="preserve">, </w:t>
      </w:r>
      <w:r w:rsidRPr="008067B0">
        <w:rPr>
          <w:rFonts w:cs="FrankRuehl"/>
          <w:szCs w:val="26"/>
          <w:rtl/>
        </w:rPr>
        <w:t>מגע עם סוכן חוץ, שיבוש מהלכי משפט,</w:t>
      </w:r>
      <w:r w:rsidRPr="008067B0">
        <w:rPr>
          <w:rFonts w:cs="FrankRuehl" w:hint="cs"/>
          <w:szCs w:val="26"/>
          <w:rtl/>
        </w:rPr>
        <w:t xml:space="preserve"> </w:t>
      </w:r>
      <w:r w:rsidRPr="008067B0">
        <w:rPr>
          <w:rFonts w:cs="FrankRuehl"/>
          <w:szCs w:val="26"/>
          <w:rtl/>
        </w:rPr>
        <w:t>סיוע לניסיון לרצ</w:t>
      </w:r>
      <w:r w:rsidRPr="008067B0">
        <w:rPr>
          <w:rFonts w:cs="FrankRuehl" w:hint="cs"/>
          <w:szCs w:val="26"/>
          <w:rtl/>
        </w:rPr>
        <w:t xml:space="preserve">ח, </w:t>
      </w:r>
      <w:r w:rsidRPr="008067B0">
        <w:rPr>
          <w:rFonts w:cs="FrankRuehl"/>
          <w:szCs w:val="26"/>
          <w:rtl/>
        </w:rPr>
        <w:t>חברות ופעילות בהתאחדות בלתי מותרת, עבירות בנשק</w:t>
      </w:r>
      <w:r w:rsidRPr="008067B0">
        <w:rPr>
          <w:rFonts w:cs="FrankRuehl" w:hint="cs"/>
          <w:szCs w:val="26"/>
          <w:rtl/>
        </w:rPr>
        <w:t xml:space="preserve">, </w:t>
      </w:r>
      <w:r w:rsidRPr="008067B0">
        <w:rPr>
          <w:rFonts w:cs="FrankRuehl"/>
          <w:szCs w:val="26"/>
          <w:rtl/>
        </w:rPr>
        <w:t xml:space="preserve">אימונים צבאיים אסורים </w:t>
      </w:r>
      <w:r w:rsidRPr="008067B0">
        <w:rPr>
          <w:rFonts w:cs="FrankRuehl" w:hint="cs"/>
          <w:szCs w:val="26"/>
          <w:rtl/>
        </w:rPr>
        <w:t>ו</w:t>
      </w:r>
      <w:r w:rsidRPr="008067B0">
        <w:rPr>
          <w:rFonts w:cs="FrankRuehl"/>
          <w:szCs w:val="26"/>
          <w:rtl/>
        </w:rPr>
        <w:t>קשירת קשר לפשע.</w:t>
      </w:r>
      <w:r w:rsidRPr="008067B0">
        <w:rPr>
          <w:rFonts w:cs="FrankRuehl" w:hint="cs"/>
          <w:szCs w:val="26"/>
          <w:rtl/>
        </w:rPr>
        <w:t xml:space="preserve"> כל זאת </w:t>
      </w:r>
      <w:r w:rsidRPr="008067B0">
        <w:rPr>
          <w:rFonts w:cs="FrankRuehl"/>
          <w:szCs w:val="26"/>
          <w:rtl/>
        </w:rPr>
        <w:t>בזיקה לארגון טרור.</w:t>
      </w:r>
    </w:p>
    <w:p w14:paraId="34DA72A8" w14:textId="77777777" w:rsidR="00635EE0" w:rsidRDefault="00635EE0" w:rsidP="00635EE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B6D5B97" w14:textId="77777777" w:rsidR="00635EE0" w:rsidRPr="008067B0" w:rsidRDefault="00635EE0" w:rsidP="00635EE0">
      <w:pPr>
        <w:pBdr>
          <w:top w:val="single" w:sz="4" w:space="1" w:color="auto"/>
          <w:bottom w:val="single" w:sz="4" w:space="1" w:color="auto"/>
        </w:pBdr>
        <w:spacing w:after="120" w:line="320" w:lineRule="exact"/>
        <w:jc w:val="both"/>
        <w:rPr>
          <w:rFonts w:cs="FrankRuehl" w:hint="cs"/>
          <w:szCs w:val="26"/>
          <w:rtl/>
        </w:rPr>
      </w:pPr>
      <w:r w:rsidRPr="008067B0">
        <w:rPr>
          <w:rFonts w:cs="FrankRuehl"/>
          <w:szCs w:val="26"/>
          <w:rtl/>
        </w:rPr>
        <w:t>בית המשפט המחוזי</w:t>
      </w:r>
      <w:r w:rsidRPr="008067B0">
        <w:rPr>
          <w:rFonts w:cs="FrankRuehl" w:hint="cs"/>
          <w:szCs w:val="26"/>
          <w:rtl/>
        </w:rPr>
        <w:t xml:space="preserve"> גזר את הדין ופסק:</w:t>
      </w:r>
    </w:p>
    <w:p w14:paraId="6D5F9169" w14:textId="77777777" w:rsidR="00635EE0" w:rsidRPr="008067B0" w:rsidRDefault="00635EE0" w:rsidP="00635EE0">
      <w:pPr>
        <w:pBdr>
          <w:top w:val="single" w:sz="4" w:space="1" w:color="auto"/>
          <w:bottom w:val="single" w:sz="4" w:space="1" w:color="auto"/>
        </w:pBdr>
        <w:spacing w:after="120" w:line="320" w:lineRule="exact"/>
        <w:jc w:val="both"/>
        <w:rPr>
          <w:rFonts w:cs="FrankRuehl"/>
          <w:szCs w:val="26"/>
          <w:rtl/>
        </w:rPr>
      </w:pPr>
      <w:r w:rsidRPr="008067B0">
        <w:rPr>
          <w:rFonts w:cs="FrankRuehl"/>
          <w:szCs w:val="26"/>
          <w:rtl/>
        </w:rPr>
        <w:t>עבירות הנועדות לפגוע בביטחון, מחייבות הטלת ענישה מחמירה. בצד שיקולי הגמול</w:t>
      </w:r>
      <w:r w:rsidRPr="008067B0">
        <w:rPr>
          <w:rFonts w:cs="FrankRuehl" w:hint="cs"/>
          <w:szCs w:val="26"/>
          <w:rtl/>
        </w:rPr>
        <w:t>,</w:t>
      </w:r>
      <w:r w:rsidRPr="008067B0">
        <w:rPr>
          <w:rFonts w:cs="FrankRuehl"/>
          <w:szCs w:val="26"/>
          <w:rtl/>
        </w:rPr>
        <w:t xml:space="preserve"> תכלית הענישה להרתיע חורשי רע מפני פגיעה בתשתיות הביטחון ו</w:t>
      </w:r>
      <w:r w:rsidRPr="008067B0">
        <w:rPr>
          <w:rFonts w:cs="FrankRuehl" w:hint="cs"/>
          <w:szCs w:val="26"/>
          <w:rtl/>
        </w:rPr>
        <w:t>לנוכח הצורך ב</w:t>
      </w:r>
      <w:r w:rsidRPr="008067B0">
        <w:rPr>
          <w:rFonts w:cs="FrankRuehl"/>
          <w:szCs w:val="26"/>
          <w:rtl/>
        </w:rPr>
        <w:t>שמירה על הערך העליון של קדושת החיים</w:t>
      </w:r>
      <w:r w:rsidRPr="008067B0">
        <w:rPr>
          <w:rFonts w:cs="FrankRuehl" w:hint="cs"/>
          <w:szCs w:val="26"/>
          <w:rtl/>
        </w:rPr>
        <w:t>.</w:t>
      </w:r>
      <w:r w:rsidRPr="008067B0">
        <w:rPr>
          <w:rFonts w:cs="FrankRuehl"/>
          <w:szCs w:val="26"/>
          <w:rtl/>
        </w:rPr>
        <w:t xml:space="preserve"> נסיבות אישיות אלו או אחרות, </w:t>
      </w:r>
      <w:r w:rsidRPr="008067B0">
        <w:rPr>
          <w:rFonts w:cs="FrankRuehl" w:hint="cs"/>
          <w:szCs w:val="26"/>
          <w:rtl/>
        </w:rPr>
        <w:t xml:space="preserve">כמו גם גילו הצעיר של נאשם, </w:t>
      </w:r>
      <w:r w:rsidRPr="008067B0">
        <w:rPr>
          <w:rFonts w:cs="FrankRuehl"/>
          <w:szCs w:val="26"/>
          <w:rtl/>
        </w:rPr>
        <w:t>נדחקות לאחור, נוכח חומרת העבירות</w:t>
      </w:r>
      <w:r w:rsidRPr="008067B0">
        <w:rPr>
          <w:rFonts w:cs="FrankRuehl" w:hint="cs"/>
          <w:szCs w:val="26"/>
          <w:rtl/>
        </w:rPr>
        <w:t xml:space="preserve">. </w:t>
      </w:r>
      <w:r w:rsidRPr="008067B0">
        <w:rPr>
          <w:rFonts w:cs="FrankRuehl"/>
          <w:szCs w:val="26"/>
          <w:rtl/>
        </w:rPr>
        <w:t xml:space="preserve">מתחם העונש </w:t>
      </w:r>
      <w:r w:rsidRPr="008067B0">
        <w:rPr>
          <w:rFonts w:cs="FrankRuehl" w:hint="cs"/>
          <w:szCs w:val="26"/>
          <w:rtl/>
        </w:rPr>
        <w:t xml:space="preserve">הכולל שיש להשית בגין העבירות </w:t>
      </w:r>
      <w:r w:rsidRPr="008067B0">
        <w:rPr>
          <w:rFonts w:cs="FrankRuehl"/>
          <w:szCs w:val="26"/>
          <w:rtl/>
        </w:rPr>
        <w:t xml:space="preserve">הינו בין </w:t>
      </w:r>
      <w:r w:rsidRPr="008067B0">
        <w:rPr>
          <w:rFonts w:cs="FrankRuehl" w:hint="cs"/>
          <w:szCs w:val="26"/>
          <w:rtl/>
        </w:rPr>
        <w:t>10 ל- 13</w:t>
      </w:r>
      <w:r w:rsidRPr="008067B0">
        <w:rPr>
          <w:rFonts w:cs="FrankRuehl"/>
          <w:szCs w:val="26"/>
          <w:rtl/>
        </w:rPr>
        <w:t xml:space="preserve"> שנות מאסר</w:t>
      </w:r>
      <w:r w:rsidRPr="008067B0">
        <w:rPr>
          <w:rFonts w:cs="FrankRuehl" w:hint="cs"/>
          <w:szCs w:val="26"/>
          <w:rtl/>
        </w:rPr>
        <w:t xml:space="preserve"> ובהתחשב </w:t>
      </w:r>
      <w:r w:rsidRPr="008067B0">
        <w:rPr>
          <w:rFonts w:cs="FrankRuehl" w:hint="cs"/>
          <w:szCs w:val="26"/>
          <w:rtl/>
        </w:rPr>
        <w:lastRenderedPageBreak/>
        <w:t>במכלול השיקולים, הוטל על הנאשם עונש כולל של 19 שנות מאסר מ</w:t>
      </w:r>
      <w:r w:rsidRPr="008067B0">
        <w:rPr>
          <w:rFonts w:cs="FrankRuehl"/>
          <w:szCs w:val="26"/>
          <w:rtl/>
        </w:rPr>
        <w:t>מעצרו</w:t>
      </w:r>
      <w:r w:rsidRPr="008067B0">
        <w:rPr>
          <w:rFonts w:cs="FrankRuehl" w:hint="cs"/>
          <w:szCs w:val="26"/>
          <w:rtl/>
        </w:rPr>
        <w:t xml:space="preserve">, </w:t>
      </w:r>
      <w:r w:rsidRPr="008067B0">
        <w:rPr>
          <w:rFonts w:cs="FrankRuehl"/>
          <w:szCs w:val="26"/>
          <w:rtl/>
        </w:rPr>
        <w:t xml:space="preserve">18 חדשי מאסר מותנים </w:t>
      </w:r>
      <w:r w:rsidRPr="008067B0">
        <w:rPr>
          <w:rFonts w:cs="FrankRuehl" w:hint="cs"/>
          <w:szCs w:val="26"/>
          <w:rtl/>
        </w:rPr>
        <w:t xml:space="preserve">ופיצוי </w:t>
      </w:r>
      <w:r w:rsidRPr="008067B0">
        <w:rPr>
          <w:rFonts w:cs="FrankRuehl"/>
          <w:szCs w:val="26"/>
          <w:rtl/>
        </w:rPr>
        <w:t xml:space="preserve">המתלונן בסכום של 20,000 </w:t>
      </w:r>
      <w:r w:rsidRPr="008067B0">
        <w:rPr>
          <w:rFonts w:cs="FrankRuehl" w:hint="cs"/>
          <w:szCs w:val="26"/>
          <w:rtl/>
        </w:rPr>
        <w:t>₪.</w:t>
      </w:r>
    </w:p>
    <w:p w14:paraId="065A5605" w14:textId="77777777" w:rsidR="00635EE0" w:rsidRPr="00113419" w:rsidRDefault="00635EE0">
      <w:pPr>
        <w:rPr>
          <w:rFonts w:ascii="Arial" w:hAnsi="Arial" w:cs="Arial" w:hint="cs"/>
          <w:b/>
          <w:b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3419" w:rsidRPr="00AA23A8" w14:paraId="33F767EB" w14:textId="77777777">
        <w:trPr>
          <w:trHeight w:val="355"/>
          <w:jc w:val="center"/>
        </w:trPr>
        <w:tc>
          <w:tcPr>
            <w:tcW w:w="8820" w:type="dxa"/>
            <w:tcBorders>
              <w:top w:val="nil"/>
              <w:left w:val="nil"/>
              <w:bottom w:val="nil"/>
              <w:right w:val="nil"/>
            </w:tcBorders>
            <w:shd w:val="clear" w:color="auto" w:fill="auto"/>
          </w:tcPr>
          <w:p w14:paraId="52A2AE72" w14:textId="77777777" w:rsidR="00113419" w:rsidRPr="00113419" w:rsidRDefault="00113419" w:rsidP="00113419">
            <w:pPr>
              <w:jc w:val="center"/>
              <w:rPr>
                <w:rFonts w:ascii="Arial" w:hAnsi="Arial" w:cs="Arial"/>
                <w:b/>
                <w:bCs/>
                <w:u w:val="single"/>
                <w:rtl/>
              </w:rPr>
            </w:pPr>
            <w:bookmarkStart w:id="7" w:name="PsakDin" w:colFirst="0" w:colLast="0"/>
            <w:r w:rsidRPr="00113419">
              <w:rPr>
                <w:rFonts w:ascii="Arial" w:hAnsi="Arial" w:cs="Arial"/>
                <w:b/>
                <w:bCs/>
                <w:u w:val="single"/>
                <w:rtl/>
              </w:rPr>
              <w:t>גזר דין</w:t>
            </w:r>
          </w:p>
          <w:p w14:paraId="460B20D5" w14:textId="77777777" w:rsidR="00113419" w:rsidRPr="00113419" w:rsidRDefault="00113419" w:rsidP="00113419">
            <w:pPr>
              <w:jc w:val="center"/>
              <w:rPr>
                <w:rFonts w:ascii="Arial" w:hAnsi="Arial" w:cs="Arial"/>
                <w:b/>
                <w:bCs/>
                <w:u w:val="single"/>
                <w:rtl/>
              </w:rPr>
            </w:pPr>
          </w:p>
        </w:tc>
      </w:tr>
      <w:bookmarkEnd w:id="7"/>
    </w:tbl>
    <w:p w14:paraId="355A625C" w14:textId="77777777" w:rsidR="00507694" w:rsidRPr="00AA23A8" w:rsidRDefault="00507694">
      <w:pPr>
        <w:rPr>
          <w:rFonts w:ascii="Arial" w:hAnsi="Arial" w:cs="Arial"/>
          <w:b/>
          <w:bCs/>
          <w:rtl/>
        </w:rPr>
      </w:pPr>
    </w:p>
    <w:p w14:paraId="677C41E8" w14:textId="77777777" w:rsidR="00AA23A8" w:rsidRPr="00AA23A8" w:rsidRDefault="00AA23A8" w:rsidP="00AA23A8">
      <w:pPr>
        <w:spacing w:line="360" w:lineRule="auto"/>
        <w:jc w:val="both"/>
        <w:rPr>
          <w:rFonts w:ascii="Arial" w:hAnsi="Arial" w:cs="Arial"/>
          <w:rtl/>
        </w:rPr>
      </w:pPr>
      <w:r w:rsidRPr="00AA23A8">
        <w:rPr>
          <w:rFonts w:ascii="Arial" w:hAnsi="Arial" w:cs="Arial"/>
          <w:rtl/>
        </w:rPr>
        <w:t>הנאשם, יליד 1989, תושב דהריה</w:t>
      </w:r>
      <w:r w:rsidR="00EA2C0C">
        <w:rPr>
          <w:rFonts w:ascii="Arial" w:hAnsi="Arial" w:cs="Arial" w:hint="cs"/>
          <w:rtl/>
        </w:rPr>
        <w:t xml:space="preserve"> ברש"פ</w:t>
      </w:r>
      <w:r w:rsidRPr="00AA23A8">
        <w:rPr>
          <w:rFonts w:ascii="Arial" w:hAnsi="Arial" w:cs="Arial"/>
          <w:rtl/>
        </w:rPr>
        <w:t xml:space="preserve">, הורשע על פי הודאתו – לאחר שחזר בו מכפירתו הראשונית - בעבירות הכלולות בשני אישומים, במסגרת כתב אישום מתוקן, כלהלן: </w:t>
      </w:r>
    </w:p>
    <w:p w14:paraId="24F93CFF" w14:textId="77777777" w:rsidR="00AA23A8" w:rsidRPr="00AA23A8" w:rsidRDefault="00AA23A8" w:rsidP="00AA23A8">
      <w:pPr>
        <w:spacing w:line="360" w:lineRule="auto"/>
        <w:jc w:val="both"/>
        <w:rPr>
          <w:rFonts w:ascii="Arial" w:hAnsi="Arial" w:cs="Arial"/>
          <w:rtl/>
        </w:rPr>
      </w:pPr>
    </w:p>
    <w:p w14:paraId="08A5C2B4" w14:textId="77777777" w:rsidR="00AA23A8" w:rsidRPr="00AA23A8" w:rsidRDefault="00AA23A8" w:rsidP="00EA2C0C">
      <w:pPr>
        <w:spacing w:line="360" w:lineRule="auto"/>
        <w:jc w:val="both"/>
        <w:rPr>
          <w:rFonts w:ascii="Arial" w:hAnsi="Arial" w:cs="Arial"/>
          <w:rtl/>
        </w:rPr>
      </w:pPr>
      <w:r w:rsidRPr="00AA23A8">
        <w:rPr>
          <w:rFonts w:ascii="Arial" w:hAnsi="Arial" w:cs="Arial"/>
          <w:rtl/>
        </w:rPr>
        <w:t xml:space="preserve">על פי </w:t>
      </w:r>
      <w:r w:rsidRPr="00AA23A8">
        <w:rPr>
          <w:rFonts w:ascii="Arial" w:hAnsi="Arial" w:cs="Arial"/>
          <w:u w:val="single"/>
          <w:rtl/>
        </w:rPr>
        <w:t>האישום הראשון</w:t>
      </w:r>
      <w:r w:rsidRPr="00AA23A8">
        <w:rPr>
          <w:rFonts w:ascii="Arial" w:hAnsi="Arial" w:cs="Arial"/>
          <w:rtl/>
        </w:rPr>
        <w:t>, במועד שאינו ידוע במדויק, במחצית הראשונה של חודש נובמבר 2012, נכנס הנאשם</w:t>
      </w:r>
      <w:r w:rsidR="00EA2C0C">
        <w:rPr>
          <w:rFonts w:ascii="Arial" w:hAnsi="Arial" w:cs="Arial" w:hint="cs"/>
          <w:rtl/>
        </w:rPr>
        <w:t xml:space="preserve"> </w:t>
      </w:r>
      <w:r w:rsidRPr="00AA23A8">
        <w:rPr>
          <w:rFonts w:ascii="Arial" w:hAnsi="Arial" w:cs="Arial"/>
          <w:rtl/>
        </w:rPr>
        <w:t xml:space="preserve">לישראל, ללא היתר כניסה כדין, ועבד בעבודות שונות ברהט. ביום 19.11.2012, במהלך ימי לחימת כוחות צה"ל בעזה, במסגרת מבצע "עמוד ענן", גמלה בלבו של הנאשם החלטה לרצוח יהודי ישראלי, ולצורך כך הצטייד בסכין מטבח שאורכה </w:t>
      </w:r>
      <w:smartTag w:uri="urn:schemas-microsoft-com:office:smarttags" w:element="metricconverter">
        <w:smartTagPr>
          <w:attr w:name="ProductID" w:val="20 ס&quot;מ"/>
        </w:smartTagPr>
        <w:r w:rsidRPr="00AA23A8">
          <w:rPr>
            <w:rFonts w:ascii="Arial" w:hAnsi="Arial" w:cs="Arial"/>
            <w:rtl/>
          </w:rPr>
          <w:t>20 ס"מ</w:t>
        </w:r>
      </w:smartTag>
      <w:r w:rsidRPr="00AA23A8">
        <w:rPr>
          <w:rFonts w:ascii="Arial" w:hAnsi="Arial" w:cs="Arial"/>
          <w:rtl/>
        </w:rPr>
        <w:t xml:space="preserve">, אותה הטמין בגרבו. באותו יום, בשעה 18:20 לערך, נסע הנאשם ביחד עם אחד, בהאא אלסמאמרה, לבאר שבע, ובמהלך הנסיעה, העביר הנאשם את הסכין לכיס הקדמי של חולצתו; כשהגיעו השניים לבאר שבע, פגשו אדם נוסף, מחמד אבו קוידר שמו. השניים האחרים לא היו מודעים לתוכנית הרצח של הנאשם. </w:t>
      </w:r>
    </w:p>
    <w:p w14:paraId="5A2B327B" w14:textId="77777777" w:rsidR="00AA23A8" w:rsidRPr="00AA23A8" w:rsidRDefault="00AA23A8" w:rsidP="00C4285B">
      <w:pPr>
        <w:spacing w:line="360" w:lineRule="auto"/>
        <w:jc w:val="both"/>
        <w:rPr>
          <w:rFonts w:ascii="Arial" w:hAnsi="Arial" w:cs="Arial"/>
          <w:rtl/>
        </w:rPr>
      </w:pPr>
      <w:r w:rsidRPr="00AA23A8">
        <w:rPr>
          <w:rFonts w:ascii="Arial" w:hAnsi="Arial" w:cs="Arial"/>
          <w:rtl/>
        </w:rPr>
        <w:t xml:space="preserve">השלושה ישבו תחילה, על ספסל סמוך לבית החולים "סורוקה", הקשיבו לרדיו ושוחחו על המצב הביטחוני; בשעה 20:00 לערך, בעת שצעדו מכיוון בית החולים לכיוון קניון "הנגב", הבחין הנאשם במ.א.צ (להלן: </w:t>
      </w:r>
      <w:r w:rsidRPr="00C4285B">
        <w:rPr>
          <w:rFonts w:ascii="Arial" w:hAnsi="Arial" w:cs="Miriam"/>
          <w:rtl/>
        </w:rPr>
        <w:t>המתלונן</w:t>
      </w:r>
      <w:r w:rsidRPr="00AA23A8">
        <w:rPr>
          <w:rFonts w:ascii="Arial" w:hAnsi="Arial" w:cs="Arial"/>
          <w:rtl/>
        </w:rPr>
        <w:t>), עובר אורח, שעסק אותה עת באימון ריצה, והתקרב לעבר השלושה באקראי. הנאשם בירר עם חבריו אם מדובר ביהודי, ולאחר שאלה השיבו בחיוב, פנה הנאשם למתלונן במילים - "שניות אחי", ומשהמתלונן עצר את ריצתו בעקבות פניית הנאשם, שלף הנאשם את הסכין מכיס חולצתו, ודקר את המתלונן במותנו השמאלית, ולאחר מכן שלף את הסכין מגופו של המתלונן, וזאת במטרה לגרום למותו</w:t>
      </w:r>
      <w:r w:rsidR="00C4285B">
        <w:rPr>
          <w:rFonts w:ascii="Arial" w:hAnsi="Arial" w:cs="Arial" w:hint="cs"/>
          <w:rtl/>
        </w:rPr>
        <w:t xml:space="preserve">, </w:t>
      </w:r>
      <w:r w:rsidRPr="00AA23A8">
        <w:rPr>
          <w:rFonts w:ascii="Arial" w:hAnsi="Arial" w:cs="Arial"/>
          <w:rtl/>
        </w:rPr>
        <w:t>בשל היותו יהודי, אזרח ישראל ובכוונה לפגוע בביטחון המדינה. המתלונן החל לנוס לכיוון בית החולים, ואילו הנאשם, וחבריו, שלא היו מו</w:t>
      </w:r>
      <w:r w:rsidR="00C4285B">
        <w:rPr>
          <w:rFonts w:ascii="Arial" w:hAnsi="Arial" w:cs="Arial" w:hint="cs"/>
          <w:rtl/>
        </w:rPr>
        <w:t>דע</w:t>
      </w:r>
      <w:r w:rsidRPr="00AA23A8">
        <w:rPr>
          <w:rFonts w:ascii="Arial" w:hAnsi="Arial" w:cs="Arial"/>
          <w:rtl/>
        </w:rPr>
        <w:t>ים כאמור לזממו של הנאשם, נמלטו מהמקום, כדי להתחמק ממעצר, ועצרו רכב באיזור השוק העירוני, עימו נמלטו לשבט אבו קוידר</w:t>
      </w:r>
      <w:r w:rsidR="00C4285B">
        <w:rPr>
          <w:rFonts w:ascii="Arial" w:hAnsi="Arial" w:cs="Arial"/>
        </w:rPr>
        <w:t>.</w:t>
      </w:r>
      <w:r w:rsidRPr="00AA23A8">
        <w:rPr>
          <w:rFonts w:ascii="Arial" w:hAnsi="Arial" w:cs="Arial"/>
          <w:rtl/>
        </w:rPr>
        <w:t xml:space="preserve"> במהלך הימלטותו</w:t>
      </w:r>
      <w:r w:rsidR="00C4285B">
        <w:rPr>
          <w:rFonts w:ascii="Arial" w:hAnsi="Arial" w:cs="Arial" w:hint="cs"/>
          <w:rtl/>
        </w:rPr>
        <w:t>,</w:t>
      </w:r>
      <w:r w:rsidRPr="00AA23A8">
        <w:rPr>
          <w:rFonts w:ascii="Arial" w:hAnsi="Arial" w:cs="Arial"/>
          <w:rtl/>
        </w:rPr>
        <w:t xml:space="preserve"> השליך הנאשם את הסכין כשהיא מגואלת בדם. </w:t>
      </w:r>
    </w:p>
    <w:p w14:paraId="463C7046" w14:textId="77777777" w:rsidR="00AA23A8" w:rsidRPr="00AA23A8" w:rsidRDefault="00AA23A8" w:rsidP="00AA23A8">
      <w:pPr>
        <w:spacing w:line="360" w:lineRule="auto"/>
        <w:jc w:val="both"/>
        <w:rPr>
          <w:rFonts w:ascii="Arial" w:hAnsi="Arial" w:cs="Arial"/>
          <w:rtl/>
        </w:rPr>
      </w:pPr>
      <w:r w:rsidRPr="00AA23A8">
        <w:rPr>
          <w:rFonts w:ascii="Arial" w:hAnsi="Arial" w:cs="Arial"/>
          <w:rtl/>
        </w:rPr>
        <w:t>כשעה לאחר אירוע הדקירה, שלח הנאשם באמצעות מכשיר הטלפון הנייד שלו, מסרונים לרדיו "אלריף", המשדר באזור דהריה, וכן לשני תושבי דהריה, אחמד אבו עלי</w:t>
      </w:r>
      <w:r w:rsidR="00C4285B">
        <w:rPr>
          <w:rFonts w:ascii="Arial" w:hAnsi="Arial" w:cs="Arial" w:hint="cs"/>
          <w:rtl/>
        </w:rPr>
        <w:t>,</w:t>
      </w:r>
      <w:r w:rsidRPr="00AA23A8">
        <w:rPr>
          <w:rFonts w:ascii="Arial" w:hAnsi="Arial" w:cs="Arial"/>
          <w:rtl/>
        </w:rPr>
        <w:t xml:space="preserve"> שהינו חבר בארגון גדוד חללי אלקצא</w:t>
      </w:r>
      <w:r w:rsidRPr="00AA23A8">
        <w:rPr>
          <w:rFonts w:ascii="Arial" w:hAnsi="Arial" w:cs="Arial"/>
          <w:b/>
          <w:bCs/>
          <w:rtl/>
        </w:rPr>
        <w:t xml:space="preserve"> (</w:t>
      </w:r>
      <w:r w:rsidRPr="00AA23A8">
        <w:rPr>
          <w:rFonts w:ascii="Arial" w:hAnsi="Arial" w:cs="Arial"/>
          <w:rtl/>
        </w:rPr>
        <w:t>להלן:</w:t>
      </w:r>
      <w:r w:rsidRPr="00AA23A8">
        <w:rPr>
          <w:rFonts w:ascii="Arial" w:hAnsi="Arial" w:cs="Arial"/>
          <w:b/>
          <w:bCs/>
        </w:rPr>
        <w:t xml:space="preserve"> </w:t>
      </w:r>
      <w:r w:rsidRPr="00EA0D0E">
        <w:rPr>
          <w:rFonts w:ascii="Arial" w:hAnsi="Arial" w:cs="Miriam"/>
          <w:rtl/>
        </w:rPr>
        <w:t>הארגון</w:t>
      </w:r>
      <w:r w:rsidRPr="00AA23A8">
        <w:rPr>
          <w:rFonts w:ascii="Arial" w:hAnsi="Arial" w:cs="Arial"/>
          <w:b/>
          <w:bCs/>
          <w:rtl/>
        </w:rPr>
        <w:t xml:space="preserve">), </w:t>
      </w:r>
      <w:r w:rsidRPr="00AA23A8">
        <w:rPr>
          <w:rFonts w:ascii="Arial" w:hAnsi="Arial" w:cs="Arial"/>
          <w:rtl/>
        </w:rPr>
        <w:t xml:space="preserve">ודיאא גאלב סמאמרה, לפיהם הארגון האמור נוטל על עצמו אחריות להרג יהודי בבאר שבע בדקירת סכין. </w:t>
      </w:r>
    </w:p>
    <w:p w14:paraId="17AC143C" w14:textId="77777777" w:rsidR="00AA23A8" w:rsidRPr="00AA23A8" w:rsidRDefault="00AA23A8" w:rsidP="00AA23A8">
      <w:pPr>
        <w:spacing w:line="360" w:lineRule="auto"/>
        <w:jc w:val="both"/>
        <w:rPr>
          <w:rFonts w:ascii="Arial" w:hAnsi="Arial" w:cs="Arial"/>
          <w:rtl/>
        </w:rPr>
      </w:pPr>
    </w:p>
    <w:p w14:paraId="3F90FD5D" w14:textId="77777777" w:rsidR="00AA23A8" w:rsidRPr="00AA23A8" w:rsidRDefault="00AA23A8" w:rsidP="00AA23A8">
      <w:pPr>
        <w:spacing w:line="360" w:lineRule="auto"/>
        <w:jc w:val="both"/>
        <w:rPr>
          <w:rFonts w:ascii="Arial" w:hAnsi="Arial" w:cs="Arial"/>
          <w:rtl/>
        </w:rPr>
      </w:pPr>
      <w:r w:rsidRPr="00AA23A8">
        <w:rPr>
          <w:rFonts w:ascii="Arial" w:hAnsi="Arial" w:cs="Arial"/>
          <w:rtl/>
        </w:rPr>
        <w:t>יצוין</w:t>
      </w:r>
      <w:r w:rsidR="00C4285B">
        <w:rPr>
          <w:rFonts w:ascii="Arial" w:hAnsi="Arial" w:cs="Arial" w:hint="cs"/>
          <w:rtl/>
        </w:rPr>
        <w:t>,</w:t>
      </w:r>
      <w:r w:rsidRPr="00AA23A8">
        <w:rPr>
          <w:rFonts w:ascii="Arial" w:hAnsi="Arial" w:cs="Arial"/>
          <w:rtl/>
        </w:rPr>
        <w:t xml:space="preserve"> כי הנאשם התגייס לארגון עוד בשנת 2007, כפי שיפורט בהמשך הדברים, בעובדות האישום השני.</w:t>
      </w:r>
    </w:p>
    <w:p w14:paraId="3854C223" w14:textId="77777777" w:rsidR="00AA23A8" w:rsidRPr="00AA23A8" w:rsidRDefault="00AA23A8" w:rsidP="00AA23A8">
      <w:pPr>
        <w:spacing w:line="360" w:lineRule="auto"/>
        <w:jc w:val="both"/>
        <w:rPr>
          <w:rFonts w:ascii="Arial" w:hAnsi="Arial" w:cs="Arial"/>
          <w:rtl/>
        </w:rPr>
      </w:pPr>
    </w:p>
    <w:p w14:paraId="26A87B07"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נוכח האמור, הורשע הנאשם במסגרת האישום הראשון, בעבירות אלה: כניסה לישראל שלא כדין, לפי </w:t>
      </w:r>
      <w:hyperlink r:id="rId24" w:history="1">
        <w:r w:rsidR="00111EA9" w:rsidRPr="00111EA9">
          <w:rPr>
            <w:rFonts w:ascii="Arial" w:hAnsi="Arial" w:cs="Arial"/>
            <w:color w:val="0000FF"/>
            <w:u w:val="single"/>
            <w:rtl/>
          </w:rPr>
          <w:t>סעיף 12</w:t>
        </w:r>
      </w:hyperlink>
      <w:r w:rsidRPr="00AA23A8">
        <w:rPr>
          <w:rFonts w:ascii="Arial" w:hAnsi="Arial" w:cs="Arial"/>
          <w:rtl/>
        </w:rPr>
        <w:t xml:space="preserve"> ל</w:t>
      </w:r>
      <w:hyperlink r:id="rId25" w:history="1">
        <w:r w:rsidR="00113419" w:rsidRPr="00113419">
          <w:rPr>
            <w:rFonts w:ascii="Arial" w:hAnsi="Arial" w:cs="Arial"/>
            <w:color w:val="0000FF"/>
            <w:u w:val="single"/>
            <w:rtl/>
          </w:rPr>
          <w:t>חוק הכניסה לישראל</w:t>
        </w:r>
      </w:hyperlink>
      <w:r w:rsidRPr="00AA23A8">
        <w:rPr>
          <w:rFonts w:ascii="Arial" w:hAnsi="Arial" w:cs="Arial"/>
          <w:rtl/>
        </w:rPr>
        <w:t xml:space="preserve">, תשי"ב- 1952; ניסיון לרצח, לפי </w:t>
      </w:r>
      <w:hyperlink r:id="rId26" w:history="1">
        <w:r w:rsidR="00111EA9" w:rsidRPr="00111EA9">
          <w:rPr>
            <w:rFonts w:ascii="Arial" w:hAnsi="Arial" w:cs="Arial"/>
            <w:color w:val="0000FF"/>
            <w:u w:val="single"/>
            <w:rtl/>
          </w:rPr>
          <w:t>סעיף 305(1)</w:t>
        </w:r>
      </w:hyperlink>
      <w:r w:rsidRPr="00AA23A8">
        <w:rPr>
          <w:rFonts w:ascii="Arial" w:hAnsi="Arial" w:cs="Arial"/>
          <w:rtl/>
        </w:rPr>
        <w:t xml:space="preserve"> ל</w:t>
      </w:r>
      <w:hyperlink r:id="rId27" w:history="1">
        <w:r w:rsidR="00113419" w:rsidRPr="00113419">
          <w:rPr>
            <w:rFonts w:ascii="Arial" w:hAnsi="Arial" w:cs="Arial"/>
            <w:color w:val="0000FF"/>
            <w:u w:val="single"/>
            <w:rtl/>
          </w:rPr>
          <w:t>חוק העונשין</w:t>
        </w:r>
      </w:hyperlink>
      <w:r w:rsidRPr="00AA23A8">
        <w:rPr>
          <w:rFonts w:ascii="Arial" w:hAnsi="Arial" w:cs="Arial"/>
          <w:rtl/>
        </w:rPr>
        <w:t xml:space="preserve">, תשל"ז- 1977 (להלן: </w:t>
      </w:r>
      <w:r w:rsidRPr="00C4285B">
        <w:rPr>
          <w:rFonts w:ascii="Arial" w:hAnsi="Arial" w:cs="Miriam"/>
          <w:rtl/>
        </w:rPr>
        <w:t>החוק</w:t>
      </w:r>
      <w:r w:rsidRPr="00AA23A8">
        <w:rPr>
          <w:rFonts w:ascii="Arial" w:hAnsi="Arial" w:cs="Arial"/>
          <w:rtl/>
        </w:rPr>
        <w:t xml:space="preserve">); פציעה בנסיבות מחמירות, לפי </w:t>
      </w:r>
      <w:hyperlink r:id="rId28" w:history="1">
        <w:r w:rsidR="00111EA9" w:rsidRPr="00111EA9">
          <w:rPr>
            <w:rFonts w:ascii="Arial" w:hAnsi="Arial" w:cs="Arial"/>
            <w:color w:val="0000FF"/>
            <w:u w:val="single"/>
            <w:rtl/>
          </w:rPr>
          <w:t>סעיף 334</w:t>
        </w:r>
      </w:hyperlink>
      <w:r w:rsidRPr="00AA23A8">
        <w:rPr>
          <w:rFonts w:ascii="Arial" w:hAnsi="Arial" w:cs="Arial"/>
          <w:rtl/>
        </w:rPr>
        <w:t xml:space="preserve"> בנסיבות </w:t>
      </w:r>
      <w:hyperlink r:id="rId29" w:history="1">
        <w:r w:rsidR="00111EA9" w:rsidRPr="00111EA9">
          <w:rPr>
            <w:rFonts w:ascii="Arial" w:hAnsi="Arial" w:cs="Arial"/>
            <w:color w:val="0000FF"/>
            <w:u w:val="single"/>
            <w:rtl/>
          </w:rPr>
          <w:t>סעיף 335(א)(1)</w:t>
        </w:r>
      </w:hyperlink>
      <w:r w:rsidRPr="00AA23A8">
        <w:rPr>
          <w:rFonts w:ascii="Arial" w:hAnsi="Arial" w:cs="Arial"/>
          <w:rtl/>
        </w:rPr>
        <w:t xml:space="preserve"> </w:t>
      </w:r>
      <w:hyperlink r:id="rId30" w:history="1">
        <w:r w:rsidR="00111EA9" w:rsidRPr="00111EA9">
          <w:rPr>
            <w:rFonts w:ascii="Arial" w:hAnsi="Arial" w:cs="Arial"/>
            <w:color w:val="0000FF"/>
            <w:u w:val="single"/>
            <w:rtl/>
          </w:rPr>
          <w:t>וסעיף 144ו</w:t>
        </w:r>
      </w:hyperlink>
      <w:r w:rsidRPr="00AA23A8">
        <w:rPr>
          <w:rFonts w:ascii="Arial" w:hAnsi="Arial" w:cs="Arial"/>
          <w:rtl/>
        </w:rPr>
        <w:t xml:space="preserve"> לחוק; החזקת סכין שלא כדין, לפי </w:t>
      </w:r>
      <w:hyperlink r:id="rId31" w:history="1">
        <w:r w:rsidR="00111EA9" w:rsidRPr="00111EA9">
          <w:rPr>
            <w:rFonts w:ascii="Arial" w:hAnsi="Arial" w:cs="Arial"/>
            <w:color w:val="0000FF"/>
            <w:u w:val="single"/>
            <w:rtl/>
          </w:rPr>
          <w:t>סעיף 186</w:t>
        </w:r>
      </w:hyperlink>
      <w:r w:rsidRPr="00AA23A8">
        <w:rPr>
          <w:rFonts w:ascii="Arial" w:hAnsi="Arial" w:cs="Arial"/>
          <w:rtl/>
        </w:rPr>
        <w:t xml:space="preserve"> לחוק, בנסיבות </w:t>
      </w:r>
      <w:hyperlink r:id="rId32" w:history="1">
        <w:r w:rsidR="00111EA9" w:rsidRPr="00111EA9">
          <w:rPr>
            <w:rFonts w:ascii="Arial" w:hAnsi="Arial" w:cs="Arial"/>
            <w:color w:val="0000FF"/>
            <w:u w:val="single"/>
            <w:rtl/>
          </w:rPr>
          <w:t>סעיף 144ו</w:t>
        </w:r>
      </w:hyperlink>
      <w:r w:rsidRPr="00AA23A8">
        <w:rPr>
          <w:rFonts w:ascii="Arial" w:hAnsi="Arial" w:cs="Arial"/>
          <w:rtl/>
        </w:rPr>
        <w:t xml:space="preserve"> לחוק; מגע עם סוכן חוץ, לפי </w:t>
      </w:r>
      <w:hyperlink r:id="rId33" w:history="1">
        <w:r w:rsidR="00111EA9" w:rsidRPr="00111EA9">
          <w:rPr>
            <w:rFonts w:ascii="Arial" w:hAnsi="Arial" w:cs="Arial"/>
            <w:color w:val="0000FF"/>
            <w:u w:val="single"/>
            <w:rtl/>
          </w:rPr>
          <w:t>סעיף 114(א)</w:t>
        </w:r>
      </w:hyperlink>
      <w:r w:rsidRPr="00AA23A8">
        <w:rPr>
          <w:rFonts w:ascii="Arial" w:hAnsi="Arial" w:cs="Arial"/>
          <w:rtl/>
        </w:rPr>
        <w:t xml:space="preserve"> לחוק; שיבוש מהלכי משפט, לפי </w:t>
      </w:r>
      <w:hyperlink r:id="rId34" w:history="1">
        <w:r w:rsidR="00111EA9" w:rsidRPr="00111EA9">
          <w:rPr>
            <w:rFonts w:ascii="Arial" w:hAnsi="Arial" w:cs="Arial"/>
            <w:color w:val="0000FF"/>
            <w:u w:val="single"/>
            <w:rtl/>
          </w:rPr>
          <w:t>סעיף 244</w:t>
        </w:r>
      </w:hyperlink>
      <w:r w:rsidRPr="00AA23A8">
        <w:rPr>
          <w:rFonts w:ascii="Arial" w:hAnsi="Arial" w:cs="Arial"/>
          <w:rtl/>
        </w:rPr>
        <w:t xml:space="preserve"> לחוק.</w:t>
      </w:r>
    </w:p>
    <w:p w14:paraId="28848BDE" w14:textId="77777777" w:rsidR="00AA23A8" w:rsidRPr="00AA23A8" w:rsidRDefault="00AA23A8" w:rsidP="00AA23A8">
      <w:pPr>
        <w:spacing w:line="360" w:lineRule="auto"/>
        <w:jc w:val="both"/>
        <w:rPr>
          <w:rFonts w:ascii="Arial" w:hAnsi="Arial" w:cs="Arial"/>
          <w:rtl/>
        </w:rPr>
      </w:pPr>
    </w:p>
    <w:p w14:paraId="7FF692B2"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על פי </w:t>
      </w:r>
      <w:r w:rsidRPr="00AA23A8">
        <w:rPr>
          <w:rFonts w:ascii="Arial" w:hAnsi="Arial" w:cs="Arial"/>
          <w:u w:val="single"/>
          <w:rtl/>
        </w:rPr>
        <w:t>האישום השני</w:t>
      </w:r>
      <w:r w:rsidRPr="00AA23A8">
        <w:rPr>
          <w:rFonts w:ascii="Arial" w:hAnsi="Arial" w:cs="Arial"/>
          <w:rtl/>
        </w:rPr>
        <w:t xml:space="preserve">, במועד שאינו ידוע במדויק, בסוף שנת 2007, בעקבות פניית מחמד אבו חדיגה אבו עזיז מקלקיליה, התגייס הנאשם לארגון ועבר אימון צבאי בקלקיליה, במשך שלושה חדשים, ביחד עם 400 פעילים נוספים. בנוסף, השתתף הנאשם בעצרות ובמפגנים צבאיים. </w:t>
      </w:r>
    </w:p>
    <w:p w14:paraId="3166A8B5"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כארבעה חודשים לאחר גיוסו לארגון, בעקבות פניית שני פעילי הארגון אבו חדיגה ושאדי אלדלה, קשר עמם הנאשם קשר לבצע פיגוע, בדרך של הנחת מטען חבלה, במשקל של </w:t>
      </w:r>
      <w:smartTag w:uri="urn:schemas-microsoft-com:office:smarttags" w:element="metricconverter">
        <w:smartTagPr>
          <w:attr w:name="ProductID" w:val="25 ק&quot;ג"/>
        </w:smartTagPr>
        <w:r w:rsidRPr="00AA23A8">
          <w:rPr>
            <w:rFonts w:ascii="Arial" w:hAnsi="Arial" w:cs="Arial"/>
            <w:rtl/>
          </w:rPr>
          <w:t>25 ק"ג</w:t>
        </w:r>
      </w:smartTag>
      <w:r w:rsidRPr="00AA23A8">
        <w:rPr>
          <w:rFonts w:ascii="Arial" w:hAnsi="Arial" w:cs="Arial"/>
          <w:rtl/>
        </w:rPr>
        <w:t xml:space="preserve">, שיופעל כנגד כוחות צה"ל ביו קלקיליה לישראל. במסגרת הקשר, בשעת חצות, הגיעו הנאשם, אבו חדיגה, שאדי אלדלה ושלושה פעילים נוספים לקרבת הגבול; הנאשם, שהבחין כי המטען כבר נתלה על הגדר במקום, המתין ברכבו, במרחק של </w:t>
      </w:r>
      <w:smartTag w:uri="urn:schemas-microsoft-com:office:smarttags" w:element="metricconverter">
        <w:smartTagPr>
          <w:attr w:name="ProductID" w:val="400 מ'"/>
        </w:smartTagPr>
        <w:r w:rsidRPr="00AA23A8">
          <w:rPr>
            <w:rFonts w:ascii="Arial" w:hAnsi="Arial" w:cs="Arial"/>
            <w:rtl/>
          </w:rPr>
          <w:t>400 מ'</w:t>
        </w:r>
      </w:smartTag>
      <w:r w:rsidRPr="00AA23A8">
        <w:rPr>
          <w:rFonts w:ascii="Arial" w:hAnsi="Arial" w:cs="Arial"/>
          <w:rtl/>
        </w:rPr>
        <w:t xml:space="preserve"> מהמטען, כשהוא חמוש ברובה מסוג </w:t>
      </w:r>
      <w:r w:rsidRPr="00AA23A8">
        <w:rPr>
          <w:rFonts w:ascii="Arial" w:hAnsi="Arial" w:cs="Arial"/>
        </w:rPr>
        <w:t>M-16</w:t>
      </w:r>
      <w:r w:rsidRPr="00AA23A8">
        <w:rPr>
          <w:rFonts w:ascii="Arial" w:hAnsi="Arial" w:cs="Arial"/>
          <w:rtl/>
        </w:rPr>
        <w:t xml:space="preserve"> ובאקדח; אבו חדיגה המתין אף הוא ברכבו, כשהוא חמוש ברובה מסוג "עוזי" מאולתר, ושאדי והאחרים, חמושים ברובי קלצ'ניקוב, הסתתרו בואדי סמוך, תוך המתנה להגעת כוחות צה"ל למקום. הנאשם ואבו חדיגה היו אמורים לתצפת במקום, ולסמן באמצעות מכשיר לייזר לשאדי והאחרים, על התקרב</w:t>
      </w:r>
      <w:r w:rsidR="00C4285B">
        <w:rPr>
          <w:rFonts w:ascii="Arial" w:hAnsi="Arial" w:cs="Arial" w:hint="cs"/>
          <w:rtl/>
        </w:rPr>
        <w:t>ו</w:t>
      </w:r>
      <w:r w:rsidRPr="00AA23A8">
        <w:rPr>
          <w:rFonts w:ascii="Arial" w:hAnsi="Arial" w:cs="Arial"/>
          <w:rtl/>
        </w:rPr>
        <w:t xml:space="preserve">ת כוח צה"ל לאזור. סמוך לשעה 00:35, עם הגיעו של גי'פ צה"לי לקרבת הגבול, הפעיל שאדי את המטען, אולם הג'יפ שהיה מרוחק כ- </w:t>
      </w:r>
      <w:smartTag w:uri="urn:schemas-microsoft-com:office:smarttags" w:element="metricconverter">
        <w:smartTagPr>
          <w:attr w:name="ProductID" w:val="350 מ'"/>
        </w:smartTagPr>
        <w:r w:rsidRPr="00AA23A8">
          <w:rPr>
            <w:rFonts w:ascii="Arial" w:hAnsi="Arial" w:cs="Arial"/>
            <w:rtl/>
          </w:rPr>
          <w:t>350 מ'</w:t>
        </w:r>
      </w:smartTag>
      <w:r w:rsidRPr="00AA23A8">
        <w:rPr>
          <w:rFonts w:ascii="Arial" w:hAnsi="Arial" w:cs="Arial"/>
          <w:rtl/>
        </w:rPr>
        <w:t xml:space="preserve"> ממקום המטען לא נפגע, וכוחות צה"ל פתחו באש; בשלב זה עזב הנאשם את המקום ברכבו. </w:t>
      </w:r>
    </w:p>
    <w:p w14:paraId="4A62ECEA"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במועד שאינו ידוע במדויק, במהלך שנת 2008, הפסיק הנאשם את פעילותו בארגון. </w:t>
      </w:r>
    </w:p>
    <w:p w14:paraId="50279995" w14:textId="77777777" w:rsidR="00AA23A8" w:rsidRPr="00AA23A8" w:rsidRDefault="00AA23A8" w:rsidP="00AA23A8">
      <w:pPr>
        <w:spacing w:line="360" w:lineRule="auto"/>
        <w:jc w:val="both"/>
        <w:rPr>
          <w:rFonts w:ascii="Arial" w:hAnsi="Arial" w:cs="Arial"/>
          <w:rtl/>
        </w:rPr>
      </w:pPr>
    </w:p>
    <w:p w14:paraId="1A3BDB66"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נוכח האמור, הורשע הנאשם בעבירות של סיוע לניסיון לרצח, לפי </w:t>
      </w:r>
      <w:hyperlink r:id="rId35" w:history="1">
        <w:r w:rsidR="00111EA9" w:rsidRPr="00111EA9">
          <w:rPr>
            <w:rFonts w:ascii="Arial" w:hAnsi="Arial" w:cs="Arial"/>
            <w:color w:val="0000FF"/>
            <w:u w:val="single"/>
            <w:rtl/>
          </w:rPr>
          <w:t>סעיף 305(1)</w:t>
        </w:r>
      </w:hyperlink>
      <w:r w:rsidRPr="00AA23A8">
        <w:rPr>
          <w:rFonts w:ascii="Arial" w:hAnsi="Arial" w:cs="Arial"/>
          <w:rtl/>
        </w:rPr>
        <w:t xml:space="preserve"> לחוק, בצירוף </w:t>
      </w:r>
      <w:hyperlink r:id="rId36" w:history="1">
        <w:r w:rsidR="00111EA9" w:rsidRPr="00111EA9">
          <w:rPr>
            <w:rFonts w:ascii="Arial" w:hAnsi="Arial" w:cs="Arial"/>
            <w:color w:val="0000FF"/>
            <w:u w:val="single"/>
            <w:rtl/>
          </w:rPr>
          <w:t>סעיף 31</w:t>
        </w:r>
      </w:hyperlink>
      <w:r w:rsidRPr="00AA23A8">
        <w:rPr>
          <w:rFonts w:ascii="Arial" w:hAnsi="Arial" w:cs="Arial"/>
          <w:rtl/>
        </w:rPr>
        <w:t xml:space="preserve"> לחוק; מגע עם סוכן חוץ, לפי </w:t>
      </w:r>
      <w:hyperlink r:id="rId37" w:history="1">
        <w:r w:rsidR="00111EA9" w:rsidRPr="00111EA9">
          <w:rPr>
            <w:rFonts w:ascii="Arial" w:hAnsi="Arial" w:cs="Arial"/>
            <w:color w:val="0000FF"/>
            <w:u w:val="single"/>
            <w:rtl/>
          </w:rPr>
          <w:t>סעיף 114(א)</w:t>
        </w:r>
      </w:hyperlink>
      <w:r w:rsidRPr="00AA23A8">
        <w:rPr>
          <w:rFonts w:ascii="Arial" w:hAnsi="Arial" w:cs="Arial"/>
          <w:rtl/>
        </w:rPr>
        <w:t xml:space="preserve"> לחוק; חברות ופעילות בהתאחדות בלתי מותרת, לפי </w:t>
      </w:r>
      <w:hyperlink r:id="rId38" w:history="1">
        <w:r w:rsidR="00111EA9" w:rsidRPr="00111EA9">
          <w:rPr>
            <w:rFonts w:ascii="Arial" w:hAnsi="Arial" w:cs="Arial"/>
            <w:color w:val="0000FF"/>
            <w:u w:val="single"/>
            <w:rtl/>
          </w:rPr>
          <w:t>סעיף 85(1)(א)</w:t>
        </w:r>
      </w:hyperlink>
      <w:r w:rsidRPr="00AA23A8">
        <w:rPr>
          <w:rFonts w:ascii="Arial" w:hAnsi="Arial" w:cs="Arial"/>
          <w:rtl/>
        </w:rPr>
        <w:t xml:space="preserve"> ל</w:t>
      </w:r>
      <w:hyperlink r:id="rId39" w:history="1">
        <w:r w:rsidR="00113419" w:rsidRPr="00113419">
          <w:rPr>
            <w:rFonts w:ascii="Arial" w:hAnsi="Arial" w:cs="Arial"/>
            <w:color w:val="0000FF"/>
            <w:u w:val="single"/>
            <w:rtl/>
          </w:rPr>
          <w:t>תקנות ההגנה (שעת חירום)</w:t>
        </w:r>
      </w:hyperlink>
      <w:r w:rsidRPr="00AA23A8">
        <w:rPr>
          <w:rFonts w:ascii="Arial" w:hAnsi="Arial" w:cs="Arial"/>
          <w:rtl/>
        </w:rPr>
        <w:t xml:space="preserve">, 1945; עבירות בנשק (נשיאת נשק), לפי </w:t>
      </w:r>
      <w:hyperlink r:id="rId40" w:history="1">
        <w:r w:rsidR="00111EA9" w:rsidRPr="00111EA9">
          <w:rPr>
            <w:rFonts w:ascii="Arial" w:hAnsi="Arial" w:cs="Arial"/>
            <w:color w:val="0000FF"/>
            <w:u w:val="single"/>
            <w:rtl/>
          </w:rPr>
          <w:t>סעיף 144(ב)</w:t>
        </w:r>
      </w:hyperlink>
      <w:r w:rsidRPr="00AA23A8">
        <w:rPr>
          <w:rFonts w:ascii="Arial" w:hAnsi="Arial" w:cs="Arial"/>
          <w:rtl/>
        </w:rPr>
        <w:t xml:space="preserve"> לחוק; אימונים צבאיים אסורים, לפי </w:t>
      </w:r>
      <w:hyperlink r:id="rId41" w:history="1">
        <w:r w:rsidR="00111EA9" w:rsidRPr="00111EA9">
          <w:rPr>
            <w:rFonts w:ascii="Arial" w:hAnsi="Arial" w:cs="Arial"/>
            <w:color w:val="0000FF"/>
            <w:u w:val="single"/>
            <w:rtl/>
          </w:rPr>
          <w:t>סעיף 143(ב)</w:t>
        </w:r>
      </w:hyperlink>
      <w:r w:rsidRPr="00AA23A8">
        <w:rPr>
          <w:rFonts w:ascii="Arial" w:hAnsi="Arial" w:cs="Arial"/>
          <w:rtl/>
        </w:rPr>
        <w:t xml:space="preserve"> לחוק; קשירת קשר לפשע (רצח), לפי </w:t>
      </w:r>
      <w:hyperlink r:id="rId42" w:history="1">
        <w:r w:rsidR="00111EA9" w:rsidRPr="00111EA9">
          <w:rPr>
            <w:rFonts w:ascii="Arial" w:hAnsi="Arial" w:cs="Arial"/>
            <w:color w:val="0000FF"/>
            <w:u w:val="single"/>
            <w:rtl/>
          </w:rPr>
          <w:t>סעיף 499(א)(1)</w:t>
        </w:r>
      </w:hyperlink>
      <w:r w:rsidRPr="00AA23A8">
        <w:rPr>
          <w:rFonts w:ascii="Arial" w:hAnsi="Arial" w:cs="Arial"/>
          <w:rtl/>
        </w:rPr>
        <w:t xml:space="preserve"> לחוק.</w:t>
      </w:r>
    </w:p>
    <w:p w14:paraId="055C8B9C" w14:textId="77777777" w:rsidR="00AA23A8" w:rsidRPr="00AA23A8" w:rsidRDefault="00AA23A8" w:rsidP="00AA23A8">
      <w:pPr>
        <w:spacing w:line="360" w:lineRule="auto"/>
        <w:jc w:val="both"/>
        <w:rPr>
          <w:rFonts w:ascii="Arial" w:hAnsi="Arial" w:cs="Arial"/>
          <w:rtl/>
        </w:rPr>
      </w:pPr>
    </w:p>
    <w:p w14:paraId="4A6491F3"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לבד מתיקונו של כתב האישום (ממנו נמחקו שישה אישומים נוספים), הוסכם תחילה, בין הצדדים, במסגרת הסדר הטיעון שהוצג בישיבת יום 19.1.2014, כי המאשימה תעתור לעונש שלא יעלה על 20 שנות מאסר בפועל וכן מאסר מותנה, ואילו ההגנה תטען לעונש כרצונה. בנוסף הוסכם, כי הנאשם יישא בתשלום פיצוי למתלונן בסך של 20,000 ₪ (שישולמו בתשלומים שווים של 1500₪ החל מחודש פברואר 2014) וכן </w:t>
      </w:r>
      <w:r w:rsidR="00C4285B">
        <w:rPr>
          <w:rFonts w:ascii="Arial" w:hAnsi="Arial" w:cs="Arial" w:hint="cs"/>
          <w:rtl/>
        </w:rPr>
        <w:t>ב</w:t>
      </w:r>
      <w:r w:rsidRPr="00AA23A8">
        <w:rPr>
          <w:rFonts w:ascii="Arial" w:hAnsi="Arial" w:cs="Arial"/>
          <w:rtl/>
        </w:rPr>
        <w:t xml:space="preserve">קנס בסך של 100 ₪ או שנת מאסר תמורתו. </w:t>
      </w:r>
    </w:p>
    <w:p w14:paraId="0F3FEC8D"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הדיונים נדחו מעת לעת, לבקשת ההגנה, לצורך מתן שהות לנאשם להפקיד את כספי הפיצוי, אולם בישיבת יום 29.9.2014, כשמונה חדשים לאחר הצגת ההסדר, הודיע הסניגור כי לא עלה בידי הנאשם להפקיד כספים בשל דוחק כלכלי ואי סיוע מצד בני משפחתו. </w:t>
      </w:r>
    </w:p>
    <w:p w14:paraId="22628576"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בנסיבות אלה, אף זאת כמוסכם, בוטל מתווה הסדר הטיעון לעניין העונש המוצע, והוסכם כי המאשימה לא תהיה מוגבלת בטיעונה לעניין תקרת עונש המאסר שיתבקש על ידה. עם זאת, נותר תיקונו של כתב האישום בעינו. </w:t>
      </w:r>
      <w:r>
        <w:rPr>
          <w:rFonts w:ascii="Arial" w:hAnsi="Arial" w:cs="Arial" w:hint="cs"/>
          <w:rtl/>
        </w:rPr>
        <w:t>הנאשם נותר בהודאתו.</w:t>
      </w:r>
    </w:p>
    <w:p w14:paraId="38A6C819" w14:textId="77777777" w:rsidR="00AA23A8" w:rsidRPr="00AA23A8" w:rsidRDefault="00AA23A8" w:rsidP="00AA23A8">
      <w:pPr>
        <w:spacing w:line="360" w:lineRule="auto"/>
        <w:jc w:val="both"/>
        <w:rPr>
          <w:rFonts w:ascii="Arial" w:hAnsi="Arial" w:cs="Arial"/>
          <w:rtl/>
        </w:rPr>
      </w:pPr>
    </w:p>
    <w:p w14:paraId="715744D1" w14:textId="77777777" w:rsidR="00AA23A8" w:rsidRPr="00AA23A8" w:rsidRDefault="00AA23A8" w:rsidP="00DF57D0">
      <w:pPr>
        <w:spacing w:line="360" w:lineRule="auto"/>
        <w:jc w:val="both"/>
        <w:rPr>
          <w:rFonts w:ascii="Arial" w:hAnsi="Arial" w:cs="Arial"/>
          <w:rtl/>
        </w:rPr>
      </w:pPr>
      <w:r w:rsidRPr="00AA23A8">
        <w:rPr>
          <w:rFonts w:ascii="Arial" w:hAnsi="Arial" w:cs="Arial"/>
          <w:rtl/>
        </w:rPr>
        <w:t xml:space="preserve">המתלונן שהעיד במסגרת ראיות התביעה לעונש, תאר את הנזק הפיזי והנפשי שחווה עקב האירוע, והפגיעה שהתחוללה באורחות חייו ותפקודו היומיומי; כחודש וחצי לאחר האירוע, לא הגיע ללימודים ולעבודה; לא חש כי ביכולתו לצאת בגפו לרחוב, ולא חזר לאימוני הריצה; כחצי שנה לאחר האירוע, נמנע עדיין מלהתקרב להתקהלות של אנשים: </w:t>
      </w:r>
      <w:r w:rsidRPr="00AA23A8">
        <w:rPr>
          <w:rFonts w:ascii="Arial" w:hAnsi="Arial" w:cs="Miriam"/>
          <w:rtl/>
        </w:rPr>
        <w:t>"יש לי סיוט. קשה לי מאוד, הייתי אצל פסיכיאטר לקבל סיוע מכל הפציעה, עדיין קשה לי להיזכר בזה"</w:t>
      </w:r>
      <w:r w:rsidRPr="00AA23A8">
        <w:rPr>
          <w:rFonts w:ascii="Arial" w:hAnsi="Arial" w:cs="Arial"/>
          <w:rtl/>
        </w:rPr>
        <w:t xml:space="preserve">. ביטוי למצבי החרדה וסימנים פוסט טראומטיים מהם סובל המתלונן, עולה מבדיקת המתלונן במחלקה הפסיכיאטרית בבית החולים </w:t>
      </w:r>
      <w:r w:rsidR="00DF57D0">
        <w:rPr>
          <w:rFonts w:ascii="Arial" w:hAnsi="Arial" w:cs="Arial" w:hint="cs"/>
          <w:rtl/>
        </w:rPr>
        <w:t>"</w:t>
      </w:r>
      <w:r w:rsidRPr="00AA23A8">
        <w:rPr>
          <w:rFonts w:ascii="Arial" w:hAnsi="Arial" w:cs="Arial"/>
          <w:rtl/>
        </w:rPr>
        <w:t>סורוקה</w:t>
      </w:r>
      <w:r w:rsidR="00DF57D0">
        <w:rPr>
          <w:rFonts w:ascii="Arial" w:hAnsi="Arial" w:cs="Arial" w:hint="cs"/>
          <w:rtl/>
        </w:rPr>
        <w:t>"</w:t>
      </w:r>
      <w:r w:rsidRPr="00AA23A8">
        <w:rPr>
          <w:rFonts w:ascii="Arial" w:hAnsi="Arial" w:cs="Arial"/>
          <w:rtl/>
        </w:rPr>
        <w:t xml:space="preserve">, ביום 7.1.2013 (ת/1ב). בסיכום הרפואי צוין: </w:t>
      </w:r>
      <w:r w:rsidRPr="003927F5">
        <w:rPr>
          <w:rFonts w:ascii="Arial" w:hAnsi="Arial" w:cs="Miriam"/>
          <w:rtl/>
        </w:rPr>
        <w:t>"אירוע טראומטי לפני כחודש וחצי בגינו הופיעו סימני חרדה/פוסטראומה חלקיים. אינו מעוניין בטיפול תרופתי וכעת אין דחיפות בדבר".</w:t>
      </w:r>
      <w:r w:rsidRPr="00AA23A8">
        <w:rPr>
          <w:rFonts w:ascii="Arial" w:hAnsi="Arial" w:cs="Arial"/>
          <w:rtl/>
        </w:rPr>
        <w:t xml:space="preserve"> הומלץ על מעקב רופא מטפל וביקורת בעוד כחודשיים.</w:t>
      </w:r>
    </w:p>
    <w:p w14:paraId="3BF7E8AF" w14:textId="77777777" w:rsidR="00AA23A8" w:rsidRPr="00AA23A8" w:rsidRDefault="00AA23A8" w:rsidP="00DF57D0">
      <w:pPr>
        <w:spacing w:line="360" w:lineRule="auto"/>
        <w:jc w:val="both"/>
        <w:rPr>
          <w:rFonts w:ascii="Arial" w:hAnsi="Arial" w:cs="Arial"/>
          <w:rtl/>
        </w:rPr>
      </w:pPr>
      <w:r w:rsidRPr="00AA23A8">
        <w:rPr>
          <w:rFonts w:ascii="Arial" w:hAnsi="Arial" w:cs="Arial"/>
          <w:rtl/>
        </w:rPr>
        <w:t>בחקירתו הנגדית</w:t>
      </w:r>
      <w:r w:rsidR="003927F5">
        <w:rPr>
          <w:rFonts w:ascii="Arial" w:hAnsi="Arial" w:cs="Arial" w:hint="cs"/>
          <w:rtl/>
        </w:rPr>
        <w:t xml:space="preserve"> ציין המתלונן </w:t>
      </w:r>
      <w:r w:rsidRPr="00AA23A8">
        <w:rPr>
          <w:rFonts w:ascii="Arial" w:hAnsi="Arial" w:cs="Arial"/>
          <w:rtl/>
        </w:rPr>
        <w:t>כי אינו מקבל טיפול רפואי שוטף, אולם הוא סובל לעיתים מכאבים, וכי לפני כשלושה חודשים נערכה לו בדיקה רפואית במסגרת ועדת נכות (אישורים רפואיים ת/1א-ג).</w:t>
      </w:r>
    </w:p>
    <w:p w14:paraId="30A644A3" w14:textId="77777777" w:rsidR="00AA23A8" w:rsidRPr="00AA23A8" w:rsidRDefault="00AA23A8" w:rsidP="00AA23A8">
      <w:pPr>
        <w:spacing w:line="360" w:lineRule="auto"/>
        <w:jc w:val="both"/>
        <w:rPr>
          <w:rFonts w:ascii="Arial" w:hAnsi="Arial" w:cs="Arial"/>
          <w:rtl/>
        </w:rPr>
      </w:pPr>
    </w:p>
    <w:p w14:paraId="75A3EA7E" w14:textId="77777777" w:rsidR="00AA23A8" w:rsidRPr="00AA23A8" w:rsidRDefault="00AA23A8" w:rsidP="00333267">
      <w:pPr>
        <w:spacing w:line="360" w:lineRule="auto"/>
        <w:jc w:val="both"/>
        <w:rPr>
          <w:rFonts w:ascii="Arial" w:hAnsi="Arial" w:cs="Arial"/>
          <w:rtl/>
        </w:rPr>
      </w:pPr>
      <w:r w:rsidRPr="00AA23A8">
        <w:rPr>
          <w:rFonts w:ascii="Arial" w:hAnsi="Arial" w:cs="Arial"/>
          <w:rtl/>
        </w:rPr>
        <w:t xml:space="preserve">ב"כ המאשימה, עמדה </w:t>
      </w:r>
      <w:r w:rsidR="003927F5">
        <w:rPr>
          <w:rFonts w:ascii="Arial" w:hAnsi="Arial" w:cs="Arial" w:hint="cs"/>
          <w:rtl/>
        </w:rPr>
        <w:t xml:space="preserve">בטיעונה </w:t>
      </w:r>
      <w:r w:rsidRPr="00AA23A8">
        <w:rPr>
          <w:rFonts w:ascii="Arial" w:hAnsi="Arial" w:cs="Arial"/>
          <w:rtl/>
        </w:rPr>
        <w:t>על החומרה הרבה שבמעשי הנאשם, שהיה מעורב, לאורך שנים</w:t>
      </w:r>
      <w:r w:rsidR="003927F5">
        <w:rPr>
          <w:rFonts w:ascii="Arial" w:hAnsi="Arial" w:cs="Arial"/>
          <w:rtl/>
        </w:rPr>
        <w:t>,</w:t>
      </w:r>
      <w:r w:rsidR="003927F5">
        <w:rPr>
          <w:rFonts w:ascii="Arial" w:hAnsi="Arial" w:cs="Arial" w:hint="cs"/>
          <w:rtl/>
        </w:rPr>
        <w:t xml:space="preserve"> </w:t>
      </w:r>
      <w:r w:rsidRPr="00AA23A8">
        <w:rPr>
          <w:rFonts w:ascii="Arial" w:hAnsi="Arial" w:cs="Arial"/>
          <w:rtl/>
        </w:rPr>
        <w:t>בעבירות כנגד הביטחון, בשמו של ארגון טרור, כשמטרת הפעילות לגרום לפגיעה לתושבי ישראל. הנאשם החל את פעילותו העוינת, בהיותו כבן 18 שנים, והתמדתו במעשיו, מעידה על רצונו העז להשיג מטרתו הרצחנית</w:t>
      </w:r>
      <w:r w:rsidR="00DF57D0">
        <w:rPr>
          <w:rFonts w:ascii="Arial" w:hAnsi="Arial" w:cs="Arial" w:hint="cs"/>
          <w:rtl/>
        </w:rPr>
        <w:t>. נטען, כי</w:t>
      </w:r>
      <w:r w:rsidRPr="00AA23A8">
        <w:rPr>
          <w:rFonts w:ascii="Arial" w:hAnsi="Arial" w:cs="Arial"/>
          <w:rtl/>
        </w:rPr>
        <w:t xml:space="preserve"> אין לזקוף לזכות הנאשם את העובדה כי לא נגרמה פגיעה לחיי אדם, נוכח נסיבות שלא היו בשליטתו. עוד נטען, כי נסיבותיו האישיות של הנאשם מתגמדות במשקלן, נוכח חומרת המעשים והסיכונים הטמונים בהם</w:t>
      </w:r>
      <w:r w:rsidR="00333267">
        <w:rPr>
          <w:rFonts w:ascii="Arial" w:hAnsi="Arial" w:cs="Arial" w:hint="cs"/>
          <w:rtl/>
        </w:rPr>
        <w:t>.</w:t>
      </w:r>
      <w:r w:rsidRPr="00AA23A8">
        <w:rPr>
          <w:rFonts w:ascii="Arial" w:hAnsi="Arial" w:cs="Arial"/>
          <w:rtl/>
        </w:rPr>
        <w:t xml:space="preserve"> עם זאת, צוין, כי יש ליתן משקל להודאת הנאשם.</w:t>
      </w:r>
    </w:p>
    <w:p w14:paraId="2C67D657" w14:textId="77777777" w:rsidR="00AA23A8" w:rsidRPr="00AA23A8" w:rsidRDefault="00AA23A8" w:rsidP="00557DC8">
      <w:pPr>
        <w:spacing w:line="360" w:lineRule="auto"/>
        <w:jc w:val="both"/>
        <w:rPr>
          <w:rFonts w:ascii="Arial" w:hAnsi="Arial" w:cs="Arial"/>
          <w:rtl/>
        </w:rPr>
      </w:pPr>
      <w:r w:rsidRPr="00AA23A8">
        <w:rPr>
          <w:rFonts w:ascii="Arial" w:hAnsi="Arial" w:cs="Arial"/>
          <w:rtl/>
        </w:rPr>
        <w:t>ב"כ המאשימה סבורה</w:t>
      </w:r>
      <w:r w:rsidR="006779C9">
        <w:rPr>
          <w:rFonts w:ascii="Arial" w:hAnsi="Arial" w:cs="Arial" w:hint="cs"/>
          <w:rtl/>
        </w:rPr>
        <w:t>,</w:t>
      </w:r>
      <w:r w:rsidRPr="00AA23A8">
        <w:rPr>
          <w:rFonts w:ascii="Arial" w:hAnsi="Arial" w:cs="Arial"/>
          <w:rtl/>
        </w:rPr>
        <w:t xml:space="preserve"> כי בגין האישום הראשון, יש לקבוע מתחם ענישה שבין 15-10 שנות מאסר, ובגין האישום השני, מתחם ענישה שבין 10-7 שנות מאסר הנוגע </w:t>
      </w:r>
      <w:r w:rsidR="00D968E6">
        <w:rPr>
          <w:rFonts w:ascii="Arial" w:hAnsi="Arial" w:cs="Arial" w:hint="cs"/>
          <w:rtl/>
        </w:rPr>
        <w:t>ל</w:t>
      </w:r>
      <w:r w:rsidRPr="00AA23A8">
        <w:rPr>
          <w:rFonts w:ascii="Arial" w:hAnsi="Arial" w:cs="Arial"/>
          <w:rtl/>
        </w:rPr>
        <w:t>עבירה של סיוע לניסיון לרצח; 5-3 שנות מאסר לעבירה של חברות ופעילות בהתאחדות בלתי מותרת, 6-3 שנות מאסר לעבירה של קשירת קשר לפשע (רצח), בנסיבות בהן לא נגרמה פגיעה והפעילות לא הופסקה מרצונו של הנאשם. בעניין זה</w:t>
      </w:r>
      <w:r w:rsidR="00557DC8">
        <w:rPr>
          <w:rFonts w:ascii="Arial" w:hAnsi="Arial" w:cs="Arial" w:hint="cs"/>
          <w:rtl/>
        </w:rPr>
        <w:t>,</w:t>
      </w:r>
      <w:r w:rsidRPr="00AA23A8">
        <w:rPr>
          <w:rFonts w:ascii="Arial" w:hAnsi="Arial" w:cs="Arial"/>
          <w:rtl/>
        </w:rPr>
        <w:t xml:space="preserve"> מפנה ב"כ המאשימה לשני פסקי דין שניתנו על ידי בית משפט זה, במסגרת </w:t>
      </w:r>
      <w:hyperlink r:id="rId43" w:history="1">
        <w:r w:rsidR="00635EE0" w:rsidRPr="00635EE0">
          <w:rPr>
            <w:rFonts w:ascii="Arial" w:hAnsi="Arial" w:cs="Arial"/>
            <w:color w:val="0000FF"/>
            <w:u w:val="single"/>
            <w:rtl/>
          </w:rPr>
          <w:t>תפח(ב"ש) 1103/06</w:t>
        </w:r>
      </w:hyperlink>
      <w:r w:rsidRPr="00AA23A8">
        <w:rPr>
          <w:rFonts w:ascii="Arial" w:hAnsi="Arial" w:cs="Arial"/>
          <w:rtl/>
        </w:rPr>
        <w:t xml:space="preserve"> </w:t>
      </w:r>
      <w:r w:rsidRPr="00AA23A8">
        <w:rPr>
          <w:rFonts w:ascii="Arial" w:hAnsi="Arial" w:cs="Arial"/>
          <w:u w:val="single"/>
          <w:rtl/>
        </w:rPr>
        <w:t>מדינת ישראל נ' יאסר אבו חמד</w:t>
      </w:r>
      <w:r w:rsidRPr="00AA23A8">
        <w:rPr>
          <w:rFonts w:ascii="Arial" w:hAnsi="Arial" w:cs="Arial"/>
          <w:rtl/>
        </w:rPr>
        <w:t xml:space="preserve"> </w:t>
      </w:r>
      <w:r w:rsidR="00635EE0" w:rsidRPr="008067B0">
        <w:rPr>
          <w:sz w:val="22"/>
          <w:rtl/>
        </w:rPr>
        <w:t xml:space="preserve">[פורסם בנבו] </w:t>
      </w:r>
      <w:r w:rsidRPr="00AA23A8">
        <w:rPr>
          <w:rFonts w:ascii="Arial" w:hAnsi="Arial" w:cs="Arial"/>
          <w:rtl/>
        </w:rPr>
        <w:t xml:space="preserve">(ניתן ביום 22.10.2012) ותפח 1057/07 </w:t>
      </w:r>
      <w:r w:rsidRPr="00AA23A8">
        <w:rPr>
          <w:rFonts w:ascii="Arial" w:hAnsi="Arial" w:cs="Arial"/>
          <w:u w:val="single"/>
          <w:rtl/>
        </w:rPr>
        <w:t>מדינת ישראל נ' אחמד אל- צופי</w:t>
      </w:r>
      <w:r w:rsidRPr="00AA23A8">
        <w:rPr>
          <w:rFonts w:ascii="Arial" w:hAnsi="Arial" w:cs="Arial"/>
          <w:rtl/>
        </w:rPr>
        <w:t xml:space="preserve"> (ניתן ביום 18.2.2013). עוד מבקשת ב"כ המאשימה, לפסוק עונש "המתקרב" לעונש שאושר על ידי בית משפט העליון ב</w:t>
      </w:r>
      <w:hyperlink r:id="rId44" w:history="1">
        <w:r w:rsidR="00113419" w:rsidRPr="00113419">
          <w:rPr>
            <w:rFonts w:ascii="Arial" w:hAnsi="Arial" w:cs="Arial"/>
            <w:color w:val="0000FF"/>
            <w:u w:val="single"/>
            <w:rtl/>
          </w:rPr>
          <w:t>ע"פ 5486/10</w:t>
        </w:r>
      </w:hyperlink>
      <w:r w:rsidRPr="00AA23A8">
        <w:rPr>
          <w:rFonts w:ascii="Arial" w:hAnsi="Arial" w:cs="Arial"/>
          <w:rtl/>
        </w:rPr>
        <w:t xml:space="preserve"> </w:t>
      </w:r>
      <w:r w:rsidRPr="00AA23A8">
        <w:rPr>
          <w:rFonts w:ascii="Arial" w:hAnsi="Arial" w:cs="Arial"/>
          <w:u w:val="single"/>
          <w:rtl/>
        </w:rPr>
        <w:t xml:space="preserve">דפאע אבו </w:t>
      </w:r>
      <w:r w:rsidRPr="00557DC8">
        <w:rPr>
          <w:rFonts w:ascii="Arial" w:hAnsi="Arial" w:cs="Arial"/>
          <w:u w:val="single"/>
          <w:rtl/>
        </w:rPr>
        <w:t>עאדרה נ' מדינת ישראל</w:t>
      </w:r>
      <w:r w:rsidRPr="00AA23A8">
        <w:rPr>
          <w:rFonts w:ascii="Arial" w:hAnsi="Arial" w:cs="Arial"/>
          <w:rtl/>
        </w:rPr>
        <w:t xml:space="preserve"> </w:t>
      </w:r>
      <w:r w:rsidR="00635EE0" w:rsidRPr="008067B0">
        <w:rPr>
          <w:sz w:val="22"/>
          <w:rtl/>
        </w:rPr>
        <w:t xml:space="preserve">[פורסם בנבו] </w:t>
      </w:r>
      <w:r w:rsidRPr="00AA23A8">
        <w:rPr>
          <w:rFonts w:ascii="Arial" w:hAnsi="Arial" w:cs="Arial"/>
          <w:rtl/>
        </w:rPr>
        <w:t>(ניתן ביום 23.10.2012)- 28 שנות מאסר בפועל, לאחר שהמערער באותו מקרה, הורשע בש</w:t>
      </w:r>
      <w:r w:rsidR="00557DC8">
        <w:rPr>
          <w:rFonts w:ascii="Arial" w:hAnsi="Arial" w:cs="Arial" w:hint="cs"/>
          <w:rtl/>
        </w:rPr>
        <w:t>ת</w:t>
      </w:r>
      <w:r w:rsidRPr="00AA23A8">
        <w:rPr>
          <w:rFonts w:ascii="Arial" w:hAnsi="Arial" w:cs="Arial"/>
          <w:rtl/>
        </w:rPr>
        <w:t xml:space="preserve">י עבירות של ניסיון לרצח, שתי עבירות של סיוע לניסיון לרצח, ועבירות נוספות, בגין מעורבות באירוע בודד של ירי טילים, הטמנת מטען וירי פצצות. </w:t>
      </w:r>
    </w:p>
    <w:p w14:paraId="2696971B"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עוד טוענת ב"כ המאשימה, כי נוכח חומרת המעשים, המצב הביטחוני הקשה והצורך בהרתעת היחיד והרבים, יש להטיל עונשי מאסר נפרדים, המצויים ברף הגבוה של מתחמי הענישה, ולהורות על הצטברות עונשי המאסר, כך שיוטל על הנאשם עונש העולה על 20 שנות מאסר לריצוי בפועל, מאסר מותנה משמעותי, קנס ופיצוי למתלונן.  </w:t>
      </w:r>
    </w:p>
    <w:p w14:paraId="7A2FB5EE" w14:textId="77777777" w:rsidR="00AA23A8" w:rsidRPr="00AA23A8" w:rsidRDefault="00AA23A8" w:rsidP="00AA23A8">
      <w:pPr>
        <w:spacing w:line="360" w:lineRule="auto"/>
        <w:jc w:val="both"/>
        <w:rPr>
          <w:rFonts w:ascii="Arial" w:hAnsi="Arial" w:cs="Arial"/>
          <w:rtl/>
        </w:rPr>
      </w:pPr>
    </w:p>
    <w:p w14:paraId="13636479" w14:textId="77777777" w:rsidR="00AA23A8" w:rsidRPr="00AA23A8" w:rsidRDefault="00AA23A8" w:rsidP="00333267">
      <w:pPr>
        <w:spacing w:line="360" w:lineRule="auto"/>
        <w:jc w:val="both"/>
        <w:rPr>
          <w:rFonts w:ascii="Arial" w:hAnsi="Arial" w:cs="Arial"/>
          <w:rtl/>
        </w:rPr>
      </w:pPr>
      <w:r w:rsidRPr="00AA23A8">
        <w:rPr>
          <w:rFonts w:ascii="Arial" w:hAnsi="Arial" w:cs="Arial"/>
          <w:rtl/>
        </w:rPr>
        <w:t xml:space="preserve">ב"כ הנאשם טען כי אירוע הדקירה התרחש בשל קלות הדעת וברגע של חולשה וכעס, על רקע המצב הביטחוני רגיש, לאחר שהנאשם, שהיה אותה עת בן 22, שמע בחדשות כי נהרגו ילדים פלשתינאים במבצע הצבאי. נטען, כי מדובר באירוע חריג, שלא תוכנן בקפידה. עוד צוין, כי המתלונן אינו סובל מנכות פיסית ומפגיעה ממשית, ומצבו "מצוין". </w:t>
      </w:r>
    </w:p>
    <w:p w14:paraId="671236EB" w14:textId="77777777" w:rsidR="00AA23A8" w:rsidRPr="00AA23A8" w:rsidRDefault="00AA23A8" w:rsidP="00AA23A8">
      <w:pPr>
        <w:spacing w:line="360" w:lineRule="auto"/>
        <w:jc w:val="both"/>
        <w:rPr>
          <w:rFonts w:ascii="Arial" w:hAnsi="Arial" w:cs="Arial"/>
          <w:rtl/>
        </w:rPr>
      </w:pPr>
      <w:r w:rsidRPr="00AA23A8">
        <w:rPr>
          <w:rFonts w:ascii="Arial" w:hAnsi="Arial" w:cs="Arial"/>
          <w:rtl/>
        </w:rPr>
        <w:t>באשר לאישום השני, נטען, כי חלקו של הנאשם היה מינורי; הנאשם היה הצעיר בחבורה, על "גבול הקטינות", נגרר אחר אחרים, ולא היה מוביל ודומיננטי בביצוע המעשים. צוין, כי לאחר האירוע נשוא אישום זה, נמנע הנאשם מלבצע עבירות פליליות כלשהן, עד הסתבכותו באירוע הדקירה, שלאחריו, התגייס</w:t>
      </w:r>
      <w:r w:rsidR="003927F5">
        <w:rPr>
          <w:rFonts w:ascii="Arial" w:hAnsi="Arial" w:cs="Arial" w:hint="cs"/>
          <w:rtl/>
        </w:rPr>
        <w:t xml:space="preserve"> </w:t>
      </w:r>
      <w:r w:rsidRPr="00AA23A8">
        <w:rPr>
          <w:rFonts w:ascii="Arial" w:hAnsi="Arial" w:cs="Arial"/>
          <w:rtl/>
        </w:rPr>
        <w:t xml:space="preserve">למשטרה ברשות הפלשתינאית. הודגש, כי תחילה נמחק האישום השני, במסגרת חנינה, אולם מאחר שהחנינה היתה מותנית בכך שלא יבצע עבירות נוספות, ובשל ההסתבכות באירוע הדקירה, לא מומשה החנינה. </w:t>
      </w:r>
    </w:p>
    <w:p w14:paraId="40D1C1B8" w14:textId="77777777" w:rsidR="00AA23A8" w:rsidRPr="00AA23A8" w:rsidRDefault="00EA0D0E" w:rsidP="00AA23A8">
      <w:pPr>
        <w:spacing w:line="360" w:lineRule="auto"/>
        <w:jc w:val="both"/>
        <w:rPr>
          <w:rFonts w:ascii="Arial" w:hAnsi="Arial" w:cs="Arial"/>
          <w:rtl/>
        </w:rPr>
      </w:pPr>
      <w:r>
        <w:rPr>
          <w:rFonts w:ascii="Arial" w:hAnsi="Arial" w:cs="Arial"/>
          <w:rtl/>
        </w:rPr>
        <w:t xml:space="preserve">ב"כ הנאשם </w:t>
      </w:r>
      <w:r>
        <w:rPr>
          <w:rFonts w:ascii="Arial" w:hAnsi="Arial" w:cs="Arial" w:hint="cs"/>
          <w:rtl/>
        </w:rPr>
        <w:t>ציין בנוסף,</w:t>
      </w:r>
      <w:r w:rsidR="00AA23A8" w:rsidRPr="00AA23A8">
        <w:rPr>
          <w:rFonts w:ascii="Arial" w:hAnsi="Arial" w:cs="Arial"/>
          <w:rtl/>
        </w:rPr>
        <w:t xml:space="preserve"> כי יש לזקוף לטובת הנאשם את ההודאה, נטילת האחריות והחיסכון בזמן שיפוטי יקר, ואף את </w:t>
      </w:r>
      <w:r w:rsidR="003927F5">
        <w:rPr>
          <w:rFonts w:ascii="Arial" w:hAnsi="Arial" w:cs="Arial" w:hint="cs"/>
          <w:rtl/>
        </w:rPr>
        <w:t xml:space="preserve">מניעת </w:t>
      </w:r>
      <w:r w:rsidR="00AA23A8" w:rsidRPr="00AA23A8">
        <w:rPr>
          <w:rFonts w:ascii="Arial" w:hAnsi="Arial" w:cs="Arial"/>
          <w:rtl/>
        </w:rPr>
        <w:t xml:space="preserve">הצורך להעיד את המתלונן </w:t>
      </w:r>
      <w:r w:rsidR="003927F5">
        <w:rPr>
          <w:rFonts w:ascii="Arial" w:hAnsi="Arial" w:cs="Arial"/>
          <w:rtl/>
        </w:rPr>
        <w:t>לגו</w:t>
      </w:r>
      <w:r w:rsidR="003927F5">
        <w:rPr>
          <w:rFonts w:ascii="Arial" w:hAnsi="Arial" w:cs="Arial" w:hint="cs"/>
          <w:rtl/>
        </w:rPr>
        <w:t>פו של מעשה</w:t>
      </w:r>
      <w:r w:rsidR="00AA23A8" w:rsidRPr="00AA23A8">
        <w:rPr>
          <w:rFonts w:ascii="Arial" w:hAnsi="Arial" w:cs="Arial"/>
          <w:rtl/>
        </w:rPr>
        <w:t xml:space="preserve">. נטען, כי הנאשם מעוניין לשלם את הפיצוי עליו הוסכם, ואף עשה מספר ניסיונות לגייס את הכסף, אולם הדבר לא עלה </w:t>
      </w:r>
      <w:r>
        <w:rPr>
          <w:rFonts w:ascii="Arial" w:hAnsi="Arial" w:cs="Arial" w:hint="cs"/>
          <w:rtl/>
        </w:rPr>
        <w:t xml:space="preserve">עד כה </w:t>
      </w:r>
      <w:r w:rsidR="00AA23A8" w:rsidRPr="00AA23A8">
        <w:rPr>
          <w:rFonts w:ascii="Arial" w:hAnsi="Arial" w:cs="Arial"/>
          <w:rtl/>
        </w:rPr>
        <w:t xml:space="preserve">בידו, נוכח המצב הכלכלי הקשה שלו ושל בני משפחתו. </w:t>
      </w:r>
    </w:p>
    <w:p w14:paraId="4A017C58" w14:textId="77777777" w:rsidR="00AA23A8" w:rsidRPr="00AA23A8" w:rsidRDefault="00AA23A8" w:rsidP="003927F5">
      <w:pPr>
        <w:spacing w:line="360" w:lineRule="auto"/>
        <w:jc w:val="both"/>
        <w:rPr>
          <w:rFonts w:ascii="Arial" w:hAnsi="Arial" w:cs="Arial"/>
          <w:rtl/>
        </w:rPr>
      </w:pPr>
      <w:r w:rsidRPr="00AA23A8">
        <w:rPr>
          <w:rFonts w:ascii="Arial" w:hAnsi="Arial" w:cs="Arial"/>
          <w:rtl/>
        </w:rPr>
        <w:t>עוד נטען, כי פסקי הדין אליהם הפנתה ב"כ המאשימה</w:t>
      </w:r>
      <w:r w:rsidR="00333267">
        <w:rPr>
          <w:rFonts w:ascii="Arial" w:hAnsi="Arial" w:cs="Arial" w:hint="cs"/>
          <w:rtl/>
        </w:rPr>
        <w:t>,</w:t>
      </w:r>
      <w:r w:rsidRPr="00AA23A8">
        <w:rPr>
          <w:rFonts w:ascii="Arial" w:hAnsi="Arial" w:cs="Arial"/>
          <w:rtl/>
        </w:rPr>
        <w:t xml:space="preserve"> אינם תואמים את עניינו של הנאשם, בשל ריבוי האישומים באותם מקרים, ולנוכח העובדה כי מדובר בעבירות נמשכות, וכי נעשה שימוש </w:t>
      </w:r>
      <w:r w:rsidR="003927F5">
        <w:rPr>
          <w:rFonts w:ascii="Arial" w:hAnsi="Arial" w:cs="Arial" w:hint="cs"/>
          <w:rtl/>
        </w:rPr>
        <w:t xml:space="preserve">באותם מקרים </w:t>
      </w:r>
      <w:r w:rsidRPr="00AA23A8">
        <w:rPr>
          <w:rFonts w:ascii="Arial" w:hAnsi="Arial" w:cs="Arial"/>
          <w:rtl/>
        </w:rPr>
        <w:t xml:space="preserve">בכלי נשק </w:t>
      </w:r>
      <w:r w:rsidR="003927F5">
        <w:rPr>
          <w:rFonts w:ascii="Arial" w:hAnsi="Arial" w:cs="Arial" w:hint="cs"/>
          <w:rtl/>
        </w:rPr>
        <w:t>"</w:t>
      </w:r>
      <w:r w:rsidRPr="00AA23A8">
        <w:rPr>
          <w:rFonts w:ascii="Arial" w:hAnsi="Arial" w:cs="Arial"/>
          <w:rtl/>
        </w:rPr>
        <w:t>כבדים</w:t>
      </w:r>
      <w:r w:rsidR="003927F5">
        <w:rPr>
          <w:rFonts w:ascii="Arial" w:hAnsi="Arial" w:cs="Arial" w:hint="cs"/>
          <w:rtl/>
        </w:rPr>
        <w:t>"</w:t>
      </w:r>
      <w:r w:rsidRPr="00AA23A8">
        <w:rPr>
          <w:rFonts w:ascii="Arial" w:hAnsi="Arial" w:cs="Arial"/>
          <w:rtl/>
        </w:rPr>
        <w:t xml:space="preserve">. מנגד, הפנה ב"כ הנאשם לגזרי הדין שניתנו ב- </w:t>
      </w:r>
      <w:hyperlink r:id="rId45" w:history="1">
        <w:r w:rsidR="00113419" w:rsidRPr="00113419">
          <w:rPr>
            <w:rFonts w:ascii="Arial" w:hAnsi="Arial" w:cs="Arial"/>
            <w:color w:val="0000FF"/>
            <w:u w:val="single"/>
            <w:rtl/>
          </w:rPr>
          <w:t>תפ"ח 1218/08</w:t>
        </w:r>
      </w:hyperlink>
      <w:r w:rsidRPr="00AA23A8">
        <w:rPr>
          <w:rFonts w:ascii="Arial" w:hAnsi="Arial" w:cs="Arial"/>
          <w:rtl/>
        </w:rPr>
        <w:t xml:space="preserve"> </w:t>
      </w:r>
      <w:r w:rsidRPr="00AA23A8">
        <w:rPr>
          <w:rFonts w:ascii="Arial" w:hAnsi="Arial" w:cs="Arial"/>
          <w:u w:val="single"/>
          <w:rtl/>
        </w:rPr>
        <w:t>מדינת ישראל נ' חאתם קוידר</w:t>
      </w:r>
      <w:r w:rsidRPr="00AA23A8">
        <w:rPr>
          <w:rFonts w:ascii="Arial" w:hAnsi="Arial" w:cs="Arial"/>
          <w:rtl/>
        </w:rPr>
        <w:t xml:space="preserve"> </w:t>
      </w:r>
      <w:r w:rsidR="00635EE0" w:rsidRPr="008067B0">
        <w:rPr>
          <w:sz w:val="22"/>
          <w:rtl/>
        </w:rPr>
        <w:t xml:space="preserve">[פורסם בנבו] </w:t>
      </w:r>
      <w:r w:rsidRPr="00AA23A8">
        <w:rPr>
          <w:rFonts w:ascii="Arial" w:hAnsi="Arial" w:cs="Arial"/>
          <w:rtl/>
        </w:rPr>
        <w:t>(ניתן ביום 13.5.2013) ו</w:t>
      </w:r>
      <w:hyperlink r:id="rId46" w:history="1">
        <w:r w:rsidR="00113419" w:rsidRPr="00113419">
          <w:rPr>
            <w:rFonts w:ascii="Arial" w:hAnsi="Arial" w:cs="Arial"/>
            <w:color w:val="0000FF"/>
            <w:u w:val="single"/>
            <w:rtl/>
          </w:rPr>
          <w:t>תפח 1062/08</w:t>
        </w:r>
      </w:hyperlink>
      <w:r w:rsidRPr="00AA23A8">
        <w:rPr>
          <w:rFonts w:ascii="Arial" w:hAnsi="Arial" w:cs="Arial"/>
          <w:rtl/>
        </w:rPr>
        <w:t xml:space="preserve"> </w:t>
      </w:r>
      <w:r w:rsidRPr="00AA23A8">
        <w:rPr>
          <w:rFonts w:ascii="Arial" w:hAnsi="Arial" w:cs="Arial"/>
          <w:u w:val="single"/>
          <w:rtl/>
        </w:rPr>
        <w:t>מדינת ישראל נ' אדהם פריח</w:t>
      </w:r>
      <w:r w:rsidRPr="00AA23A8">
        <w:rPr>
          <w:rFonts w:ascii="Arial" w:hAnsi="Arial" w:cs="Arial"/>
          <w:rtl/>
        </w:rPr>
        <w:t xml:space="preserve"> </w:t>
      </w:r>
      <w:r w:rsidR="00635EE0" w:rsidRPr="008067B0">
        <w:rPr>
          <w:sz w:val="22"/>
          <w:rtl/>
        </w:rPr>
        <w:t xml:space="preserve">[פורסם בנבו] </w:t>
      </w:r>
      <w:r w:rsidRPr="00AA23A8">
        <w:rPr>
          <w:rFonts w:ascii="Arial" w:hAnsi="Arial" w:cs="Arial"/>
          <w:rtl/>
        </w:rPr>
        <w:t>(ניתן ביום 22.3.2012), בהם הוטלו על הנאשמים שם 14.5 ו- 14 שנות מאסר, בהתאמה. ב"כ הנאשם מבקש</w:t>
      </w:r>
      <w:r w:rsidR="00FF2485">
        <w:rPr>
          <w:rFonts w:ascii="Arial" w:hAnsi="Arial" w:cs="Arial" w:hint="cs"/>
          <w:rtl/>
        </w:rPr>
        <w:t>,</w:t>
      </w:r>
      <w:r w:rsidRPr="00AA23A8">
        <w:rPr>
          <w:rFonts w:ascii="Arial" w:hAnsi="Arial" w:cs="Arial"/>
          <w:rtl/>
        </w:rPr>
        <w:t xml:space="preserve"> כי תקרת העונש תהיה 20-19 שנות מאסר, כפי שסוכם תחילה בין הצדדים במסגרת ההסדר, ואולם עותר להטיל על הנאשם עונשים מתונים מכך,  בנוסף לפיצוי כספי, שיחולק לתשלומים רבים יותר משהוצע תחילה.  </w:t>
      </w:r>
    </w:p>
    <w:p w14:paraId="360C2744" w14:textId="77777777" w:rsidR="00AA23A8" w:rsidRPr="00AA23A8" w:rsidRDefault="00AA23A8" w:rsidP="00AA23A8">
      <w:pPr>
        <w:spacing w:line="360" w:lineRule="auto"/>
        <w:jc w:val="both"/>
        <w:rPr>
          <w:rFonts w:ascii="Arial" w:hAnsi="Arial" w:cs="Arial"/>
          <w:rtl/>
        </w:rPr>
      </w:pPr>
    </w:p>
    <w:p w14:paraId="0B4B39BE" w14:textId="77777777" w:rsidR="00AA23A8" w:rsidRPr="003927F5" w:rsidRDefault="00AA23A8" w:rsidP="00AA23A8">
      <w:pPr>
        <w:spacing w:line="360" w:lineRule="auto"/>
        <w:jc w:val="both"/>
        <w:rPr>
          <w:rFonts w:ascii="Arial" w:hAnsi="Arial" w:cs="Arial"/>
          <w:b/>
          <w:bCs/>
          <w:u w:val="single"/>
          <w:rtl/>
        </w:rPr>
      </w:pPr>
      <w:r w:rsidRPr="003927F5">
        <w:rPr>
          <w:rFonts w:ascii="Arial" w:hAnsi="Arial" w:cs="Arial"/>
          <w:b/>
          <w:bCs/>
          <w:u w:val="single"/>
          <w:rtl/>
        </w:rPr>
        <w:t>דיון</w:t>
      </w:r>
    </w:p>
    <w:p w14:paraId="5FF2DFED" w14:textId="77777777" w:rsidR="00AA23A8" w:rsidRPr="00AA23A8" w:rsidRDefault="00AA23A8" w:rsidP="00AA23A8">
      <w:pPr>
        <w:spacing w:line="360" w:lineRule="auto"/>
        <w:jc w:val="both"/>
        <w:rPr>
          <w:rFonts w:ascii="Arial" w:hAnsi="Arial" w:cs="Arial"/>
          <w:rtl/>
        </w:rPr>
      </w:pPr>
      <w:r w:rsidRPr="00AA23A8">
        <w:rPr>
          <w:rFonts w:ascii="Arial" w:hAnsi="Arial" w:cs="Arial"/>
          <w:rtl/>
        </w:rPr>
        <w:t>הנאשם נותן את הדין בגין שני מעשי עבירה חמורים, כנגד ביטחון המדינה, בזיקה לארגון טרור, שכוונו לפגוע פגיעה קשה בתושבי המדינה וחיילי צה"ל, ולערער את הביטחון והשלווה בציבור הישראלי. עבירות מעין אלה הנועדות לפגוע בביטחון, מחייבות, מעצם טיבן, הטלת ענישה מחמירה כפי שנפסק בשורה ארוכה של פסקי דין, נוכח המציאות הביטחונית הקשה בה מצויה מדינת ישראל, ופוטנציאל הסכנה הגלום בעבירות מסוג</w:t>
      </w:r>
      <w:r w:rsidR="003927F5">
        <w:rPr>
          <w:rFonts w:ascii="Arial" w:hAnsi="Arial" w:cs="Arial" w:hint="cs"/>
          <w:rtl/>
        </w:rPr>
        <w:t xml:space="preserve"> זה</w:t>
      </w:r>
      <w:r w:rsidRPr="00AA23A8">
        <w:rPr>
          <w:rFonts w:ascii="Arial" w:hAnsi="Arial" w:cs="Arial"/>
          <w:rtl/>
        </w:rPr>
        <w:t xml:space="preserve">, </w:t>
      </w:r>
      <w:r w:rsidR="003927F5">
        <w:rPr>
          <w:rFonts w:ascii="Arial" w:hAnsi="Arial" w:cs="Arial"/>
          <w:rtl/>
        </w:rPr>
        <w:t>ל</w:t>
      </w:r>
      <w:r w:rsidR="003927F5">
        <w:rPr>
          <w:rFonts w:ascii="Arial" w:hAnsi="Arial" w:cs="Arial" w:hint="cs"/>
          <w:rtl/>
        </w:rPr>
        <w:t>תושבי</w:t>
      </w:r>
      <w:r w:rsidRPr="00AA23A8">
        <w:rPr>
          <w:rFonts w:ascii="Arial" w:hAnsi="Arial" w:cs="Arial"/>
          <w:rtl/>
        </w:rPr>
        <w:t xml:space="preserve"> המדינה ו</w:t>
      </w:r>
      <w:r w:rsidR="003927F5">
        <w:rPr>
          <w:rFonts w:ascii="Arial" w:hAnsi="Arial" w:cs="Arial" w:hint="cs"/>
          <w:rtl/>
        </w:rPr>
        <w:t>ל</w:t>
      </w:r>
      <w:r w:rsidRPr="00AA23A8">
        <w:rPr>
          <w:rFonts w:ascii="Arial" w:hAnsi="Arial" w:cs="Arial"/>
          <w:rtl/>
        </w:rPr>
        <w:t>חייליה. בצד שיקולי הגמול</w:t>
      </w:r>
      <w:r w:rsidR="009A054C">
        <w:rPr>
          <w:rFonts w:ascii="Arial" w:hAnsi="Arial" w:cs="Arial" w:hint="cs"/>
          <w:rtl/>
        </w:rPr>
        <w:t>,</w:t>
      </w:r>
      <w:r w:rsidRPr="00AA23A8">
        <w:rPr>
          <w:rFonts w:ascii="Arial" w:hAnsi="Arial" w:cs="Arial"/>
          <w:rtl/>
        </w:rPr>
        <w:t xml:space="preserve"> תכליתה של הענישה להרתיע חורשי רע מפני פגיעה בתשתיות הביטחון ו</w:t>
      </w:r>
      <w:r w:rsidR="00A86F00">
        <w:rPr>
          <w:rFonts w:ascii="Arial" w:hAnsi="Arial" w:cs="Arial" w:hint="cs"/>
          <w:rtl/>
        </w:rPr>
        <w:t>לנוכח הצורך ב</w:t>
      </w:r>
      <w:r w:rsidRPr="00AA23A8">
        <w:rPr>
          <w:rFonts w:ascii="Arial" w:hAnsi="Arial" w:cs="Arial"/>
          <w:rtl/>
        </w:rPr>
        <w:t xml:space="preserve">שמירה על הערך העליון של קדושת החיים (ראו בעניין זה: </w:t>
      </w:r>
      <w:hyperlink r:id="rId47" w:history="1">
        <w:r w:rsidR="00113419" w:rsidRPr="00113419">
          <w:rPr>
            <w:rFonts w:ascii="Arial" w:hAnsi="Arial" w:cs="Arial"/>
            <w:color w:val="0000FF"/>
            <w:u w:val="single"/>
            <w:rtl/>
          </w:rPr>
          <w:t>ע"פ 8768/12</w:t>
        </w:r>
      </w:hyperlink>
      <w:r w:rsidRPr="00AA23A8">
        <w:rPr>
          <w:rFonts w:ascii="Arial" w:hAnsi="Arial" w:cs="Arial"/>
          <w:rtl/>
        </w:rPr>
        <w:t xml:space="preserve"> </w:t>
      </w:r>
      <w:r w:rsidRPr="00FF2485">
        <w:rPr>
          <w:rFonts w:ascii="Arial" w:hAnsi="Arial" w:cs="Arial"/>
          <w:u w:val="single"/>
          <w:rtl/>
        </w:rPr>
        <w:t>יאסר אבו חמד נ' מדינת ישראל</w:t>
      </w:r>
      <w:r w:rsidRPr="00AA23A8">
        <w:rPr>
          <w:rFonts w:ascii="Arial" w:hAnsi="Arial" w:cs="Arial"/>
          <w:rtl/>
        </w:rPr>
        <w:t xml:space="preserve">, </w:t>
      </w:r>
      <w:r w:rsidR="00635EE0" w:rsidRPr="008067B0">
        <w:rPr>
          <w:sz w:val="22"/>
          <w:rtl/>
        </w:rPr>
        <w:t xml:space="preserve">[פורסם בנבו] </w:t>
      </w:r>
      <w:r w:rsidRPr="00AA23A8">
        <w:rPr>
          <w:rFonts w:ascii="Arial" w:hAnsi="Arial" w:cs="Arial"/>
          <w:rtl/>
        </w:rPr>
        <w:t xml:space="preserve">ניתן ביום 8.5.2014 (להלן: </w:t>
      </w:r>
      <w:r w:rsidR="005500C6">
        <w:rPr>
          <w:rFonts w:ascii="Arial" w:hAnsi="Arial" w:cs="Miriam"/>
          <w:rtl/>
        </w:rPr>
        <w:t xml:space="preserve">עניין אבו </w:t>
      </w:r>
      <w:r w:rsidR="005500C6">
        <w:rPr>
          <w:rFonts w:ascii="Arial" w:hAnsi="Arial" w:cs="Miriam" w:hint="cs"/>
          <w:rtl/>
        </w:rPr>
        <w:t>חמד</w:t>
      </w:r>
      <w:r w:rsidRPr="00AA23A8">
        <w:rPr>
          <w:rFonts w:ascii="Arial" w:hAnsi="Arial" w:cs="Arial"/>
          <w:rtl/>
        </w:rPr>
        <w:t xml:space="preserve">); </w:t>
      </w:r>
      <w:hyperlink r:id="rId48" w:history="1">
        <w:r w:rsidR="00113419" w:rsidRPr="00113419">
          <w:rPr>
            <w:rFonts w:ascii="Arial" w:hAnsi="Arial" w:cs="Arial"/>
            <w:color w:val="0000FF"/>
            <w:u w:val="single"/>
            <w:rtl/>
          </w:rPr>
          <w:t>ע"פ 6306/12</w:t>
        </w:r>
      </w:hyperlink>
      <w:r w:rsidRPr="00AA23A8">
        <w:rPr>
          <w:rFonts w:ascii="Arial" w:hAnsi="Arial" w:cs="Arial"/>
          <w:rtl/>
        </w:rPr>
        <w:t xml:space="preserve"> </w:t>
      </w:r>
      <w:r w:rsidRPr="00FF2485">
        <w:rPr>
          <w:rFonts w:ascii="Arial" w:hAnsi="Arial" w:cs="Arial"/>
          <w:u w:val="single"/>
          <w:rtl/>
        </w:rPr>
        <w:t>מהרה נ. מדינת ישראל</w:t>
      </w:r>
      <w:r w:rsidRPr="00AA23A8">
        <w:rPr>
          <w:rFonts w:ascii="Arial" w:hAnsi="Arial" w:cs="Arial"/>
          <w:rtl/>
        </w:rPr>
        <w:t xml:space="preserve">, </w:t>
      </w:r>
      <w:r w:rsidR="00635EE0" w:rsidRPr="008067B0">
        <w:rPr>
          <w:sz w:val="22"/>
          <w:rtl/>
        </w:rPr>
        <w:t xml:space="preserve">[פורסם בנבו] </w:t>
      </w:r>
      <w:r w:rsidRPr="00AA23A8">
        <w:rPr>
          <w:rFonts w:ascii="Arial" w:hAnsi="Arial" w:cs="Arial"/>
          <w:rtl/>
        </w:rPr>
        <w:t>ניתן ביום 23.2.2014). בהקשר זה יש לציין, כי נסיבות אישיות אלו או אחרות, נדחקות לאחור, נוכח חומרת העבירות; אף גילם הצעיר של נאשמים אינו מהווה עילה להקלה משמעותית, יתר על המידה</w:t>
      </w:r>
      <w:r w:rsidR="00A86F00">
        <w:rPr>
          <w:rFonts w:ascii="Arial" w:hAnsi="Arial" w:cs="Arial" w:hint="cs"/>
          <w:rtl/>
        </w:rPr>
        <w:t xml:space="preserve"> </w:t>
      </w:r>
      <w:r w:rsidRPr="00A86F00">
        <w:rPr>
          <w:rFonts w:ascii="Arial" w:hAnsi="Arial" w:cs="Arial"/>
          <w:sz w:val="22"/>
          <w:szCs w:val="22"/>
          <w:rtl/>
        </w:rPr>
        <w:t>"</w:t>
      </w:r>
      <w:r w:rsidRPr="00A86F00">
        <w:rPr>
          <w:rFonts w:ascii="Arial" w:hAnsi="Arial" w:cs="Arial"/>
          <w:b/>
          <w:bCs/>
          <w:sz w:val="22"/>
          <w:szCs w:val="22"/>
          <w:rtl/>
        </w:rPr>
        <w:t>שכן ארגוני הטרור נוהגים לגייס לשורותיהם ולפעילותם הנפשעת קטינים בגילאים צעירים ביותר, המזדהים עם מטרותיו של הארגון..."</w:t>
      </w:r>
      <w:r w:rsidR="00FF2485">
        <w:rPr>
          <w:rFonts w:ascii="Arial" w:hAnsi="Arial" w:cs="Arial" w:hint="cs"/>
          <w:rtl/>
        </w:rPr>
        <w:t xml:space="preserve"> </w:t>
      </w:r>
      <w:r w:rsidR="005500C6">
        <w:rPr>
          <w:rFonts w:ascii="Arial" w:hAnsi="Arial" w:cs="Arial"/>
          <w:rtl/>
        </w:rPr>
        <w:t xml:space="preserve">(עניין אבו </w:t>
      </w:r>
      <w:r w:rsidR="005500C6">
        <w:rPr>
          <w:rFonts w:ascii="Arial" w:hAnsi="Arial" w:cs="Arial" w:hint="cs"/>
          <w:rtl/>
        </w:rPr>
        <w:t>חמד</w:t>
      </w:r>
      <w:r w:rsidRPr="00AA23A8">
        <w:rPr>
          <w:rFonts w:ascii="Arial" w:hAnsi="Arial" w:cs="Arial"/>
          <w:rtl/>
        </w:rPr>
        <w:t xml:space="preserve">, פסקה 9). </w:t>
      </w:r>
    </w:p>
    <w:p w14:paraId="03855FE4" w14:textId="77777777" w:rsidR="00AA23A8" w:rsidRPr="00AA23A8" w:rsidRDefault="00AA23A8" w:rsidP="00FF2485">
      <w:pPr>
        <w:spacing w:line="360" w:lineRule="auto"/>
        <w:jc w:val="both"/>
        <w:rPr>
          <w:rFonts w:ascii="Arial" w:hAnsi="Arial" w:cs="Arial"/>
          <w:rtl/>
        </w:rPr>
      </w:pPr>
      <w:r w:rsidRPr="00AA23A8">
        <w:rPr>
          <w:rFonts w:ascii="Arial" w:hAnsi="Arial" w:cs="Arial"/>
          <w:rtl/>
        </w:rPr>
        <w:t>לא נעלמה מעינינו העובדה עליה עמד ב"כ הנאשם – שהמחיש זאת במקרים שונים</w:t>
      </w:r>
      <w:r w:rsidR="00A86F00">
        <w:rPr>
          <w:rFonts w:ascii="Arial" w:hAnsi="Arial" w:cs="Arial" w:hint="cs"/>
          <w:rtl/>
        </w:rPr>
        <w:t xml:space="preserve"> שהוצגו על ידו</w:t>
      </w:r>
      <w:r w:rsidRPr="00AA23A8">
        <w:rPr>
          <w:rFonts w:ascii="Arial" w:hAnsi="Arial" w:cs="Arial"/>
          <w:rtl/>
        </w:rPr>
        <w:t xml:space="preserve"> - כי העונשים המוטלים בגין עבירות בטחון אינם עשויים מקשה אחת, קשיחה וקבועה, וכל מקרה </w:t>
      </w:r>
      <w:r w:rsidR="00A86F00">
        <w:rPr>
          <w:rFonts w:ascii="Arial" w:hAnsi="Arial" w:cs="Arial" w:hint="cs"/>
          <w:rtl/>
        </w:rPr>
        <w:t>נ</w:t>
      </w:r>
      <w:r w:rsidRPr="00AA23A8">
        <w:rPr>
          <w:rFonts w:ascii="Arial" w:hAnsi="Arial" w:cs="Arial"/>
          <w:rtl/>
        </w:rPr>
        <w:t>דון</w:t>
      </w:r>
      <w:r w:rsidR="00A86F00">
        <w:rPr>
          <w:rFonts w:ascii="Arial" w:hAnsi="Arial" w:cs="Arial" w:hint="cs"/>
          <w:rtl/>
        </w:rPr>
        <w:t>, מטבע הדברים,</w:t>
      </w:r>
      <w:r w:rsidRPr="00AA23A8">
        <w:rPr>
          <w:rFonts w:ascii="Arial" w:hAnsi="Arial" w:cs="Arial"/>
          <w:rtl/>
        </w:rPr>
        <w:t xml:space="preserve"> לגופו. כך אף ציין </w:t>
      </w:r>
      <w:r w:rsidR="005500C6">
        <w:rPr>
          <w:rFonts w:ascii="Arial" w:hAnsi="Arial" w:cs="Arial"/>
          <w:rtl/>
        </w:rPr>
        <w:t xml:space="preserve">בית המשפט העליון בעניין אבו </w:t>
      </w:r>
      <w:r w:rsidR="005500C6">
        <w:rPr>
          <w:rFonts w:ascii="Arial" w:hAnsi="Arial" w:cs="Arial" w:hint="cs"/>
          <w:rtl/>
        </w:rPr>
        <w:t>חמד</w:t>
      </w:r>
      <w:r w:rsidRPr="00AA23A8">
        <w:rPr>
          <w:rFonts w:ascii="Arial" w:hAnsi="Arial" w:cs="Arial"/>
          <w:rtl/>
        </w:rPr>
        <w:t>, באמרו</w:t>
      </w:r>
      <w:r w:rsidR="00A86F00">
        <w:rPr>
          <w:rFonts w:ascii="Arial" w:hAnsi="Arial" w:cs="Arial" w:hint="cs"/>
          <w:rtl/>
        </w:rPr>
        <w:t>,</w:t>
      </w:r>
      <w:r w:rsidRPr="00AA23A8">
        <w:rPr>
          <w:rFonts w:ascii="Arial" w:hAnsi="Arial" w:cs="Arial"/>
          <w:rtl/>
        </w:rPr>
        <w:t xml:space="preserve"> עם זאת, כי</w:t>
      </w:r>
      <w:r w:rsidRPr="00AA23A8">
        <w:rPr>
          <w:rFonts w:ascii="Arial" w:hAnsi="Arial" w:cs="Arial"/>
          <w:b/>
          <w:bCs/>
          <w:rtl/>
        </w:rPr>
        <w:t xml:space="preserve"> </w:t>
      </w:r>
      <w:r w:rsidRPr="00A86F00">
        <w:rPr>
          <w:rFonts w:ascii="Arial" w:hAnsi="Arial" w:cs="Arial"/>
          <w:b/>
          <w:bCs/>
          <w:sz w:val="22"/>
          <w:szCs w:val="22"/>
          <w:rtl/>
        </w:rPr>
        <w:t>"אשר לרמת הענישה שנקבעה בעבירות מסוג זה, ניתן להצביע על מנעד רחב למדיי של עונשים, כאשר המגמה המסתמנת בשנים האחרונות היא בכיוון של החמרה בענישה"</w:t>
      </w:r>
      <w:r w:rsidRPr="00AA23A8">
        <w:rPr>
          <w:rFonts w:ascii="Arial" w:hAnsi="Arial" w:cs="Arial"/>
          <w:rtl/>
        </w:rPr>
        <w:t xml:space="preserve"> (פסקה 10). </w:t>
      </w:r>
    </w:p>
    <w:p w14:paraId="2EBC6AAC" w14:textId="77777777" w:rsidR="00AA23A8" w:rsidRPr="00AA23A8" w:rsidRDefault="00AA23A8" w:rsidP="00AA23A8">
      <w:pPr>
        <w:spacing w:line="360" w:lineRule="auto"/>
        <w:jc w:val="both"/>
        <w:rPr>
          <w:rFonts w:ascii="Arial" w:hAnsi="Arial" w:cs="Arial"/>
          <w:rtl/>
        </w:rPr>
      </w:pPr>
    </w:p>
    <w:p w14:paraId="0D550ED8" w14:textId="77777777" w:rsidR="00EA0D0E" w:rsidRDefault="00EA0D0E" w:rsidP="007B19D3">
      <w:pPr>
        <w:spacing w:line="360" w:lineRule="auto"/>
        <w:jc w:val="both"/>
        <w:rPr>
          <w:rFonts w:ascii="Arial" w:hAnsi="Arial" w:cs="Arial"/>
          <w:rtl/>
        </w:rPr>
      </w:pPr>
      <w:r w:rsidRPr="00AA23A8">
        <w:rPr>
          <w:rFonts w:ascii="Arial" w:hAnsi="Arial" w:cs="Arial"/>
          <w:rtl/>
        </w:rPr>
        <w:t xml:space="preserve">בגזירת עונשו של הנאשם, יש מקום להפריד בין שני האירועים בהם הורשע, שנסיבותיהם ועיתויים שונים בתכלית. יצוין כי העבירות "המובילות" באירוע הנחת המטען (אישום שני) הינן הסיוע לניסיון לרצח, קשירת קשר לרצח ונשיאת הנשק. האישום המרכזי באירוע הדקירה (אישום ראשון), הינה עבירת הניסיון לרצח, ואילו העבירות האחרות טפלות לעבירת הניסיון לרצח. </w:t>
      </w:r>
    </w:p>
    <w:p w14:paraId="13273D74" w14:textId="77777777" w:rsidR="009A054C" w:rsidRDefault="009A054C" w:rsidP="00EA0D0E">
      <w:pPr>
        <w:spacing w:line="360" w:lineRule="auto"/>
        <w:jc w:val="both"/>
        <w:rPr>
          <w:rFonts w:ascii="Arial" w:hAnsi="Arial" w:cs="Arial"/>
          <w:rtl/>
        </w:rPr>
      </w:pPr>
    </w:p>
    <w:p w14:paraId="636D3B78" w14:textId="77777777" w:rsidR="00AA23A8" w:rsidRPr="00AA23A8" w:rsidRDefault="00A86F00" w:rsidP="00EA0D0E">
      <w:pPr>
        <w:spacing w:line="360" w:lineRule="auto"/>
        <w:jc w:val="both"/>
        <w:rPr>
          <w:rFonts w:ascii="Arial" w:hAnsi="Arial" w:cs="Arial"/>
          <w:rtl/>
        </w:rPr>
      </w:pPr>
      <w:r>
        <w:rPr>
          <w:rFonts w:ascii="Arial" w:hAnsi="Arial" w:cs="Arial" w:hint="cs"/>
          <w:rtl/>
        </w:rPr>
        <w:t>הנאשם היה בן 18 שנים, בעת מעורבות</w:t>
      </w:r>
      <w:r w:rsidR="00EA0D0E">
        <w:rPr>
          <w:rFonts w:ascii="Arial" w:hAnsi="Arial" w:cs="Arial" w:hint="cs"/>
          <w:rtl/>
        </w:rPr>
        <w:t>ו</w:t>
      </w:r>
      <w:r>
        <w:rPr>
          <w:rFonts w:ascii="Arial" w:hAnsi="Arial" w:cs="Arial" w:hint="cs"/>
          <w:rtl/>
        </w:rPr>
        <w:t xml:space="preserve"> בעבירות האופפות את הנחת המטען.</w:t>
      </w:r>
      <w:r w:rsidR="00AA23A8" w:rsidRPr="00AA23A8">
        <w:rPr>
          <w:rFonts w:ascii="Arial" w:hAnsi="Arial" w:cs="Arial"/>
          <w:rtl/>
        </w:rPr>
        <w:t xml:space="preserve"> מדובר היה בהתארגנות מתוכננת, לה חברו מספר פעילי ארגון, שנועדה להביא להפעלת מטען חבלה רב עוצמה, ולהרג של חיילים. הנאשם החזיק כלֵי נשק ושימש כתצפיתן במהלך הפעילות שקדמה להפעלת המטען, שאך בדרך מקרה, בשל ריחוקו מהג'יפ הצבאי, לא גרם לפגיעה בנפש. בצד הרשעתו בעבירה של קשירת קשר לביצוע רצח, הורשע הנאשם </w:t>
      </w:r>
      <w:r>
        <w:rPr>
          <w:rFonts w:ascii="Arial" w:hAnsi="Arial" w:cs="Arial" w:hint="cs"/>
          <w:rtl/>
        </w:rPr>
        <w:t xml:space="preserve">באירוע זה, </w:t>
      </w:r>
      <w:r w:rsidR="00AA23A8" w:rsidRPr="00AA23A8">
        <w:rPr>
          <w:rFonts w:ascii="Arial" w:hAnsi="Arial" w:cs="Arial"/>
          <w:rtl/>
        </w:rPr>
        <w:t xml:space="preserve">בסיוע לניסיון לרצח והחזקת הנשק, וכן במספר גופי עבירה נוספים, שעניינם החברות בארגון, אימונים צבאיים אסורים ומגע עם סוכן זר. חרף העובדה כי הנאשם לא נמצא במעגל הראשון של מניחי המטען, הרי שהיה חלק בלתי נפרד ממעטפת הביצוע, ואף היה שותף לקשירת הקשר לביצוע הרצח. </w:t>
      </w:r>
    </w:p>
    <w:p w14:paraId="708F4A80" w14:textId="77777777" w:rsidR="00AA23A8" w:rsidRPr="00AA23A8" w:rsidRDefault="00AA23A8" w:rsidP="00635EE0">
      <w:pPr>
        <w:rPr>
          <w:rFonts w:ascii="Arial" w:hAnsi="Arial" w:cs="Arial"/>
          <w:rtl/>
        </w:rPr>
      </w:pPr>
      <w:r w:rsidRPr="00AA23A8">
        <w:rPr>
          <w:rFonts w:ascii="Arial" w:hAnsi="Arial" w:cs="Arial"/>
          <w:rtl/>
        </w:rPr>
        <w:t xml:space="preserve">מתחמי הענישה שהוצעו על ידי ב"כ המאשימה בגין העבירות השונות בהן הורשע הנאשם באירוע הנחת המטען, אינם חורגים מאלה שהותוו על ידי בית משפט זה בתפ"ח 1103/06 </w:t>
      </w:r>
      <w:r w:rsidR="00EA0D0E">
        <w:rPr>
          <w:rFonts w:ascii="Arial" w:hAnsi="Arial" w:cs="Arial" w:hint="cs"/>
          <w:rtl/>
        </w:rPr>
        <w:t xml:space="preserve">הנ"ל </w:t>
      </w:r>
      <w:r w:rsidRPr="00AA23A8">
        <w:rPr>
          <w:rFonts w:ascii="Arial" w:hAnsi="Arial" w:cs="Arial"/>
          <w:rtl/>
        </w:rPr>
        <w:t>(וכן ב</w:t>
      </w:r>
      <w:hyperlink r:id="rId49" w:history="1">
        <w:r w:rsidR="00635EE0" w:rsidRPr="00635EE0">
          <w:rPr>
            <w:rFonts w:ascii="Arial" w:hAnsi="Arial" w:cs="Arial"/>
            <w:color w:val="0000FF"/>
            <w:u w:val="single"/>
            <w:rtl/>
          </w:rPr>
          <w:t>תפ"ח 1010/09</w:t>
        </w:r>
      </w:hyperlink>
      <w:r w:rsidRPr="00AA23A8">
        <w:rPr>
          <w:rFonts w:ascii="Arial" w:hAnsi="Arial" w:cs="Arial"/>
          <w:rtl/>
        </w:rPr>
        <w:t xml:space="preserve">, </w:t>
      </w:r>
      <w:r w:rsidRPr="00EA0D0E">
        <w:rPr>
          <w:rFonts w:ascii="Arial" w:hAnsi="Arial" w:cs="Arial"/>
          <w:u w:val="single"/>
          <w:rtl/>
        </w:rPr>
        <w:t>מדינת ישראל נ. חוסאם עטאר,</w:t>
      </w:r>
      <w:r w:rsidRPr="00AA23A8">
        <w:rPr>
          <w:rFonts w:ascii="Arial" w:hAnsi="Arial" w:cs="Arial"/>
          <w:rtl/>
        </w:rPr>
        <w:t xml:space="preserve"> </w:t>
      </w:r>
      <w:r w:rsidR="00635EE0" w:rsidRPr="008067B0">
        <w:rPr>
          <w:sz w:val="22"/>
          <w:rtl/>
        </w:rPr>
        <w:t xml:space="preserve">[פורסם בנבו] </w:t>
      </w:r>
      <w:r w:rsidRPr="00AA23A8">
        <w:rPr>
          <w:rFonts w:ascii="Arial" w:hAnsi="Arial" w:cs="Arial"/>
          <w:rtl/>
        </w:rPr>
        <w:t>ניתן ביום 8.4.2013); יוער,</w:t>
      </w:r>
      <w:r w:rsidR="005500C6">
        <w:rPr>
          <w:rFonts w:ascii="Arial" w:hAnsi="Arial" w:cs="Arial"/>
          <w:rtl/>
        </w:rPr>
        <w:t xml:space="preserve"> כי בערעור שהוגש בעניין אבו </w:t>
      </w:r>
      <w:r w:rsidR="005500C6">
        <w:rPr>
          <w:rFonts w:ascii="Arial" w:hAnsi="Arial" w:cs="Arial" w:hint="cs"/>
          <w:rtl/>
        </w:rPr>
        <w:t>חמד</w:t>
      </w:r>
      <w:r w:rsidRPr="00AA23A8">
        <w:rPr>
          <w:rFonts w:ascii="Arial" w:hAnsi="Arial" w:cs="Arial"/>
          <w:rtl/>
        </w:rPr>
        <w:t xml:space="preserve">, כנגד חומרת העונש שהוטל בתפ"ח 1103/06, נמצא מקום להקל בשיעור העונש הכולל שהוטל, ללא שינוי ממתחמי הענישה שנקבעו על ידינו. </w:t>
      </w:r>
    </w:p>
    <w:p w14:paraId="4429FD85" w14:textId="77777777" w:rsidR="00A713EA" w:rsidRPr="00AA23A8" w:rsidRDefault="00AA23A8" w:rsidP="00A713EA">
      <w:pPr>
        <w:spacing w:line="360" w:lineRule="auto"/>
        <w:jc w:val="both"/>
        <w:rPr>
          <w:rFonts w:ascii="Arial" w:hAnsi="Arial" w:cs="Arial"/>
          <w:rtl/>
        </w:rPr>
      </w:pPr>
      <w:r w:rsidRPr="00AA23A8">
        <w:rPr>
          <w:rFonts w:ascii="Arial" w:hAnsi="Arial" w:cs="Arial"/>
          <w:rtl/>
        </w:rPr>
        <w:t xml:space="preserve">בנסיבות האירוע שבפנינו, כאשר הנאשם הורשע בעבירה של </w:t>
      </w:r>
      <w:r w:rsidR="00A713EA">
        <w:rPr>
          <w:rFonts w:ascii="Arial" w:hAnsi="Arial" w:cs="Arial" w:hint="cs"/>
          <w:rtl/>
        </w:rPr>
        <w:t xml:space="preserve">חברות ופעילות בארגון טרור, אימונים צבאיים אסורים, מגע עם סוכן חוץ, קשירת קשר לביצוע רצח, </w:t>
      </w:r>
      <w:r w:rsidRPr="00AA23A8">
        <w:rPr>
          <w:rFonts w:ascii="Arial" w:hAnsi="Arial" w:cs="Arial"/>
          <w:rtl/>
        </w:rPr>
        <w:t>סיוע לניסיו</w:t>
      </w:r>
      <w:r w:rsidR="00A713EA">
        <w:rPr>
          <w:rFonts w:ascii="Arial" w:hAnsi="Arial" w:cs="Arial"/>
          <w:rtl/>
        </w:rPr>
        <w:t>ן לרצח, ולנוכח</w:t>
      </w:r>
      <w:r w:rsidR="00A713EA">
        <w:rPr>
          <w:rFonts w:ascii="Arial" w:hAnsi="Arial" w:cs="Arial" w:hint="cs"/>
          <w:rtl/>
        </w:rPr>
        <w:t xml:space="preserve"> הסיוע שהושיט בניסיון לפוצץ מטען שנועד להרג חיילים,</w:t>
      </w:r>
      <w:r w:rsidRPr="00AA23A8">
        <w:rPr>
          <w:rFonts w:ascii="Arial" w:hAnsi="Arial" w:cs="Arial"/>
          <w:rtl/>
        </w:rPr>
        <w:t xml:space="preserve"> </w:t>
      </w:r>
      <w:r w:rsidR="00434F2C">
        <w:rPr>
          <w:rFonts w:ascii="Arial" w:hAnsi="Arial" w:cs="Arial" w:hint="cs"/>
          <w:rtl/>
        </w:rPr>
        <w:t xml:space="preserve">שבמהלכו אף נשא כלי נשק, </w:t>
      </w:r>
      <w:r w:rsidRPr="00AA23A8">
        <w:rPr>
          <w:rFonts w:ascii="Arial" w:hAnsi="Arial" w:cs="Arial"/>
          <w:rtl/>
        </w:rPr>
        <w:t xml:space="preserve">הרי </w:t>
      </w:r>
      <w:r w:rsidR="00EA0D0E">
        <w:rPr>
          <w:rFonts w:ascii="Arial" w:hAnsi="Arial" w:cs="Arial"/>
          <w:rtl/>
        </w:rPr>
        <w:t>ש</w:t>
      </w:r>
      <w:r w:rsidRPr="00AA23A8">
        <w:rPr>
          <w:rFonts w:ascii="Arial" w:hAnsi="Arial" w:cs="Arial"/>
          <w:rtl/>
        </w:rPr>
        <w:t xml:space="preserve">מתחם העונש </w:t>
      </w:r>
      <w:r w:rsidR="00A713EA">
        <w:rPr>
          <w:rFonts w:ascii="Arial" w:hAnsi="Arial" w:cs="Arial" w:hint="cs"/>
          <w:rtl/>
        </w:rPr>
        <w:t xml:space="preserve">הכולל שיש להשית בגין עבירות אלה </w:t>
      </w:r>
      <w:r w:rsidR="00A713EA">
        <w:rPr>
          <w:rFonts w:ascii="Arial" w:hAnsi="Arial" w:cs="Arial"/>
          <w:rtl/>
        </w:rPr>
        <w:t xml:space="preserve">הינו בין </w:t>
      </w:r>
      <w:r w:rsidR="00A713EA">
        <w:rPr>
          <w:rFonts w:ascii="Arial" w:hAnsi="Arial" w:cs="Arial" w:hint="cs"/>
          <w:rtl/>
        </w:rPr>
        <w:t>10 ל- 13</w:t>
      </w:r>
      <w:r w:rsidR="00A713EA">
        <w:rPr>
          <w:rFonts w:ascii="Arial" w:hAnsi="Arial" w:cs="Arial"/>
          <w:rtl/>
        </w:rPr>
        <w:t xml:space="preserve"> שנות מאסר</w:t>
      </w:r>
      <w:r w:rsidR="00A713EA">
        <w:rPr>
          <w:rFonts w:ascii="Arial" w:hAnsi="Arial" w:cs="Arial" w:hint="cs"/>
          <w:rtl/>
        </w:rPr>
        <w:t>.</w:t>
      </w:r>
    </w:p>
    <w:p w14:paraId="19EFBC3F" w14:textId="77777777" w:rsidR="00AA23A8" w:rsidRPr="00AA23A8" w:rsidRDefault="00AA23A8" w:rsidP="00AA23A8">
      <w:pPr>
        <w:spacing w:line="360" w:lineRule="auto"/>
        <w:jc w:val="both"/>
        <w:rPr>
          <w:rFonts w:ascii="Arial" w:hAnsi="Arial" w:cs="Arial"/>
          <w:rtl/>
        </w:rPr>
      </w:pPr>
    </w:p>
    <w:p w14:paraId="1D158A11" w14:textId="77777777" w:rsidR="00366ED4" w:rsidRDefault="00AA23A8" w:rsidP="00AA23A8">
      <w:pPr>
        <w:spacing w:line="360" w:lineRule="auto"/>
        <w:jc w:val="both"/>
        <w:rPr>
          <w:rFonts w:ascii="Arial" w:hAnsi="Arial" w:cs="Arial"/>
          <w:rtl/>
        </w:rPr>
      </w:pPr>
      <w:r w:rsidRPr="00AA23A8">
        <w:rPr>
          <w:rFonts w:ascii="Arial" w:hAnsi="Arial" w:cs="Arial"/>
          <w:rtl/>
        </w:rPr>
        <w:t>נסיבות אירוע הדקירה, המפורטות באישום הראשון, מלמדו</w:t>
      </w:r>
      <w:r w:rsidR="00EA0D0E">
        <w:rPr>
          <w:rFonts w:ascii="Arial" w:hAnsi="Arial" w:cs="Arial"/>
          <w:rtl/>
        </w:rPr>
        <w:t>ת כי אש הטרור לא דעכה בקרבו של</w:t>
      </w:r>
      <w:r w:rsidR="00EA0D0E">
        <w:rPr>
          <w:rFonts w:ascii="Arial" w:hAnsi="Arial" w:cs="Arial" w:hint="cs"/>
          <w:rtl/>
        </w:rPr>
        <w:t xml:space="preserve"> </w:t>
      </w:r>
      <w:r w:rsidRPr="00AA23A8">
        <w:rPr>
          <w:rFonts w:ascii="Arial" w:hAnsi="Arial" w:cs="Arial"/>
          <w:rtl/>
        </w:rPr>
        <w:t>הנאשם, חרף כך שחלפו חמש שנים מעת מעורבותו בהנחת המטען, ועל אף שבינתיים בגר ועמד היטב על משמעות מעשיו</w:t>
      </w:r>
      <w:r w:rsidR="00EA5416">
        <w:rPr>
          <w:rFonts w:ascii="Arial" w:hAnsi="Arial" w:cs="Arial" w:hint="cs"/>
          <w:rtl/>
        </w:rPr>
        <w:t>, ואף הצטרף למשטרה ברש"פ,</w:t>
      </w:r>
      <w:r w:rsidR="00B530E8">
        <w:rPr>
          <w:rFonts w:ascii="Arial" w:hAnsi="Arial" w:cs="Arial" w:hint="cs"/>
          <w:rtl/>
        </w:rPr>
        <w:t xml:space="preserve"> כפי שמסר סניגורו. </w:t>
      </w:r>
      <w:r w:rsidRPr="00AA23A8">
        <w:rPr>
          <w:rFonts w:ascii="Arial" w:hAnsi="Arial" w:cs="Arial"/>
          <w:rtl/>
        </w:rPr>
        <w:t xml:space="preserve">בעיצומם של ימים בהם נתון היה הציבור הישראלי תחת מתקפת טילים, ונאלץ לגונן על עצמו במבצע צבאי שנכפה עליו, החליט הנאשם </w:t>
      </w:r>
      <w:r w:rsidR="00EA5416">
        <w:rPr>
          <w:rFonts w:ascii="Arial" w:hAnsi="Arial" w:cs="Arial"/>
          <w:rtl/>
        </w:rPr>
        <w:t>ל</w:t>
      </w:r>
      <w:r w:rsidR="00EA5416">
        <w:rPr>
          <w:rFonts w:ascii="Arial" w:hAnsi="Arial" w:cs="Arial" w:hint="cs"/>
          <w:rtl/>
        </w:rPr>
        <w:t>קטול חייו של</w:t>
      </w:r>
      <w:r w:rsidRPr="00AA23A8">
        <w:rPr>
          <w:rFonts w:ascii="Arial" w:hAnsi="Arial" w:cs="Arial"/>
          <w:rtl/>
        </w:rPr>
        <w:t xml:space="preserve"> תושב ישראלי, באשר מוצאו יהודי, </w:t>
      </w:r>
      <w:r w:rsidR="00366ED4">
        <w:rPr>
          <w:rFonts w:ascii="Arial" w:hAnsi="Arial" w:cs="Arial"/>
          <w:rtl/>
        </w:rPr>
        <w:t>ב</w:t>
      </w:r>
      <w:r w:rsidR="00366ED4">
        <w:rPr>
          <w:rFonts w:ascii="Arial" w:hAnsi="Arial" w:cs="Arial" w:hint="cs"/>
          <w:rtl/>
        </w:rPr>
        <w:t>תוככי</w:t>
      </w:r>
      <w:r w:rsidRPr="00AA23A8">
        <w:rPr>
          <w:rFonts w:ascii="Arial" w:hAnsi="Arial" w:cs="Arial"/>
          <w:rtl/>
        </w:rPr>
        <w:t xml:space="preserve"> </w:t>
      </w:r>
      <w:r w:rsidR="00366ED4">
        <w:rPr>
          <w:rFonts w:ascii="Arial" w:hAnsi="Arial" w:cs="Arial" w:hint="cs"/>
          <w:rtl/>
        </w:rPr>
        <w:t xml:space="preserve">העיר </w:t>
      </w:r>
      <w:r w:rsidRPr="00AA23A8">
        <w:rPr>
          <w:rFonts w:ascii="Arial" w:hAnsi="Arial" w:cs="Arial"/>
          <w:rtl/>
        </w:rPr>
        <w:t xml:space="preserve">באר שבע מוכת הטילים; הנאשם שהסתובב בישראל ללא היתר – הקלות </w:t>
      </w:r>
      <w:r w:rsidR="009A054C">
        <w:rPr>
          <w:rFonts w:ascii="Arial" w:hAnsi="Arial" w:cs="Arial" w:hint="cs"/>
          <w:rtl/>
        </w:rPr>
        <w:t xml:space="preserve">היחסית, </w:t>
      </w:r>
      <w:r w:rsidRPr="00AA23A8">
        <w:rPr>
          <w:rFonts w:ascii="Arial" w:hAnsi="Arial" w:cs="Arial"/>
          <w:rtl/>
        </w:rPr>
        <w:t>של חדירת תושבים מאיזורי הרש"פ לישראל אינה צריכה הבהרות - נעץ את סכינו במותנו של המ</w:t>
      </w:r>
      <w:r w:rsidR="009A054C">
        <w:rPr>
          <w:rFonts w:ascii="Arial" w:hAnsi="Arial" w:cs="Arial"/>
          <w:rtl/>
        </w:rPr>
        <w:t xml:space="preserve">תלונן, עובר אורח תמים, שנחלץ </w:t>
      </w:r>
      <w:r w:rsidRPr="00AA23A8">
        <w:rPr>
          <w:rFonts w:ascii="Arial" w:hAnsi="Arial" w:cs="Arial"/>
          <w:rtl/>
        </w:rPr>
        <w:t xml:space="preserve">בעור שיניו, מהפגיעה הקטלנית אותה ייעד לו הנאשם. בניגוד לנטען על ידי ההגנה, </w:t>
      </w:r>
      <w:r w:rsidR="00366ED4">
        <w:rPr>
          <w:rFonts w:ascii="Arial" w:hAnsi="Arial" w:cs="Arial" w:hint="cs"/>
          <w:rtl/>
        </w:rPr>
        <w:t xml:space="preserve">לא </w:t>
      </w:r>
      <w:r w:rsidRPr="00AA23A8">
        <w:rPr>
          <w:rFonts w:ascii="Arial" w:hAnsi="Arial" w:cs="Arial"/>
          <w:rtl/>
        </w:rPr>
        <w:t>מדובר</w:t>
      </w:r>
      <w:r w:rsidR="00366ED4">
        <w:rPr>
          <w:rFonts w:ascii="Arial" w:hAnsi="Arial" w:cs="Arial" w:hint="cs"/>
          <w:rtl/>
        </w:rPr>
        <w:t xml:space="preserve"> היה</w:t>
      </w:r>
      <w:r w:rsidRPr="00AA23A8">
        <w:rPr>
          <w:rFonts w:ascii="Arial" w:hAnsi="Arial" w:cs="Arial"/>
          <w:rtl/>
        </w:rPr>
        <w:t xml:space="preserve"> במעשה ספונטני, ברגע של "חולשת הדעת", והתקיימו במעשה מרכיבי תכנון מובהקים; ההצטיידות בסכין ארוכה, הטמנתה, בירור מקדים של מוצאו של קורבן התקיפה, והדיווח לפעילי הארגון ולרדיו הפלשתיני על הפגיעה שבוצעה בשם הארגון. דרך דיווח זה, העידה נוספות, כי הנאשם היה מצוי בקשר עם פעילי הארגון, והזדהה עם מטרותיו הנפשעות</w:t>
      </w:r>
      <w:r w:rsidR="00366ED4">
        <w:rPr>
          <w:rFonts w:ascii="Arial" w:hAnsi="Arial" w:cs="Arial"/>
          <w:rtl/>
        </w:rPr>
        <w:t xml:space="preserve">. </w:t>
      </w:r>
    </w:p>
    <w:p w14:paraId="5E5E6519" w14:textId="77777777" w:rsidR="00AA23A8" w:rsidRPr="00AA23A8" w:rsidRDefault="00AA23A8" w:rsidP="008263DA">
      <w:pPr>
        <w:spacing w:line="360" w:lineRule="auto"/>
        <w:jc w:val="both"/>
        <w:rPr>
          <w:rFonts w:ascii="Arial" w:hAnsi="Arial" w:cs="Arial"/>
          <w:rtl/>
        </w:rPr>
      </w:pPr>
      <w:r w:rsidRPr="00AA23A8">
        <w:rPr>
          <w:rFonts w:ascii="Arial" w:hAnsi="Arial" w:cs="Arial"/>
          <w:rtl/>
        </w:rPr>
        <w:t>נוכח פסקי הדין שפורטו והנסיבות החמורות של אירוע</w:t>
      </w:r>
      <w:r w:rsidR="00366ED4">
        <w:rPr>
          <w:rFonts w:ascii="Arial" w:hAnsi="Arial" w:cs="Arial" w:hint="cs"/>
          <w:rtl/>
        </w:rPr>
        <w:t xml:space="preserve"> הדקירה</w:t>
      </w:r>
      <w:r w:rsidRPr="00AA23A8">
        <w:rPr>
          <w:rFonts w:ascii="Arial" w:hAnsi="Arial" w:cs="Arial"/>
          <w:rtl/>
        </w:rPr>
        <w:t xml:space="preserve">, הרי שיש לקבוע </w:t>
      </w:r>
      <w:r w:rsidR="00EA0D0E" w:rsidRPr="00AA23A8">
        <w:rPr>
          <w:rFonts w:ascii="Arial" w:hAnsi="Arial" w:cs="Arial"/>
          <w:rtl/>
        </w:rPr>
        <w:t>בגין הרשעתו של הנאשם בעבירה של ניסיון לרצח הקשורה באירוע זה</w:t>
      </w:r>
      <w:r w:rsidR="00EA0D0E">
        <w:rPr>
          <w:rFonts w:ascii="Arial" w:hAnsi="Arial" w:cs="Arial" w:hint="cs"/>
          <w:rtl/>
        </w:rPr>
        <w:t xml:space="preserve">, </w:t>
      </w:r>
      <w:r w:rsidR="008263DA">
        <w:rPr>
          <w:rFonts w:ascii="Arial" w:hAnsi="Arial" w:cs="Arial" w:hint="cs"/>
          <w:rtl/>
        </w:rPr>
        <w:t xml:space="preserve">והעבירות הנגזרות והטפלות לו, </w:t>
      </w:r>
      <w:r w:rsidRPr="00AA23A8">
        <w:rPr>
          <w:rFonts w:ascii="Arial" w:hAnsi="Arial" w:cs="Arial"/>
          <w:rtl/>
        </w:rPr>
        <w:t>מתחם ענישה</w:t>
      </w:r>
      <w:r w:rsidR="008263DA">
        <w:rPr>
          <w:rFonts w:ascii="Arial" w:hAnsi="Arial" w:cs="Arial" w:hint="cs"/>
          <w:rtl/>
        </w:rPr>
        <w:t xml:space="preserve"> כולל</w:t>
      </w:r>
      <w:r w:rsidRPr="00AA23A8">
        <w:rPr>
          <w:rFonts w:ascii="Arial" w:hAnsi="Arial" w:cs="Arial"/>
          <w:rtl/>
        </w:rPr>
        <w:t xml:space="preserve"> שבין </w:t>
      </w:r>
      <w:r w:rsidR="00A713EA">
        <w:rPr>
          <w:rFonts w:ascii="Arial" w:hAnsi="Arial" w:cs="Arial" w:hint="cs"/>
          <w:rtl/>
        </w:rPr>
        <w:t>10</w:t>
      </w:r>
      <w:r w:rsidR="00EA0D0E">
        <w:rPr>
          <w:rFonts w:ascii="Arial" w:hAnsi="Arial" w:cs="Arial"/>
          <w:rtl/>
        </w:rPr>
        <w:t xml:space="preserve"> ל-</w:t>
      </w:r>
      <w:r w:rsidR="00A713EA">
        <w:rPr>
          <w:rFonts w:ascii="Arial" w:hAnsi="Arial" w:cs="Arial" w:hint="cs"/>
          <w:rtl/>
        </w:rPr>
        <w:t xml:space="preserve"> 15</w:t>
      </w:r>
      <w:r w:rsidR="00EA0D0E">
        <w:rPr>
          <w:rFonts w:ascii="Arial" w:hAnsi="Arial" w:cs="Arial" w:hint="cs"/>
          <w:rtl/>
        </w:rPr>
        <w:t xml:space="preserve"> </w:t>
      </w:r>
      <w:r w:rsidRPr="00AA23A8">
        <w:rPr>
          <w:rFonts w:ascii="Arial" w:hAnsi="Arial" w:cs="Arial"/>
          <w:rtl/>
        </w:rPr>
        <w:t>שנות מאסר</w:t>
      </w:r>
      <w:r w:rsidR="00EA0D0E">
        <w:rPr>
          <w:rFonts w:ascii="Arial" w:hAnsi="Arial" w:cs="Arial" w:hint="cs"/>
          <w:rtl/>
        </w:rPr>
        <w:t>.</w:t>
      </w:r>
      <w:r w:rsidR="008263DA">
        <w:rPr>
          <w:rFonts w:ascii="Arial" w:hAnsi="Arial" w:cs="Arial" w:hint="cs"/>
          <w:rtl/>
        </w:rPr>
        <w:t xml:space="preserve"> </w:t>
      </w:r>
    </w:p>
    <w:p w14:paraId="66594F64" w14:textId="77777777" w:rsidR="00AA23A8" w:rsidRPr="00AA23A8" w:rsidRDefault="00AA23A8" w:rsidP="00AA23A8">
      <w:pPr>
        <w:spacing w:line="360" w:lineRule="auto"/>
        <w:jc w:val="both"/>
        <w:rPr>
          <w:rFonts w:ascii="Arial" w:hAnsi="Arial" w:cs="Arial"/>
          <w:rtl/>
        </w:rPr>
      </w:pPr>
    </w:p>
    <w:p w14:paraId="0B478AF8" w14:textId="77777777" w:rsidR="00AA23A8" w:rsidRPr="00AA23A8" w:rsidRDefault="00A713EA" w:rsidP="003358C2">
      <w:pPr>
        <w:spacing w:line="360" w:lineRule="auto"/>
        <w:jc w:val="both"/>
        <w:rPr>
          <w:rFonts w:ascii="Arial" w:hAnsi="Arial" w:cs="Arial"/>
          <w:rtl/>
        </w:rPr>
      </w:pPr>
      <w:r>
        <w:rPr>
          <w:rFonts w:ascii="Arial" w:hAnsi="Arial" w:cs="Arial"/>
          <w:rtl/>
        </w:rPr>
        <w:t>בבוא</w:t>
      </w:r>
      <w:r w:rsidR="00AA23A8" w:rsidRPr="00AA23A8">
        <w:rPr>
          <w:rFonts w:ascii="Arial" w:hAnsi="Arial" w:cs="Arial"/>
          <w:rtl/>
        </w:rPr>
        <w:t>נו לגזור עונשו של הנאשם במסגרת מתחמי הענישה שנקבעו, נותנים אנו את דעתנו, לכך שאירוע הנחת המטען הסתיים ללא פגיעה בנפש. גם אירוע הדקירה</w:t>
      </w:r>
      <w:r>
        <w:rPr>
          <w:rFonts w:ascii="Arial" w:hAnsi="Arial" w:cs="Arial"/>
          <w:rtl/>
        </w:rPr>
        <w:t>, לא הסתיים למרבית המזל, בפציע</w:t>
      </w:r>
      <w:r>
        <w:rPr>
          <w:rFonts w:ascii="Arial" w:hAnsi="Arial" w:cs="Arial" w:hint="cs"/>
          <w:rtl/>
        </w:rPr>
        <w:t>ה קשה,</w:t>
      </w:r>
      <w:r w:rsidR="00366ED4">
        <w:rPr>
          <w:rFonts w:ascii="Arial" w:hAnsi="Arial" w:cs="Arial" w:hint="cs"/>
          <w:rtl/>
        </w:rPr>
        <w:t xml:space="preserve"> </w:t>
      </w:r>
      <w:r w:rsidR="00AA23A8" w:rsidRPr="00AA23A8">
        <w:rPr>
          <w:rFonts w:ascii="Arial" w:hAnsi="Arial" w:cs="Arial"/>
          <w:rtl/>
        </w:rPr>
        <w:t xml:space="preserve">הגם שאין להקל ראש בפגיעה הפיזית </w:t>
      </w:r>
      <w:r w:rsidR="003358C2">
        <w:rPr>
          <w:rFonts w:ascii="Arial" w:hAnsi="Arial" w:cs="Arial" w:hint="cs"/>
          <w:rtl/>
        </w:rPr>
        <w:t xml:space="preserve">והנפשית </w:t>
      </w:r>
      <w:r w:rsidR="003358C2">
        <w:rPr>
          <w:rFonts w:ascii="Arial" w:hAnsi="Arial" w:cs="Arial"/>
          <w:rtl/>
        </w:rPr>
        <w:t>שנגרמה</w:t>
      </w:r>
      <w:r w:rsidR="003358C2">
        <w:rPr>
          <w:rFonts w:ascii="Arial" w:hAnsi="Arial" w:cs="Arial" w:hint="cs"/>
          <w:rtl/>
        </w:rPr>
        <w:t xml:space="preserve"> לקורבן הדקירה, </w:t>
      </w:r>
      <w:r w:rsidR="00AA23A8" w:rsidRPr="00AA23A8">
        <w:rPr>
          <w:rFonts w:ascii="Arial" w:hAnsi="Arial" w:cs="Arial"/>
          <w:rtl/>
        </w:rPr>
        <w:t xml:space="preserve">כמתואר. </w:t>
      </w:r>
    </w:p>
    <w:p w14:paraId="52AB0530" w14:textId="77777777" w:rsidR="00AA23A8" w:rsidRPr="00AA23A8" w:rsidRDefault="00AA23A8" w:rsidP="003358C2">
      <w:pPr>
        <w:spacing w:line="360" w:lineRule="auto"/>
        <w:jc w:val="both"/>
        <w:rPr>
          <w:rFonts w:ascii="Arial" w:hAnsi="Arial" w:cs="Arial"/>
          <w:rtl/>
        </w:rPr>
      </w:pPr>
      <w:r w:rsidRPr="00AA23A8">
        <w:rPr>
          <w:rFonts w:ascii="Arial" w:hAnsi="Arial" w:cs="Arial"/>
          <w:rtl/>
        </w:rPr>
        <w:t xml:space="preserve">עוד יש ליתן הדעת להודאתו של הנאשם במעשים, </w:t>
      </w:r>
      <w:r w:rsidR="00A713EA">
        <w:rPr>
          <w:rFonts w:ascii="Arial" w:hAnsi="Arial" w:cs="Arial" w:hint="cs"/>
          <w:rtl/>
        </w:rPr>
        <w:t xml:space="preserve">לגילו הצעיר בעת ביצוע העבירות שבאירוע הראשון, </w:t>
      </w:r>
      <w:r w:rsidRPr="00AA23A8">
        <w:rPr>
          <w:rFonts w:ascii="Arial" w:hAnsi="Arial" w:cs="Arial"/>
          <w:rtl/>
        </w:rPr>
        <w:t>ולכך שהיה נכון לפצות את המתלונן, אולם הדבר לא הסתייע בידיו, בשלב זה, בשל חס</w:t>
      </w:r>
      <w:r w:rsidR="00A713EA">
        <w:rPr>
          <w:rFonts w:ascii="Arial" w:hAnsi="Arial" w:cs="Arial"/>
          <w:rtl/>
        </w:rPr>
        <w:t xml:space="preserve">רון כיס. </w:t>
      </w:r>
      <w:r w:rsidRPr="00AA23A8">
        <w:rPr>
          <w:rFonts w:ascii="Arial" w:hAnsi="Arial" w:cs="Arial"/>
          <w:rtl/>
        </w:rPr>
        <w:t>נציין בהקשר זה, כי חרף העובדה כי הסדר הטיעון לא עלה יפה, בשל אי העברת כספי הפיצוי עד עתה, לא חזר בו הנאשם מהודאתו.</w:t>
      </w:r>
    </w:p>
    <w:p w14:paraId="05F2EC04" w14:textId="77777777" w:rsidR="00AA23A8" w:rsidRPr="00AA23A8" w:rsidRDefault="00AA23A8" w:rsidP="00AA23A8">
      <w:pPr>
        <w:spacing w:line="360" w:lineRule="auto"/>
        <w:jc w:val="both"/>
        <w:rPr>
          <w:rFonts w:ascii="Arial" w:hAnsi="Arial" w:cs="Arial"/>
          <w:rtl/>
        </w:rPr>
      </w:pPr>
    </w:p>
    <w:p w14:paraId="5355064E" w14:textId="77777777" w:rsidR="00AA23A8" w:rsidRPr="00AA23A8" w:rsidRDefault="00A713EA" w:rsidP="00A713EA">
      <w:pPr>
        <w:spacing w:line="360" w:lineRule="auto"/>
        <w:jc w:val="both"/>
        <w:rPr>
          <w:rFonts w:ascii="Arial" w:hAnsi="Arial" w:cs="Arial"/>
          <w:rtl/>
        </w:rPr>
      </w:pPr>
      <w:r>
        <w:rPr>
          <w:rFonts w:ascii="Arial" w:hAnsi="Arial" w:cs="Arial"/>
          <w:rtl/>
        </w:rPr>
        <w:t>נוכח האמור</w:t>
      </w:r>
      <w:r>
        <w:rPr>
          <w:rFonts w:ascii="Arial" w:hAnsi="Arial" w:cs="Arial" w:hint="cs"/>
          <w:rtl/>
        </w:rPr>
        <w:t xml:space="preserve"> מטילים אנו על הנאשם, בגין שני האירועים בהם הורשע, עונש כולל של 19 שנות מאסר לריצוי בפועל, </w:t>
      </w:r>
      <w:r w:rsidR="00AA23A8" w:rsidRPr="00AA23A8">
        <w:rPr>
          <w:rFonts w:ascii="Arial" w:hAnsi="Arial" w:cs="Arial"/>
          <w:rtl/>
        </w:rPr>
        <w:t>שמניינן מיום מעצרו 24.11.2012.</w:t>
      </w:r>
    </w:p>
    <w:p w14:paraId="7FDFC8A8" w14:textId="77777777" w:rsidR="00AA23A8" w:rsidRPr="00AA23A8" w:rsidRDefault="00AA23A8" w:rsidP="00AA23A8">
      <w:pPr>
        <w:spacing w:line="360" w:lineRule="auto"/>
        <w:jc w:val="both"/>
        <w:rPr>
          <w:rFonts w:ascii="Arial" w:hAnsi="Arial" w:cs="Arial"/>
          <w:rtl/>
        </w:rPr>
      </w:pPr>
    </w:p>
    <w:p w14:paraId="4721CB91" w14:textId="77777777" w:rsidR="00AA23A8" w:rsidRPr="00AA23A8" w:rsidRDefault="00AA23A8" w:rsidP="00AA23A8">
      <w:pPr>
        <w:spacing w:line="360" w:lineRule="auto"/>
        <w:jc w:val="both"/>
        <w:rPr>
          <w:rFonts w:ascii="Arial" w:hAnsi="Arial" w:cs="Arial"/>
          <w:rtl/>
        </w:rPr>
      </w:pPr>
      <w:r w:rsidRPr="00AA23A8">
        <w:rPr>
          <w:rFonts w:ascii="Arial" w:hAnsi="Arial" w:cs="Arial"/>
          <w:rtl/>
        </w:rPr>
        <w:t xml:space="preserve">בנוסף מטילים אנו על הנאשם 18 חדשי מאסר מותנים למשך שלוש שנים, </w:t>
      </w:r>
      <w:r w:rsidR="00366ED4">
        <w:rPr>
          <w:rFonts w:ascii="Arial" w:hAnsi="Arial" w:cs="Arial" w:hint="cs"/>
          <w:rtl/>
        </w:rPr>
        <w:t xml:space="preserve">שיימנו </w:t>
      </w:r>
      <w:r w:rsidRPr="00AA23A8">
        <w:rPr>
          <w:rFonts w:ascii="Arial" w:hAnsi="Arial" w:cs="Arial"/>
          <w:rtl/>
        </w:rPr>
        <w:t xml:space="preserve">מתום מאסרו, שלא יעבור אחת העבירות בהן הורשע, ככל שהינה עבירת פשע. </w:t>
      </w:r>
    </w:p>
    <w:p w14:paraId="768B614C" w14:textId="77777777" w:rsidR="00AA23A8" w:rsidRPr="00AA23A8" w:rsidRDefault="00AA23A8" w:rsidP="00AA23A8">
      <w:pPr>
        <w:spacing w:line="360" w:lineRule="auto"/>
        <w:jc w:val="both"/>
        <w:rPr>
          <w:rFonts w:ascii="Arial" w:hAnsi="Arial" w:cs="Arial"/>
          <w:rtl/>
        </w:rPr>
      </w:pPr>
    </w:p>
    <w:p w14:paraId="5C20A8D4" w14:textId="77777777" w:rsidR="00AA23A8" w:rsidRDefault="00AA23A8" w:rsidP="00AA23A8">
      <w:pPr>
        <w:spacing w:line="360" w:lineRule="auto"/>
        <w:jc w:val="both"/>
        <w:rPr>
          <w:rFonts w:ascii="Arial" w:hAnsi="Arial" w:cs="Arial"/>
          <w:rtl/>
        </w:rPr>
      </w:pPr>
      <w:r w:rsidRPr="00AA23A8">
        <w:rPr>
          <w:rFonts w:ascii="Arial" w:hAnsi="Arial" w:cs="Arial"/>
          <w:rtl/>
        </w:rPr>
        <w:t>הנאשם יפצה את המתלונן בסכום של 20,000 ₪, שישולמו ב</w:t>
      </w:r>
      <w:r w:rsidR="00EA0D0E">
        <w:rPr>
          <w:rFonts w:ascii="Arial" w:hAnsi="Arial" w:cs="Arial"/>
          <w:rtl/>
        </w:rPr>
        <w:t>תשלומים חדשיים שווים של 1500₪,</w:t>
      </w:r>
      <w:r w:rsidR="00EA0D0E">
        <w:rPr>
          <w:rFonts w:ascii="Arial" w:hAnsi="Arial" w:cs="Arial" w:hint="cs"/>
          <w:rtl/>
        </w:rPr>
        <w:t xml:space="preserve"> </w:t>
      </w:r>
      <w:r w:rsidRPr="00AA23A8">
        <w:rPr>
          <w:rFonts w:ascii="Arial" w:hAnsi="Arial" w:cs="Arial"/>
          <w:rtl/>
        </w:rPr>
        <w:t xml:space="preserve">החל מיום 1.12.2014. </w:t>
      </w:r>
    </w:p>
    <w:p w14:paraId="6BF9AF8B" w14:textId="77777777" w:rsidR="00943F01" w:rsidRDefault="00943F01" w:rsidP="00AA23A8">
      <w:pPr>
        <w:spacing w:line="360" w:lineRule="auto"/>
        <w:jc w:val="both"/>
        <w:rPr>
          <w:rFonts w:ascii="Arial" w:hAnsi="Arial" w:cs="Arial"/>
          <w:rtl/>
        </w:rPr>
      </w:pPr>
    </w:p>
    <w:p w14:paraId="64D0623A" w14:textId="77777777" w:rsidR="00943F01" w:rsidRDefault="00943F01" w:rsidP="00C64F55">
      <w:pPr>
        <w:spacing w:line="360" w:lineRule="auto"/>
        <w:jc w:val="both"/>
        <w:rPr>
          <w:rFonts w:ascii="Arial" w:hAnsi="Arial" w:cs="Arial"/>
          <w:b/>
          <w:bCs/>
          <w:u w:val="single"/>
          <w:rtl/>
        </w:rPr>
      </w:pPr>
      <w:r w:rsidRPr="00943F01">
        <w:rPr>
          <w:rFonts w:ascii="Arial" w:hAnsi="Arial" w:cs="Arial" w:hint="cs"/>
          <w:b/>
          <w:bCs/>
          <w:u w:val="single"/>
          <w:rtl/>
        </w:rPr>
        <w:t>זכות ערעור</w:t>
      </w:r>
      <w:r w:rsidR="002E3B65">
        <w:rPr>
          <w:rFonts w:ascii="Arial" w:hAnsi="Arial" w:cs="Arial" w:hint="cs"/>
          <w:b/>
          <w:bCs/>
          <w:u w:val="single"/>
          <w:rtl/>
        </w:rPr>
        <w:t xml:space="preserve"> </w:t>
      </w:r>
      <w:r w:rsidRPr="00943F01">
        <w:rPr>
          <w:rFonts w:ascii="Arial" w:hAnsi="Arial" w:cs="Arial" w:hint="cs"/>
          <w:b/>
          <w:bCs/>
          <w:u w:val="single"/>
          <w:rtl/>
        </w:rPr>
        <w:t xml:space="preserve">תוך 45 יום מהיום. </w:t>
      </w:r>
    </w:p>
    <w:p w14:paraId="2955394B" w14:textId="77777777" w:rsidR="00211F53" w:rsidRDefault="00211F53" w:rsidP="00C64F55">
      <w:pPr>
        <w:spacing w:line="360" w:lineRule="auto"/>
        <w:jc w:val="both"/>
        <w:rPr>
          <w:rFonts w:ascii="Arial" w:hAnsi="Arial" w:cs="Arial"/>
          <w:b/>
          <w:bCs/>
          <w:u w:val="single"/>
          <w:rtl/>
        </w:rPr>
      </w:pPr>
    </w:p>
    <w:p w14:paraId="4583AD24" w14:textId="77777777" w:rsidR="00211F53" w:rsidRPr="00943F01" w:rsidRDefault="00211F53" w:rsidP="002429A7">
      <w:pPr>
        <w:suppressLineNumbers/>
        <w:spacing w:line="360" w:lineRule="auto"/>
        <w:jc w:val="both"/>
        <w:rPr>
          <w:rFonts w:ascii="Arial" w:hAnsi="Arial" w:cs="Arial"/>
          <w:b/>
          <w:bCs/>
          <w:u w:val="single"/>
          <w:rtl/>
        </w:rPr>
      </w:pPr>
    </w:p>
    <w:p w14:paraId="67960F13" w14:textId="77777777" w:rsidR="00507694" w:rsidRPr="00AA23A8" w:rsidRDefault="00507694">
      <w:pPr>
        <w:rPr>
          <w:rFonts w:ascii="Arial" w:hAnsi="Arial" w:cs="Arial"/>
          <w:b/>
          <w:bCs/>
          <w:rtl/>
        </w:rPr>
      </w:pPr>
    </w:p>
    <w:p w14:paraId="02CD334F" w14:textId="77777777" w:rsidR="00943F01" w:rsidRDefault="00113419" w:rsidP="00AA23A8">
      <w:pPr>
        <w:spacing w:line="360" w:lineRule="auto"/>
        <w:jc w:val="both"/>
        <w:rPr>
          <w:rFonts w:ascii="Arial" w:hAnsi="Arial" w:cs="Arial"/>
          <w:b/>
          <w:bCs/>
          <w:rtl/>
        </w:rPr>
      </w:pPr>
      <w:r>
        <w:rPr>
          <w:rFonts w:ascii="Arial" w:hAnsi="Arial" w:cs="Arial"/>
          <w:b/>
          <w:bCs/>
          <w:rtl/>
        </w:rPr>
        <w:t xml:space="preserve">ניתן היום,  י"ז חשון תשע"ה (10 נובמבר 2014), במעמד הצדדים והנאשם. </w:t>
      </w:r>
    </w:p>
    <w:p w14:paraId="1536044A" w14:textId="77777777" w:rsidR="0001519B" w:rsidRDefault="0001519B">
      <w:pPr>
        <w:rPr>
          <w:rtl/>
        </w:rPr>
      </w:pPr>
    </w:p>
    <w:tbl>
      <w:tblPr>
        <w:bidiVisual/>
        <w:tblW w:w="0" w:type="auto"/>
        <w:tblLook w:val="01E0" w:firstRow="1" w:lastRow="1" w:firstColumn="1" w:lastColumn="1" w:noHBand="0" w:noVBand="0"/>
      </w:tblPr>
      <w:tblGrid>
        <w:gridCol w:w="2654"/>
        <w:gridCol w:w="236"/>
        <w:gridCol w:w="2104"/>
        <w:gridCol w:w="236"/>
        <w:gridCol w:w="2464"/>
      </w:tblGrid>
      <w:tr w:rsidR="0001519B" w14:paraId="38D3E9A7" w14:textId="77777777">
        <w:tc>
          <w:tcPr>
            <w:tcW w:w="2654" w:type="dxa"/>
            <w:tcBorders>
              <w:top w:val="nil"/>
              <w:left w:val="nil"/>
              <w:bottom w:val="single" w:sz="4" w:space="0" w:color="auto"/>
              <w:right w:val="nil"/>
            </w:tcBorders>
            <w:shd w:val="clear" w:color="auto" w:fill="auto"/>
            <w:vAlign w:val="center"/>
          </w:tcPr>
          <w:p w14:paraId="544F5344" w14:textId="77777777" w:rsidR="0001519B" w:rsidRPr="00533066" w:rsidRDefault="0001519B" w:rsidP="00533066">
            <w:pPr>
              <w:jc w:val="center"/>
              <w:rPr>
                <w:rFonts w:ascii="Courier New" w:hAnsi="Courier New"/>
                <w:b/>
                <w:bCs/>
              </w:rPr>
            </w:pPr>
          </w:p>
        </w:tc>
        <w:tc>
          <w:tcPr>
            <w:tcW w:w="236" w:type="dxa"/>
            <w:shd w:val="clear" w:color="auto" w:fill="auto"/>
            <w:vAlign w:val="center"/>
          </w:tcPr>
          <w:p w14:paraId="023A3405" w14:textId="77777777" w:rsidR="0001519B" w:rsidRPr="00533066" w:rsidRDefault="0001519B" w:rsidP="00533066">
            <w:pPr>
              <w:jc w:val="center"/>
              <w:rPr>
                <w:rFonts w:ascii="Courier New" w:hAnsi="Courier New"/>
                <w:b/>
                <w:bCs/>
              </w:rPr>
            </w:pPr>
          </w:p>
        </w:tc>
        <w:tc>
          <w:tcPr>
            <w:tcW w:w="2104" w:type="dxa"/>
            <w:tcBorders>
              <w:top w:val="nil"/>
              <w:left w:val="nil"/>
              <w:bottom w:val="single" w:sz="4" w:space="0" w:color="auto"/>
              <w:right w:val="nil"/>
            </w:tcBorders>
            <w:shd w:val="clear" w:color="auto" w:fill="auto"/>
            <w:vAlign w:val="center"/>
          </w:tcPr>
          <w:p w14:paraId="0DEA4EE7" w14:textId="77777777" w:rsidR="0001519B" w:rsidRPr="00533066" w:rsidRDefault="0001519B" w:rsidP="00533066">
            <w:pPr>
              <w:jc w:val="center"/>
              <w:rPr>
                <w:rFonts w:ascii="Courier New" w:hAnsi="Courier New"/>
                <w:b/>
                <w:bCs/>
                <w:sz w:val="20"/>
                <w:szCs w:val="20"/>
              </w:rPr>
            </w:pPr>
          </w:p>
        </w:tc>
        <w:tc>
          <w:tcPr>
            <w:tcW w:w="236" w:type="dxa"/>
            <w:shd w:val="clear" w:color="auto" w:fill="auto"/>
            <w:vAlign w:val="center"/>
          </w:tcPr>
          <w:p w14:paraId="70E1B867" w14:textId="77777777" w:rsidR="0001519B" w:rsidRPr="00533066" w:rsidRDefault="0001519B" w:rsidP="00533066">
            <w:pPr>
              <w:jc w:val="center"/>
              <w:rPr>
                <w:rFonts w:ascii="Courier New" w:hAnsi="Courier New"/>
                <w:b/>
                <w:bCs/>
              </w:rPr>
            </w:pPr>
          </w:p>
        </w:tc>
        <w:tc>
          <w:tcPr>
            <w:tcW w:w="2464" w:type="dxa"/>
            <w:tcBorders>
              <w:top w:val="nil"/>
              <w:left w:val="nil"/>
              <w:bottom w:val="single" w:sz="4" w:space="0" w:color="auto"/>
              <w:right w:val="nil"/>
            </w:tcBorders>
            <w:shd w:val="clear" w:color="auto" w:fill="auto"/>
            <w:vAlign w:val="center"/>
          </w:tcPr>
          <w:p w14:paraId="1E6C3903" w14:textId="77777777" w:rsidR="0001519B" w:rsidRPr="00533066" w:rsidRDefault="0001519B" w:rsidP="00533066">
            <w:pPr>
              <w:jc w:val="center"/>
              <w:rPr>
                <w:rFonts w:ascii="Courier New" w:hAnsi="Courier New"/>
                <w:b/>
                <w:bCs/>
                <w:sz w:val="20"/>
                <w:szCs w:val="20"/>
              </w:rPr>
            </w:pPr>
          </w:p>
        </w:tc>
      </w:tr>
      <w:tr w:rsidR="0001519B" w14:paraId="11B8C864" w14:textId="77777777">
        <w:tc>
          <w:tcPr>
            <w:tcW w:w="2654" w:type="dxa"/>
            <w:tcBorders>
              <w:top w:val="single" w:sz="4" w:space="0" w:color="auto"/>
              <w:left w:val="nil"/>
              <w:bottom w:val="nil"/>
              <w:right w:val="nil"/>
            </w:tcBorders>
            <w:shd w:val="clear" w:color="auto" w:fill="auto"/>
            <w:vAlign w:val="bottom"/>
          </w:tcPr>
          <w:p w14:paraId="34B78309" w14:textId="77777777" w:rsidR="0001519B" w:rsidRDefault="0001519B" w:rsidP="00533066">
            <w:pPr>
              <w:jc w:val="center"/>
            </w:pPr>
            <w:r w:rsidRPr="00533066">
              <w:rPr>
                <w:rFonts w:ascii="Arial" w:hAnsi="Arial" w:cs="Arial"/>
                <w:b/>
                <w:bCs/>
                <w:rtl/>
              </w:rPr>
              <w:t>ס.הנשיא, ר</w:t>
            </w:r>
            <w:r w:rsidRPr="00533066">
              <w:rPr>
                <w:rFonts w:ascii="Arial" w:hAnsi="Arial" w:cs="Arial" w:hint="cs"/>
                <w:b/>
                <w:bCs/>
                <w:rtl/>
              </w:rPr>
              <w:t xml:space="preserve">ויטל </w:t>
            </w:r>
            <w:r w:rsidRPr="00533066">
              <w:rPr>
                <w:rFonts w:ascii="Arial" w:hAnsi="Arial" w:cs="Arial"/>
                <w:b/>
                <w:bCs/>
                <w:rtl/>
              </w:rPr>
              <w:t>יפה-כ"ץ</w:t>
            </w:r>
          </w:p>
          <w:p w14:paraId="7F2AC22A" w14:textId="77777777" w:rsidR="0001519B" w:rsidRDefault="0001519B" w:rsidP="00533066">
            <w:pPr>
              <w:jc w:val="center"/>
              <w:rPr>
                <w:rtl/>
              </w:rPr>
            </w:pPr>
            <w:r w:rsidRPr="00533066">
              <w:rPr>
                <w:rFonts w:ascii="Arial" w:hAnsi="Arial" w:cs="Arial"/>
                <w:b/>
                <w:bCs/>
                <w:rtl/>
              </w:rPr>
              <w:t>אב"ד</w:t>
            </w:r>
          </w:p>
          <w:p w14:paraId="2667B38E" w14:textId="77777777" w:rsidR="0001519B" w:rsidRPr="00533066" w:rsidRDefault="0001519B" w:rsidP="00533066">
            <w:pPr>
              <w:jc w:val="center"/>
              <w:rPr>
                <w:rFonts w:ascii="Courier New" w:hAnsi="Courier New"/>
                <w:b/>
                <w:bCs/>
              </w:rPr>
            </w:pPr>
          </w:p>
        </w:tc>
        <w:tc>
          <w:tcPr>
            <w:tcW w:w="236" w:type="dxa"/>
            <w:shd w:val="clear" w:color="auto" w:fill="auto"/>
            <w:vAlign w:val="bottom"/>
          </w:tcPr>
          <w:p w14:paraId="73601072" w14:textId="77777777" w:rsidR="0001519B" w:rsidRPr="00533066" w:rsidRDefault="0001519B" w:rsidP="00533066">
            <w:pPr>
              <w:jc w:val="center"/>
              <w:rPr>
                <w:rFonts w:ascii="Courier New" w:hAnsi="Courier New"/>
                <w:b/>
                <w:bCs/>
              </w:rPr>
            </w:pPr>
          </w:p>
        </w:tc>
        <w:tc>
          <w:tcPr>
            <w:tcW w:w="2104" w:type="dxa"/>
            <w:tcBorders>
              <w:top w:val="single" w:sz="4" w:space="0" w:color="auto"/>
              <w:left w:val="nil"/>
              <w:bottom w:val="nil"/>
              <w:right w:val="nil"/>
            </w:tcBorders>
            <w:shd w:val="clear" w:color="auto" w:fill="auto"/>
          </w:tcPr>
          <w:p w14:paraId="4763D8A7" w14:textId="77777777" w:rsidR="0001519B" w:rsidRPr="00533066" w:rsidRDefault="0001519B" w:rsidP="00533066">
            <w:pPr>
              <w:jc w:val="center"/>
              <w:rPr>
                <w:rFonts w:ascii="Arial" w:hAnsi="Arial" w:cs="Arial"/>
                <w:b/>
                <w:bCs/>
              </w:rPr>
            </w:pPr>
            <w:r w:rsidRPr="00533066">
              <w:rPr>
                <w:rFonts w:ascii="Arial" w:hAnsi="Arial" w:cs="Arial"/>
                <w:b/>
                <w:bCs/>
                <w:rtl/>
              </w:rPr>
              <w:t>אריאל ואגו, שופט</w:t>
            </w:r>
          </w:p>
        </w:tc>
        <w:tc>
          <w:tcPr>
            <w:tcW w:w="236" w:type="dxa"/>
            <w:shd w:val="clear" w:color="auto" w:fill="auto"/>
          </w:tcPr>
          <w:p w14:paraId="5C7B6698" w14:textId="77777777" w:rsidR="0001519B" w:rsidRPr="00533066" w:rsidRDefault="0001519B" w:rsidP="00533066">
            <w:pPr>
              <w:jc w:val="center"/>
              <w:rPr>
                <w:rFonts w:ascii="Arial" w:hAnsi="Arial" w:cs="Arial"/>
                <w:b/>
                <w:bCs/>
              </w:rPr>
            </w:pPr>
          </w:p>
        </w:tc>
        <w:tc>
          <w:tcPr>
            <w:tcW w:w="2464" w:type="dxa"/>
            <w:tcBorders>
              <w:top w:val="single" w:sz="4" w:space="0" w:color="auto"/>
              <w:left w:val="nil"/>
              <w:bottom w:val="nil"/>
              <w:right w:val="nil"/>
            </w:tcBorders>
            <w:shd w:val="clear" w:color="auto" w:fill="auto"/>
          </w:tcPr>
          <w:p w14:paraId="051BAC97" w14:textId="77777777" w:rsidR="0001519B" w:rsidRPr="00533066" w:rsidRDefault="0001519B" w:rsidP="00533066">
            <w:pPr>
              <w:jc w:val="center"/>
              <w:rPr>
                <w:rFonts w:ascii="Arial" w:hAnsi="Arial" w:cs="Arial"/>
                <w:b/>
                <w:bCs/>
              </w:rPr>
            </w:pPr>
            <w:r w:rsidRPr="00533066">
              <w:rPr>
                <w:rFonts w:ascii="Arial" w:hAnsi="Arial" w:cs="Arial"/>
                <w:b/>
                <w:bCs/>
                <w:rtl/>
              </w:rPr>
              <w:t>יורם צלקובניק, שופט</w:t>
            </w:r>
          </w:p>
        </w:tc>
      </w:tr>
    </w:tbl>
    <w:p w14:paraId="78EC6C42" w14:textId="77777777" w:rsidR="0001519B" w:rsidRDefault="0001519B"/>
    <w:p w14:paraId="21020834" w14:textId="77777777" w:rsidR="00943F01" w:rsidRDefault="00943F01" w:rsidP="00AA23A8">
      <w:pPr>
        <w:spacing w:line="360" w:lineRule="auto"/>
        <w:jc w:val="both"/>
        <w:rPr>
          <w:rFonts w:ascii="Arial" w:hAnsi="Arial" w:cs="Arial"/>
          <w:b/>
          <w:bCs/>
          <w:rtl/>
        </w:rPr>
      </w:pPr>
    </w:p>
    <w:p w14:paraId="66017FD7" w14:textId="77777777" w:rsidR="00507694" w:rsidRPr="00AA23A8" w:rsidRDefault="00507694">
      <w:pPr>
        <w:rPr>
          <w:rFonts w:ascii="Arial" w:hAnsi="Arial" w:cs="Arial"/>
          <w:b/>
          <w:bCs/>
          <w:rtl/>
        </w:rPr>
      </w:pPr>
    </w:p>
    <w:p w14:paraId="629249D9" w14:textId="77777777" w:rsidR="00113419" w:rsidRPr="00113419" w:rsidRDefault="00113419" w:rsidP="00113419">
      <w:pPr>
        <w:pStyle w:val="a3"/>
        <w:keepNext/>
        <w:rPr>
          <w:rFonts w:ascii="David" w:hAnsi="David"/>
          <w:color w:val="000000"/>
          <w:sz w:val="22"/>
          <w:szCs w:val="22"/>
          <w:rtl/>
        </w:rPr>
      </w:pPr>
    </w:p>
    <w:p w14:paraId="2127F582" w14:textId="77777777" w:rsidR="00113419" w:rsidRPr="00113419" w:rsidRDefault="00113419" w:rsidP="00113419">
      <w:pPr>
        <w:pStyle w:val="a3"/>
        <w:keepNext/>
        <w:rPr>
          <w:rFonts w:ascii="David" w:hAnsi="David"/>
          <w:color w:val="000000"/>
          <w:sz w:val="22"/>
          <w:szCs w:val="22"/>
          <w:rtl/>
        </w:rPr>
      </w:pPr>
      <w:r w:rsidRPr="00113419">
        <w:rPr>
          <w:rFonts w:ascii="David" w:hAnsi="David"/>
          <w:color w:val="000000"/>
          <w:sz w:val="22"/>
          <w:szCs w:val="22"/>
          <w:rtl/>
        </w:rPr>
        <w:t>ס. ר. יפה כ"ץ 54678313</w:t>
      </w:r>
    </w:p>
    <w:p w14:paraId="15023061" w14:textId="77777777" w:rsidR="00113419" w:rsidRDefault="00113419" w:rsidP="00113419">
      <w:pPr>
        <w:pStyle w:val="a3"/>
        <w:rPr>
          <w:rFonts w:ascii="Arial" w:hAnsi="Arial" w:cs="Arial"/>
          <w:b/>
          <w:bCs/>
          <w:rtl/>
        </w:rPr>
      </w:pPr>
      <w:r w:rsidRPr="00113419">
        <w:rPr>
          <w:rFonts w:ascii="Arial" w:hAnsi="Arial" w:cs="Arial"/>
          <w:b/>
          <w:bCs/>
          <w:color w:val="000000"/>
          <w:rtl/>
        </w:rPr>
        <w:t>נוסח מסמך זה כפוף לשינויי ניסוח ועריכה</w:t>
      </w:r>
    </w:p>
    <w:p w14:paraId="1006BCE7" w14:textId="77777777" w:rsidR="00113419" w:rsidRDefault="00113419" w:rsidP="00113419">
      <w:pPr>
        <w:pStyle w:val="a3"/>
        <w:rPr>
          <w:rFonts w:ascii="Arial" w:hAnsi="Arial" w:cs="Arial"/>
          <w:b/>
          <w:bCs/>
          <w:rtl/>
        </w:rPr>
      </w:pPr>
    </w:p>
    <w:p w14:paraId="6D899E37" w14:textId="77777777" w:rsidR="00113419" w:rsidRDefault="00113419" w:rsidP="00113419">
      <w:pPr>
        <w:pStyle w:val="a3"/>
        <w:jc w:val="center"/>
        <w:rPr>
          <w:rFonts w:ascii="Arial" w:hAnsi="Arial"/>
          <w:b/>
          <w:bCs/>
          <w:color w:val="0000FF"/>
          <w:u w:val="single"/>
          <w:rtl/>
        </w:rPr>
      </w:pPr>
      <w:hyperlink r:id="rId50" w:history="1">
        <w:r>
          <w:rPr>
            <w:rFonts w:ascii="Arial" w:hAnsi="Arial"/>
            <w:b/>
            <w:bCs/>
            <w:color w:val="0000FF"/>
            <w:u w:val="single"/>
            <w:rtl/>
          </w:rPr>
          <w:t>בעניין עריכה ושינויים במסמכי פסיקה, חקיקה ועוד באתר נבו – הקש כאן</w:t>
        </w:r>
      </w:hyperlink>
    </w:p>
    <w:p w14:paraId="53879BF1" w14:textId="77777777" w:rsidR="00507694" w:rsidRPr="00113419" w:rsidRDefault="00507694" w:rsidP="00113419">
      <w:pPr>
        <w:pStyle w:val="a3"/>
        <w:jc w:val="center"/>
        <w:rPr>
          <w:rFonts w:ascii="Arial" w:hAnsi="Arial"/>
          <w:b/>
          <w:bCs/>
          <w:color w:val="0000FF"/>
          <w:u w:val="single"/>
          <w:rtl/>
        </w:rPr>
      </w:pPr>
    </w:p>
    <w:sectPr w:rsidR="00507694" w:rsidRPr="00113419" w:rsidSect="00113419">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4B27F" w14:textId="77777777" w:rsidR="00BC7EC2" w:rsidRDefault="00BC7EC2">
      <w:r>
        <w:separator/>
      </w:r>
    </w:p>
  </w:endnote>
  <w:endnote w:type="continuationSeparator" w:id="0">
    <w:p w14:paraId="07F53D8E" w14:textId="77777777" w:rsidR="00BC7EC2" w:rsidRDefault="00BC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5750F" w14:textId="77777777" w:rsidR="00474C17" w:rsidRDefault="00474C17" w:rsidP="0011341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D8852A" w14:textId="77777777" w:rsidR="00474C17" w:rsidRPr="00113419" w:rsidRDefault="00474C17" w:rsidP="00113419">
    <w:pPr>
      <w:pStyle w:val="a4"/>
      <w:pBdr>
        <w:top w:val="single" w:sz="4" w:space="1" w:color="auto"/>
        <w:between w:val="single" w:sz="4" w:space="0" w:color="auto"/>
      </w:pBdr>
      <w:spacing w:after="60"/>
      <w:jc w:val="center"/>
      <w:rPr>
        <w:rFonts w:ascii="FrankRuehl" w:hAnsi="FrankRuehl" w:cs="FrankRuehl"/>
        <w:color w:val="000000"/>
      </w:rPr>
    </w:pPr>
    <w:r w:rsidRPr="001134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3ADCE" w14:textId="77777777" w:rsidR="00474C17" w:rsidRDefault="00474C17" w:rsidP="0011341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DFB5DE" w14:textId="77777777" w:rsidR="00474C17" w:rsidRPr="00113419" w:rsidRDefault="00474C17" w:rsidP="00113419">
    <w:pPr>
      <w:pStyle w:val="a4"/>
      <w:pBdr>
        <w:top w:val="single" w:sz="4" w:space="1" w:color="auto"/>
        <w:between w:val="single" w:sz="4" w:space="0" w:color="auto"/>
      </w:pBdr>
      <w:spacing w:after="60"/>
      <w:jc w:val="center"/>
      <w:rPr>
        <w:rFonts w:ascii="FrankRuehl" w:hAnsi="FrankRuehl" w:cs="FrankRuehl"/>
        <w:color w:val="000000"/>
      </w:rPr>
    </w:pPr>
    <w:r w:rsidRPr="00113419">
      <w:rPr>
        <w:rFonts w:ascii="FrankRuehl" w:hAnsi="FrankRuehl" w:cs="FrankRuehl"/>
        <w:color w:val="000000"/>
      </w:rPr>
      <w:pict w14:anchorId="23796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D88AD" w14:textId="77777777" w:rsidR="00BC7EC2" w:rsidRDefault="00BC7EC2">
      <w:r>
        <w:separator/>
      </w:r>
    </w:p>
  </w:footnote>
  <w:footnote w:type="continuationSeparator" w:id="0">
    <w:p w14:paraId="14B007AF" w14:textId="77777777" w:rsidR="00BC7EC2" w:rsidRDefault="00BC7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E52BA" w14:textId="77777777" w:rsidR="00474C17" w:rsidRPr="00113419" w:rsidRDefault="00474C17" w:rsidP="001134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39974-12-12</w:t>
    </w:r>
    <w:r>
      <w:rPr>
        <w:rFonts w:ascii="David" w:hAnsi="David"/>
        <w:color w:val="000000"/>
        <w:sz w:val="22"/>
        <w:szCs w:val="22"/>
        <w:rtl/>
      </w:rPr>
      <w:tab/>
      <w:t xml:space="preserve"> מדינת ישראל נ' עבדאללה סמחאן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BE48F" w14:textId="77777777" w:rsidR="00474C17" w:rsidRPr="00113419" w:rsidRDefault="00474C17" w:rsidP="001134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39974-12-12</w:t>
    </w:r>
    <w:r>
      <w:rPr>
        <w:rFonts w:ascii="David" w:hAnsi="David"/>
        <w:color w:val="000000"/>
        <w:sz w:val="22"/>
        <w:szCs w:val="22"/>
        <w:rtl/>
      </w:rPr>
      <w:tab/>
      <w:t xml:space="preserve"> מדינת ישראל נ' עבדאללה סמחאן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A8E271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C1E82F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E6EBD2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4BA286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FD219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0827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6AC9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58C9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6C22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6243C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B7729A"/>
    <w:multiLevelType w:val="hybridMultilevel"/>
    <w:tmpl w:val="26C02186"/>
    <w:lvl w:ilvl="0" w:tplc="1DA45E96">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2088248">
    <w:abstractNumId w:val="12"/>
  </w:num>
  <w:num w:numId="2" w16cid:durableId="274678567">
    <w:abstractNumId w:val="10"/>
  </w:num>
  <w:num w:numId="3" w16cid:durableId="2036735381">
    <w:abstractNumId w:val="8"/>
  </w:num>
  <w:num w:numId="4" w16cid:durableId="245652925">
    <w:abstractNumId w:val="3"/>
  </w:num>
  <w:num w:numId="5" w16cid:durableId="1728725927">
    <w:abstractNumId w:val="2"/>
  </w:num>
  <w:num w:numId="6" w16cid:durableId="399597790">
    <w:abstractNumId w:val="1"/>
  </w:num>
  <w:num w:numId="7" w16cid:durableId="2094619059">
    <w:abstractNumId w:val="0"/>
  </w:num>
  <w:num w:numId="8" w16cid:durableId="1975328523">
    <w:abstractNumId w:val="9"/>
  </w:num>
  <w:num w:numId="9" w16cid:durableId="714696687">
    <w:abstractNumId w:val="7"/>
  </w:num>
  <w:num w:numId="10" w16cid:durableId="2066756018">
    <w:abstractNumId w:val="6"/>
  </w:num>
  <w:num w:numId="11" w16cid:durableId="715352940">
    <w:abstractNumId w:val="5"/>
  </w:num>
  <w:num w:numId="12" w16cid:durableId="1873692458">
    <w:abstractNumId w:val="4"/>
  </w:num>
  <w:num w:numId="13" w16cid:durableId="1507135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745415"/>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745415&amp;lt;/CaseID&amp;gt;_x000d__x000a_        &amp;lt;CaseMonth&amp;gt;12&amp;lt;/CaseMonth&amp;gt;_x000d__x000a_        &amp;lt;CaseYear&amp;gt;2012&amp;lt;/CaseYear&amp;gt;_x000d__x000a_        &amp;lt;CaseNumber&amp;gt;39974&amp;lt;/CaseNumber&amp;gt;_x000d__x000a_        &amp;lt;NumeratorGroupID&amp;gt;1&amp;lt;/NumeratorGroupID&amp;gt;_x000d__x000a_        &amp;lt;CaseName&amp;gt;מדינת ישראל נ&amp;#39; סמחאן(עציר)&amp;lt;/CaseName&amp;gt;_x000d__x000a_        &amp;lt;CourtID&amp;gt;16&amp;lt;/CourtID&amp;gt;_x000d__x000a_        &amp;lt;CaseTypeID&amp;gt;10077&amp;lt;/CaseTypeID&amp;gt;_x000d__x000a_        &amp;lt;CaseJudgeName&amp;gt;רויטל יפה כץ&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9974-12-12&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50&amp;lt;/CaseNextDeterminingTask&amp;gt;_x000d__x000a_        &amp;lt;CaseOpenDate&amp;gt;2012-12-20T10:16:00+02:00&amp;lt;/CaseOpenDate&amp;gt;_x000d__x000a_        &amp;lt;PleaTypeID&amp;gt;8&amp;lt;/PleaTypeID&amp;gt;_x000d__x000a_        &amp;lt;CourtLevelID&amp;gt;2&amp;lt;/CourtLevelID&amp;gt;_x000d__x000a_        &amp;lt;CaseJudgeFirstName&amp;gt;רויטל&amp;lt;/CaseJudgeFirstName&amp;gt;_x000d__x000a_        &amp;lt;CaseJudgeLastName&amp;gt;יפה כץ&amp;lt;/CaseJudgeLastName&amp;gt;_x000d__x000a_        &amp;lt;JudicalPersonID&amp;gt;054303474@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פרוטוקול מיום 24/6/14 טופל_x000d__x000a_ניצה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FeePaid&amp;gt;true&amp;lt;/IsFeePaid&amp;gt;_x000d__x000a_        &amp;lt;IsExistPrisoner&amp;gt;false&amp;lt;/IsExistPrisoner&amp;gt;_x000d__x000a_        &amp;lt;IsExistDetainee&amp;gt;true&amp;lt;/IsExistDetainee&amp;gt;_x000d__x000a_        &amp;lt;IsDebitExist&amp;gt;false&amp;lt;/IsDebitExist&amp;gt;_x000d__x000a_        &amp;lt;DebitExsitDate&amp;gt;2014-11-10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745415&amp;lt;/CaseID&amp;gt;_x000d__x000a_        &amp;lt;CaseMonth&amp;gt;12&amp;lt;/CaseMonth&amp;gt;_x000d__x000a_        &amp;lt;CaseYear&amp;gt;2012&amp;lt;/CaseYear&amp;gt;_x000d__x000a_        &amp;lt;CaseNumber&amp;gt;39974&amp;lt;/CaseNumber&amp;gt;_x000d__x000a_        &amp;lt;NumeratorGroupID&amp;gt;1&amp;lt;/NumeratorGroupID&amp;gt;_x000d__x000a_        &amp;lt;CaseName&amp;gt;מדינת ישראל נ&amp;#39; סמחאן(עציר)&amp;lt;/CaseName&amp;gt;_x000d__x000a_        &amp;lt;CourtID&amp;gt;16&amp;lt;/CourtID&amp;gt;_x000d__x000a_        &amp;lt;CaseTypeID&amp;gt;10077&amp;lt;/CaseTypeID&amp;gt;_x000d__x000a_        &amp;lt;CaseJudgeName&amp;gt;רויטל יפה כץ&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9974-12-12&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50&amp;lt;/CaseNextDeterminingTask&amp;gt;_x000d__x000a_        &amp;lt;CaseOpenDate&amp;gt;2012-12-20T10:16:00+02:00&amp;lt;/CaseOpenDate&amp;gt;_x000d__x000a_        &amp;lt;PleaTypeID&amp;gt;8&amp;lt;/PleaTypeID&amp;gt;_x000d__x000a_        &amp;lt;CourtLevelID&amp;gt;2&amp;lt;/CourtLevelID&amp;gt;_x000d__x000a_        &amp;lt;CaseJudgeFirstName&amp;gt;רויטל&amp;lt;/CaseJudgeFirstName&amp;gt;_x000d__x000a_        &amp;lt;CaseJudgeLastName&amp;gt;יפה כץ&amp;lt;/CaseJudgeLastName&amp;gt;_x000d__x000a_        &amp;lt;JudicalPersonID&amp;gt;054303474@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פרוטוקול מיום 24/6/14 טופל_x000d__x000a_ניצה &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2497861&amp;lt;/DecisionID&amp;gt;_x000d__x000a_        &amp;lt;DecisionName&amp;gt;גזר דין  שניתנה ע&amp;quot;י  יורם צלקובניק&amp;lt;/DecisionName&amp;gt;_x000d__x000a_        &amp;lt;DecisionStatusID&amp;gt;1&amp;lt;/DecisionStatusID&amp;gt;_x000d__x000a_        &amp;lt;DecisionStatusChangeDate&amp;gt;2014-11-10T09:02:44.62+02:00&amp;lt;/DecisionStatusChangeDate&amp;gt;_x000d__x000a_        &amp;lt;DecisionSignatureDate&amp;gt;2014-11-02T22:36:26.693+02:00&amp;lt;/DecisionSignatureDate&amp;gt;_x000d__x000a_        &amp;lt;DecisionSignatureUserID&amp;gt;030531875@GOV.IL&amp;lt;/DecisionSignatureUserID&amp;gt;_x000d__x000a_        &amp;lt;DecisionCreateDate&amp;gt;2014-11-02T22:41:29.863+02:00&amp;lt;/DecisionCreateDate&amp;gt;_x000d__x000a_        &amp;lt;DecisionChangeDate&amp;gt;2014-11-10T09:02:45.377+02:00&amp;lt;/DecisionChangeDate&amp;gt;_x000d__x000a_        &amp;lt;DecisionChangeUserID&amp;gt;030531875@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190121610&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30531875@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0531875@GOV.IL&amp;lt;/DecisionCreationUserID&amp;gt;_x000d__x000a_        &amp;lt;DecisionDisplayName&amp;gt;גזר דין  שניתנה ע&amp;quot;י  יורם צלקובניק&amp;lt;/DecisionDisplayName&amp;gt;_x000d__x000a_        &amp;lt;IsScanned&amp;gt;false&amp;lt;/IsScanned&amp;gt;_x000d__x000a_        &amp;lt;DecisionSignatureUserName&amp;gt;יורם צלקובניק&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2497861&amp;lt;/DecisionID&amp;gt;_x000d__x000a_        &amp;lt;CaseID&amp;gt;70745415&amp;lt;/CaseID&amp;gt;_x000d__x000a_        &amp;lt;IsOriginal&amp;gt;true&amp;lt;/IsOriginal&amp;gt;_x000d__x000a_        &amp;lt;IsDeleted&amp;gt;false&amp;lt;/IsDeleted&amp;gt;_x000d__x000a_        &amp;lt;CaseName&amp;gt;מדינת ישראל נ&amp;#39; סמחאן(עציר)&amp;lt;/CaseName&amp;gt;_x000d__x000a_        &amp;lt;CaseDisplayIdentifier&amp;gt;39974-12-12 תפ&amp;quot;ח&amp;lt;/CaseDisplayIdentifier&amp;gt;_x000d__x000a_      &amp;lt;/dt_DecisionCase&amp;gt;_x000d__x000a_      &amp;lt;dt_DecisionJudgePanel diffgr:id=&amp;quot;dt_DecisionJudgePanel1&amp;quot; msdata:rowOrder=&amp;quot;0&amp;quot;&amp;gt;_x000d__x000a_        &amp;lt;DecisionID&amp;gt;92497861&amp;lt;/DecisionID&amp;gt;_x000d__x000a_        &amp;lt;JudgeID&amp;gt;05430347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2497861&amp;lt;/DecisionID&amp;gt;_x000d__x000a_        &amp;lt;JudgeID&amp;gt;065372526@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2497861&amp;lt;/DecisionID&amp;gt;_x000d__x000a_        &amp;lt;JudgeID&amp;gt;030531875@GOV.IL&amp;lt;/JudgeID&amp;gt;_x000d__x000a_        &amp;lt;OrdinalNumber&amp;gt;3&amp;lt;/OrdinalNumber&amp;gt;_x000d__x000a_      &amp;lt;/dt_DecisionJudgePanel&amp;gt;_x000d__x000a_    &amp;lt;/DecisionDS&amp;gt;_x000d__x000a_  &amp;lt;/diffgr:diffgram&amp;gt;_x000d__x000a_&amp;lt;/DecisionDS&amp;gt;"/>
    <w:docVar w:name="DecisionID" w:val="92497861"/>
    <w:docVar w:name="docID" w:val="190121610"/>
    <w:docVar w:name="judgeUPN" w:val="030531875@GOV.IL"/>
    <w:docVar w:name="MyInfo" w:val="This document was extracted from Nevo's site"/>
    <w:docVar w:name="NGCS.TemplateCaseInterestID" w:val="-1"/>
    <w:docVar w:name="NGCS.TemplateCaseTypeID" w:val="10077"/>
    <w:docVar w:name="NGCS.TemplateCourtID" w:val="16"/>
    <w:docVar w:name="NGCS.TemplateProceedingID" w:val="2"/>
    <w:docVar w:name="noteDocID" w:val="190121610"/>
    <w:docVar w:name="WordClientAssemblyName" w:val="NGCS.Decision.ClientWordBL"/>
    <w:docVar w:name="WordClientClassName" w:val="NGCS.Decision.ClientWordBL.JudgePanelSignDecisionClient"/>
  </w:docVars>
  <w:rsids>
    <w:rsidRoot w:val="00507694"/>
    <w:rsid w:val="0001519B"/>
    <w:rsid w:val="0002735D"/>
    <w:rsid w:val="00031F8A"/>
    <w:rsid w:val="00035750"/>
    <w:rsid w:val="00054FC4"/>
    <w:rsid w:val="0006726A"/>
    <w:rsid w:val="00072766"/>
    <w:rsid w:val="00075CAE"/>
    <w:rsid w:val="00100577"/>
    <w:rsid w:val="00111EA9"/>
    <w:rsid w:val="00113419"/>
    <w:rsid w:val="00120134"/>
    <w:rsid w:val="001D77E9"/>
    <w:rsid w:val="00211F53"/>
    <w:rsid w:val="00212125"/>
    <w:rsid w:val="00230166"/>
    <w:rsid w:val="002429A7"/>
    <w:rsid w:val="00266B83"/>
    <w:rsid w:val="002D6C61"/>
    <w:rsid w:val="002E3B65"/>
    <w:rsid w:val="00333267"/>
    <w:rsid w:val="003358C2"/>
    <w:rsid w:val="0033700E"/>
    <w:rsid w:val="00366ED4"/>
    <w:rsid w:val="00367565"/>
    <w:rsid w:val="003927F5"/>
    <w:rsid w:val="003E0C9F"/>
    <w:rsid w:val="00405544"/>
    <w:rsid w:val="00406230"/>
    <w:rsid w:val="00415554"/>
    <w:rsid w:val="004215DC"/>
    <w:rsid w:val="00433A47"/>
    <w:rsid w:val="00434F2C"/>
    <w:rsid w:val="00474C17"/>
    <w:rsid w:val="004B319F"/>
    <w:rsid w:val="004D2041"/>
    <w:rsid w:val="00507694"/>
    <w:rsid w:val="00533066"/>
    <w:rsid w:val="005500C6"/>
    <w:rsid w:val="00557DC8"/>
    <w:rsid w:val="005C7B0B"/>
    <w:rsid w:val="00635EE0"/>
    <w:rsid w:val="006624E6"/>
    <w:rsid w:val="006779C9"/>
    <w:rsid w:val="00683ABD"/>
    <w:rsid w:val="00684E84"/>
    <w:rsid w:val="006A13F2"/>
    <w:rsid w:val="00757983"/>
    <w:rsid w:val="00777562"/>
    <w:rsid w:val="007B19D3"/>
    <w:rsid w:val="00821F29"/>
    <w:rsid w:val="008263DA"/>
    <w:rsid w:val="00832D73"/>
    <w:rsid w:val="008E6051"/>
    <w:rsid w:val="00943F01"/>
    <w:rsid w:val="009A054C"/>
    <w:rsid w:val="009E35A7"/>
    <w:rsid w:val="009E49A1"/>
    <w:rsid w:val="009F504D"/>
    <w:rsid w:val="00A504C4"/>
    <w:rsid w:val="00A54E93"/>
    <w:rsid w:val="00A713EA"/>
    <w:rsid w:val="00A86F00"/>
    <w:rsid w:val="00AA23A8"/>
    <w:rsid w:val="00B05847"/>
    <w:rsid w:val="00B22E0A"/>
    <w:rsid w:val="00B35D4B"/>
    <w:rsid w:val="00B530E8"/>
    <w:rsid w:val="00BC7EC2"/>
    <w:rsid w:val="00BD67E7"/>
    <w:rsid w:val="00BE0015"/>
    <w:rsid w:val="00BF60ED"/>
    <w:rsid w:val="00C02463"/>
    <w:rsid w:val="00C20A4A"/>
    <w:rsid w:val="00C4285B"/>
    <w:rsid w:val="00C55E62"/>
    <w:rsid w:val="00C572E8"/>
    <w:rsid w:val="00C64F55"/>
    <w:rsid w:val="00CB7940"/>
    <w:rsid w:val="00CC7BE6"/>
    <w:rsid w:val="00D202F4"/>
    <w:rsid w:val="00D3203D"/>
    <w:rsid w:val="00D968E6"/>
    <w:rsid w:val="00DB1DCC"/>
    <w:rsid w:val="00DF57D0"/>
    <w:rsid w:val="00E3729A"/>
    <w:rsid w:val="00E67D6B"/>
    <w:rsid w:val="00E7083C"/>
    <w:rsid w:val="00E70F9C"/>
    <w:rsid w:val="00E918D5"/>
    <w:rsid w:val="00EA0D0E"/>
    <w:rsid w:val="00EA2C0C"/>
    <w:rsid w:val="00EA5416"/>
    <w:rsid w:val="00F75AFC"/>
    <w:rsid w:val="00FB070E"/>
    <w:rsid w:val="00FC4073"/>
    <w:rsid w:val="00FF248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2E18C8B7"/>
  <w15:chartTrackingRefBased/>
  <w15:docId w15:val="{C8A463D4-3B8F-4F2E-8A34-A1374591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customStyle="1" w:styleId="Ruller4">
    <w:name w:val="Ruller4 תו"/>
    <w:link w:val="Ruller40"/>
    <w:uiPriority w:val="99"/>
    <w:locked/>
    <w:rsid w:val="00AA23A8"/>
    <w:rPr>
      <w:rFonts w:ascii="Arial TUR" w:hAnsi="Arial TUR"/>
      <w:spacing w:val="10"/>
      <w:sz w:val="28"/>
    </w:rPr>
  </w:style>
  <w:style w:type="paragraph" w:customStyle="1" w:styleId="Ruller40">
    <w:name w:val="Ruller4"/>
    <w:basedOn w:val="a"/>
    <w:link w:val="Ruller4"/>
    <w:uiPriority w:val="99"/>
    <w:rsid w:val="00AA23A8"/>
    <w:pPr>
      <w:tabs>
        <w:tab w:val="left" w:pos="800"/>
      </w:tabs>
      <w:overflowPunct w:val="0"/>
      <w:autoSpaceDE w:val="0"/>
      <w:autoSpaceDN w:val="0"/>
      <w:adjustRightInd w:val="0"/>
      <w:spacing w:line="360" w:lineRule="auto"/>
      <w:jc w:val="both"/>
    </w:pPr>
    <w:rPr>
      <w:rFonts w:ascii="Arial TUR" w:hAnsi="Arial TUR" w:cs="Times New Roman"/>
      <w:spacing w:val="10"/>
      <w:sz w:val="28"/>
      <w:szCs w:val="20"/>
      <w:lang w:val="x-none" w:eastAsia="x-none"/>
    </w:rPr>
  </w:style>
  <w:style w:type="character" w:styleId="Hyperlink">
    <w:name w:val="Hyperlink"/>
    <w:basedOn w:val="a0"/>
    <w:rsid w:val="00113419"/>
    <w:rPr>
      <w:color w:val="0000FF"/>
      <w:u w:val="single"/>
    </w:rPr>
  </w:style>
  <w:style w:type="paragraph" w:styleId="aa">
    <w:name w:val="List Paragraph"/>
    <w:basedOn w:val="a"/>
    <w:uiPriority w:val="34"/>
    <w:qFormat/>
    <w:rsid w:val="00075CAE"/>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3.b." TargetMode="External"/><Relationship Id="rId18" Type="http://schemas.openxmlformats.org/officeDocument/2006/relationships/hyperlink" Target="http://www.nevo.co.il/law/70301/305.1." TargetMode="External"/><Relationship Id="rId26" Type="http://schemas.openxmlformats.org/officeDocument/2006/relationships/hyperlink" Target="http://www.nevo.co.il/law/70301/305.1." TargetMode="External"/><Relationship Id="rId39" Type="http://schemas.openxmlformats.org/officeDocument/2006/relationships/hyperlink" Target="http://www.nevo.co.il/law/73729"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law/70301/244" TargetMode="External"/><Relationship Id="rId42" Type="http://schemas.openxmlformats.org/officeDocument/2006/relationships/hyperlink" Target="http://www.nevo.co.il/law/70301/499.a.1." TargetMode="External"/><Relationship Id="rId47" Type="http://schemas.openxmlformats.org/officeDocument/2006/relationships/hyperlink" Target="http://www.nevo.co.il/case/5589473"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86" TargetMode="External"/><Relationship Id="rId29" Type="http://schemas.openxmlformats.org/officeDocument/2006/relationships/hyperlink" Target="http://www.nevo.co.il/law/70301/335.a.1."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90721/12" TargetMode="External"/><Relationship Id="rId32" Type="http://schemas.openxmlformats.org/officeDocument/2006/relationships/hyperlink" Target="http://www.nevo.co.il/law/70301/144f" TargetMode="External"/><Relationship Id="rId37" Type="http://schemas.openxmlformats.org/officeDocument/2006/relationships/hyperlink" Target="http://www.nevo.co.il/law/70301/114.a."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case/2386769"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evo.co.il/law/70301" TargetMode="External"/><Relationship Id="rId19" Type="http://schemas.openxmlformats.org/officeDocument/2006/relationships/hyperlink" Target="http://www.nevo.co.il/law/70301/334" TargetMode="External"/><Relationship Id="rId31" Type="http://schemas.openxmlformats.org/officeDocument/2006/relationships/hyperlink" Target="http://www.nevo.co.il/law/70301/186" TargetMode="External"/><Relationship Id="rId44" Type="http://schemas.openxmlformats.org/officeDocument/2006/relationships/hyperlink" Target="http://www.nevo.co.il/case/6004730"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90721/1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3729"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f" TargetMode="External"/><Relationship Id="rId35" Type="http://schemas.openxmlformats.org/officeDocument/2006/relationships/hyperlink" Target="http://www.nevo.co.il/law/70301/305.1." TargetMode="External"/><Relationship Id="rId43" Type="http://schemas.openxmlformats.org/officeDocument/2006/relationships/hyperlink" Target="http://www.nevo.co.il/case/2046623" TargetMode="External"/><Relationship Id="rId48" Type="http://schemas.openxmlformats.org/officeDocument/2006/relationships/hyperlink" Target="http://www.nevo.co.il/case/5586131" TargetMode="External"/><Relationship Id="rId56" Type="http://schemas.openxmlformats.org/officeDocument/2006/relationships/theme" Target="theme/theme1.xml"/><Relationship Id="rId8" Type="http://schemas.openxmlformats.org/officeDocument/2006/relationships/hyperlink" Target="http://www.nevo.co.il/law/90721"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nevo.co.il/law/70301/114.a."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90721" TargetMode="External"/><Relationship Id="rId33" Type="http://schemas.openxmlformats.org/officeDocument/2006/relationships/hyperlink" Target="http://www.nevo.co.il/law/70301/114.a." TargetMode="External"/><Relationship Id="rId38" Type="http://schemas.openxmlformats.org/officeDocument/2006/relationships/hyperlink" Target="http://www.nevo.co.il/law/73729/85.1.a." TargetMode="External"/><Relationship Id="rId46" Type="http://schemas.openxmlformats.org/officeDocument/2006/relationships/hyperlink" Target="http://www.nevo.co.il/case/2536956" TargetMode="External"/><Relationship Id="rId20" Type="http://schemas.openxmlformats.org/officeDocument/2006/relationships/hyperlink" Target="http://www.nevo.co.il/law/70301/335.a.1." TargetMode="External"/><Relationship Id="rId41" Type="http://schemas.openxmlformats.org/officeDocument/2006/relationships/hyperlink" Target="http://www.nevo.co.il/law/70301/143.b." TargetMode="External"/><Relationship Id="rId54"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f" TargetMode="External"/><Relationship Id="rId23" Type="http://schemas.openxmlformats.org/officeDocument/2006/relationships/hyperlink" Target="http://www.nevo.co.il/law/73729/85.1.a." TargetMode="External"/><Relationship Id="rId28" Type="http://schemas.openxmlformats.org/officeDocument/2006/relationships/hyperlink" Target="http://www.nevo.co.il/law/70301/334" TargetMode="External"/><Relationship Id="rId36" Type="http://schemas.openxmlformats.org/officeDocument/2006/relationships/hyperlink" Target="http://www.nevo.co.il/law/70301/31" TargetMode="External"/><Relationship Id="rId49" Type="http://schemas.openxmlformats.org/officeDocument/2006/relationships/hyperlink" Target="http://www.nevo.co.il/case/237468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3089</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18501</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3342459</vt:i4>
      </vt:variant>
      <vt:variant>
        <vt:i4>123</vt:i4>
      </vt:variant>
      <vt:variant>
        <vt:i4>0</vt:i4>
      </vt:variant>
      <vt:variant>
        <vt:i4>5</vt:i4>
      </vt:variant>
      <vt:variant>
        <vt:lpwstr>http://www.nevo.co.il/case/2374680</vt:lpwstr>
      </vt:variant>
      <vt:variant>
        <vt:lpwstr/>
      </vt:variant>
      <vt:variant>
        <vt:i4>3997812</vt:i4>
      </vt:variant>
      <vt:variant>
        <vt:i4>120</vt:i4>
      </vt:variant>
      <vt:variant>
        <vt:i4>0</vt:i4>
      </vt:variant>
      <vt:variant>
        <vt:i4>5</vt:i4>
      </vt:variant>
      <vt:variant>
        <vt:lpwstr>http://www.nevo.co.il/case/5586131</vt:lpwstr>
      </vt:variant>
      <vt:variant>
        <vt:lpwstr/>
      </vt:variant>
      <vt:variant>
        <vt:i4>3801215</vt:i4>
      </vt:variant>
      <vt:variant>
        <vt:i4>117</vt:i4>
      </vt:variant>
      <vt:variant>
        <vt:i4>0</vt:i4>
      </vt:variant>
      <vt:variant>
        <vt:i4>5</vt:i4>
      </vt:variant>
      <vt:variant>
        <vt:lpwstr>http://www.nevo.co.il/case/5589473</vt:lpwstr>
      </vt:variant>
      <vt:variant>
        <vt:lpwstr/>
      </vt:variant>
      <vt:variant>
        <vt:i4>4063346</vt:i4>
      </vt:variant>
      <vt:variant>
        <vt:i4>114</vt:i4>
      </vt:variant>
      <vt:variant>
        <vt:i4>0</vt:i4>
      </vt:variant>
      <vt:variant>
        <vt:i4>5</vt:i4>
      </vt:variant>
      <vt:variant>
        <vt:lpwstr>http://www.nevo.co.il/case/2536956</vt:lpwstr>
      </vt:variant>
      <vt:variant>
        <vt:lpwstr/>
      </vt:variant>
      <vt:variant>
        <vt:i4>3407991</vt:i4>
      </vt:variant>
      <vt:variant>
        <vt:i4>111</vt:i4>
      </vt:variant>
      <vt:variant>
        <vt:i4>0</vt:i4>
      </vt:variant>
      <vt:variant>
        <vt:i4>5</vt:i4>
      </vt:variant>
      <vt:variant>
        <vt:lpwstr>http://www.nevo.co.il/case/2386769</vt:lpwstr>
      </vt:variant>
      <vt:variant>
        <vt:lpwstr/>
      </vt:variant>
      <vt:variant>
        <vt:i4>3211379</vt:i4>
      </vt:variant>
      <vt:variant>
        <vt:i4>108</vt:i4>
      </vt:variant>
      <vt:variant>
        <vt:i4>0</vt:i4>
      </vt:variant>
      <vt:variant>
        <vt:i4>5</vt:i4>
      </vt:variant>
      <vt:variant>
        <vt:lpwstr>http://www.nevo.co.il/case/6004730</vt:lpwstr>
      </vt:variant>
      <vt:variant>
        <vt:lpwstr/>
      </vt:variant>
      <vt:variant>
        <vt:i4>3342448</vt:i4>
      </vt:variant>
      <vt:variant>
        <vt:i4>105</vt:i4>
      </vt:variant>
      <vt:variant>
        <vt:i4>0</vt:i4>
      </vt:variant>
      <vt:variant>
        <vt:i4>5</vt:i4>
      </vt:variant>
      <vt:variant>
        <vt:lpwstr>http://www.nevo.co.il/case/2046623</vt:lpwstr>
      </vt:variant>
      <vt:variant>
        <vt:lpwstr/>
      </vt:variant>
      <vt:variant>
        <vt:i4>4325384</vt:i4>
      </vt:variant>
      <vt:variant>
        <vt:i4>102</vt:i4>
      </vt:variant>
      <vt:variant>
        <vt:i4>0</vt:i4>
      </vt:variant>
      <vt:variant>
        <vt:i4>5</vt:i4>
      </vt:variant>
      <vt:variant>
        <vt:lpwstr>http://www.nevo.co.il/law/70301/499.a.1.</vt:lpwstr>
      </vt:variant>
      <vt:variant>
        <vt:lpwstr/>
      </vt:variant>
      <vt:variant>
        <vt:i4>6357045</vt:i4>
      </vt:variant>
      <vt:variant>
        <vt:i4>99</vt:i4>
      </vt:variant>
      <vt:variant>
        <vt:i4>0</vt:i4>
      </vt:variant>
      <vt:variant>
        <vt:i4>5</vt:i4>
      </vt:variant>
      <vt:variant>
        <vt:lpwstr>http://www.nevo.co.il/law/70301/143.b.</vt:lpwstr>
      </vt:variant>
      <vt:variant>
        <vt:lpwstr/>
      </vt:variant>
      <vt:variant>
        <vt:i4>6357042</vt:i4>
      </vt:variant>
      <vt:variant>
        <vt:i4>96</vt:i4>
      </vt:variant>
      <vt:variant>
        <vt:i4>0</vt:i4>
      </vt:variant>
      <vt:variant>
        <vt:i4>5</vt:i4>
      </vt:variant>
      <vt:variant>
        <vt:lpwstr>http://www.nevo.co.il/law/70301/144.b.</vt:lpwstr>
      </vt:variant>
      <vt:variant>
        <vt:lpwstr/>
      </vt:variant>
      <vt:variant>
        <vt:i4>8061024</vt:i4>
      </vt:variant>
      <vt:variant>
        <vt:i4>93</vt:i4>
      </vt:variant>
      <vt:variant>
        <vt:i4>0</vt:i4>
      </vt:variant>
      <vt:variant>
        <vt:i4>5</vt:i4>
      </vt:variant>
      <vt:variant>
        <vt:lpwstr>http://www.nevo.co.il/law/73729</vt:lpwstr>
      </vt:variant>
      <vt:variant>
        <vt:lpwstr/>
      </vt:variant>
      <vt:variant>
        <vt:i4>3211361</vt:i4>
      </vt:variant>
      <vt:variant>
        <vt:i4>90</vt:i4>
      </vt:variant>
      <vt:variant>
        <vt:i4>0</vt:i4>
      </vt:variant>
      <vt:variant>
        <vt:i4>5</vt:i4>
      </vt:variant>
      <vt:variant>
        <vt:lpwstr>http://www.nevo.co.il/law/73729/85.1.a.</vt:lpwstr>
      </vt:variant>
      <vt:variant>
        <vt:lpwstr/>
      </vt:variant>
      <vt:variant>
        <vt:i4>6553649</vt:i4>
      </vt:variant>
      <vt:variant>
        <vt:i4>87</vt:i4>
      </vt:variant>
      <vt:variant>
        <vt:i4>0</vt:i4>
      </vt:variant>
      <vt:variant>
        <vt:i4>5</vt:i4>
      </vt:variant>
      <vt:variant>
        <vt:lpwstr>http://www.nevo.co.il/law/70301/114.a.</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6619234</vt:i4>
      </vt:variant>
      <vt:variant>
        <vt:i4>81</vt:i4>
      </vt:variant>
      <vt:variant>
        <vt:i4>0</vt:i4>
      </vt:variant>
      <vt:variant>
        <vt:i4>5</vt:i4>
      </vt:variant>
      <vt:variant>
        <vt:lpwstr>http://www.nevo.co.il/law/70301/305.1.</vt:lpwstr>
      </vt:variant>
      <vt:variant>
        <vt:lpwstr/>
      </vt:variant>
      <vt:variant>
        <vt:i4>6357095</vt:i4>
      </vt:variant>
      <vt:variant>
        <vt:i4>78</vt:i4>
      </vt:variant>
      <vt:variant>
        <vt:i4>0</vt:i4>
      </vt:variant>
      <vt:variant>
        <vt:i4>5</vt:i4>
      </vt:variant>
      <vt:variant>
        <vt:lpwstr>http://www.nevo.co.il/law/70301/244</vt:lpwstr>
      </vt:variant>
      <vt:variant>
        <vt:lpwstr/>
      </vt:variant>
      <vt:variant>
        <vt:i4>6553649</vt:i4>
      </vt:variant>
      <vt:variant>
        <vt:i4>75</vt:i4>
      </vt:variant>
      <vt:variant>
        <vt:i4>0</vt:i4>
      </vt:variant>
      <vt:variant>
        <vt:i4>5</vt:i4>
      </vt:variant>
      <vt:variant>
        <vt:lpwstr>http://www.nevo.co.il/law/70301/114.a.</vt:lpwstr>
      </vt:variant>
      <vt:variant>
        <vt:lpwstr/>
      </vt:variant>
      <vt:variant>
        <vt:i4>458832</vt:i4>
      </vt:variant>
      <vt:variant>
        <vt:i4>72</vt:i4>
      </vt:variant>
      <vt:variant>
        <vt:i4>0</vt:i4>
      </vt:variant>
      <vt:variant>
        <vt:i4>5</vt:i4>
      </vt:variant>
      <vt:variant>
        <vt:lpwstr>http://www.nevo.co.il/law/70301/144f</vt:lpwstr>
      </vt:variant>
      <vt:variant>
        <vt:lpwstr/>
      </vt:variant>
      <vt:variant>
        <vt:i4>7143524</vt:i4>
      </vt:variant>
      <vt:variant>
        <vt:i4>69</vt:i4>
      </vt:variant>
      <vt:variant>
        <vt:i4>0</vt:i4>
      </vt:variant>
      <vt:variant>
        <vt:i4>5</vt:i4>
      </vt:variant>
      <vt:variant>
        <vt:lpwstr>http://www.nevo.co.il/law/70301/186</vt:lpwstr>
      </vt:variant>
      <vt:variant>
        <vt:lpwstr/>
      </vt:variant>
      <vt:variant>
        <vt:i4>458832</vt:i4>
      </vt:variant>
      <vt:variant>
        <vt:i4>66</vt:i4>
      </vt:variant>
      <vt:variant>
        <vt:i4>0</vt:i4>
      </vt:variant>
      <vt:variant>
        <vt:i4>5</vt:i4>
      </vt:variant>
      <vt:variant>
        <vt:lpwstr>http://www.nevo.co.il/law/70301/144f</vt:lpwstr>
      </vt:variant>
      <vt:variant>
        <vt:lpwstr/>
      </vt:variant>
      <vt:variant>
        <vt:i4>4718595</vt:i4>
      </vt:variant>
      <vt:variant>
        <vt:i4>63</vt:i4>
      </vt:variant>
      <vt:variant>
        <vt:i4>0</vt:i4>
      </vt:variant>
      <vt:variant>
        <vt:i4>5</vt:i4>
      </vt:variant>
      <vt:variant>
        <vt:lpwstr>http://www.nevo.co.il/law/70301/335.a.1.</vt:lpwstr>
      </vt:variant>
      <vt:variant>
        <vt:lpwstr/>
      </vt:variant>
      <vt:variant>
        <vt:i4>6684774</vt:i4>
      </vt:variant>
      <vt:variant>
        <vt:i4>60</vt:i4>
      </vt:variant>
      <vt:variant>
        <vt:i4>0</vt:i4>
      </vt:variant>
      <vt:variant>
        <vt:i4>5</vt:i4>
      </vt:variant>
      <vt:variant>
        <vt:lpwstr>http://www.nevo.co.il/law/70301/334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6619234</vt:i4>
      </vt:variant>
      <vt:variant>
        <vt:i4>54</vt:i4>
      </vt:variant>
      <vt:variant>
        <vt:i4>0</vt:i4>
      </vt:variant>
      <vt:variant>
        <vt:i4>5</vt:i4>
      </vt:variant>
      <vt:variant>
        <vt:lpwstr>http://www.nevo.co.il/law/70301/305.1.</vt:lpwstr>
      </vt:variant>
      <vt:variant>
        <vt:lpwstr/>
      </vt:variant>
      <vt:variant>
        <vt:i4>7864430</vt:i4>
      </vt:variant>
      <vt:variant>
        <vt:i4>51</vt:i4>
      </vt:variant>
      <vt:variant>
        <vt:i4>0</vt:i4>
      </vt:variant>
      <vt:variant>
        <vt:i4>5</vt:i4>
      </vt:variant>
      <vt:variant>
        <vt:lpwstr>http://www.nevo.co.il/law/90721</vt:lpwstr>
      </vt:variant>
      <vt:variant>
        <vt:lpwstr/>
      </vt:variant>
      <vt:variant>
        <vt:i4>6619246</vt:i4>
      </vt:variant>
      <vt:variant>
        <vt:i4>48</vt:i4>
      </vt:variant>
      <vt:variant>
        <vt:i4>0</vt:i4>
      </vt:variant>
      <vt:variant>
        <vt:i4>5</vt:i4>
      </vt:variant>
      <vt:variant>
        <vt:lpwstr>http://www.nevo.co.il/law/90721/12</vt:lpwstr>
      </vt:variant>
      <vt:variant>
        <vt:lpwstr/>
      </vt:variant>
      <vt:variant>
        <vt:i4>3211361</vt:i4>
      </vt:variant>
      <vt:variant>
        <vt:i4>45</vt:i4>
      </vt:variant>
      <vt:variant>
        <vt:i4>0</vt:i4>
      </vt:variant>
      <vt:variant>
        <vt:i4>5</vt:i4>
      </vt:variant>
      <vt:variant>
        <vt:lpwstr>http://www.nevo.co.il/law/73729/85.1.a.</vt:lpwstr>
      </vt:variant>
      <vt:variant>
        <vt:lpwstr/>
      </vt:variant>
      <vt:variant>
        <vt:i4>8061024</vt:i4>
      </vt:variant>
      <vt:variant>
        <vt:i4>42</vt:i4>
      </vt:variant>
      <vt:variant>
        <vt:i4>0</vt:i4>
      </vt:variant>
      <vt:variant>
        <vt:i4>5</vt:i4>
      </vt:variant>
      <vt:variant>
        <vt:lpwstr>http://www.nevo.co.il/law/73729</vt:lpwstr>
      </vt:variant>
      <vt:variant>
        <vt:lpwstr/>
      </vt:variant>
      <vt:variant>
        <vt:i4>4325384</vt:i4>
      </vt:variant>
      <vt:variant>
        <vt:i4>39</vt:i4>
      </vt:variant>
      <vt:variant>
        <vt:i4>0</vt:i4>
      </vt:variant>
      <vt:variant>
        <vt:i4>5</vt:i4>
      </vt:variant>
      <vt:variant>
        <vt:lpwstr>http://www.nevo.co.il/law/70301/499.a.1.</vt:lpwstr>
      </vt:variant>
      <vt:variant>
        <vt:lpwstr/>
      </vt:variant>
      <vt:variant>
        <vt:i4>4718595</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6619234</vt:i4>
      </vt:variant>
      <vt:variant>
        <vt:i4>30</vt:i4>
      </vt:variant>
      <vt:variant>
        <vt:i4>0</vt:i4>
      </vt:variant>
      <vt:variant>
        <vt:i4>5</vt:i4>
      </vt:variant>
      <vt:variant>
        <vt:lpwstr>http://www.nevo.co.il/law/70301/305.1.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7143524</vt:i4>
      </vt:variant>
      <vt:variant>
        <vt:i4>24</vt:i4>
      </vt:variant>
      <vt:variant>
        <vt:i4>0</vt:i4>
      </vt:variant>
      <vt:variant>
        <vt:i4>5</vt:i4>
      </vt:variant>
      <vt:variant>
        <vt:lpwstr>http://www.nevo.co.il/law/70301/186</vt:lpwstr>
      </vt:variant>
      <vt:variant>
        <vt:lpwstr/>
      </vt:variant>
      <vt:variant>
        <vt:i4>458832</vt:i4>
      </vt:variant>
      <vt:variant>
        <vt:i4>21</vt:i4>
      </vt:variant>
      <vt:variant>
        <vt:i4>0</vt:i4>
      </vt:variant>
      <vt:variant>
        <vt:i4>5</vt:i4>
      </vt:variant>
      <vt:variant>
        <vt:lpwstr>http://www.nevo.co.il/law/70301/144f</vt:lpwstr>
      </vt:variant>
      <vt:variant>
        <vt:lpwstr/>
      </vt:variant>
      <vt:variant>
        <vt:i4>6357042</vt:i4>
      </vt:variant>
      <vt:variant>
        <vt:i4>18</vt:i4>
      </vt:variant>
      <vt:variant>
        <vt:i4>0</vt:i4>
      </vt:variant>
      <vt:variant>
        <vt:i4>5</vt:i4>
      </vt:variant>
      <vt:variant>
        <vt:lpwstr>http://www.nevo.co.il/law/70301/144.b.</vt:lpwstr>
      </vt:variant>
      <vt:variant>
        <vt:lpwstr/>
      </vt:variant>
      <vt:variant>
        <vt:i4>6357045</vt:i4>
      </vt:variant>
      <vt:variant>
        <vt:i4>15</vt:i4>
      </vt:variant>
      <vt:variant>
        <vt:i4>0</vt:i4>
      </vt:variant>
      <vt:variant>
        <vt:i4>5</vt:i4>
      </vt:variant>
      <vt:variant>
        <vt:lpwstr>http://www.nevo.co.il/law/70301/143.b.</vt:lpwstr>
      </vt:variant>
      <vt:variant>
        <vt:lpwstr/>
      </vt:variant>
      <vt:variant>
        <vt:i4>6553649</vt:i4>
      </vt:variant>
      <vt:variant>
        <vt:i4>12</vt:i4>
      </vt:variant>
      <vt:variant>
        <vt:i4>0</vt:i4>
      </vt:variant>
      <vt:variant>
        <vt:i4>5</vt:i4>
      </vt:variant>
      <vt:variant>
        <vt:lpwstr>http://www.nevo.co.il/law/70301/114.a.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6619246</vt:i4>
      </vt:variant>
      <vt:variant>
        <vt:i4>3</vt:i4>
      </vt:variant>
      <vt:variant>
        <vt:i4>0</vt:i4>
      </vt:variant>
      <vt:variant>
        <vt:i4>5</vt:i4>
      </vt:variant>
      <vt:variant>
        <vt:lpwstr>http://www.nevo.co.il/law/90721/12</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HAREL</dc:creator>
  <cp:keywords/>
  <cp:lastModifiedBy>Tal Klein</cp:lastModifiedBy>
  <cp:revision>2</cp:revision>
  <cp:lastPrinted>2014-11-10T06:56:00Z</cp:lastPrinted>
  <dcterms:created xsi:type="dcterms:W3CDTF">2025-01-19T15:46:00Z</dcterms:created>
  <dcterms:modified xsi:type="dcterms:W3CDTF">2025-01-19T15:46:00Z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39974</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עבדאללה סמחאן</vt:lpwstr>
  </property>
  <property fmtid="{D5CDD505-2E9C-101B-9397-08002B2CF9AE}" pid="10" name="LAWYER">
    <vt:lpwstr>ל' לוי סיגל;ע' אבו עמאר</vt:lpwstr>
  </property>
  <property fmtid="{D5CDD505-2E9C-101B-9397-08002B2CF9AE}" pid="11" name="JUDGE">
    <vt:lpwstr>ר. יפה כ#ץ</vt:lpwstr>
  </property>
  <property fmtid="{D5CDD505-2E9C-101B-9397-08002B2CF9AE}" pid="12" name="CITY">
    <vt:lpwstr>ב"ש</vt:lpwstr>
  </property>
  <property fmtid="{D5CDD505-2E9C-101B-9397-08002B2CF9AE}" pid="13" name="DATE">
    <vt:lpwstr>20141110</vt:lpwstr>
  </property>
  <property fmtid="{D5CDD505-2E9C-101B-9397-08002B2CF9AE}" pid="14" name="TYPE_N_DATE">
    <vt:lpwstr>39020141110</vt:lpwstr>
  </property>
  <property fmtid="{D5CDD505-2E9C-101B-9397-08002B2CF9AE}" pid="15" name="WORDNUMPAGES">
    <vt:lpwstr>9</vt:lpwstr>
  </property>
  <property fmtid="{D5CDD505-2E9C-101B-9397-08002B2CF9AE}" pid="16" name="TYPE_ABS_DATE">
    <vt:lpwstr>390120141110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NOSE1ID">
    <vt:lpwstr>77</vt:lpwstr>
  </property>
  <property fmtid="{D5CDD505-2E9C-101B-9397-08002B2CF9AE}" pid="36" name="NOSE2ID">
    <vt:lpwstr>1446</vt:lpwstr>
  </property>
  <property fmtid="{D5CDD505-2E9C-101B-9397-08002B2CF9AE}" pid="37" name="NOSE3ID">
    <vt:lpwstr>8985</vt:lpwstr>
  </property>
  <property fmtid="{D5CDD505-2E9C-101B-9397-08002B2CF9AE}" pid="38" name="NOSE11">
    <vt:lpwstr>עונשין</vt:lpwstr>
  </property>
  <property fmtid="{D5CDD505-2E9C-101B-9397-08002B2CF9AE}" pid="39" name="NOSE21">
    <vt:lpwstr>ענישה</vt:lpwstr>
  </property>
  <property fmtid="{D5CDD505-2E9C-101B-9397-08002B2CF9AE}" pid="40" name="NOSE31">
    <vt:lpwstr>מדיניות ענישה: עבירות ביטחון</vt:lpwstr>
  </property>
  <property fmtid="{D5CDD505-2E9C-101B-9397-08002B2CF9AE}" pid="41" name="NOSE12">
    <vt:lpwstr/>
  </property>
  <property fmtid="{D5CDD505-2E9C-101B-9397-08002B2CF9AE}" pid="42" name="NOSE22">
    <vt:lpwstr/>
  </property>
  <property fmtid="{D5CDD505-2E9C-101B-9397-08002B2CF9AE}" pid="43" name="NOSE32">
    <vt:lpwstr/>
  </property>
  <property fmtid="{D5CDD505-2E9C-101B-9397-08002B2CF9AE}" pid="44" name="NOSE13">
    <vt:lpwstr/>
  </property>
  <property fmtid="{D5CDD505-2E9C-101B-9397-08002B2CF9AE}" pid="45" name="NOSE23">
    <vt:lpwstr/>
  </property>
  <property fmtid="{D5CDD505-2E9C-101B-9397-08002B2CF9AE}" pid="46" name="NOSE33">
    <vt:lpwstr/>
  </property>
  <property fmtid="{D5CDD505-2E9C-101B-9397-08002B2CF9AE}" pid="47" name="NOSE14">
    <vt:lpwstr/>
  </property>
  <property fmtid="{D5CDD505-2E9C-101B-9397-08002B2CF9AE}" pid="48" name="NOSE24">
    <vt:lpwstr/>
  </property>
  <property fmtid="{D5CDD505-2E9C-101B-9397-08002B2CF9AE}" pid="49" name="NOSE34">
    <vt:lpwstr/>
  </property>
  <property fmtid="{D5CDD505-2E9C-101B-9397-08002B2CF9AE}" pid="50" name="NOSE15">
    <vt:lpwstr/>
  </property>
  <property fmtid="{D5CDD505-2E9C-101B-9397-08002B2CF9AE}" pid="51" name="NOSE25">
    <vt:lpwstr/>
  </property>
  <property fmtid="{D5CDD505-2E9C-101B-9397-08002B2CF9AE}" pid="52" name="NOSE35">
    <vt:lpwstr/>
  </property>
  <property fmtid="{D5CDD505-2E9C-101B-9397-08002B2CF9AE}" pid="53" name="NOSE16">
    <vt:lpwstr/>
  </property>
  <property fmtid="{D5CDD505-2E9C-101B-9397-08002B2CF9AE}" pid="54" name="NOSE26">
    <vt:lpwstr/>
  </property>
  <property fmtid="{D5CDD505-2E9C-101B-9397-08002B2CF9AE}" pid="55" name="NOSE36">
    <vt:lpwstr/>
  </property>
  <property fmtid="{D5CDD505-2E9C-101B-9397-08002B2CF9AE}" pid="56" name="NOSE17">
    <vt:lpwstr/>
  </property>
  <property fmtid="{D5CDD505-2E9C-101B-9397-08002B2CF9AE}" pid="57" name="NOSE27">
    <vt:lpwstr/>
  </property>
  <property fmtid="{D5CDD505-2E9C-101B-9397-08002B2CF9AE}" pid="58" name="NOSE37">
    <vt:lpwstr/>
  </property>
  <property fmtid="{D5CDD505-2E9C-101B-9397-08002B2CF9AE}" pid="59" name="NOSE18">
    <vt:lpwstr/>
  </property>
  <property fmtid="{D5CDD505-2E9C-101B-9397-08002B2CF9AE}" pid="60" name="NOSE28">
    <vt:lpwstr/>
  </property>
  <property fmtid="{D5CDD505-2E9C-101B-9397-08002B2CF9AE}" pid="61" name="NOSE38">
    <vt:lpwstr/>
  </property>
  <property fmtid="{D5CDD505-2E9C-101B-9397-08002B2CF9AE}" pid="62" name="NOSE19">
    <vt:lpwstr/>
  </property>
  <property fmtid="{D5CDD505-2E9C-101B-9397-08002B2CF9AE}" pid="63" name="NOSE29">
    <vt:lpwstr/>
  </property>
  <property fmtid="{D5CDD505-2E9C-101B-9397-08002B2CF9AE}" pid="64" name="NOSE3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PADIDATE">
    <vt:lpwstr>20141112</vt:lpwstr>
  </property>
  <property fmtid="{D5CDD505-2E9C-101B-9397-08002B2CF9AE}" pid="69" name="CASESLISTTMP1">
    <vt:lpwstr>2046623;6004730;2386769;2536956;5589473;5586131;2374680</vt:lpwstr>
  </property>
  <property fmtid="{D5CDD505-2E9C-101B-9397-08002B2CF9AE}" pid="70" name="CASENOTES1">
    <vt:lpwstr>ProcID=179&amp;PartA=8&amp;PartC=13</vt:lpwstr>
  </property>
  <property fmtid="{D5CDD505-2E9C-101B-9397-08002B2CF9AE}" pid="71" name="CASENOTES2">
    <vt:lpwstr>ProcID=179&amp;PartA=4&amp;PartC=14</vt:lpwstr>
  </property>
  <property fmtid="{D5CDD505-2E9C-101B-9397-08002B2CF9AE}" pid="72" name="LAWLISTTMP1">
    <vt:lpwstr>90721/012</vt:lpwstr>
  </property>
  <property fmtid="{D5CDD505-2E9C-101B-9397-08002B2CF9AE}" pid="73" name="LAWLISTTMP2">
    <vt:lpwstr>70301/305.1.;334;335.a.1.;144f;186;114.a.;244;031;144.b.;143.b.;499.a.1.</vt:lpwstr>
  </property>
  <property fmtid="{D5CDD505-2E9C-101B-9397-08002B2CF9AE}" pid="74" name="LAWLISTTMP3">
    <vt:lpwstr>73729/085.1.a.</vt:lpwstr>
  </property>
  <property fmtid="{D5CDD505-2E9C-101B-9397-08002B2CF9AE}" pid="75" name="METAKZER">
    <vt:lpwstr>מיכל</vt:lpwstr>
  </property>
</Properties>
</file>