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BB74F1" w:rsidRPr="00205A15" w14:paraId="1495B5DC" w14:textId="77777777">
        <w:trPr>
          <w:trHeight w:hRule="exact" w:val="418"/>
          <w:jc w:val="center"/>
        </w:trPr>
        <w:tc>
          <w:tcPr>
            <w:tcW w:w="8861" w:type="dxa"/>
            <w:gridSpan w:val="2"/>
          </w:tcPr>
          <w:p w14:paraId="60400F3E" w14:textId="77777777" w:rsidR="00BB74F1" w:rsidRPr="00205A15" w:rsidRDefault="00205A15">
            <w:pPr>
              <w:pStyle w:val="a3"/>
              <w:jc w:val="center"/>
              <w:rPr>
                <w:rFonts w:ascii="Tahoma" w:hAnsi="Tahoma" w:cs="Tahoma"/>
                <w:color w:val="000080"/>
                <w:rtl/>
              </w:rPr>
            </w:pPr>
            <w:bookmarkStart w:id="0" w:name="LastJudge"/>
            <w:r w:rsidRPr="00205A15">
              <w:rPr>
                <w:rFonts w:ascii="Tahoma" w:hAnsi="Tahoma" w:cs="Tahoma"/>
                <w:b/>
                <w:bCs/>
                <w:color w:val="000080"/>
                <w:rtl/>
              </w:rPr>
              <w:t>בית המשפט המחוזי בחיפה</w:t>
            </w:r>
          </w:p>
        </w:tc>
      </w:tr>
      <w:tr w:rsidR="00BB74F1" w:rsidRPr="00205A15" w14:paraId="7A31B3CE" w14:textId="77777777">
        <w:trPr>
          <w:trHeight w:val="337"/>
          <w:jc w:val="center"/>
        </w:trPr>
        <w:tc>
          <w:tcPr>
            <w:tcW w:w="5131" w:type="dxa"/>
          </w:tcPr>
          <w:p w14:paraId="4E6E87D2" w14:textId="77777777" w:rsidR="00BB74F1" w:rsidRPr="00205A15" w:rsidRDefault="00205A15" w:rsidP="00351E01">
            <w:pPr>
              <w:rPr>
                <w:rFonts w:cs="FrankRuehl"/>
                <w:sz w:val="28"/>
                <w:szCs w:val="28"/>
                <w:rtl/>
              </w:rPr>
            </w:pPr>
            <w:r w:rsidRPr="00205A15">
              <w:rPr>
                <w:rFonts w:cs="FrankRuehl"/>
                <w:sz w:val="28"/>
                <w:szCs w:val="28"/>
                <w:rtl/>
              </w:rPr>
              <w:t>ת"פ</w:t>
            </w:r>
            <w:r w:rsidRPr="00205A15">
              <w:rPr>
                <w:rFonts w:cs="FrankRuehl" w:hint="cs"/>
                <w:sz w:val="28"/>
                <w:szCs w:val="28"/>
                <w:rtl/>
              </w:rPr>
              <w:t xml:space="preserve"> </w:t>
            </w:r>
            <w:r w:rsidRPr="00205A15">
              <w:rPr>
                <w:rFonts w:cs="FrankRuehl"/>
                <w:sz w:val="28"/>
                <w:szCs w:val="28"/>
                <w:rtl/>
              </w:rPr>
              <w:t>5000-12</w:t>
            </w:r>
            <w:r w:rsidRPr="00205A15">
              <w:rPr>
                <w:rFonts w:cs="FrankRuehl" w:hint="cs"/>
                <w:sz w:val="28"/>
                <w:szCs w:val="28"/>
                <w:rtl/>
              </w:rPr>
              <w:t xml:space="preserve"> </w:t>
            </w:r>
          </w:p>
          <w:p w14:paraId="015D6766" w14:textId="77777777" w:rsidR="00BB74F1" w:rsidRPr="00205A15" w:rsidRDefault="00BB74F1">
            <w:pPr>
              <w:pStyle w:val="a3"/>
              <w:rPr>
                <w:rFonts w:cs="FrankRuehl"/>
                <w:sz w:val="28"/>
                <w:szCs w:val="28"/>
                <w:rtl/>
              </w:rPr>
            </w:pPr>
          </w:p>
        </w:tc>
        <w:tc>
          <w:tcPr>
            <w:tcW w:w="3730" w:type="dxa"/>
          </w:tcPr>
          <w:p w14:paraId="77545AF0" w14:textId="77777777" w:rsidR="00BB74F1" w:rsidRPr="00205A15" w:rsidRDefault="00205A15">
            <w:pPr>
              <w:pStyle w:val="a3"/>
              <w:jc w:val="right"/>
              <w:rPr>
                <w:b/>
                <w:bCs/>
                <w:sz w:val="28"/>
                <w:szCs w:val="28"/>
                <w:rtl/>
              </w:rPr>
            </w:pPr>
            <w:r w:rsidRPr="00205A15">
              <w:rPr>
                <w:rFonts w:hint="cs"/>
                <w:b/>
                <w:bCs/>
                <w:sz w:val="28"/>
                <w:szCs w:val="28"/>
                <w:rtl/>
              </w:rPr>
              <w:t>24.6.13</w:t>
            </w:r>
          </w:p>
        </w:tc>
      </w:tr>
    </w:tbl>
    <w:p w14:paraId="5FCBCC90" w14:textId="77777777" w:rsidR="00BB74F1" w:rsidRPr="00205A15" w:rsidRDefault="00205A15" w:rsidP="0041320F">
      <w:pPr>
        <w:pStyle w:val="a3"/>
        <w:rPr>
          <w:rtl/>
        </w:rPr>
      </w:pPr>
      <w:r w:rsidRPr="00205A1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B74F1" w:rsidRPr="00205A15" w14:paraId="4B4769AE" w14:textId="77777777">
        <w:trPr>
          <w:trHeight w:val="295"/>
          <w:jc w:val="center"/>
        </w:trPr>
        <w:tc>
          <w:tcPr>
            <w:tcW w:w="923" w:type="dxa"/>
            <w:tcBorders>
              <w:top w:val="nil"/>
              <w:left w:val="nil"/>
              <w:bottom w:val="nil"/>
              <w:right w:val="nil"/>
            </w:tcBorders>
          </w:tcPr>
          <w:p w14:paraId="28738B5A" w14:textId="77777777" w:rsidR="00BB74F1" w:rsidRPr="00205A15" w:rsidRDefault="00205A15">
            <w:pPr>
              <w:jc w:val="both"/>
              <w:rPr>
                <w:rFonts w:ascii="Arial" w:hAnsi="Arial" w:cs="FrankRuehl"/>
                <w:sz w:val="28"/>
                <w:szCs w:val="28"/>
              </w:rPr>
            </w:pPr>
            <w:r w:rsidRPr="00205A15">
              <w:rPr>
                <w:rFonts w:ascii="Arial" w:hAnsi="Arial" w:cs="FrankRuehl" w:hint="cs"/>
                <w:sz w:val="28"/>
                <w:szCs w:val="28"/>
                <w:rtl/>
              </w:rPr>
              <w:t>ב</w:t>
            </w:r>
            <w:r w:rsidRPr="00205A15">
              <w:rPr>
                <w:rFonts w:ascii="Arial" w:hAnsi="Arial" w:cs="FrankRuehl"/>
                <w:sz w:val="28"/>
                <w:szCs w:val="28"/>
                <w:rtl/>
              </w:rPr>
              <w:t xml:space="preserve">פני </w:t>
            </w:r>
          </w:p>
        </w:tc>
        <w:tc>
          <w:tcPr>
            <w:tcW w:w="7897" w:type="dxa"/>
            <w:gridSpan w:val="2"/>
            <w:tcBorders>
              <w:top w:val="nil"/>
              <w:left w:val="nil"/>
              <w:bottom w:val="nil"/>
              <w:right w:val="nil"/>
            </w:tcBorders>
          </w:tcPr>
          <w:p w14:paraId="73B5C9C5" w14:textId="77777777" w:rsidR="00BB74F1" w:rsidRPr="00205A15" w:rsidRDefault="00205A15">
            <w:pPr>
              <w:rPr>
                <w:rFonts w:ascii="Arial" w:hAnsi="Arial"/>
                <w:b/>
                <w:bCs/>
                <w:rtl/>
              </w:rPr>
            </w:pPr>
            <w:r w:rsidRPr="00205A15">
              <w:rPr>
                <w:rFonts w:ascii="Arial" w:hAnsi="Arial" w:hint="cs"/>
                <w:b/>
                <w:bCs/>
                <w:rtl/>
              </w:rPr>
              <w:t>כב' ה</w:t>
            </w:r>
            <w:r w:rsidRPr="00205A15">
              <w:rPr>
                <w:rFonts w:hint="cs"/>
                <w:rtl/>
              </w:rPr>
              <w:t>שופט</w:t>
            </w:r>
            <w:r w:rsidRPr="00205A15">
              <w:rPr>
                <w:rFonts w:ascii="Arial" w:hAnsi="Arial" w:hint="cs"/>
                <w:b/>
                <w:bCs/>
                <w:rtl/>
              </w:rPr>
              <w:t xml:space="preserve">  </w:t>
            </w:r>
            <w:r w:rsidRPr="00205A15">
              <w:rPr>
                <w:rFonts w:hint="cs"/>
                <w:rtl/>
              </w:rPr>
              <w:t>כמאל סעב</w:t>
            </w:r>
          </w:p>
          <w:p w14:paraId="200A6EBF" w14:textId="77777777" w:rsidR="00BB74F1" w:rsidRPr="00205A15" w:rsidRDefault="00BB74F1">
            <w:pPr>
              <w:jc w:val="both"/>
              <w:rPr>
                <w:rFonts w:ascii="Arial" w:hAnsi="Arial" w:cs="FrankRuehl"/>
                <w:sz w:val="28"/>
                <w:szCs w:val="28"/>
              </w:rPr>
            </w:pPr>
          </w:p>
        </w:tc>
      </w:tr>
      <w:tr w:rsidR="00BB74F1" w:rsidRPr="00205A15" w14:paraId="59DB4D43" w14:textId="77777777">
        <w:trPr>
          <w:trHeight w:val="355"/>
          <w:jc w:val="center"/>
        </w:trPr>
        <w:tc>
          <w:tcPr>
            <w:tcW w:w="923" w:type="dxa"/>
            <w:tcBorders>
              <w:top w:val="nil"/>
              <w:left w:val="nil"/>
              <w:bottom w:val="nil"/>
              <w:right w:val="nil"/>
            </w:tcBorders>
          </w:tcPr>
          <w:p w14:paraId="0DAE1F51" w14:textId="77777777" w:rsidR="00BB74F1" w:rsidRPr="00205A15" w:rsidRDefault="00BB74F1">
            <w:pPr>
              <w:jc w:val="both"/>
              <w:rPr>
                <w:rFonts w:ascii="Arial" w:hAnsi="Arial" w:cs="FrankRuehl"/>
                <w:sz w:val="28"/>
                <w:szCs w:val="28"/>
                <w:rtl/>
              </w:rPr>
            </w:pPr>
            <w:bookmarkStart w:id="1" w:name="FirstAppellant"/>
          </w:p>
          <w:p w14:paraId="6BF41780" w14:textId="77777777" w:rsidR="00BB74F1" w:rsidRPr="00205A15" w:rsidRDefault="00BB74F1">
            <w:pPr>
              <w:jc w:val="both"/>
              <w:rPr>
                <w:rFonts w:ascii="Arial" w:hAnsi="Arial" w:cs="FrankRuehl"/>
                <w:sz w:val="28"/>
                <w:szCs w:val="28"/>
                <w:rtl/>
              </w:rPr>
            </w:pPr>
          </w:p>
          <w:p w14:paraId="0E3688BB" w14:textId="77777777" w:rsidR="00BB74F1" w:rsidRPr="00205A15" w:rsidRDefault="00205A15">
            <w:pPr>
              <w:jc w:val="both"/>
              <w:rPr>
                <w:rFonts w:ascii="Arial" w:hAnsi="Arial" w:cs="FrankRuehl"/>
                <w:sz w:val="28"/>
                <w:szCs w:val="28"/>
              </w:rPr>
            </w:pPr>
            <w:r w:rsidRPr="00205A15">
              <w:rPr>
                <w:rFonts w:ascii="Arial" w:hAnsi="Arial" w:cs="FrankRuehl" w:hint="cs"/>
                <w:sz w:val="28"/>
                <w:szCs w:val="28"/>
                <w:rtl/>
              </w:rPr>
              <w:t>בעניין:</w:t>
            </w:r>
          </w:p>
        </w:tc>
        <w:tc>
          <w:tcPr>
            <w:tcW w:w="4126" w:type="dxa"/>
            <w:tcBorders>
              <w:top w:val="nil"/>
              <w:left w:val="nil"/>
              <w:bottom w:val="nil"/>
              <w:right w:val="nil"/>
            </w:tcBorders>
          </w:tcPr>
          <w:p w14:paraId="5D2831E4" w14:textId="77777777" w:rsidR="00BB74F1" w:rsidRPr="00205A15" w:rsidRDefault="00205A15">
            <w:r w:rsidRPr="00205A15">
              <w:rPr>
                <w:rFonts w:hint="cs"/>
                <w:rtl/>
              </w:rPr>
              <w:br/>
            </w:r>
            <w:r w:rsidRPr="00205A15">
              <w:rPr>
                <w:rFonts w:hint="cs"/>
                <w:rtl/>
              </w:rPr>
              <w:br/>
              <w:t>מדינת ישראל</w:t>
            </w:r>
          </w:p>
        </w:tc>
        <w:tc>
          <w:tcPr>
            <w:tcW w:w="3771" w:type="dxa"/>
            <w:tcBorders>
              <w:top w:val="nil"/>
              <w:left w:val="nil"/>
              <w:bottom w:val="nil"/>
              <w:right w:val="nil"/>
            </w:tcBorders>
          </w:tcPr>
          <w:p w14:paraId="6A0EEE5D" w14:textId="77777777" w:rsidR="00BB74F1" w:rsidRPr="00205A15" w:rsidRDefault="00BB74F1">
            <w:pPr>
              <w:jc w:val="both"/>
              <w:rPr>
                <w:rFonts w:ascii="Arial" w:hAnsi="Arial" w:cs="FrankRuehl"/>
                <w:sz w:val="28"/>
                <w:szCs w:val="28"/>
              </w:rPr>
            </w:pPr>
          </w:p>
        </w:tc>
      </w:tr>
      <w:bookmarkEnd w:id="1"/>
      <w:tr w:rsidR="00BB74F1" w:rsidRPr="00205A15" w14:paraId="2D45BD7B" w14:textId="77777777">
        <w:trPr>
          <w:trHeight w:val="355"/>
          <w:jc w:val="center"/>
        </w:trPr>
        <w:tc>
          <w:tcPr>
            <w:tcW w:w="923" w:type="dxa"/>
            <w:tcBorders>
              <w:top w:val="nil"/>
              <w:left w:val="nil"/>
              <w:bottom w:val="nil"/>
              <w:right w:val="nil"/>
            </w:tcBorders>
          </w:tcPr>
          <w:p w14:paraId="4D2FD742" w14:textId="77777777" w:rsidR="00BB74F1" w:rsidRPr="00205A15" w:rsidRDefault="00BB74F1">
            <w:pPr>
              <w:jc w:val="both"/>
              <w:rPr>
                <w:rFonts w:ascii="Arial" w:hAnsi="Arial" w:cs="FrankRuehl"/>
                <w:sz w:val="28"/>
                <w:szCs w:val="28"/>
                <w:rtl/>
              </w:rPr>
            </w:pPr>
          </w:p>
        </w:tc>
        <w:tc>
          <w:tcPr>
            <w:tcW w:w="4126" w:type="dxa"/>
            <w:tcBorders>
              <w:top w:val="nil"/>
              <w:left w:val="nil"/>
              <w:bottom w:val="nil"/>
              <w:right w:val="nil"/>
            </w:tcBorders>
          </w:tcPr>
          <w:p w14:paraId="3F61E99A" w14:textId="77777777" w:rsidR="00BB74F1" w:rsidRPr="00205A15" w:rsidRDefault="00BB74F1">
            <w:pPr>
              <w:jc w:val="both"/>
              <w:rPr>
                <w:rtl/>
              </w:rPr>
            </w:pPr>
          </w:p>
        </w:tc>
        <w:tc>
          <w:tcPr>
            <w:tcW w:w="3771" w:type="dxa"/>
            <w:tcBorders>
              <w:top w:val="nil"/>
              <w:left w:val="nil"/>
              <w:bottom w:val="nil"/>
              <w:right w:val="nil"/>
            </w:tcBorders>
          </w:tcPr>
          <w:p w14:paraId="2A4B7EA1" w14:textId="77777777" w:rsidR="00BB74F1" w:rsidRPr="00205A15" w:rsidRDefault="00205A15">
            <w:pPr>
              <w:jc w:val="right"/>
              <w:rPr>
                <w:rFonts w:ascii="Arial" w:hAnsi="Arial" w:cs="FrankRuehl"/>
                <w:sz w:val="28"/>
                <w:szCs w:val="28"/>
                <w:rtl/>
              </w:rPr>
            </w:pPr>
            <w:r w:rsidRPr="00205A15">
              <w:rPr>
                <w:rFonts w:ascii="Arial" w:hAnsi="Arial" w:cs="FrankRuehl" w:hint="cs"/>
                <w:sz w:val="28"/>
                <w:szCs w:val="28"/>
                <w:rtl/>
              </w:rPr>
              <w:t>ה</w:t>
            </w:r>
            <w:r w:rsidRPr="00205A15">
              <w:rPr>
                <w:rFonts w:hint="cs"/>
                <w:rtl/>
              </w:rPr>
              <w:t>מאשימה</w:t>
            </w:r>
          </w:p>
        </w:tc>
      </w:tr>
      <w:tr w:rsidR="00BB74F1" w:rsidRPr="00205A15" w14:paraId="3F482741" w14:textId="77777777">
        <w:trPr>
          <w:trHeight w:val="355"/>
          <w:jc w:val="center"/>
        </w:trPr>
        <w:tc>
          <w:tcPr>
            <w:tcW w:w="923" w:type="dxa"/>
            <w:tcBorders>
              <w:top w:val="nil"/>
              <w:left w:val="nil"/>
              <w:bottom w:val="nil"/>
              <w:right w:val="nil"/>
            </w:tcBorders>
          </w:tcPr>
          <w:p w14:paraId="6782ED1A" w14:textId="77777777" w:rsidR="00BB74F1" w:rsidRPr="00205A15" w:rsidRDefault="00BB74F1">
            <w:pPr>
              <w:jc w:val="both"/>
              <w:rPr>
                <w:rFonts w:ascii="Arial" w:hAnsi="Arial" w:cs="FrankRuehl"/>
                <w:sz w:val="28"/>
                <w:szCs w:val="28"/>
                <w:rtl/>
              </w:rPr>
            </w:pPr>
          </w:p>
        </w:tc>
        <w:tc>
          <w:tcPr>
            <w:tcW w:w="7897" w:type="dxa"/>
            <w:gridSpan w:val="2"/>
            <w:tcBorders>
              <w:top w:val="nil"/>
              <w:left w:val="nil"/>
              <w:bottom w:val="nil"/>
              <w:right w:val="nil"/>
            </w:tcBorders>
          </w:tcPr>
          <w:p w14:paraId="24CEDAFC" w14:textId="77777777" w:rsidR="00BB74F1" w:rsidRPr="00205A15" w:rsidRDefault="00BB74F1">
            <w:pPr>
              <w:rPr>
                <w:rFonts w:ascii="Arial" w:hAnsi="Arial" w:cs="FrankRuehl"/>
                <w:b/>
                <w:bCs/>
                <w:sz w:val="28"/>
                <w:szCs w:val="28"/>
                <w:rtl/>
              </w:rPr>
            </w:pPr>
          </w:p>
          <w:p w14:paraId="2EB3B589" w14:textId="77777777" w:rsidR="00BB74F1" w:rsidRPr="00205A15" w:rsidRDefault="00205A15">
            <w:pPr>
              <w:jc w:val="center"/>
              <w:rPr>
                <w:rFonts w:ascii="Arial" w:hAnsi="Arial" w:cs="FrankRuehl"/>
                <w:b/>
                <w:bCs/>
                <w:sz w:val="28"/>
                <w:szCs w:val="28"/>
              </w:rPr>
            </w:pPr>
            <w:r w:rsidRPr="00205A15">
              <w:rPr>
                <w:rFonts w:ascii="Arial" w:hAnsi="Arial" w:cs="FrankRuehl"/>
                <w:b/>
                <w:bCs/>
                <w:sz w:val="28"/>
                <w:szCs w:val="28"/>
                <w:rtl/>
              </w:rPr>
              <w:t>נגד</w:t>
            </w:r>
          </w:p>
        </w:tc>
      </w:tr>
      <w:tr w:rsidR="00BB74F1" w:rsidRPr="00205A15" w14:paraId="2C997CF0" w14:textId="77777777">
        <w:trPr>
          <w:trHeight w:val="355"/>
          <w:jc w:val="center"/>
        </w:trPr>
        <w:tc>
          <w:tcPr>
            <w:tcW w:w="923" w:type="dxa"/>
            <w:tcBorders>
              <w:top w:val="nil"/>
              <w:left w:val="nil"/>
              <w:bottom w:val="nil"/>
              <w:right w:val="nil"/>
            </w:tcBorders>
          </w:tcPr>
          <w:p w14:paraId="4E16C453" w14:textId="77777777" w:rsidR="00BB74F1" w:rsidRPr="00205A15" w:rsidRDefault="00BB74F1">
            <w:pPr>
              <w:rPr>
                <w:rFonts w:ascii="Arial" w:hAnsi="Arial" w:cs="FrankRuehl"/>
                <w:sz w:val="28"/>
                <w:szCs w:val="28"/>
                <w:rtl/>
              </w:rPr>
            </w:pPr>
          </w:p>
        </w:tc>
        <w:tc>
          <w:tcPr>
            <w:tcW w:w="4126" w:type="dxa"/>
            <w:tcBorders>
              <w:top w:val="nil"/>
              <w:left w:val="nil"/>
              <w:bottom w:val="nil"/>
              <w:right w:val="nil"/>
            </w:tcBorders>
          </w:tcPr>
          <w:p w14:paraId="5A768A94" w14:textId="77777777" w:rsidR="00BB74F1" w:rsidRPr="00205A15" w:rsidRDefault="00205A15">
            <w:pPr>
              <w:rPr>
                <w:rFonts w:hint="cs"/>
                <w:rtl/>
              </w:rPr>
            </w:pPr>
            <w:r w:rsidRPr="00205A15">
              <w:rPr>
                <w:rFonts w:hint="cs"/>
                <w:rtl/>
              </w:rPr>
              <w:br/>
            </w:r>
            <w:r w:rsidRPr="00205A15">
              <w:rPr>
                <w:rFonts w:hint="cs"/>
                <w:rtl/>
              </w:rPr>
              <w:br/>
            </w:r>
            <w:r w:rsidR="00351E01">
              <w:rPr>
                <w:rFonts w:hint="cs"/>
                <w:rtl/>
              </w:rPr>
              <w:t>פלוני</w:t>
            </w:r>
          </w:p>
        </w:tc>
        <w:tc>
          <w:tcPr>
            <w:tcW w:w="3771" w:type="dxa"/>
            <w:tcBorders>
              <w:top w:val="nil"/>
              <w:left w:val="nil"/>
              <w:bottom w:val="nil"/>
              <w:right w:val="nil"/>
            </w:tcBorders>
          </w:tcPr>
          <w:p w14:paraId="10AF3539" w14:textId="77777777" w:rsidR="00BB74F1" w:rsidRPr="00205A15" w:rsidRDefault="00BB74F1">
            <w:pPr>
              <w:rPr>
                <w:rFonts w:ascii="Arial" w:hAnsi="Arial" w:cs="FrankRuehl"/>
                <w:sz w:val="28"/>
                <w:szCs w:val="28"/>
              </w:rPr>
            </w:pPr>
          </w:p>
        </w:tc>
      </w:tr>
      <w:tr w:rsidR="00BB74F1" w:rsidRPr="00205A15" w14:paraId="6A57CFFF" w14:textId="77777777">
        <w:trPr>
          <w:trHeight w:val="355"/>
          <w:jc w:val="center"/>
        </w:trPr>
        <w:tc>
          <w:tcPr>
            <w:tcW w:w="923" w:type="dxa"/>
            <w:tcBorders>
              <w:top w:val="nil"/>
              <w:left w:val="nil"/>
              <w:bottom w:val="nil"/>
              <w:right w:val="nil"/>
            </w:tcBorders>
          </w:tcPr>
          <w:p w14:paraId="175AC3A1" w14:textId="77777777" w:rsidR="00BB74F1" w:rsidRPr="00205A15" w:rsidRDefault="00BB74F1">
            <w:pPr>
              <w:jc w:val="both"/>
              <w:rPr>
                <w:rFonts w:ascii="Arial" w:hAnsi="Arial" w:cs="FrankRuehl"/>
                <w:sz w:val="28"/>
                <w:szCs w:val="28"/>
                <w:rtl/>
              </w:rPr>
            </w:pPr>
          </w:p>
        </w:tc>
        <w:tc>
          <w:tcPr>
            <w:tcW w:w="4126" w:type="dxa"/>
            <w:tcBorders>
              <w:top w:val="nil"/>
              <w:left w:val="nil"/>
              <w:bottom w:val="nil"/>
              <w:right w:val="nil"/>
            </w:tcBorders>
          </w:tcPr>
          <w:p w14:paraId="100FB30F" w14:textId="77777777" w:rsidR="00BB74F1" w:rsidRPr="00205A15" w:rsidRDefault="00BB74F1">
            <w:pPr>
              <w:jc w:val="both"/>
              <w:rPr>
                <w:rtl/>
              </w:rPr>
            </w:pPr>
          </w:p>
        </w:tc>
        <w:tc>
          <w:tcPr>
            <w:tcW w:w="3771" w:type="dxa"/>
            <w:tcBorders>
              <w:top w:val="nil"/>
              <w:left w:val="nil"/>
              <w:bottom w:val="nil"/>
              <w:right w:val="nil"/>
            </w:tcBorders>
          </w:tcPr>
          <w:p w14:paraId="4555096F" w14:textId="77777777" w:rsidR="00BB74F1" w:rsidRPr="00205A15" w:rsidRDefault="00205A15">
            <w:pPr>
              <w:jc w:val="right"/>
              <w:rPr>
                <w:rFonts w:ascii="Arial" w:hAnsi="Arial" w:cs="FrankRuehl"/>
                <w:sz w:val="28"/>
                <w:szCs w:val="28"/>
              </w:rPr>
            </w:pPr>
            <w:r w:rsidRPr="00205A15">
              <w:rPr>
                <w:rFonts w:ascii="Arial" w:hAnsi="Arial" w:cs="FrankRuehl" w:hint="cs"/>
                <w:sz w:val="28"/>
                <w:szCs w:val="28"/>
                <w:rtl/>
              </w:rPr>
              <w:t>ה</w:t>
            </w:r>
            <w:r w:rsidRPr="00205A15">
              <w:rPr>
                <w:rFonts w:hint="cs"/>
                <w:rtl/>
              </w:rPr>
              <w:t>נאשם</w:t>
            </w:r>
          </w:p>
        </w:tc>
      </w:tr>
    </w:tbl>
    <w:p w14:paraId="45D36053" w14:textId="77777777" w:rsidR="00BB74F1" w:rsidRPr="00205A15" w:rsidRDefault="00BB74F1">
      <w:pPr>
        <w:rPr>
          <w:rtl/>
        </w:rPr>
      </w:pPr>
    </w:p>
    <w:p w14:paraId="59231F33" w14:textId="77777777" w:rsidR="00BB74F1" w:rsidRPr="00205A15" w:rsidRDefault="00205A15">
      <w:pPr>
        <w:ind w:firstLine="141"/>
        <w:rPr>
          <w:rtl/>
        </w:rPr>
      </w:pPr>
      <w:r w:rsidRPr="00205A15">
        <w:rPr>
          <w:rFonts w:hint="cs"/>
          <w:rtl/>
        </w:rPr>
        <w:t>למאשימה טען עו"ד שגב אדלר.</w:t>
      </w:r>
    </w:p>
    <w:p w14:paraId="3370D992" w14:textId="77777777" w:rsidR="00BB74F1" w:rsidRPr="00205A15" w:rsidRDefault="00205A15">
      <w:pPr>
        <w:rPr>
          <w:rtl/>
        </w:rPr>
      </w:pPr>
      <w:r w:rsidRPr="00205A15">
        <w:rPr>
          <w:rFonts w:hint="cs"/>
          <w:rtl/>
        </w:rPr>
        <w:tab/>
      </w:r>
    </w:p>
    <w:p w14:paraId="0B577B0D" w14:textId="77777777" w:rsidR="00BC3F67" w:rsidRDefault="00205A15" w:rsidP="00BC3F67">
      <w:pPr>
        <w:ind w:firstLine="141"/>
        <w:rPr>
          <w:rtl/>
        </w:rPr>
      </w:pPr>
      <w:r w:rsidRPr="00205A15">
        <w:rPr>
          <w:rFonts w:hint="cs"/>
          <w:rtl/>
        </w:rPr>
        <w:t>לנאשם טען עו"ד כנאענה  אברהים</w:t>
      </w:r>
      <w:bookmarkStart w:id="2" w:name="LawTable"/>
      <w:bookmarkEnd w:id="2"/>
    </w:p>
    <w:p w14:paraId="3618605D" w14:textId="77777777" w:rsidR="00BC3F67" w:rsidRPr="00BC3F67" w:rsidRDefault="00BC3F67" w:rsidP="00BC3F67">
      <w:pPr>
        <w:spacing w:after="120" w:line="240" w:lineRule="exact"/>
        <w:ind w:left="283" w:hanging="283"/>
        <w:jc w:val="both"/>
        <w:rPr>
          <w:rFonts w:ascii="FrankRuehl" w:hAnsi="FrankRuehl" w:cs="FrankRuehl"/>
          <w:rtl/>
        </w:rPr>
      </w:pPr>
    </w:p>
    <w:p w14:paraId="6035A3EE" w14:textId="77777777" w:rsidR="00BC3F67" w:rsidRPr="00BC3F67" w:rsidRDefault="00BC3F67" w:rsidP="00BC3F67">
      <w:pPr>
        <w:spacing w:after="120" w:line="240" w:lineRule="exact"/>
        <w:ind w:left="283" w:hanging="283"/>
        <w:jc w:val="both"/>
        <w:rPr>
          <w:rFonts w:ascii="FrankRuehl" w:hAnsi="FrankRuehl" w:cs="FrankRuehl"/>
          <w:rtl/>
        </w:rPr>
      </w:pPr>
      <w:r w:rsidRPr="00BC3F67">
        <w:rPr>
          <w:rFonts w:ascii="FrankRuehl" w:hAnsi="FrankRuehl" w:cs="FrankRuehl"/>
          <w:rtl/>
        </w:rPr>
        <w:t xml:space="preserve">חקיקה שאוזכרה: </w:t>
      </w:r>
    </w:p>
    <w:p w14:paraId="04DEBAA1" w14:textId="77777777" w:rsidR="00BC3F67" w:rsidRPr="00BC3F67" w:rsidRDefault="00BC3F67" w:rsidP="00BC3F67">
      <w:pPr>
        <w:spacing w:after="120" w:line="240" w:lineRule="exact"/>
        <w:ind w:left="283" w:hanging="283"/>
        <w:jc w:val="both"/>
        <w:rPr>
          <w:rFonts w:ascii="FrankRuehl" w:hAnsi="FrankRuehl" w:cs="FrankRuehl"/>
          <w:color w:val="0000FF"/>
          <w:u w:val="single"/>
          <w:rtl/>
        </w:rPr>
      </w:pPr>
      <w:hyperlink r:id="rId7" w:history="1">
        <w:r w:rsidRPr="00BC3F67">
          <w:rPr>
            <w:rStyle w:val="Hyperlink"/>
            <w:rFonts w:ascii="FrankRuehl" w:hAnsi="FrankRuehl" w:cs="FrankRuehl"/>
            <w:rtl/>
          </w:rPr>
          <w:t>חוק העונשין, תשל"ז-1977</w:t>
        </w:r>
      </w:hyperlink>
      <w:r w:rsidRPr="00BC3F67">
        <w:rPr>
          <w:rFonts w:ascii="FrankRuehl" w:hAnsi="FrankRuehl" w:cs="FrankRuehl"/>
          <w:color w:val="0000FF"/>
          <w:u w:val="single"/>
          <w:rtl/>
        </w:rPr>
        <w:t xml:space="preserve">: סע'  </w:t>
      </w:r>
      <w:hyperlink r:id="rId8" w:history="1">
        <w:r w:rsidRPr="00BC3F67">
          <w:rPr>
            <w:rStyle w:val="Hyperlink"/>
            <w:rFonts w:ascii="FrankRuehl" w:hAnsi="FrankRuehl" w:cs="FrankRuehl"/>
          </w:rPr>
          <w:t>144(</w:t>
        </w:r>
        <w:r w:rsidRPr="00BC3F67">
          <w:rPr>
            <w:rStyle w:val="Hyperlink"/>
            <w:rFonts w:ascii="FrankRuehl" w:hAnsi="FrankRuehl" w:cs="FrankRuehl"/>
            <w:rtl/>
          </w:rPr>
          <w:t>ב</w:t>
        </w:r>
        <w:r w:rsidRPr="00BC3F67">
          <w:rPr>
            <w:rStyle w:val="Hyperlink"/>
            <w:rFonts w:ascii="FrankRuehl" w:hAnsi="FrankRuehl" w:cs="FrankRuehl"/>
          </w:rPr>
          <w:t>)</w:t>
        </w:r>
      </w:hyperlink>
    </w:p>
    <w:p w14:paraId="6FAA6BCE" w14:textId="77777777" w:rsidR="00BC3F67" w:rsidRPr="00BC3F67" w:rsidRDefault="00BC3F67" w:rsidP="00BC3F67">
      <w:pPr>
        <w:spacing w:after="120" w:line="240" w:lineRule="exact"/>
        <w:ind w:left="283" w:hanging="283"/>
        <w:jc w:val="both"/>
        <w:rPr>
          <w:rFonts w:ascii="FrankRuehl" w:hAnsi="FrankRuehl" w:cs="FrankRuehl"/>
          <w:color w:val="0000FF"/>
          <w:u w:val="single"/>
          <w:rtl/>
        </w:rPr>
      </w:pPr>
      <w:hyperlink r:id="rId9" w:history="1">
        <w:r w:rsidRPr="00BC3F67">
          <w:rPr>
            <w:rStyle w:val="Hyperlink"/>
            <w:rFonts w:ascii="FrankRuehl" w:hAnsi="FrankRuehl" w:cs="FrankRuehl"/>
            <w:rtl/>
          </w:rPr>
          <w:t>חוק הנוער (שפיטה, ענישה ודרכי טיפול), תשל"א-1971</w:t>
        </w:r>
      </w:hyperlink>
    </w:p>
    <w:p w14:paraId="77F6BC50" w14:textId="77777777" w:rsidR="00BC3F67" w:rsidRPr="00BC3F67" w:rsidRDefault="00BC3F67" w:rsidP="00BC3F67">
      <w:pPr>
        <w:spacing w:after="120" w:line="240" w:lineRule="exact"/>
        <w:ind w:left="283" w:hanging="283"/>
        <w:jc w:val="both"/>
        <w:rPr>
          <w:rFonts w:ascii="FrankRuehl" w:hAnsi="FrankRuehl" w:cs="FrankRuehl"/>
          <w:rtl/>
        </w:rPr>
      </w:pPr>
    </w:p>
    <w:p w14:paraId="4FA33A47" w14:textId="77777777" w:rsidR="00BC3F67" w:rsidRPr="00BC3F67" w:rsidRDefault="00BC3F67" w:rsidP="00BC3F67">
      <w:pPr>
        <w:ind w:firstLine="141"/>
        <w:rPr>
          <w:rtl/>
        </w:rPr>
      </w:pPr>
      <w:bookmarkStart w:id="3" w:name="LawTable_End"/>
      <w:bookmarkEnd w:id="3"/>
    </w:p>
    <w:p w14:paraId="43FFA151" w14:textId="77777777" w:rsidR="00BC3F67" w:rsidRPr="00BC3F67" w:rsidRDefault="00BC3F67" w:rsidP="00BC3F67">
      <w:pPr>
        <w:ind w:firstLine="141"/>
        <w:rPr>
          <w:rtl/>
        </w:rPr>
      </w:pPr>
    </w:p>
    <w:p w14:paraId="40DC6D01" w14:textId="77777777" w:rsidR="002D0504" w:rsidRPr="002D0504" w:rsidRDefault="00205A15" w:rsidP="00BC3F67">
      <w:pPr>
        <w:ind w:firstLine="141"/>
        <w:rPr>
          <w:rFonts w:ascii="FrankRuehl" w:hAnsi="FrankRuehl" w:cs="FrankRuehl"/>
          <w:rtl/>
        </w:rPr>
      </w:pPr>
      <w:r w:rsidRPr="00BC3F67">
        <w:rPr>
          <w:rFonts w:hint="cs"/>
          <w:rtl/>
        </w:rPr>
        <w:t>.</w:t>
      </w:r>
      <w:r w:rsidR="00BC3F67" w:rsidRPr="002D0504">
        <w:rPr>
          <w:rFonts w:ascii="FrankRuehl" w:hAnsi="FrankRuehl" w:cs="FrankRuehl"/>
          <w:rtl/>
        </w:rPr>
        <w:t xml:space="preserve"> </w:t>
      </w:r>
    </w:p>
    <w:p w14:paraId="634E8B44" w14:textId="77777777" w:rsidR="002D0504" w:rsidRPr="002D0504" w:rsidRDefault="002D0504">
      <w:pPr>
        <w:ind w:firstLine="141"/>
        <w:rPr>
          <w:rtl/>
        </w:rPr>
      </w:pPr>
    </w:p>
    <w:p w14:paraId="5741899E" w14:textId="77777777" w:rsidR="002D0504" w:rsidRPr="002D0504" w:rsidRDefault="002D0504">
      <w:pPr>
        <w:ind w:firstLine="141"/>
        <w:rPr>
          <w:rtl/>
        </w:rPr>
      </w:pPr>
    </w:p>
    <w:p w14:paraId="08494B0B" w14:textId="77777777" w:rsidR="00BB74F1" w:rsidRPr="002D0504" w:rsidRDefault="00BB74F1">
      <w:pPr>
        <w:ind w:firstLine="141"/>
        <w:rPr>
          <w:rtl/>
        </w:rPr>
      </w:pPr>
    </w:p>
    <w:p w14:paraId="7ED093E6" w14:textId="77777777" w:rsidR="00007859" w:rsidRPr="00007859" w:rsidRDefault="00007859">
      <w:pPr>
        <w:rPr>
          <w:rtl/>
        </w:rPr>
      </w:pPr>
    </w:p>
    <w:p w14:paraId="22C6D385" w14:textId="77777777" w:rsidR="00007859" w:rsidRPr="00007859" w:rsidRDefault="00007859">
      <w:pPr>
        <w:rPr>
          <w:rtl/>
        </w:rPr>
      </w:pPr>
    </w:p>
    <w:p w14:paraId="40AD5D9F" w14:textId="77777777" w:rsidR="00BB74F1" w:rsidRPr="00007859" w:rsidRDefault="00BB74F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74F1" w14:paraId="129E57F0" w14:textId="77777777">
        <w:trPr>
          <w:trHeight w:val="355"/>
          <w:jc w:val="center"/>
        </w:trPr>
        <w:tc>
          <w:tcPr>
            <w:tcW w:w="8820" w:type="dxa"/>
            <w:tcBorders>
              <w:top w:val="nil"/>
              <w:left w:val="nil"/>
              <w:bottom w:val="nil"/>
              <w:right w:val="nil"/>
            </w:tcBorders>
          </w:tcPr>
          <w:p w14:paraId="55ED8177" w14:textId="77777777" w:rsidR="00205A15" w:rsidRPr="00205A15" w:rsidRDefault="00205A15" w:rsidP="00205A15">
            <w:pPr>
              <w:jc w:val="center"/>
              <w:rPr>
                <w:rFonts w:ascii="Arial" w:hAnsi="Arial" w:cs="FrankRuehl"/>
                <w:b/>
                <w:bCs/>
                <w:sz w:val="32"/>
                <w:szCs w:val="32"/>
                <w:u w:val="single"/>
                <w:rtl/>
              </w:rPr>
            </w:pPr>
            <w:bookmarkStart w:id="4" w:name="PsakDin" w:colFirst="0" w:colLast="0"/>
            <w:bookmarkEnd w:id="0"/>
            <w:r w:rsidRPr="00205A15">
              <w:rPr>
                <w:rFonts w:ascii="Arial" w:hAnsi="Arial" w:cs="FrankRuehl"/>
                <w:b/>
                <w:bCs/>
                <w:sz w:val="32"/>
                <w:szCs w:val="32"/>
                <w:u w:val="single"/>
                <w:rtl/>
              </w:rPr>
              <w:t>גזר דין</w:t>
            </w:r>
          </w:p>
          <w:p w14:paraId="138C90DE" w14:textId="77777777" w:rsidR="00BB74F1" w:rsidRPr="00205A15" w:rsidRDefault="00BB74F1" w:rsidP="00205A15">
            <w:pPr>
              <w:jc w:val="center"/>
              <w:rPr>
                <w:rFonts w:ascii="Arial" w:hAnsi="Arial" w:cs="FrankRuehl"/>
                <w:bCs/>
                <w:sz w:val="32"/>
                <w:szCs w:val="32"/>
                <w:u w:val="single"/>
                <w:rtl/>
              </w:rPr>
            </w:pPr>
          </w:p>
        </w:tc>
      </w:tr>
      <w:bookmarkEnd w:id="4"/>
    </w:tbl>
    <w:p w14:paraId="5FA04A02" w14:textId="77777777" w:rsidR="00BB74F1" w:rsidRDefault="00BB74F1">
      <w:pPr>
        <w:rPr>
          <w:rFonts w:ascii="Arial" w:hAnsi="Arial"/>
          <w:rtl/>
        </w:rPr>
      </w:pPr>
    </w:p>
    <w:p w14:paraId="234414EE" w14:textId="77777777" w:rsidR="00BB74F1" w:rsidRDefault="00205A15">
      <w:pPr>
        <w:rPr>
          <w:b/>
          <w:bCs/>
          <w:color w:val="000000"/>
          <w:u w:val="single"/>
          <w:rtl/>
        </w:rPr>
      </w:pPr>
      <w:r>
        <w:rPr>
          <w:b/>
          <w:bCs/>
          <w:color w:val="000000"/>
          <w:rtl/>
        </w:rPr>
        <w:tab/>
      </w:r>
      <w:r>
        <w:rPr>
          <w:b/>
          <w:bCs/>
          <w:color w:val="000000"/>
          <w:u w:val="single"/>
          <w:rtl/>
        </w:rPr>
        <w:t>מבוא:</w:t>
      </w:r>
    </w:p>
    <w:p w14:paraId="05E3BF03" w14:textId="77777777" w:rsidR="00BB74F1" w:rsidRDefault="00BB74F1">
      <w:pPr>
        <w:spacing w:line="360" w:lineRule="auto"/>
        <w:ind w:left="720" w:hanging="720"/>
        <w:rPr>
          <w:color w:val="000000"/>
          <w:rtl/>
        </w:rPr>
      </w:pPr>
    </w:p>
    <w:p w14:paraId="0D2393AF" w14:textId="77777777" w:rsidR="00BB74F1" w:rsidRDefault="00205A15">
      <w:pPr>
        <w:spacing w:line="360" w:lineRule="auto"/>
        <w:ind w:left="746" w:hanging="720"/>
        <w:jc w:val="both"/>
        <w:rPr>
          <w:color w:val="000000"/>
          <w:rtl/>
        </w:rPr>
      </w:pPr>
      <w:r>
        <w:rPr>
          <w:b/>
          <w:bCs/>
          <w:color w:val="000000"/>
          <w:rtl/>
        </w:rPr>
        <w:t>1.</w:t>
      </w:r>
      <w:r>
        <w:rPr>
          <w:b/>
          <w:bCs/>
          <w:color w:val="000000"/>
          <w:rtl/>
        </w:rPr>
        <w:tab/>
      </w:r>
      <w:bookmarkStart w:id="5" w:name="ABSTRACT_START"/>
      <w:bookmarkEnd w:id="5"/>
      <w:r>
        <w:rPr>
          <w:color w:val="000000"/>
          <w:rtl/>
        </w:rPr>
        <w:t xml:space="preserve">הנאשם הובא לדין בגין עבירות בנשק, עבירה לפי </w:t>
      </w:r>
      <w:hyperlink r:id="rId10" w:history="1">
        <w:r w:rsidR="002D0504" w:rsidRPr="002D0504">
          <w:rPr>
            <w:rStyle w:val="Hyperlink"/>
            <w:rtl/>
          </w:rPr>
          <w:t>סעיף 144(ב)</w:t>
        </w:r>
      </w:hyperlink>
      <w:r>
        <w:rPr>
          <w:color w:val="000000"/>
          <w:rtl/>
        </w:rPr>
        <w:t xml:space="preserve"> ל</w:t>
      </w:r>
      <w:hyperlink r:id="rId11" w:history="1">
        <w:r w:rsidR="00007859" w:rsidRPr="00007859">
          <w:rPr>
            <w:rStyle w:val="Hyperlink"/>
            <w:rtl/>
          </w:rPr>
          <w:t>חוק העונשין</w:t>
        </w:r>
      </w:hyperlink>
      <w:r>
        <w:rPr>
          <w:color w:val="000000"/>
          <w:rtl/>
        </w:rPr>
        <w:t xml:space="preserve"> תשל"ז – 1977 </w:t>
      </w:r>
      <w:bookmarkStart w:id="6" w:name="ABSTRACT_END"/>
      <w:bookmarkEnd w:id="6"/>
      <w:r>
        <w:rPr>
          <w:color w:val="000000"/>
          <w:rtl/>
        </w:rPr>
        <w:t>(להלן: "</w:t>
      </w:r>
      <w:r>
        <w:rPr>
          <w:b/>
          <w:bCs/>
          <w:color w:val="000000"/>
          <w:rtl/>
        </w:rPr>
        <w:t>חוק העונשין</w:t>
      </w:r>
      <w:r>
        <w:rPr>
          <w:color w:val="000000"/>
          <w:rtl/>
        </w:rPr>
        <w:t xml:space="preserve">"). </w:t>
      </w:r>
    </w:p>
    <w:p w14:paraId="28E55FE4" w14:textId="77777777" w:rsidR="00BB74F1" w:rsidRDefault="00BB74F1">
      <w:pPr>
        <w:spacing w:line="360" w:lineRule="auto"/>
        <w:ind w:left="720" w:hanging="720"/>
        <w:rPr>
          <w:color w:val="000000"/>
          <w:rtl/>
        </w:rPr>
      </w:pPr>
    </w:p>
    <w:p w14:paraId="029C73F7" w14:textId="77777777" w:rsidR="00BB74F1" w:rsidRDefault="00205A15">
      <w:pPr>
        <w:spacing w:line="360" w:lineRule="auto"/>
        <w:rPr>
          <w:b/>
          <w:bCs/>
          <w:color w:val="000000"/>
          <w:u w:val="single"/>
          <w:rtl/>
        </w:rPr>
      </w:pPr>
      <w:r>
        <w:rPr>
          <w:color w:val="000000"/>
          <w:rtl/>
        </w:rPr>
        <w:tab/>
      </w:r>
      <w:r>
        <w:rPr>
          <w:b/>
          <w:bCs/>
          <w:color w:val="000000"/>
          <w:u w:val="single"/>
          <w:rtl/>
        </w:rPr>
        <w:t>עובדות כתב האישום המתוקן:</w:t>
      </w:r>
    </w:p>
    <w:p w14:paraId="47197ECE" w14:textId="77777777" w:rsidR="00BB74F1" w:rsidRDefault="00BB74F1">
      <w:pPr>
        <w:spacing w:line="360" w:lineRule="auto"/>
        <w:rPr>
          <w:color w:val="000000"/>
          <w:rtl/>
        </w:rPr>
      </w:pPr>
    </w:p>
    <w:p w14:paraId="382287E5" w14:textId="77777777" w:rsidR="00BB74F1" w:rsidRDefault="00205A15">
      <w:pPr>
        <w:spacing w:line="360" w:lineRule="auto"/>
        <w:ind w:left="746" w:hanging="720"/>
        <w:jc w:val="both"/>
        <w:rPr>
          <w:color w:val="000000"/>
          <w:rtl/>
        </w:rPr>
      </w:pPr>
      <w:r>
        <w:rPr>
          <w:b/>
          <w:bCs/>
          <w:color w:val="000000"/>
          <w:rtl/>
        </w:rPr>
        <w:lastRenderedPageBreak/>
        <w:t>2.</w:t>
      </w:r>
      <w:r>
        <w:rPr>
          <w:b/>
          <w:bCs/>
          <w:color w:val="000000"/>
          <w:rtl/>
        </w:rPr>
        <w:tab/>
      </w:r>
      <w:r>
        <w:rPr>
          <w:color w:val="000000"/>
          <w:rtl/>
        </w:rPr>
        <w:t>בעובדות כתב האישום המתוקן נטען, כי החל משנת 2008, נשא הנאשם אקד</w:t>
      </w:r>
      <w:r>
        <w:rPr>
          <w:rFonts w:hint="cs"/>
          <w:color w:val="000000"/>
          <w:rtl/>
        </w:rPr>
        <w:t>ח</w:t>
      </w:r>
      <w:r>
        <w:rPr>
          <w:color w:val="000000"/>
          <w:rtl/>
        </w:rPr>
        <w:t xml:space="preserve"> תקני בצבע כסף עם מחסנית תואמת (להלן: "</w:t>
      </w:r>
      <w:r>
        <w:rPr>
          <w:b/>
          <w:bCs/>
          <w:color w:val="000000"/>
          <w:rtl/>
        </w:rPr>
        <w:t>האקדח</w:t>
      </w:r>
      <w:r>
        <w:rPr>
          <w:color w:val="000000"/>
          <w:rtl/>
        </w:rPr>
        <w:t>").</w:t>
      </w:r>
    </w:p>
    <w:p w14:paraId="1FC42B9E" w14:textId="77777777" w:rsidR="00BB74F1" w:rsidRDefault="00BB74F1">
      <w:pPr>
        <w:spacing w:line="360" w:lineRule="auto"/>
        <w:rPr>
          <w:color w:val="000000"/>
          <w:rtl/>
        </w:rPr>
      </w:pPr>
    </w:p>
    <w:p w14:paraId="43CA148E" w14:textId="77777777" w:rsidR="00BB74F1" w:rsidRDefault="00205A15">
      <w:pPr>
        <w:spacing w:line="360" w:lineRule="auto"/>
        <w:ind w:left="720" w:hanging="720"/>
        <w:jc w:val="both"/>
        <w:rPr>
          <w:color w:val="000000"/>
          <w:rtl/>
        </w:rPr>
      </w:pPr>
      <w:r>
        <w:rPr>
          <w:b/>
          <w:bCs/>
          <w:color w:val="000000"/>
          <w:rtl/>
        </w:rPr>
        <w:t>3</w:t>
      </w:r>
      <w:r>
        <w:rPr>
          <w:color w:val="000000"/>
          <w:rtl/>
        </w:rPr>
        <w:t>.</w:t>
      </w:r>
      <w:r>
        <w:rPr>
          <w:color w:val="000000"/>
          <w:rtl/>
        </w:rPr>
        <w:tab/>
        <w:t>ביום 6.8.12, הסליק הנאשם  את האקדח בתוך מגבת בצבע צהוב</w:t>
      </w:r>
      <w:r>
        <w:rPr>
          <w:rFonts w:hint="cs"/>
          <w:color w:val="000000"/>
          <w:rtl/>
        </w:rPr>
        <w:t xml:space="preserve"> </w:t>
      </w:r>
      <w:r>
        <w:rPr>
          <w:color w:val="000000"/>
          <w:rtl/>
        </w:rPr>
        <w:t>- לבן ושקית ניילון נצמד כחול מתחת לכיסא הנהג ברכב  מסוג "פולקסווגן, שהיה בחזקתו (להלן: "</w:t>
      </w:r>
      <w:r>
        <w:rPr>
          <w:b/>
          <w:bCs/>
          <w:color w:val="000000"/>
          <w:rtl/>
        </w:rPr>
        <w:t>הרכב</w:t>
      </w:r>
      <w:r>
        <w:rPr>
          <w:color w:val="000000"/>
          <w:rtl/>
        </w:rPr>
        <w:t xml:space="preserve">"). </w:t>
      </w:r>
    </w:p>
    <w:p w14:paraId="3A83625B" w14:textId="77777777" w:rsidR="00BB74F1" w:rsidRDefault="00BB74F1">
      <w:pPr>
        <w:spacing w:line="360" w:lineRule="auto"/>
        <w:rPr>
          <w:color w:val="000000"/>
          <w:rtl/>
        </w:rPr>
      </w:pPr>
    </w:p>
    <w:p w14:paraId="5D60FD92" w14:textId="77777777" w:rsidR="00BB74F1" w:rsidRDefault="00205A15">
      <w:pPr>
        <w:spacing w:line="360" w:lineRule="auto"/>
        <w:ind w:left="720" w:hanging="720"/>
        <w:jc w:val="both"/>
        <w:rPr>
          <w:color w:val="000000"/>
          <w:rtl/>
        </w:rPr>
      </w:pPr>
      <w:r>
        <w:rPr>
          <w:b/>
          <w:bCs/>
          <w:color w:val="000000"/>
          <w:rtl/>
        </w:rPr>
        <w:t>4</w:t>
      </w:r>
      <w:r>
        <w:rPr>
          <w:color w:val="000000"/>
          <w:rtl/>
        </w:rPr>
        <w:t>.</w:t>
      </w:r>
      <w:r>
        <w:rPr>
          <w:color w:val="000000"/>
          <w:rtl/>
        </w:rPr>
        <w:tab/>
        <w:t>באותו יום, בשעה 20:40, נשא הנאשם את האקדח, כשהוא מוס</w:t>
      </w:r>
      <w:r>
        <w:rPr>
          <w:rFonts w:hint="cs"/>
          <w:color w:val="000000"/>
          <w:rtl/>
        </w:rPr>
        <w:t>תר</w:t>
      </w:r>
      <w:r>
        <w:rPr>
          <w:color w:val="000000"/>
          <w:rtl/>
        </w:rPr>
        <w:t xml:space="preserve"> כאמור, באמצעות הרכב, מביתו שבכפר קרע לתחנת הדלק בשכונת עין ג'ראח באום אל פחם.</w:t>
      </w:r>
    </w:p>
    <w:p w14:paraId="6CECB2F0" w14:textId="77777777" w:rsidR="00BB74F1" w:rsidRDefault="00BB74F1">
      <w:pPr>
        <w:spacing w:line="360" w:lineRule="auto"/>
        <w:rPr>
          <w:color w:val="000000"/>
          <w:rtl/>
        </w:rPr>
      </w:pPr>
    </w:p>
    <w:p w14:paraId="4F99866A" w14:textId="77777777" w:rsidR="00BB74F1" w:rsidRDefault="00205A15">
      <w:pPr>
        <w:spacing w:line="360" w:lineRule="auto"/>
        <w:ind w:left="720" w:hanging="720"/>
        <w:jc w:val="both"/>
        <w:rPr>
          <w:color w:val="000000"/>
          <w:rtl/>
        </w:rPr>
      </w:pPr>
      <w:r>
        <w:rPr>
          <w:b/>
          <w:bCs/>
          <w:color w:val="000000"/>
          <w:rtl/>
        </w:rPr>
        <w:t>5</w:t>
      </w:r>
      <w:r>
        <w:rPr>
          <w:color w:val="000000"/>
          <w:rtl/>
        </w:rPr>
        <w:t>.</w:t>
      </w:r>
      <w:r>
        <w:rPr>
          <w:color w:val="000000"/>
          <w:rtl/>
        </w:rPr>
        <w:tab/>
        <w:t xml:space="preserve">במעשיו הנ"ל, נשא הנאשם והוביל אקדח בלא רשות על פי דין. המדובר בכלי  נשק שסוגל להמית אדם. </w:t>
      </w:r>
      <w:r>
        <w:rPr>
          <w:rFonts w:hint="cs"/>
          <w:color w:val="000000"/>
          <w:rtl/>
        </w:rPr>
        <w:t xml:space="preserve"> </w:t>
      </w:r>
    </w:p>
    <w:p w14:paraId="4FC679A2" w14:textId="77777777" w:rsidR="00BB74F1" w:rsidRDefault="00BB74F1">
      <w:pPr>
        <w:spacing w:line="360" w:lineRule="auto"/>
        <w:ind w:left="720" w:hanging="720"/>
        <w:jc w:val="both"/>
        <w:rPr>
          <w:color w:val="000000"/>
          <w:rtl/>
        </w:rPr>
      </w:pPr>
    </w:p>
    <w:p w14:paraId="0C350FA0" w14:textId="77777777" w:rsidR="00BB74F1" w:rsidRDefault="00205A15">
      <w:pPr>
        <w:spacing w:line="360" w:lineRule="auto"/>
        <w:jc w:val="both"/>
        <w:rPr>
          <w:b/>
          <w:bCs/>
          <w:color w:val="000000"/>
          <w:u w:val="single"/>
          <w:rtl/>
        </w:rPr>
      </w:pPr>
      <w:r>
        <w:rPr>
          <w:b/>
          <w:bCs/>
          <w:color w:val="000000"/>
          <w:rtl/>
        </w:rPr>
        <w:tab/>
      </w:r>
      <w:r>
        <w:rPr>
          <w:b/>
          <w:bCs/>
          <w:color w:val="000000"/>
          <w:u w:val="single"/>
          <w:rtl/>
        </w:rPr>
        <w:t>הסדר הטיעון:</w:t>
      </w:r>
    </w:p>
    <w:p w14:paraId="6AA52372" w14:textId="77777777" w:rsidR="00BB74F1" w:rsidRDefault="00BB74F1">
      <w:pPr>
        <w:spacing w:line="360" w:lineRule="auto"/>
        <w:ind w:left="720" w:hanging="720"/>
        <w:jc w:val="both"/>
        <w:rPr>
          <w:color w:val="000000"/>
          <w:rtl/>
        </w:rPr>
      </w:pPr>
    </w:p>
    <w:p w14:paraId="5C4DC0B4" w14:textId="77777777" w:rsidR="00BB74F1" w:rsidRDefault="00205A15">
      <w:pPr>
        <w:spacing w:line="360" w:lineRule="auto"/>
        <w:ind w:left="720" w:hanging="720"/>
        <w:jc w:val="both"/>
        <w:rPr>
          <w:color w:val="000000"/>
          <w:rtl/>
        </w:rPr>
      </w:pPr>
      <w:r>
        <w:rPr>
          <w:b/>
          <w:bCs/>
          <w:color w:val="000000"/>
          <w:rtl/>
        </w:rPr>
        <w:t>6</w:t>
      </w:r>
      <w:r>
        <w:rPr>
          <w:color w:val="000000"/>
          <w:rtl/>
        </w:rPr>
        <w:t>.</w:t>
      </w:r>
      <w:r>
        <w:rPr>
          <w:color w:val="000000"/>
          <w:rtl/>
        </w:rPr>
        <w:tab/>
        <w:t>הצדדים הגיעו לידי הסדר טיעון, לפיו יחזור בו הנאשם מכפירתו, יודה בעובדות כתב האישום המתוק ויורשע. עוד הוסכם כי הטיעון לעונש יהיה חופשי.</w:t>
      </w:r>
    </w:p>
    <w:p w14:paraId="2DE68FA2" w14:textId="77777777" w:rsidR="00BB74F1" w:rsidRDefault="00205A15">
      <w:pPr>
        <w:spacing w:line="360" w:lineRule="auto"/>
        <w:jc w:val="both"/>
        <w:rPr>
          <w:color w:val="000000"/>
          <w:rtl/>
        </w:rPr>
      </w:pPr>
      <w:r>
        <w:rPr>
          <w:color w:val="000000"/>
          <w:rtl/>
        </w:rPr>
        <w:tab/>
      </w:r>
    </w:p>
    <w:p w14:paraId="01211651" w14:textId="77777777" w:rsidR="00BB74F1" w:rsidRDefault="00205A15">
      <w:pPr>
        <w:spacing w:line="360" w:lineRule="auto"/>
        <w:ind w:left="720" w:hanging="720"/>
        <w:jc w:val="both"/>
        <w:rPr>
          <w:color w:val="000000"/>
          <w:rtl/>
        </w:rPr>
      </w:pPr>
      <w:r>
        <w:rPr>
          <w:b/>
          <w:bCs/>
          <w:color w:val="000000"/>
          <w:rtl/>
        </w:rPr>
        <w:t>7</w:t>
      </w:r>
      <w:r>
        <w:rPr>
          <w:color w:val="000000"/>
          <w:rtl/>
        </w:rPr>
        <w:t>.</w:t>
      </w:r>
      <w:r>
        <w:rPr>
          <w:color w:val="000000"/>
          <w:rtl/>
        </w:rPr>
        <w:tab/>
        <w:t xml:space="preserve">הנאשם </w:t>
      </w:r>
      <w:r>
        <w:rPr>
          <w:rFonts w:hint="cs"/>
          <w:color w:val="000000"/>
          <w:rtl/>
        </w:rPr>
        <w:t>חזר בו מכפירתו, הודה ו</w:t>
      </w:r>
      <w:r>
        <w:rPr>
          <w:color w:val="000000"/>
          <w:rtl/>
        </w:rPr>
        <w:t xml:space="preserve">הורשע עפ"י הודאתו במסגרת הסדר טיעון, בעובדות כתב האישום המתוקן, בעבירות בנשק, לפי </w:t>
      </w:r>
      <w:hyperlink r:id="rId12" w:history="1">
        <w:r w:rsidR="002D0504" w:rsidRPr="002D0504">
          <w:rPr>
            <w:rStyle w:val="Hyperlink"/>
            <w:rtl/>
          </w:rPr>
          <w:t>סעיף 144(ב)</w:t>
        </w:r>
      </w:hyperlink>
      <w:r>
        <w:rPr>
          <w:color w:val="000000"/>
          <w:rtl/>
        </w:rPr>
        <w:t xml:space="preserve"> ל</w:t>
      </w:r>
      <w:hyperlink r:id="rId13" w:history="1">
        <w:r w:rsidR="00007859" w:rsidRPr="00007859">
          <w:rPr>
            <w:rStyle w:val="Hyperlink"/>
            <w:rtl/>
          </w:rPr>
          <w:t>חוק העונשין</w:t>
        </w:r>
      </w:hyperlink>
      <w:r>
        <w:rPr>
          <w:color w:val="000000"/>
          <w:rtl/>
        </w:rPr>
        <w:t xml:space="preserve">. </w:t>
      </w:r>
    </w:p>
    <w:p w14:paraId="6D61DA72" w14:textId="77777777" w:rsidR="00BB74F1" w:rsidRDefault="00BB74F1">
      <w:pPr>
        <w:spacing w:line="360" w:lineRule="auto"/>
        <w:jc w:val="both"/>
        <w:rPr>
          <w:color w:val="000000"/>
          <w:rtl/>
        </w:rPr>
      </w:pPr>
    </w:p>
    <w:p w14:paraId="5E062A05" w14:textId="77777777" w:rsidR="00BB74F1" w:rsidRDefault="00205A15">
      <w:pPr>
        <w:spacing w:line="360" w:lineRule="auto"/>
        <w:jc w:val="both"/>
        <w:rPr>
          <w:color w:val="000000"/>
          <w:rtl/>
        </w:rPr>
      </w:pPr>
      <w:r>
        <w:rPr>
          <w:b/>
          <w:bCs/>
          <w:color w:val="000000"/>
          <w:rtl/>
        </w:rPr>
        <w:t>8.</w:t>
      </w:r>
      <w:r>
        <w:rPr>
          <w:color w:val="000000"/>
          <w:rtl/>
        </w:rPr>
        <w:tab/>
        <w:t>הנאשם נשלח לשירות המבחן לקבלת תסקיר.</w:t>
      </w:r>
    </w:p>
    <w:p w14:paraId="2D86E8B2" w14:textId="77777777" w:rsidR="00BB74F1" w:rsidRDefault="00BB74F1">
      <w:pPr>
        <w:spacing w:line="360" w:lineRule="auto"/>
        <w:jc w:val="both"/>
        <w:rPr>
          <w:color w:val="000000"/>
          <w:rtl/>
        </w:rPr>
      </w:pPr>
    </w:p>
    <w:p w14:paraId="2B99B734" w14:textId="77777777" w:rsidR="00BB74F1" w:rsidRDefault="00205A15">
      <w:pPr>
        <w:spacing w:line="360" w:lineRule="auto"/>
        <w:jc w:val="both"/>
        <w:rPr>
          <w:b/>
          <w:bCs/>
          <w:color w:val="000000"/>
          <w:u w:val="single"/>
          <w:rtl/>
        </w:rPr>
      </w:pPr>
      <w:r>
        <w:rPr>
          <w:color w:val="000000"/>
          <w:rtl/>
        </w:rPr>
        <w:tab/>
      </w:r>
      <w:r>
        <w:rPr>
          <w:b/>
          <w:bCs/>
          <w:color w:val="000000"/>
          <w:u w:val="single"/>
          <w:rtl/>
        </w:rPr>
        <w:t>תסקיר שירות המבחן:</w:t>
      </w:r>
    </w:p>
    <w:p w14:paraId="431604C1" w14:textId="77777777" w:rsidR="00BB74F1" w:rsidRDefault="00BB74F1">
      <w:pPr>
        <w:spacing w:line="360" w:lineRule="auto"/>
        <w:jc w:val="both"/>
        <w:rPr>
          <w:color w:val="000000"/>
          <w:rtl/>
        </w:rPr>
      </w:pPr>
    </w:p>
    <w:p w14:paraId="3EC1492A" w14:textId="77777777" w:rsidR="00BB74F1" w:rsidRDefault="00205A15">
      <w:pPr>
        <w:spacing w:line="360" w:lineRule="auto"/>
        <w:ind w:left="720" w:hanging="720"/>
        <w:jc w:val="both"/>
        <w:rPr>
          <w:color w:val="000000"/>
          <w:rtl/>
        </w:rPr>
      </w:pPr>
      <w:r>
        <w:rPr>
          <w:b/>
          <w:bCs/>
          <w:color w:val="000000"/>
          <w:rtl/>
        </w:rPr>
        <w:t>9</w:t>
      </w:r>
      <w:r>
        <w:rPr>
          <w:color w:val="000000"/>
          <w:rtl/>
        </w:rPr>
        <w:t>.</w:t>
      </w:r>
      <w:r>
        <w:rPr>
          <w:color w:val="000000"/>
          <w:rtl/>
        </w:rPr>
        <w:tab/>
        <w:t>בתסקיר שהוגש ביום 12.2.13, סקר שירות המבחן את נסיבותיו האישיות והמשפחתיות של הנאשם. המדובר בצעיר כבן 21 שנים, יליד הארץ, ס</w:t>
      </w:r>
      <w:r>
        <w:rPr>
          <w:rFonts w:hint="cs"/>
          <w:color w:val="000000"/>
          <w:rtl/>
        </w:rPr>
        <w:t>י</w:t>
      </w:r>
      <w:r>
        <w:rPr>
          <w:color w:val="000000"/>
          <w:rtl/>
        </w:rPr>
        <w:t>ים 12 שנות לימוד, ברשותו תעודת ב</w:t>
      </w:r>
      <w:r>
        <w:rPr>
          <w:rFonts w:hint="cs"/>
          <w:color w:val="000000"/>
          <w:rtl/>
        </w:rPr>
        <w:t>ג</w:t>
      </w:r>
      <w:r>
        <w:rPr>
          <w:color w:val="000000"/>
          <w:rtl/>
        </w:rPr>
        <w:t>רות חלקית, בהמשך השתלב וסיים לימודי</w:t>
      </w:r>
      <w:r>
        <w:rPr>
          <w:rFonts w:hint="cs"/>
          <w:color w:val="000000"/>
          <w:rtl/>
        </w:rPr>
        <w:t>ו</w:t>
      </w:r>
      <w:r>
        <w:rPr>
          <w:color w:val="000000"/>
          <w:rtl/>
        </w:rPr>
        <w:t xml:space="preserve"> </w:t>
      </w:r>
      <w:r>
        <w:rPr>
          <w:rFonts w:hint="cs"/>
          <w:color w:val="000000"/>
          <w:rtl/>
        </w:rPr>
        <w:t>ב</w:t>
      </w:r>
      <w:r>
        <w:rPr>
          <w:color w:val="000000"/>
          <w:rtl/>
        </w:rPr>
        <w:t>קורס "מתקין מערכות שמע ומערכות מיגון לרכב" במכלל</w:t>
      </w:r>
      <w:r>
        <w:rPr>
          <w:rFonts w:hint="cs"/>
          <w:color w:val="000000"/>
          <w:rtl/>
        </w:rPr>
        <w:t>ת</w:t>
      </w:r>
      <w:r>
        <w:rPr>
          <w:color w:val="000000"/>
          <w:rtl/>
        </w:rPr>
        <w:t xml:space="preserve"> כפר סבא.</w:t>
      </w:r>
    </w:p>
    <w:p w14:paraId="18209D10" w14:textId="77777777" w:rsidR="00BB74F1" w:rsidRDefault="00BB74F1">
      <w:pPr>
        <w:spacing w:line="360" w:lineRule="auto"/>
        <w:ind w:left="720" w:hanging="720"/>
        <w:jc w:val="both"/>
        <w:rPr>
          <w:color w:val="000000"/>
          <w:rtl/>
        </w:rPr>
      </w:pPr>
    </w:p>
    <w:p w14:paraId="36362942" w14:textId="77777777" w:rsidR="00BB74F1" w:rsidRDefault="00205A15">
      <w:pPr>
        <w:spacing w:line="360" w:lineRule="auto"/>
        <w:ind w:left="720"/>
        <w:jc w:val="both"/>
        <w:rPr>
          <w:color w:val="000000"/>
          <w:rtl/>
        </w:rPr>
      </w:pPr>
      <w:r>
        <w:rPr>
          <w:color w:val="000000"/>
          <w:rtl/>
        </w:rPr>
        <w:t>מהמלצות שונות שהציג הנאשם בפני שירות המבחן ממעסיקיו עולה כי ה</w:t>
      </w:r>
      <w:r>
        <w:rPr>
          <w:rFonts w:hint="cs"/>
          <w:color w:val="000000"/>
          <w:rtl/>
        </w:rPr>
        <w:t>ו</w:t>
      </w:r>
      <w:r>
        <w:rPr>
          <w:color w:val="000000"/>
          <w:rtl/>
        </w:rPr>
        <w:t>א עבד בצורה מקצועית ואחראית, גילה יחסי אנוש טובים, ללא בעיות חריגות.</w:t>
      </w:r>
    </w:p>
    <w:p w14:paraId="56D99687" w14:textId="77777777" w:rsidR="00BB74F1" w:rsidRDefault="00BB74F1">
      <w:pPr>
        <w:spacing w:line="360" w:lineRule="auto"/>
        <w:ind w:left="720" w:hanging="720"/>
        <w:jc w:val="both"/>
        <w:rPr>
          <w:color w:val="000000"/>
          <w:rtl/>
        </w:rPr>
      </w:pPr>
    </w:p>
    <w:p w14:paraId="747092CE" w14:textId="77777777" w:rsidR="00BB74F1" w:rsidRDefault="00205A15">
      <w:pPr>
        <w:spacing w:line="360" w:lineRule="auto"/>
        <w:ind w:left="720" w:hanging="720"/>
        <w:jc w:val="both"/>
        <w:rPr>
          <w:color w:val="000000"/>
          <w:rtl/>
        </w:rPr>
      </w:pPr>
      <w:r>
        <w:rPr>
          <w:b/>
          <w:bCs/>
          <w:color w:val="000000"/>
          <w:rtl/>
        </w:rPr>
        <w:t>10</w:t>
      </w:r>
      <w:r>
        <w:rPr>
          <w:color w:val="000000"/>
          <w:rtl/>
        </w:rPr>
        <w:t>.</w:t>
      </w:r>
      <w:r>
        <w:rPr>
          <w:color w:val="000000"/>
          <w:rtl/>
        </w:rPr>
        <w:tab/>
        <w:t>אין לחובתו של הנאשם הרשעות קודמות.</w:t>
      </w:r>
    </w:p>
    <w:p w14:paraId="1DBCD9E8" w14:textId="77777777" w:rsidR="00BB74F1" w:rsidRDefault="00BB74F1">
      <w:pPr>
        <w:spacing w:line="360" w:lineRule="auto"/>
        <w:ind w:left="720" w:hanging="720"/>
        <w:jc w:val="both"/>
        <w:rPr>
          <w:color w:val="000000"/>
          <w:rtl/>
        </w:rPr>
      </w:pPr>
    </w:p>
    <w:p w14:paraId="71005080" w14:textId="77777777" w:rsidR="00BB74F1" w:rsidRDefault="00205A15">
      <w:pPr>
        <w:spacing w:line="360" w:lineRule="auto"/>
        <w:ind w:left="720" w:hanging="720"/>
        <w:jc w:val="both"/>
        <w:rPr>
          <w:color w:val="000000"/>
          <w:rtl/>
        </w:rPr>
      </w:pPr>
      <w:r>
        <w:rPr>
          <w:b/>
          <w:bCs/>
          <w:color w:val="000000"/>
          <w:rtl/>
        </w:rPr>
        <w:lastRenderedPageBreak/>
        <w:t>11</w:t>
      </w:r>
      <w:r>
        <w:rPr>
          <w:color w:val="000000"/>
          <w:rtl/>
        </w:rPr>
        <w:t>.</w:t>
      </w:r>
      <w:r>
        <w:rPr>
          <w:color w:val="000000"/>
          <w:rtl/>
        </w:rPr>
        <w:tab/>
        <w:t>הנאשם הודה בעבירה המיוחסת לו בכתב האישום המתוקן, הביע צער ובושה בגין מעשיו והבנה לבעייתיות שבהתנהגותו.</w:t>
      </w:r>
    </w:p>
    <w:p w14:paraId="341D39AF" w14:textId="77777777" w:rsidR="00BB74F1" w:rsidRDefault="00BB74F1">
      <w:pPr>
        <w:spacing w:line="360" w:lineRule="auto"/>
        <w:ind w:left="720" w:hanging="720"/>
        <w:jc w:val="both"/>
        <w:rPr>
          <w:color w:val="000000"/>
          <w:rtl/>
        </w:rPr>
      </w:pPr>
    </w:p>
    <w:p w14:paraId="603AB9BA" w14:textId="77777777" w:rsidR="00BB74F1" w:rsidRDefault="00205A15">
      <w:pPr>
        <w:spacing w:line="360" w:lineRule="auto"/>
        <w:ind w:left="720"/>
        <w:jc w:val="both"/>
        <w:rPr>
          <w:color w:val="000000"/>
          <w:rtl/>
        </w:rPr>
      </w:pPr>
      <w:r>
        <w:rPr>
          <w:color w:val="000000"/>
          <w:rtl/>
        </w:rPr>
        <w:t>שירות המבחן התרשם כי ההליכים הפליליים ש</w:t>
      </w:r>
      <w:r>
        <w:rPr>
          <w:rFonts w:hint="cs"/>
          <w:color w:val="000000"/>
          <w:rtl/>
        </w:rPr>
        <w:t xml:space="preserve">ננקטו </w:t>
      </w:r>
      <w:r>
        <w:rPr>
          <w:color w:val="000000"/>
          <w:rtl/>
        </w:rPr>
        <w:t>נגדו</w:t>
      </w:r>
      <w:r>
        <w:rPr>
          <w:rFonts w:hint="cs"/>
          <w:color w:val="000000"/>
          <w:rtl/>
        </w:rPr>
        <w:t xml:space="preserve">, </w:t>
      </w:r>
      <w:r>
        <w:rPr>
          <w:color w:val="000000"/>
          <w:rtl/>
        </w:rPr>
        <w:t xml:space="preserve">הגינוי </w:t>
      </w:r>
      <w:r>
        <w:rPr>
          <w:rFonts w:hint="cs"/>
          <w:color w:val="000000"/>
          <w:rtl/>
        </w:rPr>
        <w:t xml:space="preserve">ותגובת </w:t>
      </w:r>
      <w:r>
        <w:rPr>
          <w:color w:val="000000"/>
          <w:rtl/>
        </w:rPr>
        <w:t>בני משפחתו</w:t>
      </w:r>
      <w:r>
        <w:rPr>
          <w:rFonts w:hint="cs"/>
          <w:color w:val="000000"/>
          <w:rtl/>
        </w:rPr>
        <w:t xml:space="preserve"> הקשה</w:t>
      </w:r>
      <w:r>
        <w:rPr>
          <w:color w:val="000000"/>
          <w:rtl/>
        </w:rPr>
        <w:t xml:space="preserve">, מהווים גורם הרתעתי משמעותי מפני חזרה על מעשים דומים בעתיד. </w:t>
      </w:r>
    </w:p>
    <w:p w14:paraId="47F3F587" w14:textId="77777777" w:rsidR="00BB74F1" w:rsidRDefault="00BB74F1">
      <w:pPr>
        <w:spacing w:line="360" w:lineRule="auto"/>
        <w:ind w:left="720" w:hanging="720"/>
        <w:jc w:val="both"/>
        <w:rPr>
          <w:color w:val="000000"/>
          <w:rtl/>
        </w:rPr>
      </w:pPr>
    </w:p>
    <w:p w14:paraId="751F1787" w14:textId="77777777" w:rsidR="00BB74F1" w:rsidRDefault="00205A15">
      <w:pPr>
        <w:spacing w:line="360" w:lineRule="auto"/>
        <w:ind w:left="720" w:hanging="720"/>
        <w:jc w:val="both"/>
        <w:rPr>
          <w:color w:val="000000"/>
          <w:rtl/>
        </w:rPr>
      </w:pPr>
      <w:r>
        <w:rPr>
          <w:b/>
          <w:bCs/>
          <w:color w:val="000000"/>
          <w:rtl/>
        </w:rPr>
        <w:t>12</w:t>
      </w:r>
      <w:r>
        <w:rPr>
          <w:color w:val="000000"/>
          <w:rtl/>
        </w:rPr>
        <w:t>.</w:t>
      </w:r>
      <w:r>
        <w:rPr>
          <w:color w:val="000000"/>
          <w:rtl/>
        </w:rPr>
        <w:tab/>
        <w:t xml:space="preserve">עוד התרשם שירות המבחן כי מדובר בצעיר בעל יכולת קוגניטיבית וורבאלית טובה, המאופיין באישיות חסרת בשלות רגשית והינו בעל עולם ערכים נורמטיבי בד"כ. </w:t>
      </w:r>
    </w:p>
    <w:p w14:paraId="44D68DEE" w14:textId="77777777" w:rsidR="00BB74F1" w:rsidRDefault="00BB74F1">
      <w:pPr>
        <w:spacing w:line="360" w:lineRule="auto"/>
        <w:ind w:left="720" w:hanging="720"/>
        <w:jc w:val="both"/>
        <w:rPr>
          <w:color w:val="000000"/>
          <w:rtl/>
        </w:rPr>
      </w:pPr>
    </w:p>
    <w:p w14:paraId="760FAEE9" w14:textId="77777777" w:rsidR="00BB74F1" w:rsidRDefault="00205A15">
      <w:pPr>
        <w:spacing w:line="360" w:lineRule="auto"/>
        <w:ind w:left="720"/>
        <w:jc w:val="both"/>
        <w:rPr>
          <w:color w:val="000000"/>
          <w:rtl/>
        </w:rPr>
      </w:pPr>
      <w:r>
        <w:rPr>
          <w:color w:val="000000"/>
          <w:rtl/>
        </w:rPr>
        <w:t>הנאשם תיאר אורח חיים ודפוסי התנהגות נורמטיביים וכי האירוע דנן מהווה אירוע חריג במערך תפקודיו</w:t>
      </w:r>
      <w:r>
        <w:rPr>
          <w:rFonts w:hint="cs"/>
          <w:color w:val="000000"/>
          <w:rtl/>
        </w:rPr>
        <w:t xml:space="preserve"> ואורחות חיו</w:t>
      </w:r>
      <w:r>
        <w:rPr>
          <w:color w:val="000000"/>
          <w:rtl/>
        </w:rPr>
        <w:t>.</w:t>
      </w:r>
      <w:r>
        <w:rPr>
          <w:rFonts w:hint="cs"/>
          <w:color w:val="000000"/>
          <w:rtl/>
        </w:rPr>
        <w:t xml:space="preserve"> </w:t>
      </w:r>
    </w:p>
    <w:p w14:paraId="52B61D79" w14:textId="77777777" w:rsidR="00BB74F1" w:rsidRDefault="00BB74F1">
      <w:pPr>
        <w:spacing w:line="360" w:lineRule="auto"/>
        <w:ind w:left="720" w:hanging="720"/>
        <w:jc w:val="both"/>
        <w:rPr>
          <w:color w:val="000000"/>
          <w:rtl/>
        </w:rPr>
      </w:pPr>
    </w:p>
    <w:p w14:paraId="2F959C7A" w14:textId="77777777" w:rsidR="00BB74F1" w:rsidRDefault="00205A15">
      <w:pPr>
        <w:spacing w:line="360" w:lineRule="auto"/>
        <w:ind w:left="720" w:hanging="720"/>
        <w:jc w:val="both"/>
        <w:rPr>
          <w:color w:val="000000"/>
          <w:rtl/>
        </w:rPr>
      </w:pPr>
      <w:r>
        <w:rPr>
          <w:b/>
          <w:bCs/>
          <w:color w:val="000000"/>
          <w:rtl/>
        </w:rPr>
        <w:t>13</w:t>
      </w:r>
      <w:r>
        <w:rPr>
          <w:color w:val="000000"/>
          <w:rtl/>
        </w:rPr>
        <w:t>.</w:t>
      </w:r>
      <w:r>
        <w:rPr>
          <w:color w:val="000000"/>
          <w:rtl/>
        </w:rPr>
        <w:tab/>
        <w:t>להערכת שירות המבחן, לא מדובר באדם בעל דפוסי התנהגות שוליים</w:t>
      </w:r>
      <w:r>
        <w:rPr>
          <w:rFonts w:hint="cs"/>
          <w:color w:val="000000"/>
          <w:rtl/>
        </w:rPr>
        <w:t>,</w:t>
      </w:r>
      <w:r>
        <w:rPr>
          <w:color w:val="000000"/>
          <w:rtl/>
        </w:rPr>
        <w:t xml:space="preserve"> אינו בעל קווים אלימים ועבריינים וללא קווים מניפולטיביים. </w:t>
      </w:r>
    </w:p>
    <w:p w14:paraId="19A0AEEB" w14:textId="77777777" w:rsidR="00BB74F1" w:rsidRDefault="00BB74F1">
      <w:pPr>
        <w:spacing w:line="360" w:lineRule="auto"/>
        <w:ind w:left="720"/>
        <w:jc w:val="both"/>
        <w:rPr>
          <w:color w:val="000000"/>
          <w:rtl/>
        </w:rPr>
      </w:pPr>
    </w:p>
    <w:p w14:paraId="4463227F" w14:textId="77777777" w:rsidR="00BB74F1" w:rsidRDefault="00205A15">
      <w:pPr>
        <w:spacing w:line="360" w:lineRule="auto"/>
        <w:ind w:left="720" w:hanging="720"/>
        <w:jc w:val="both"/>
        <w:rPr>
          <w:color w:val="000000"/>
          <w:rtl/>
        </w:rPr>
      </w:pPr>
      <w:r>
        <w:rPr>
          <w:b/>
          <w:bCs/>
          <w:color w:val="000000"/>
          <w:rtl/>
        </w:rPr>
        <w:t>14</w:t>
      </w:r>
      <w:r>
        <w:rPr>
          <w:color w:val="000000"/>
          <w:rtl/>
        </w:rPr>
        <w:t>.</w:t>
      </w:r>
      <w:r>
        <w:rPr>
          <w:color w:val="000000"/>
          <w:rtl/>
        </w:rPr>
        <w:tab/>
        <w:t>שירות המבחן התלבט בעניינו של הנאשם, מחד ציין כי המדובר בעבירות חמורות ומאידך, ציין  כי המדובר בצעיר שמנהל אורח חיים נורמטיבי, שזו מעורבותו הראשונה בפלילים, שבה הודה והביע צער ובושה.</w:t>
      </w:r>
    </w:p>
    <w:p w14:paraId="2A2F33A9" w14:textId="77777777" w:rsidR="00BB74F1" w:rsidRDefault="00BB74F1">
      <w:pPr>
        <w:spacing w:line="360" w:lineRule="auto"/>
        <w:ind w:left="720"/>
        <w:jc w:val="both"/>
        <w:rPr>
          <w:color w:val="000000"/>
          <w:rtl/>
        </w:rPr>
      </w:pPr>
    </w:p>
    <w:p w14:paraId="6FDDA5D8" w14:textId="77777777" w:rsidR="00BB74F1" w:rsidRDefault="00205A15">
      <w:pPr>
        <w:spacing w:line="360" w:lineRule="auto"/>
        <w:ind w:left="720" w:hanging="720"/>
        <w:jc w:val="both"/>
        <w:rPr>
          <w:color w:val="000000"/>
          <w:rtl/>
        </w:rPr>
      </w:pPr>
      <w:r>
        <w:rPr>
          <w:b/>
          <w:bCs/>
          <w:color w:val="000000"/>
          <w:rtl/>
        </w:rPr>
        <w:t>15</w:t>
      </w:r>
      <w:r>
        <w:rPr>
          <w:color w:val="000000"/>
          <w:rtl/>
        </w:rPr>
        <w:t>.</w:t>
      </w:r>
      <w:r>
        <w:rPr>
          <w:color w:val="000000"/>
          <w:rtl/>
        </w:rPr>
        <w:tab/>
        <w:t xml:space="preserve">לאור כל האמור, המליץ שירות המבחן לשקול אפשרות שלא למצות עם הנאשם את הדין, להטיל עליו צו מבחן לשנה, במהלכו ישתלב בהליך טיפולי. </w:t>
      </w:r>
    </w:p>
    <w:p w14:paraId="25304C4D" w14:textId="77777777" w:rsidR="00BB74F1" w:rsidRDefault="00BB74F1">
      <w:pPr>
        <w:spacing w:line="360" w:lineRule="auto"/>
        <w:ind w:left="720" w:hanging="720"/>
        <w:jc w:val="both"/>
        <w:rPr>
          <w:color w:val="000000"/>
          <w:rtl/>
        </w:rPr>
      </w:pPr>
    </w:p>
    <w:p w14:paraId="48EBF120" w14:textId="77777777" w:rsidR="00BB74F1" w:rsidRDefault="00205A15">
      <w:pPr>
        <w:spacing w:line="360" w:lineRule="auto"/>
        <w:ind w:left="720"/>
        <w:jc w:val="both"/>
        <w:rPr>
          <w:color w:val="000000"/>
          <w:rtl/>
        </w:rPr>
      </w:pPr>
      <w:r>
        <w:rPr>
          <w:color w:val="000000"/>
          <w:rtl/>
        </w:rPr>
        <w:t>בנוסף המליץ שירות המבחן על הטלת מאסר מותנה מרתיע, התחייבות כספית ומאסר שירוצה בדרך של עבודות שירות.</w:t>
      </w:r>
    </w:p>
    <w:p w14:paraId="1E8E3996" w14:textId="77777777" w:rsidR="00BB74F1" w:rsidRDefault="00BB74F1">
      <w:pPr>
        <w:spacing w:line="360" w:lineRule="auto"/>
        <w:ind w:left="720"/>
        <w:jc w:val="both"/>
        <w:rPr>
          <w:color w:val="000000"/>
          <w:rtl/>
        </w:rPr>
      </w:pPr>
    </w:p>
    <w:p w14:paraId="5143E49E" w14:textId="77777777" w:rsidR="00BB74F1" w:rsidRDefault="00205A15">
      <w:pPr>
        <w:spacing w:line="360" w:lineRule="auto"/>
        <w:ind w:left="720" w:hanging="720"/>
        <w:jc w:val="both"/>
        <w:rPr>
          <w:color w:val="000000"/>
          <w:rtl/>
        </w:rPr>
      </w:pPr>
      <w:r>
        <w:rPr>
          <w:b/>
          <w:bCs/>
          <w:color w:val="000000"/>
          <w:rtl/>
        </w:rPr>
        <w:t>16</w:t>
      </w:r>
      <w:r>
        <w:rPr>
          <w:color w:val="000000"/>
          <w:rtl/>
        </w:rPr>
        <w:t>.</w:t>
      </w:r>
      <w:r>
        <w:rPr>
          <w:color w:val="000000"/>
          <w:rtl/>
        </w:rPr>
        <w:tab/>
        <w:t>להערכת שירות המבחן שליחת הנאשם לריצוי מאסר בפועל, עלולה לחבל במאמציו לנהל אורח חיים תקין, ולהביא להפנמת נורמות עברייניות בבואו במגע עם אסירי</w:t>
      </w:r>
      <w:r>
        <w:rPr>
          <w:rFonts w:hint="cs"/>
          <w:color w:val="000000"/>
          <w:rtl/>
        </w:rPr>
        <w:t>ם</w:t>
      </w:r>
      <w:r>
        <w:rPr>
          <w:color w:val="000000"/>
          <w:rtl/>
        </w:rPr>
        <w:t xml:space="preserve"> אחרים. </w:t>
      </w:r>
      <w:r>
        <w:rPr>
          <w:rFonts w:hint="cs"/>
          <w:color w:val="000000"/>
          <w:rtl/>
        </w:rPr>
        <w:t xml:space="preserve"> </w:t>
      </w:r>
    </w:p>
    <w:p w14:paraId="34A652EC" w14:textId="77777777" w:rsidR="00BB74F1" w:rsidRDefault="00205A15">
      <w:pPr>
        <w:spacing w:line="360" w:lineRule="auto"/>
        <w:jc w:val="both"/>
        <w:rPr>
          <w:color w:val="000000"/>
          <w:rtl/>
        </w:rPr>
      </w:pPr>
      <w:r>
        <w:rPr>
          <w:rFonts w:hint="cs"/>
          <w:color w:val="000000"/>
          <w:rtl/>
        </w:rPr>
        <w:t xml:space="preserve"> </w:t>
      </w:r>
    </w:p>
    <w:p w14:paraId="6BC7F32F" w14:textId="77777777" w:rsidR="00BB74F1" w:rsidRDefault="00205A15">
      <w:pPr>
        <w:spacing w:line="360" w:lineRule="auto"/>
        <w:ind w:firstLine="720"/>
        <w:jc w:val="both"/>
        <w:rPr>
          <w:b/>
          <w:bCs/>
          <w:color w:val="000000"/>
          <w:u w:val="single"/>
          <w:rtl/>
        </w:rPr>
      </w:pPr>
      <w:r>
        <w:rPr>
          <w:b/>
          <w:bCs/>
          <w:color w:val="000000"/>
          <w:u w:val="single"/>
          <w:rtl/>
        </w:rPr>
        <w:t>טענות הצדדים:</w:t>
      </w:r>
    </w:p>
    <w:p w14:paraId="70C94EE7" w14:textId="77777777" w:rsidR="00BB74F1" w:rsidRDefault="00BB74F1">
      <w:pPr>
        <w:spacing w:line="360" w:lineRule="auto"/>
        <w:jc w:val="both"/>
        <w:rPr>
          <w:color w:val="000000"/>
          <w:rtl/>
        </w:rPr>
      </w:pPr>
    </w:p>
    <w:p w14:paraId="75E4E56E" w14:textId="77777777" w:rsidR="00BB74F1" w:rsidRDefault="00205A15">
      <w:pPr>
        <w:spacing w:line="360" w:lineRule="auto"/>
        <w:jc w:val="both"/>
        <w:rPr>
          <w:b/>
          <w:bCs/>
          <w:color w:val="000000"/>
          <w:u w:val="single"/>
          <w:rtl/>
        </w:rPr>
      </w:pPr>
      <w:r>
        <w:rPr>
          <w:color w:val="000000"/>
          <w:rtl/>
        </w:rPr>
        <w:tab/>
      </w:r>
      <w:r>
        <w:rPr>
          <w:b/>
          <w:bCs/>
          <w:color w:val="000000"/>
          <w:u w:val="single"/>
          <w:rtl/>
        </w:rPr>
        <w:t>טענות המאשימה:</w:t>
      </w:r>
    </w:p>
    <w:p w14:paraId="6942B45B" w14:textId="77777777" w:rsidR="00BB74F1" w:rsidRDefault="00BB74F1">
      <w:pPr>
        <w:spacing w:line="360" w:lineRule="auto"/>
        <w:jc w:val="both"/>
        <w:rPr>
          <w:color w:val="000000"/>
          <w:rtl/>
        </w:rPr>
      </w:pPr>
    </w:p>
    <w:p w14:paraId="3F0DE997" w14:textId="77777777" w:rsidR="00BB74F1" w:rsidRDefault="00205A15">
      <w:pPr>
        <w:numPr>
          <w:ilvl w:val="0"/>
          <w:numId w:val="1"/>
        </w:numPr>
        <w:spacing w:line="360" w:lineRule="auto"/>
        <w:ind w:hanging="694"/>
        <w:jc w:val="both"/>
        <w:rPr>
          <w:color w:val="000000"/>
        </w:rPr>
      </w:pPr>
      <w:r>
        <w:rPr>
          <w:color w:val="000000"/>
          <w:rtl/>
        </w:rPr>
        <w:t>המאשימה טענה כי הנאשם הורשע בעבירה חמורה של ביצוע עבירות בנשק, שנשקפת ממנה סכנה רבה כלפי הציבור ומחייבת ענישה ממשית ומרתיעה בד</w:t>
      </w:r>
      <w:r>
        <w:rPr>
          <w:rFonts w:hint="cs"/>
          <w:color w:val="000000"/>
          <w:rtl/>
        </w:rPr>
        <w:t>מ</w:t>
      </w:r>
      <w:r>
        <w:rPr>
          <w:color w:val="000000"/>
          <w:rtl/>
        </w:rPr>
        <w:t xml:space="preserve">ות מאסר בפועל לתקופה ממושכת. </w:t>
      </w:r>
    </w:p>
    <w:p w14:paraId="13C71A3A" w14:textId="77777777" w:rsidR="00BB74F1" w:rsidRDefault="00BB74F1">
      <w:pPr>
        <w:spacing w:line="360" w:lineRule="auto"/>
        <w:ind w:left="720"/>
        <w:jc w:val="both"/>
        <w:rPr>
          <w:color w:val="000000"/>
        </w:rPr>
      </w:pPr>
    </w:p>
    <w:p w14:paraId="5845EAC7" w14:textId="77777777" w:rsidR="00BB74F1" w:rsidRDefault="00205A15">
      <w:pPr>
        <w:spacing w:line="360" w:lineRule="auto"/>
        <w:ind w:left="716" w:firstLine="4"/>
        <w:jc w:val="both"/>
        <w:rPr>
          <w:color w:val="000000"/>
          <w:rtl/>
        </w:rPr>
      </w:pPr>
      <w:r>
        <w:rPr>
          <w:color w:val="000000"/>
          <w:rtl/>
        </w:rPr>
        <w:t xml:space="preserve">לטענתה, המדובר בתופעה נפוצה ומסוכנת ביותר, שכן לא פעם מגיע נשק שכזה לידיהם של גורמים עבריינים ונעשה בו שימוש כנגד </w:t>
      </w:r>
      <w:r>
        <w:rPr>
          <w:rFonts w:hint="cs"/>
          <w:color w:val="000000"/>
          <w:rtl/>
        </w:rPr>
        <w:t>אחרים</w:t>
      </w:r>
      <w:r>
        <w:rPr>
          <w:color w:val="000000"/>
          <w:rtl/>
        </w:rPr>
        <w:t>.</w:t>
      </w:r>
    </w:p>
    <w:p w14:paraId="0D4CA79E" w14:textId="77777777" w:rsidR="00BB74F1" w:rsidRDefault="00BB74F1">
      <w:pPr>
        <w:spacing w:line="360" w:lineRule="auto"/>
        <w:ind w:left="360"/>
        <w:jc w:val="both"/>
        <w:rPr>
          <w:color w:val="000000"/>
          <w:rtl/>
        </w:rPr>
      </w:pPr>
    </w:p>
    <w:p w14:paraId="50C70B46" w14:textId="77777777" w:rsidR="00BB74F1" w:rsidRDefault="00205A15">
      <w:pPr>
        <w:spacing w:line="360" w:lineRule="auto"/>
        <w:ind w:left="716" w:hanging="690"/>
        <w:jc w:val="both"/>
        <w:rPr>
          <w:color w:val="000000"/>
          <w:rtl/>
        </w:rPr>
      </w:pPr>
      <w:r>
        <w:rPr>
          <w:b/>
          <w:bCs/>
          <w:color w:val="000000"/>
          <w:rtl/>
        </w:rPr>
        <w:t>18</w:t>
      </w:r>
      <w:r>
        <w:rPr>
          <w:color w:val="000000"/>
          <w:rtl/>
        </w:rPr>
        <w:t>.</w:t>
      </w:r>
      <w:r>
        <w:rPr>
          <w:color w:val="000000"/>
          <w:rtl/>
        </w:rPr>
        <w:tab/>
        <w:t>המאשימה ציינה כי הנאשם נשא והוביל עמו אקדח תקני, אשר ברור ששימוש בו עלול להוביל לפגיעה בבני אדם.</w:t>
      </w:r>
    </w:p>
    <w:p w14:paraId="7F086314" w14:textId="77777777" w:rsidR="00BB74F1" w:rsidRDefault="00205A15">
      <w:pPr>
        <w:spacing w:line="360" w:lineRule="auto"/>
        <w:ind w:left="716" w:hanging="690"/>
        <w:jc w:val="both"/>
        <w:rPr>
          <w:color w:val="000000"/>
          <w:rtl/>
        </w:rPr>
      </w:pPr>
      <w:r>
        <w:rPr>
          <w:b/>
          <w:bCs/>
          <w:color w:val="000000"/>
          <w:rtl/>
        </w:rPr>
        <w:t>19</w:t>
      </w:r>
      <w:r>
        <w:rPr>
          <w:color w:val="000000"/>
          <w:rtl/>
        </w:rPr>
        <w:t>.</w:t>
      </w:r>
      <w:r>
        <w:rPr>
          <w:color w:val="000000"/>
          <w:rtl/>
        </w:rPr>
        <w:tab/>
        <w:t>המאשימה סבורה כי נשיאת והובלת נשק במהלך נסיעה ארוכה מכפר קרע לאום אל פחם  ובמיוחד כאשר הנשק מוס</w:t>
      </w:r>
      <w:r>
        <w:rPr>
          <w:rFonts w:hint="cs"/>
          <w:color w:val="000000"/>
          <w:rtl/>
        </w:rPr>
        <w:t>תר</w:t>
      </w:r>
      <w:r>
        <w:rPr>
          <w:color w:val="000000"/>
          <w:rtl/>
        </w:rPr>
        <w:t xml:space="preserve"> ומוחבא באופן בו נמצא – עטוף בניילון צ</w:t>
      </w:r>
      <w:r>
        <w:rPr>
          <w:rFonts w:hint="cs"/>
          <w:color w:val="000000"/>
          <w:rtl/>
        </w:rPr>
        <w:t>מו</w:t>
      </w:r>
      <w:r>
        <w:rPr>
          <w:color w:val="000000"/>
          <w:rtl/>
        </w:rPr>
        <w:t>ד ובמגבת – מעידה על כוונות שאינן תמימות.</w:t>
      </w:r>
    </w:p>
    <w:p w14:paraId="7FCDF09F" w14:textId="77777777" w:rsidR="00BB74F1" w:rsidRDefault="00BB74F1">
      <w:pPr>
        <w:spacing w:line="360" w:lineRule="auto"/>
        <w:ind w:left="716" w:hanging="690"/>
        <w:jc w:val="both"/>
        <w:rPr>
          <w:color w:val="000000"/>
          <w:rtl/>
        </w:rPr>
      </w:pPr>
    </w:p>
    <w:p w14:paraId="1A94F56E" w14:textId="77777777" w:rsidR="00BB74F1" w:rsidRDefault="00205A15">
      <w:pPr>
        <w:spacing w:line="360" w:lineRule="auto"/>
        <w:ind w:left="716"/>
        <w:jc w:val="both"/>
        <w:rPr>
          <w:color w:val="000000"/>
          <w:rtl/>
        </w:rPr>
      </w:pPr>
      <w:r>
        <w:rPr>
          <w:color w:val="000000"/>
          <w:rtl/>
        </w:rPr>
        <w:t>עוד נטען כי הנאשם נשא את האקדח במשך תקופה של כ- 4 שנים, עובדה שמהווה נסיבה לחומרא ומלמדת על כך שלא מדובר בעבירה שבוצעה באופן חד פעמי או רגעי.</w:t>
      </w:r>
    </w:p>
    <w:p w14:paraId="5F984591" w14:textId="77777777" w:rsidR="00BB74F1" w:rsidRDefault="00BB74F1">
      <w:pPr>
        <w:spacing w:line="360" w:lineRule="auto"/>
        <w:jc w:val="both"/>
        <w:rPr>
          <w:color w:val="000000"/>
          <w:rtl/>
        </w:rPr>
      </w:pPr>
    </w:p>
    <w:p w14:paraId="6FB1A5E3" w14:textId="77777777" w:rsidR="00BB74F1" w:rsidRDefault="00205A15">
      <w:pPr>
        <w:spacing w:line="360" w:lineRule="auto"/>
        <w:ind w:left="716" w:hanging="690"/>
        <w:jc w:val="both"/>
        <w:rPr>
          <w:color w:val="000000"/>
          <w:rtl/>
        </w:rPr>
      </w:pPr>
      <w:r>
        <w:rPr>
          <w:b/>
          <w:bCs/>
          <w:color w:val="000000"/>
          <w:rtl/>
        </w:rPr>
        <w:t>20</w:t>
      </w:r>
      <w:r>
        <w:rPr>
          <w:color w:val="000000"/>
          <w:rtl/>
        </w:rPr>
        <w:t>.</w:t>
      </w:r>
      <w:r>
        <w:rPr>
          <w:color w:val="000000"/>
          <w:rtl/>
        </w:rPr>
        <w:tab/>
        <w:t xml:space="preserve">עוד נטען כי מדובר בעבירה של נשיאת נשק שהעונש המרבי הקבוע בצידה הוא 10 שנות מאסר.  </w:t>
      </w:r>
    </w:p>
    <w:p w14:paraId="0D35E9FB" w14:textId="77777777" w:rsidR="00BB74F1" w:rsidRDefault="00BB74F1">
      <w:pPr>
        <w:spacing w:line="360" w:lineRule="auto"/>
        <w:ind w:left="720"/>
        <w:jc w:val="both"/>
        <w:rPr>
          <w:color w:val="000000"/>
          <w:rtl/>
        </w:rPr>
      </w:pPr>
    </w:p>
    <w:p w14:paraId="685E070A" w14:textId="77777777" w:rsidR="00BB74F1" w:rsidRDefault="00205A15">
      <w:pPr>
        <w:spacing w:line="360" w:lineRule="auto"/>
        <w:ind w:left="716" w:hanging="690"/>
        <w:jc w:val="both"/>
        <w:rPr>
          <w:color w:val="000000"/>
          <w:rtl/>
        </w:rPr>
      </w:pPr>
      <w:r>
        <w:rPr>
          <w:b/>
          <w:bCs/>
          <w:color w:val="000000"/>
          <w:rtl/>
        </w:rPr>
        <w:t>21</w:t>
      </w:r>
      <w:r>
        <w:rPr>
          <w:color w:val="000000"/>
          <w:rtl/>
        </w:rPr>
        <w:t>.</w:t>
      </w:r>
      <w:r>
        <w:rPr>
          <w:color w:val="000000"/>
          <w:rtl/>
        </w:rPr>
        <w:tab/>
        <w:t xml:space="preserve">המאשימה הפנתה לפסיקה וציינה כי </w:t>
      </w:r>
      <w:r>
        <w:rPr>
          <w:rFonts w:hint="cs"/>
          <w:color w:val="000000"/>
          <w:rtl/>
        </w:rPr>
        <w:t xml:space="preserve">לאחרונה גישת </w:t>
      </w:r>
      <w:r>
        <w:rPr>
          <w:color w:val="000000"/>
          <w:rtl/>
        </w:rPr>
        <w:t xml:space="preserve">בתי המשפט </w:t>
      </w:r>
      <w:r>
        <w:rPr>
          <w:rFonts w:hint="cs"/>
          <w:color w:val="000000"/>
          <w:rtl/>
        </w:rPr>
        <w:t>להחמיר</w:t>
      </w:r>
      <w:r>
        <w:rPr>
          <w:color w:val="000000"/>
          <w:rtl/>
        </w:rPr>
        <w:t xml:space="preserve"> את הדין בעבירות אלו</w:t>
      </w:r>
      <w:r>
        <w:rPr>
          <w:rFonts w:hint="cs"/>
          <w:color w:val="000000"/>
          <w:rtl/>
        </w:rPr>
        <w:t>.</w:t>
      </w:r>
      <w:r>
        <w:rPr>
          <w:color w:val="000000"/>
          <w:rtl/>
        </w:rPr>
        <w:t xml:space="preserve"> מגמת החמרה </w:t>
      </w:r>
      <w:r>
        <w:rPr>
          <w:rFonts w:hint="cs"/>
          <w:color w:val="000000"/>
          <w:rtl/>
        </w:rPr>
        <w:t xml:space="preserve">זו באה לידי ביטוי </w:t>
      </w:r>
      <w:r>
        <w:rPr>
          <w:color w:val="000000"/>
          <w:rtl/>
        </w:rPr>
        <w:t xml:space="preserve">אף </w:t>
      </w:r>
      <w:r>
        <w:rPr>
          <w:rFonts w:hint="cs"/>
          <w:color w:val="000000"/>
          <w:rtl/>
        </w:rPr>
        <w:t xml:space="preserve">בפסיקת </w:t>
      </w:r>
      <w:r>
        <w:rPr>
          <w:color w:val="000000"/>
          <w:rtl/>
        </w:rPr>
        <w:t>בית המשפט העליון.</w:t>
      </w:r>
    </w:p>
    <w:p w14:paraId="7A41080F" w14:textId="77777777" w:rsidR="00BB74F1" w:rsidRDefault="00BB74F1">
      <w:pPr>
        <w:spacing w:line="360" w:lineRule="auto"/>
        <w:jc w:val="both"/>
        <w:rPr>
          <w:color w:val="000000"/>
          <w:rtl/>
        </w:rPr>
      </w:pPr>
    </w:p>
    <w:p w14:paraId="2BDF2A33" w14:textId="77777777" w:rsidR="00BB74F1" w:rsidRDefault="00205A15">
      <w:pPr>
        <w:spacing w:line="360" w:lineRule="auto"/>
        <w:ind w:left="716" w:hanging="690"/>
        <w:jc w:val="both"/>
        <w:rPr>
          <w:color w:val="000000"/>
          <w:rtl/>
        </w:rPr>
      </w:pPr>
      <w:r>
        <w:rPr>
          <w:b/>
          <w:bCs/>
          <w:color w:val="000000"/>
          <w:rtl/>
        </w:rPr>
        <w:t>22</w:t>
      </w:r>
      <w:r>
        <w:rPr>
          <w:color w:val="000000"/>
          <w:rtl/>
        </w:rPr>
        <w:t>.</w:t>
      </w:r>
      <w:r>
        <w:rPr>
          <w:color w:val="000000"/>
          <w:rtl/>
        </w:rPr>
        <w:tab/>
        <w:t xml:space="preserve">עוד הפנתה המאשימה לתסקיר וציינה כי על אף ששירות המבחן התרשם כי הנאשם לוקח אחריות על מעשיו והביע חרטה, הרי שהנאשם ממזער </w:t>
      </w:r>
      <w:r>
        <w:rPr>
          <w:rFonts w:hint="cs"/>
          <w:color w:val="000000"/>
          <w:rtl/>
        </w:rPr>
        <w:t xml:space="preserve">בחלקו ומפחית את </w:t>
      </w:r>
      <w:r>
        <w:rPr>
          <w:color w:val="000000"/>
          <w:rtl/>
        </w:rPr>
        <w:t>מידת אחריותו, מנסה להמעיט בחומרת מעשיו</w:t>
      </w:r>
      <w:r>
        <w:rPr>
          <w:rFonts w:hint="cs"/>
          <w:color w:val="000000"/>
          <w:rtl/>
        </w:rPr>
        <w:t>, לכן</w:t>
      </w:r>
      <w:r>
        <w:rPr>
          <w:color w:val="000000"/>
          <w:rtl/>
        </w:rPr>
        <w:t xml:space="preserve"> חרט</w:t>
      </w:r>
      <w:r>
        <w:rPr>
          <w:rFonts w:hint="cs"/>
          <w:color w:val="000000"/>
          <w:rtl/>
        </w:rPr>
        <w:t>תו</w:t>
      </w:r>
      <w:r>
        <w:rPr>
          <w:color w:val="000000"/>
          <w:rtl/>
        </w:rPr>
        <w:t xml:space="preserve"> שהביע </w:t>
      </w:r>
      <w:r>
        <w:rPr>
          <w:rFonts w:hint="cs"/>
          <w:color w:val="000000"/>
          <w:rtl/>
        </w:rPr>
        <w:t xml:space="preserve">אותה, </w:t>
      </w:r>
      <w:r>
        <w:rPr>
          <w:color w:val="000000"/>
          <w:rtl/>
        </w:rPr>
        <w:t xml:space="preserve">מוטלת בספק. </w:t>
      </w:r>
    </w:p>
    <w:p w14:paraId="2B62BF05" w14:textId="77777777" w:rsidR="00BB74F1" w:rsidRDefault="00BB74F1">
      <w:pPr>
        <w:spacing w:line="360" w:lineRule="auto"/>
        <w:jc w:val="both"/>
        <w:rPr>
          <w:color w:val="000000"/>
          <w:rtl/>
        </w:rPr>
      </w:pPr>
    </w:p>
    <w:p w14:paraId="0646EA27" w14:textId="77777777" w:rsidR="00BB74F1" w:rsidRDefault="00205A15">
      <w:pPr>
        <w:spacing w:line="360" w:lineRule="auto"/>
        <w:ind w:left="716" w:hanging="690"/>
        <w:jc w:val="both"/>
        <w:rPr>
          <w:color w:val="000000"/>
          <w:rtl/>
        </w:rPr>
      </w:pPr>
      <w:r>
        <w:rPr>
          <w:b/>
          <w:bCs/>
          <w:color w:val="000000"/>
          <w:rtl/>
        </w:rPr>
        <w:t>23</w:t>
      </w:r>
      <w:r>
        <w:rPr>
          <w:color w:val="000000"/>
          <w:rtl/>
        </w:rPr>
        <w:t>.</w:t>
      </w:r>
      <w:r>
        <w:rPr>
          <w:color w:val="000000"/>
          <w:rtl/>
        </w:rPr>
        <w:tab/>
        <w:t xml:space="preserve">המאשימה סבורה כי אין לקבל את המלצת שירות המבחן, אשר ציין בתסקירו כי הנאשם התקשה להתייחס לחלקים </w:t>
      </w:r>
      <w:r>
        <w:rPr>
          <w:rFonts w:hint="cs"/>
          <w:color w:val="000000"/>
          <w:rtl/>
        </w:rPr>
        <w:t>הבעייתיים ו</w:t>
      </w:r>
      <w:r>
        <w:rPr>
          <w:color w:val="000000"/>
          <w:rtl/>
        </w:rPr>
        <w:t>הלא מתפקדים באישיותו, ולא מסר הסבר מלא על הרקע למעש</w:t>
      </w:r>
      <w:r>
        <w:rPr>
          <w:rFonts w:hint="cs"/>
          <w:color w:val="000000"/>
          <w:rtl/>
        </w:rPr>
        <w:t>י</w:t>
      </w:r>
      <w:r>
        <w:rPr>
          <w:color w:val="000000"/>
          <w:rtl/>
        </w:rPr>
        <w:t xml:space="preserve">ו. </w:t>
      </w:r>
    </w:p>
    <w:p w14:paraId="69918AA5" w14:textId="77777777" w:rsidR="00BB74F1" w:rsidRDefault="00BB74F1">
      <w:pPr>
        <w:spacing w:line="360" w:lineRule="auto"/>
        <w:ind w:left="716" w:hanging="690"/>
        <w:jc w:val="both"/>
        <w:rPr>
          <w:color w:val="000000"/>
          <w:rtl/>
        </w:rPr>
      </w:pPr>
    </w:p>
    <w:p w14:paraId="0F80C9CA" w14:textId="77777777" w:rsidR="00BB74F1" w:rsidRDefault="00205A15">
      <w:pPr>
        <w:spacing w:line="360" w:lineRule="auto"/>
        <w:ind w:left="716"/>
        <w:jc w:val="both"/>
        <w:rPr>
          <w:color w:val="000000"/>
          <w:rtl/>
        </w:rPr>
      </w:pPr>
      <w:r>
        <w:rPr>
          <w:color w:val="000000"/>
          <w:rtl/>
        </w:rPr>
        <w:t>לטענת המאשימה, אדם אשר נושא אקדח במשך תקופה ארוכה של ארבע שנים וכשהוא מעביר את האקדח מעיר לעיר הוא מחביא אותו הטיב, עבר את רף "בדיקת הגבולות", והינו מודע לחלוטין לעובדה כי מעשיו אסורים.</w:t>
      </w:r>
    </w:p>
    <w:p w14:paraId="5ACA08CC" w14:textId="77777777" w:rsidR="00BB74F1" w:rsidRDefault="00BB74F1">
      <w:pPr>
        <w:spacing w:line="360" w:lineRule="auto"/>
        <w:ind w:left="720"/>
        <w:jc w:val="both"/>
        <w:rPr>
          <w:color w:val="000000"/>
          <w:rtl/>
        </w:rPr>
      </w:pPr>
    </w:p>
    <w:p w14:paraId="13C05FB7" w14:textId="77777777" w:rsidR="00BB74F1" w:rsidRDefault="00205A15">
      <w:pPr>
        <w:spacing w:line="360" w:lineRule="auto"/>
        <w:ind w:left="716" w:hanging="690"/>
        <w:jc w:val="both"/>
        <w:rPr>
          <w:color w:val="000000"/>
          <w:rtl/>
        </w:rPr>
      </w:pPr>
      <w:r>
        <w:rPr>
          <w:b/>
          <w:bCs/>
          <w:color w:val="000000"/>
          <w:rtl/>
        </w:rPr>
        <w:t>24</w:t>
      </w:r>
      <w:r>
        <w:rPr>
          <w:color w:val="000000"/>
          <w:rtl/>
        </w:rPr>
        <w:t>.</w:t>
      </w:r>
      <w:r>
        <w:rPr>
          <w:color w:val="000000"/>
          <w:rtl/>
        </w:rPr>
        <w:tab/>
        <w:t>לטענת המאשימה, מתחם הענישה ההולם בנוגע לעבירה של נשיאת נשק (אקדח ומחסנית), הינו 3 עד 5 שנות מאסר בפועל, מאסר מותנה וקנס כספי כבד.</w:t>
      </w:r>
    </w:p>
    <w:p w14:paraId="5624AEA5" w14:textId="77777777" w:rsidR="00BB74F1" w:rsidRDefault="00BB74F1">
      <w:pPr>
        <w:spacing w:line="360" w:lineRule="auto"/>
        <w:ind w:left="720"/>
        <w:jc w:val="both"/>
        <w:rPr>
          <w:color w:val="000000"/>
          <w:rtl/>
        </w:rPr>
      </w:pPr>
    </w:p>
    <w:p w14:paraId="584CCE80" w14:textId="77777777" w:rsidR="00BB74F1" w:rsidRDefault="00205A15">
      <w:pPr>
        <w:spacing w:line="360" w:lineRule="auto"/>
        <w:ind w:left="716" w:hanging="690"/>
        <w:jc w:val="both"/>
        <w:rPr>
          <w:color w:val="000000"/>
          <w:rtl/>
        </w:rPr>
      </w:pPr>
      <w:r>
        <w:rPr>
          <w:b/>
          <w:bCs/>
          <w:color w:val="000000"/>
          <w:rtl/>
        </w:rPr>
        <w:t>25</w:t>
      </w:r>
      <w:r>
        <w:rPr>
          <w:color w:val="000000"/>
          <w:rtl/>
        </w:rPr>
        <w:t>.</w:t>
      </w:r>
      <w:r>
        <w:rPr>
          <w:color w:val="000000"/>
          <w:rtl/>
        </w:rPr>
        <w:tab/>
        <w:t>המאשימה ה</w:t>
      </w:r>
      <w:r>
        <w:rPr>
          <w:rFonts w:hint="cs"/>
          <w:color w:val="000000"/>
          <w:rtl/>
        </w:rPr>
        <w:t>ד</w:t>
      </w:r>
      <w:r>
        <w:rPr>
          <w:color w:val="000000"/>
          <w:rtl/>
        </w:rPr>
        <w:t>גישה כי הנאשם הורשע בנשי</w:t>
      </w:r>
      <w:r>
        <w:rPr>
          <w:rFonts w:hint="cs"/>
          <w:color w:val="000000"/>
          <w:rtl/>
        </w:rPr>
        <w:t>א</w:t>
      </w:r>
      <w:r>
        <w:rPr>
          <w:color w:val="000000"/>
          <w:rtl/>
        </w:rPr>
        <w:t xml:space="preserve">ת נשק לתקופה </w:t>
      </w:r>
      <w:r>
        <w:rPr>
          <w:rFonts w:hint="cs"/>
          <w:color w:val="000000"/>
          <w:rtl/>
        </w:rPr>
        <w:t>א</w:t>
      </w:r>
      <w:r>
        <w:rPr>
          <w:color w:val="000000"/>
          <w:rtl/>
        </w:rPr>
        <w:t>רוכה של 4 שנים ולכן ביקשה  להטיל על הנאשם עונש שיהיה ברף העליון של מתחם הענישה המוצע.</w:t>
      </w:r>
    </w:p>
    <w:p w14:paraId="159AE72F" w14:textId="77777777" w:rsidR="00BB74F1" w:rsidRDefault="00BB74F1">
      <w:pPr>
        <w:spacing w:line="360" w:lineRule="auto"/>
        <w:ind w:left="716" w:hanging="690"/>
        <w:jc w:val="both"/>
        <w:rPr>
          <w:color w:val="000000"/>
          <w:rtl/>
        </w:rPr>
      </w:pPr>
    </w:p>
    <w:p w14:paraId="72A3B204" w14:textId="77777777" w:rsidR="00BB74F1" w:rsidRDefault="00205A15">
      <w:pPr>
        <w:spacing w:line="360" w:lineRule="auto"/>
        <w:ind w:left="26" w:firstLine="690"/>
        <w:jc w:val="both"/>
        <w:rPr>
          <w:b/>
          <w:bCs/>
          <w:color w:val="000000"/>
          <w:u w:val="single"/>
          <w:rtl/>
        </w:rPr>
      </w:pPr>
      <w:r>
        <w:rPr>
          <w:b/>
          <w:bCs/>
          <w:color w:val="000000"/>
          <w:u w:val="single"/>
          <w:rtl/>
        </w:rPr>
        <w:t>טענות ב"כ הנאשם:</w:t>
      </w:r>
    </w:p>
    <w:p w14:paraId="0CF12949" w14:textId="77777777" w:rsidR="00BB74F1" w:rsidRDefault="00BB74F1">
      <w:pPr>
        <w:spacing w:line="360" w:lineRule="auto"/>
        <w:ind w:left="26" w:firstLine="690"/>
        <w:jc w:val="both"/>
        <w:rPr>
          <w:b/>
          <w:bCs/>
          <w:color w:val="000000"/>
          <w:u w:val="single"/>
          <w:rtl/>
        </w:rPr>
      </w:pPr>
    </w:p>
    <w:p w14:paraId="1AC9834E" w14:textId="77777777" w:rsidR="00BB74F1" w:rsidRDefault="00205A15">
      <w:pPr>
        <w:spacing w:line="360" w:lineRule="auto"/>
        <w:ind w:left="720" w:hanging="720"/>
        <w:jc w:val="both"/>
        <w:rPr>
          <w:color w:val="000000"/>
          <w:rtl/>
        </w:rPr>
      </w:pPr>
      <w:r>
        <w:rPr>
          <w:b/>
          <w:bCs/>
          <w:color w:val="000000"/>
          <w:rtl/>
        </w:rPr>
        <w:t>26</w:t>
      </w:r>
      <w:r>
        <w:rPr>
          <w:color w:val="000000"/>
          <w:rtl/>
        </w:rPr>
        <w:t>.</w:t>
      </w:r>
      <w:r>
        <w:rPr>
          <w:color w:val="000000"/>
          <w:rtl/>
        </w:rPr>
        <w:tab/>
        <w:t>הסנגור ציין כי הנאשם הודה כבר בשלב החקירה ו</w:t>
      </w:r>
      <w:r>
        <w:rPr>
          <w:rFonts w:hint="cs"/>
          <w:color w:val="000000"/>
          <w:rtl/>
        </w:rPr>
        <w:t xml:space="preserve">שב והודה גם </w:t>
      </w:r>
      <w:r>
        <w:rPr>
          <w:color w:val="000000"/>
          <w:rtl/>
        </w:rPr>
        <w:t>בבימ"ש כבר בהזדמנות הראשונה ובזה חסך זמן שיפוטי יקר. הנאשם לקח אחריות מלאה על מעשיו, הביע חרטה כנה וצער רב.</w:t>
      </w:r>
    </w:p>
    <w:p w14:paraId="3FBEFA23" w14:textId="77777777" w:rsidR="00BB74F1" w:rsidRDefault="00BB74F1">
      <w:pPr>
        <w:spacing w:line="360" w:lineRule="auto"/>
        <w:jc w:val="both"/>
        <w:rPr>
          <w:color w:val="000000"/>
          <w:rtl/>
        </w:rPr>
      </w:pPr>
    </w:p>
    <w:p w14:paraId="1C8EF067" w14:textId="77777777" w:rsidR="00BB74F1" w:rsidRDefault="00205A15">
      <w:pPr>
        <w:spacing w:line="360" w:lineRule="auto"/>
        <w:ind w:left="720" w:hanging="720"/>
        <w:jc w:val="both"/>
        <w:rPr>
          <w:color w:val="000000"/>
          <w:rtl/>
        </w:rPr>
      </w:pPr>
      <w:r>
        <w:rPr>
          <w:b/>
          <w:bCs/>
          <w:color w:val="000000"/>
          <w:rtl/>
        </w:rPr>
        <w:t>27</w:t>
      </w:r>
      <w:r>
        <w:rPr>
          <w:color w:val="000000"/>
          <w:rtl/>
        </w:rPr>
        <w:t>.</w:t>
      </w:r>
      <w:r>
        <w:rPr>
          <w:color w:val="000000"/>
          <w:rtl/>
        </w:rPr>
        <w:tab/>
        <w:t xml:space="preserve">עוד ציין כי לפי עובדות כתב האישום המתוקן, הנאשם נשא את הנשק כאשר היה בן 15, מגיל 15 עד 19  </w:t>
      </w:r>
      <w:r>
        <w:rPr>
          <w:rFonts w:hint="cs"/>
          <w:color w:val="000000"/>
          <w:rtl/>
        </w:rPr>
        <w:t>כשבשנים אלו הגם שהוא</w:t>
      </w:r>
      <w:r>
        <w:rPr>
          <w:color w:val="000000"/>
          <w:rtl/>
        </w:rPr>
        <w:t xml:space="preserve"> נשא את הנשק</w:t>
      </w:r>
      <w:r>
        <w:rPr>
          <w:rFonts w:hint="cs"/>
          <w:color w:val="000000"/>
          <w:rtl/>
        </w:rPr>
        <w:t>,</w:t>
      </w:r>
      <w:r>
        <w:rPr>
          <w:color w:val="000000"/>
          <w:rtl/>
        </w:rPr>
        <w:t xml:space="preserve"> לא ביצע בו כל עבירה, דבר המעיד על כך שנאשם זה ל</w:t>
      </w:r>
      <w:r>
        <w:rPr>
          <w:rFonts w:hint="cs"/>
          <w:color w:val="000000"/>
          <w:rtl/>
        </w:rPr>
        <w:t xml:space="preserve">א </w:t>
      </w:r>
      <w:r>
        <w:rPr>
          <w:color w:val="000000"/>
          <w:rtl/>
        </w:rPr>
        <w:t xml:space="preserve">נשא את הנשק למטרות </w:t>
      </w:r>
      <w:r>
        <w:rPr>
          <w:rFonts w:hint="cs"/>
          <w:color w:val="000000"/>
          <w:rtl/>
        </w:rPr>
        <w:t>פליליות</w:t>
      </w:r>
      <w:r>
        <w:rPr>
          <w:color w:val="000000"/>
          <w:rtl/>
        </w:rPr>
        <w:t>.</w:t>
      </w:r>
    </w:p>
    <w:p w14:paraId="32A9512C" w14:textId="77777777" w:rsidR="00BB74F1" w:rsidRDefault="00BB74F1">
      <w:pPr>
        <w:spacing w:line="360" w:lineRule="auto"/>
        <w:jc w:val="both"/>
        <w:rPr>
          <w:color w:val="000000"/>
          <w:rtl/>
        </w:rPr>
      </w:pPr>
    </w:p>
    <w:p w14:paraId="249BCFD7" w14:textId="77777777" w:rsidR="00BB74F1" w:rsidRDefault="00205A15">
      <w:pPr>
        <w:spacing w:line="360" w:lineRule="auto"/>
        <w:ind w:left="720" w:hanging="720"/>
        <w:jc w:val="both"/>
        <w:rPr>
          <w:color w:val="000000"/>
          <w:rtl/>
        </w:rPr>
      </w:pPr>
      <w:r>
        <w:rPr>
          <w:b/>
          <w:bCs/>
          <w:color w:val="000000"/>
          <w:rtl/>
        </w:rPr>
        <w:t>28</w:t>
      </w:r>
      <w:r>
        <w:rPr>
          <w:color w:val="000000"/>
          <w:rtl/>
        </w:rPr>
        <w:t>.</w:t>
      </w:r>
      <w:r>
        <w:rPr>
          <w:color w:val="000000"/>
          <w:rtl/>
        </w:rPr>
        <w:tab/>
        <w:t>הסנגור ביקש להתחשב בכך כי הנאשם היה במעצר כחודש ימים ולאחר מ</w:t>
      </w:r>
      <w:r>
        <w:rPr>
          <w:rFonts w:hint="cs"/>
          <w:color w:val="000000"/>
          <w:rtl/>
        </w:rPr>
        <w:t>כ</w:t>
      </w:r>
      <w:r>
        <w:rPr>
          <w:color w:val="000000"/>
          <w:rtl/>
        </w:rPr>
        <w:t xml:space="preserve">ן שוחרר למעצר בית בתנאים מגבילים ומאז לא ביצע </w:t>
      </w:r>
      <w:r>
        <w:rPr>
          <w:rFonts w:hint="cs"/>
          <w:color w:val="000000"/>
          <w:rtl/>
        </w:rPr>
        <w:t>כל</w:t>
      </w:r>
      <w:r>
        <w:rPr>
          <w:color w:val="000000"/>
          <w:rtl/>
        </w:rPr>
        <w:t xml:space="preserve"> עבירה. </w:t>
      </w:r>
    </w:p>
    <w:p w14:paraId="08813031" w14:textId="77777777" w:rsidR="00BB74F1" w:rsidRDefault="00BB74F1">
      <w:pPr>
        <w:spacing w:line="360" w:lineRule="auto"/>
        <w:ind w:left="720" w:hanging="720"/>
        <w:jc w:val="both"/>
        <w:rPr>
          <w:color w:val="000000"/>
          <w:rtl/>
        </w:rPr>
      </w:pPr>
    </w:p>
    <w:p w14:paraId="5F228D68" w14:textId="77777777" w:rsidR="00BB74F1" w:rsidRDefault="00205A15">
      <w:pPr>
        <w:spacing w:line="360" w:lineRule="auto"/>
        <w:jc w:val="both"/>
        <w:rPr>
          <w:color w:val="000000"/>
          <w:rtl/>
        </w:rPr>
      </w:pPr>
      <w:r>
        <w:rPr>
          <w:b/>
          <w:bCs/>
          <w:color w:val="000000"/>
          <w:rtl/>
        </w:rPr>
        <w:t>29</w:t>
      </w:r>
      <w:r>
        <w:rPr>
          <w:color w:val="000000"/>
          <w:rtl/>
        </w:rPr>
        <w:t>.</w:t>
      </w:r>
      <w:r>
        <w:rPr>
          <w:color w:val="000000"/>
          <w:rtl/>
        </w:rPr>
        <w:tab/>
        <w:t xml:space="preserve">הסנגור הפנה לתסקיר שירות המבחן וביקש לאמץ את המלצתו. </w:t>
      </w:r>
    </w:p>
    <w:p w14:paraId="4B97C52B" w14:textId="77777777" w:rsidR="00BB74F1" w:rsidRDefault="00BB74F1">
      <w:pPr>
        <w:spacing w:line="360" w:lineRule="auto"/>
        <w:jc w:val="both"/>
        <w:rPr>
          <w:color w:val="000000"/>
          <w:rtl/>
        </w:rPr>
      </w:pPr>
    </w:p>
    <w:p w14:paraId="1873DC2A" w14:textId="77777777" w:rsidR="00BB74F1" w:rsidRDefault="00205A15">
      <w:pPr>
        <w:spacing w:line="360" w:lineRule="auto"/>
        <w:jc w:val="both"/>
        <w:rPr>
          <w:color w:val="000000"/>
          <w:rtl/>
        </w:rPr>
      </w:pPr>
      <w:r>
        <w:rPr>
          <w:b/>
          <w:bCs/>
          <w:color w:val="000000"/>
          <w:rtl/>
        </w:rPr>
        <w:t>30</w:t>
      </w:r>
      <w:r>
        <w:rPr>
          <w:color w:val="000000"/>
          <w:rtl/>
        </w:rPr>
        <w:t>.</w:t>
      </w:r>
      <w:r>
        <w:rPr>
          <w:color w:val="000000"/>
          <w:rtl/>
        </w:rPr>
        <w:tab/>
        <w:t>ציין כי האקדח נתפס כשהוא ריק מכדורים ו</w:t>
      </w:r>
      <w:r>
        <w:rPr>
          <w:rFonts w:hint="cs"/>
          <w:color w:val="000000"/>
          <w:rtl/>
        </w:rPr>
        <w:t>בנפרד מה</w:t>
      </w:r>
      <w:r>
        <w:rPr>
          <w:color w:val="000000"/>
          <w:rtl/>
        </w:rPr>
        <w:t>מחסנית.</w:t>
      </w:r>
    </w:p>
    <w:p w14:paraId="2FD1ED0F" w14:textId="77777777" w:rsidR="00BB74F1" w:rsidRDefault="00BB74F1">
      <w:pPr>
        <w:spacing w:line="360" w:lineRule="auto"/>
        <w:jc w:val="both"/>
        <w:rPr>
          <w:color w:val="000000"/>
          <w:rtl/>
        </w:rPr>
      </w:pPr>
    </w:p>
    <w:p w14:paraId="23801BF6" w14:textId="77777777" w:rsidR="00BB74F1" w:rsidRDefault="00205A15">
      <w:pPr>
        <w:spacing w:line="360" w:lineRule="auto"/>
        <w:ind w:left="720" w:hanging="720"/>
        <w:jc w:val="both"/>
        <w:rPr>
          <w:color w:val="000000"/>
          <w:rtl/>
        </w:rPr>
      </w:pPr>
      <w:r>
        <w:rPr>
          <w:b/>
          <w:bCs/>
          <w:color w:val="000000"/>
          <w:rtl/>
        </w:rPr>
        <w:t>31</w:t>
      </w:r>
      <w:r>
        <w:rPr>
          <w:color w:val="000000"/>
          <w:rtl/>
        </w:rPr>
        <w:t>.</w:t>
      </w:r>
      <w:r>
        <w:rPr>
          <w:color w:val="000000"/>
          <w:rtl/>
        </w:rPr>
        <w:tab/>
        <w:t xml:space="preserve">הסנגור הפנה לפסיקה וביקש </w:t>
      </w:r>
      <w:r>
        <w:rPr>
          <w:rFonts w:hint="cs"/>
          <w:color w:val="000000"/>
          <w:rtl/>
        </w:rPr>
        <w:t>ש</w:t>
      </w:r>
      <w:r>
        <w:rPr>
          <w:color w:val="000000"/>
          <w:rtl/>
        </w:rPr>
        <w:t>לא למצות את הדין עם הנאשם, הדגיש כי המדובר בבחור צעיר, בן למשפחה נורמטיבית, נעדר עבר פלילי וזו מעורבותו הראשונה בפלילים, לכן ביקש לתת לו הזדמנות ולהטיל עליו עונש מאסר שירוצה בדרך של עבודות שירות.</w:t>
      </w:r>
    </w:p>
    <w:p w14:paraId="04BD7919" w14:textId="77777777" w:rsidR="00BB74F1" w:rsidRDefault="00BB74F1">
      <w:pPr>
        <w:spacing w:line="360" w:lineRule="auto"/>
        <w:jc w:val="both"/>
        <w:rPr>
          <w:color w:val="000000"/>
          <w:rtl/>
        </w:rPr>
      </w:pPr>
    </w:p>
    <w:p w14:paraId="73DB678E" w14:textId="77777777" w:rsidR="00BB74F1" w:rsidRDefault="00205A15">
      <w:pPr>
        <w:spacing w:line="360" w:lineRule="auto"/>
        <w:jc w:val="both"/>
        <w:rPr>
          <w:color w:val="000000"/>
          <w:rtl/>
        </w:rPr>
      </w:pPr>
      <w:r>
        <w:rPr>
          <w:b/>
          <w:bCs/>
          <w:color w:val="000000"/>
          <w:rtl/>
        </w:rPr>
        <w:t>32</w:t>
      </w:r>
      <w:r>
        <w:rPr>
          <w:color w:val="000000"/>
          <w:rtl/>
        </w:rPr>
        <w:t>.</w:t>
      </w:r>
      <w:r>
        <w:rPr>
          <w:color w:val="000000"/>
          <w:rtl/>
        </w:rPr>
        <w:tab/>
        <w:t xml:space="preserve">הנאשם בפנותו לביהמ"ש הביע צער על מעשיו. </w:t>
      </w:r>
    </w:p>
    <w:p w14:paraId="4320AA9F" w14:textId="77777777" w:rsidR="00BB74F1" w:rsidRDefault="00BB74F1">
      <w:pPr>
        <w:spacing w:line="360" w:lineRule="auto"/>
        <w:jc w:val="both"/>
        <w:rPr>
          <w:color w:val="000000"/>
          <w:rtl/>
        </w:rPr>
      </w:pPr>
    </w:p>
    <w:p w14:paraId="573E6F4D" w14:textId="77777777" w:rsidR="00BB74F1" w:rsidRDefault="00205A15">
      <w:pPr>
        <w:spacing w:line="360" w:lineRule="auto"/>
        <w:ind w:firstLine="720"/>
        <w:jc w:val="both"/>
        <w:rPr>
          <w:b/>
          <w:bCs/>
          <w:color w:val="000000"/>
          <w:u w:val="single"/>
          <w:rtl/>
        </w:rPr>
      </w:pPr>
      <w:r>
        <w:rPr>
          <w:b/>
          <w:bCs/>
          <w:color w:val="000000"/>
          <w:u w:val="single"/>
          <w:rtl/>
        </w:rPr>
        <w:t>גזירת הדין:</w:t>
      </w:r>
    </w:p>
    <w:p w14:paraId="1140B923" w14:textId="77777777" w:rsidR="00BB74F1" w:rsidRDefault="00BB74F1">
      <w:pPr>
        <w:spacing w:line="360" w:lineRule="auto"/>
        <w:jc w:val="both"/>
        <w:rPr>
          <w:color w:val="000000"/>
          <w:rtl/>
        </w:rPr>
      </w:pPr>
    </w:p>
    <w:p w14:paraId="7B0B3739" w14:textId="77777777" w:rsidR="00BB74F1" w:rsidRDefault="00205A15">
      <w:pPr>
        <w:spacing w:line="360" w:lineRule="auto"/>
        <w:ind w:left="720" w:hanging="720"/>
        <w:jc w:val="both"/>
        <w:rPr>
          <w:color w:val="000000"/>
          <w:rtl/>
        </w:rPr>
      </w:pPr>
      <w:r>
        <w:rPr>
          <w:b/>
          <w:bCs/>
          <w:color w:val="000000"/>
          <w:rtl/>
        </w:rPr>
        <w:t>33</w:t>
      </w:r>
      <w:r>
        <w:rPr>
          <w:color w:val="000000"/>
          <w:rtl/>
        </w:rPr>
        <w:t>.</w:t>
      </w:r>
      <w:r>
        <w:rPr>
          <w:color w:val="000000"/>
          <w:rtl/>
        </w:rPr>
        <w:tab/>
        <w:t>הנאשם הורשע בביצוע עבירות בנשק, לאחר שנשא והוביל אקדח עם מחסנית שהיו מוס</w:t>
      </w:r>
      <w:r>
        <w:rPr>
          <w:rFonts w:hint="cs"/>
          <w:color w:val="000000"/>
          <w:rtl/>
        </w:rPr>
        <w:t>תרים</w:t>
      </w:r>
      <w:r>
        <w:rPr>
          <w:color w:val="000000"/>
          <w:rtl/>
        </w:rPr>
        <w:t xml:space="preserve"> מתחת לכ</w:t>
      </w:r>
      <w:r>
        <w:rPr>
          <w:rFonts w:hint="cs"/>
          <w:color w:val="000000"/>
          <w:rtl/>
        </w:rPr>
        <w:t>י</w:t>
      </w:r>
      <w:r>
        <w:rPr>
          <w:color w:val="000000"/>
          <w:rtl/>
        </w:rPr>
        <w:t>סא ברכב בו נסע.</w:t>
      </w:r>
    </w:p>
    <w:p w14:paraId="785278CB" w14:textId="77777777" w:rsidR="00BB74F1" w:rsidRDefault="00BB74F1">
      <w:pPr>
        <w:spacing w:line="360" w:lineRule="auto"/>
        <w:ind w:left="720" w:hanging="720"/>
        <w:jc w:val="both"/>
        <w:rPr>
          <w:color w:val="000000"/>
          <w:rtl/>
        </w:rPr>
      </w:pPr>
    </w:p>
    <w:p w14:paraId="0EF103F4" w14:textId="77777777" w:rsidR="00BB74F1" w:rsidRDefault="00205A15">
      <w:pPr>
        <w:spacing w:line="360" w:lineRule="auto"/>
        <w:ind w:left="720" w:hanging="720"/>
        <w:jc w:val="both"/>
        <w:rPr>
          <w:color w:val="000000"/>
          <w:rtl/>
        </w:rPr>
      </w:pPr>
      <w:r>
        <w:rPr>
          <w:b/>
          <w:bCs/>
          <w:color w:val="000000"/>
          <w:rtl/>
        </w:rPr>
        <w:t>34</w:t>
      </w:r>
      <w:r>
        <w:rPr>
          <w:color w:val="000000"/>
          <w:rtl/>
        </w:rPr>
        <w:t>.</w:t>
      </w:r>
      <w:r>
        <w:rPr>
          <w:color w:val="000000"/>
          <w:rtl/>
        </w:rPr>
        <w:tab/>
        <w:t xml:space="preserve">אכן ריבוי העבירות המבוצעות בנשק, התחושה שנשק בלתי מורשה מצוי בידי כל מי שחפץ ובשל הסכנה הנשקפת מנשק זה לציבור, נקטו בתי המשפט בגישה מחמירה שתכליתה </w:t>
      </w:r>
      <w:r>
        <w:rPr>
          <w:rFonts w:hint="cs"/>
          <w:color w:val="000000"/>
          <w:rtl/>
        </w:rPr>
        <w:t xml:space="preserve">הכרזת </w:t>
      </w:r>
      <w:r>
        <w:rPr>
          <w:color w:val="000000"/>
          <w:rtl/>
        </w:rPr>
        <w:t xml:space="preserve">מלחמה </w:t>
      </w:r>
      <w:r>
        <w:rPr>
          <w:rFonts w:hint="cs"/>
          <w:color w:val="000000"/>
          <w:rtl/>
        </w:rPr>
        <w:t xml:space="preserve">של רשויות האכיפה </w:t>
      </w:r>
      <w:r>
        <w:rPr>
          <w:color w:val="000000"/>
          <w:rtl/>
        </w:rPr>
        <w:t>בתופעה זו ועל כך נאמר ב</w:t>
      </w:r>
      <w:hyperlink r:id="rId14" w:history="1">
        <w:r w:rsidR="00007859" w:rsidRPr="00007859">
          <w:rPr>
            <w:rStyle w:val="Hyperlink"/>
            <w:rtl/>
          </w:rPr>
          <w:t>ע"פ 9373/10</w:t>
        </w:r>
      </w:hyperlink>
      <w:r>
        <w:rPr>
          <w:color w:val="000000"/>
          <w:rtl/>
        </w:rPr>
        <w:t xml:space="preserve"> </w:t>
      </w:r>
      <w:r>
        <w:rPr>
          <w:b/>
          <w:bCs/>
          <w:color w:val="000000"/>
          <w:rtl/>
        </w:rPr>
        <w:t>חמד וותד נגד מדינת ישראל</w:t>
      </w:r>
      <w:r>
        <w:rPr>
          <w:color w:val="000000"/>
          <w:rtl/>
        </w:rPr>
        <w:t xml:space="preserve"> (ניתן ביום 14.9.11) כי: </w:t>
      </w:r>
    </w:p>
    <w:p w14:paraId="4F315306" w14:textId="77777777" w:rsidR="00BB74F1" w:rsidRDefault="00BB74F1">
      <w:pPr>
        <w:spacing w:line="360" w:lineRule="auto"/>
        <w:jc w:val="both"/>
        <w:rPr>
          <w:color w:val="000000"/>
          <w:rtl/>
        </w:rPr>
      </w:pPr>
    </w:p>
    <w:p w14:paraId="324AED8A" w14:textId="77777777" w:rsidR="00BB74F1" w:rsidRDefault="00205A15">
      <w:pPr>
        <w:spacing w:line="360" w:lineRule="auto"/>
        <w:ind w:left="720"/>
        <w:jc w:val="both"/>
        <w:rPr>
          <w:b/>
          <w:bCs/>
          <w:color w:val="000000"/>
          <w:rtl/>
        </w:rPr>
      </w:pPr>
      <w:r>
        <w:rPr>
          <w:b/>
          <w:bCs/>
          <w:color w:val="000000"/>
          <w:rtl/>
        </w:rPr>
        <w:t xml:space="preserve">"...אכן מקובלת עלינו ההשקפה אותה הביע השופט המלומד כי הגיעה העת להחמיר בענישתם של המבצעים עבירות בנשק, אולם ראוי שהדבר ייעשה בהדרגה..." </w:t>
      </w:r>
    </w:p>
    <w:p w14:paraId="7F87913C" w14:textId="77777777" w:rsidR="00BB74F1" w:rsidRDefault="00BB74F1">
      <w:pPr>
        <w:spacing w:line="360" w:lineRule="auto"/>
        <w:jc w:val="both"/>
        <w:rPr>
          <w:color w:val="000000"/>
          <w:rtl/>
        </w:rPr>
      </w:pPr>
    </w:p>
    <w:p w14:paraId="0EDB9D4A" w14:textId="77777777" w:rsidR="00BB74F1" w:rsidRDefault="00205A15">
      <w:pPr>
        <w:spacing w:line="360" w:lineRule="auto"/>
        <w:ind w:firstLine="720"/>
        <w:jc w:val="both"/>
        <w:rPr>
          <w:color w:val="000000"/>
          <w:rtl/>
        </w:rPr>
      </w:pPr>
      <w:r>
        <w:rPr>
          <w:color w:val="000000"/>
          <w:rtl/>
        </w:rPr>
        <w:t xml:space="preserve">כאשר קודם לכך כתב ביהמ"ש העליון כי: </w:t>
      </w:r>
    </w:p>
    <w:p w14:paraId="1A2DE857" w14:textId="77777777" w:rsidR="00BB74F1" w:rsidRDefault="00BB74F1">
      <w:pPr>
        <w:spacing w:line="360" w:lineRule="auto"/>
        <w:jc w:val="both"/>
        <w:rPr>
          <w:color w:val="000000"/>
          <w:rtl/>
        </w:rPr>
      </w:pPr>
    </w:p>
    <w:p w14:paraId="6E371DE1" w14:textId="77777777" w:rsidR="00BB74F1" w:rsidRDefault="00205A15">
      <w:pPr>
        <w:spacing w:line="360" w:lineRule="auto"/>
        <w:ind w:left="720"/>
        <w:jc w:val="both"/>
        <w:rPr>
          <w:color w:val="000000"/>
          <w:rtl/>
        </w:rPr>
      </w:pPr>
      <w:r>
        <w:rPr>
          <w:b/>
          <w:bCs/>
          <w:color w:val="000000"/>
          <w:rtl/>
        </w:rPr>
        <w:t xml:space="preserve">"...עם זאת, יש ממש בטענת המערער לפיה החמיר עמו ביהמ"ש המחוזי מעבר לרמת הענישה הנוהגת". </w:t>
      </w:r>
    </w:p>
    <w:p w14:paraId="53823D7E" w14:textId="77777777" w:rsidR="00BB74F1" w:rsidRDefault="00BB74F1">
      <w:pPr>
        <w:spacing w:line="360" w:lineRule="auto"/>
        <w:jc w:val="both"/>
        <w:rPr>
          <w:color w:val="000000"/>
          <w:rtl/>
        </w:rPr>
      </w:pPr>
    </w:p>
    <w:p w14:paraId="467DF53F" w14:textId="77777777" w:rsidR="00BB74F1" w:rsidRDefault="00205A15">
      <w:pPr>
        <w:spacing w:line="360" w:lineRule="auto"/>
        <w:ind w:left="720"/>
        <w:jc w:val="both"/>
        <w:rPr>
          <w:color w:val="000000"/>
          <w:rtl/>
        </w:rPr>
      </w:pPr>
      <w:r>
        <w:rPr>
          <w:color w:val="000000"/>
          <w:rtl/>
        </w:rPr>
        <w:t xml:space="preserve">בסופו של יום הקל בעונשו ותחת </w:t>
      </w:r>
      <w:r>
        <w:rPr>
          <w:rFonts w:hint="cs"/>
          <w:color w:val="000000"/>
          <w:rtl/>
        </w:rPr>
        <w:t>50</w:t>
      </w:r>
      <w:r>
        <w:rPr>
          <w:color w:val="000000"/>
          <w:rtl/>
        </w:rPr>
        <w:t xml:space="preserve"> </w:t>
      </w:r>
      <w:r>
        <w:rPr>
          <w:rFonts w:hint="cs"/>
          <w:color w:val="000000"/>
          <w:rtl/>
        </w:rPr>
        <w:t>חודשי</w:t>
      </w:r>
      <w:r>
        <w:rPr>
          <w:color w:val="000000"/>
          <w:rtl/>
        </w:rPr>
        <w:t xml:space="preserve"> מאסר </w:t>
      </w:r>
      <w:r>
        <w:rPr>
          <w:rFonts w:hint="cs"/>
          <w:color w:val="000000"/>
          <w:rtl/>
        </w:rPr>
        <w:t xml:space="preserve">בפועל </w:t>
      </w:r>
      <w:r>
        <w:rPr>
          <w:color w:val="000000"/>
          <w:rtl/>
        </w:rPr>
        <w:t xml:space="preserve">שהטיל ביהמ"ש המחוזי; הופחת העונש ל- 30 חודשים. </w:t>
      </w:r>
      <w:r>
        <w:rPr>
          <w:rFonts w:hint="cs"/>
          <w:color w:val="000000"/>
          <w:rtl/>
        </w:rPr>
        <w:t>(יצוין כי העבירות והנסיבות בהן בוצעו, חמורות יותר).</w:t>
      </w:r>
    </w:p>
    <w:p w14:paraId="69364FFF" w14:textId="77777777" w:rsidR="00BB74F1" w:rsidRDefault="00BB74F1">
      <w:pPr>
        <w:spacing w:line="360" w:lineRule="auto"/>
        <w:ind w:left="720"/>
        <w:jc w:val="both"/>
        <w:rPr>
          <w:color w:val="000000"/>
          <w:rtl/>
        </w:rPr>
      </w:pPr>
    </w:p>
    <w:p w14:paraId="63A7C8DE" w14:textId="77777777" w:rsidR="00BB74F1" w:rsidRDefault="00205A15">
      <w:pPr>
        <w:spacing w:line="360" w:lineRule="auto"/>
        <w:ind w:left="720" w:hanging="720"/>
        <w:jc w:val="both"/>
        <w:rPr>
          <w:color w:val="000000"/>
          <w:rtl/>
        </w:rPr>
      </w:pPr>
      <w:r>
        <w:rPr>
          <w:rFonts w:hint="cs"/>
          <w:b/>
          <w:bCs/>
          <w:color w:val="000000"/>
          <w:rtl/>
        </w:rPr>
        <w:t>35</w:t>
      </w:r>
      <w:r>
        <w:rPr>
          <w:color w:val="000000"/>
          <w:rtl/>
        </w:rPr>
        <w:t>.</w:t>
      </w:r>
      <w:r>
        <w:rPr>
          <w:color w:val="000000"/>
          <w:rtl/>
        </w:rPr>
        <w:tab/>
        <w:t xml:space="preserve">בשנים האחרונות, </w:t>
      </w:r>
      <w:r>
        <w:rPr>
          <w:rFonts w:hint="cs"/>
          <w:color w:val="000000"/>
          <w:rtl/>
        </w:rPr>
        <w:t>אכן</w:t>
      </w:r>
      <w:r>
        <w:rPr>
          <w:color w:val="000000"/>
          <w:rtl/>
        </w:rPr>
        <w:t xml:space="preserve"> </w:t>
      </w:r>
      <w:r>
        <w:rPr>
          <w:rFonts w:hint="cs"/>
          <w:color w:val="000000"/>
          <w:rtl/>
        </w:rPr>
        <w:t>ה</w:t>
      </w:r>
      <w:r>
        <w:rPr>
          <w:color w:val="000000"/>
          <w:rtl/>
        </w:rPr>
        <w:t>מגמה בפסיקה להחמ</w:t>
      </w:r>
      <w:r>
        <w:rPr>
          <w:rFonts w:hint="cs"/>
          <w:color w:val="000000"/>
          <w:rtl/>
        </w:rPr>
        <w:t>י</w:t>
      </w:r>
      <w:r>
        <w:rPr>
          <w:color w:val="000000"/>
          <w:rtl/>
        </w:rPr>
        <w:t xml:space="preserve">ר בענישה בעבירות נשק - ראו </w:t>
      </w:r>
      <w:hyperlink r:id="rId15" w:history="1">
        <w:r w:rsidR="00007859" w:rsidRPr="00007859">
          <w:rPr>
            <w:rStyle w:val="Hyperlink"/>
            <w:rtl/>
          </w:rPr>
          <w:t>ע"פ 2251/11</w:t>
        </w:r>
      </w:hyperlink>
      <w:r>
        <w:rPr>
          <w:color w:val="000000"/>
          <w:rtl/>
        </w:rPr>
        <w:t xml:space="preserve"> </w:t>
      </w:r>
      <w:r>
        <w:rPr>
          <w:b/>
          <w:bCs/>
          <w:color w:val="000000"/>
          <w:rtl/>
        </w:rPr>
        <w:t>נפאע נ' מדינת ישראל</w:t>
      </w:r>
      <w:r>
        <w:rPr>
          <w:color w:val="000000"/>
          <w:rtl/>
        </w:rPr>
        <w:t xml:space="preserve"> (ניתן ביום 4.12.11) ו</w:t>
      </w:r>
      <w:hyperlink r:id="rId16" w:history="1">
        <w:r w:rsidR="00007859" w:rsidRPr="00007859">
          <w:rPr>
            <w:rStyle w:val="Hyperlink"/>
            <w:rtl/>
          </w:rPr>
          <w:t>ע"פ 4450/11</w:t>
        </w:r>
      </w:hyperlink>
      <w:r>
        <w:rPr>
          <w:color w:val="000000"/>
          <w:rtl/>
        </w:rPr>
        <w:t xml:space="preserve"> </w:t>
      </w:r>
      <w:r>
        <w:rPr>
          <w:b/>
          <w:bCs/>
          <w:color w:val="000000"/>
          <w:rtl/>
        </w:rPr>
        <w:t>עספור נ' מדינת ישראל</w:t>
      </w:r>
      <w:r>
        <w:rPr>
          <w:color w:val="000000"/>
          <w:rtl/>
        </w:rPr>
        <w:t xml:space="preserve"> (ניתן ביום 8.2.12). מגמה שזכתה לתמיכה מליאה בפסק דין שניתן לאחרונה ע"י בימ"ש העליון ב</w:t>
      </w:r>
      <w:hyperlink r:id="rId17" w:history="1">
        <w:r w:rsidR="00007859" w:rsidRPr="00007859">
          <w:rPr>
            <w:rStyle w:val="Hyperlink"/>
            <w:rtl/>
          </w:rPr>
          <w:t>ע"פ 1323/13</w:t>
        </w:r>
      </w:hyperlink>
      <w:r>
        <w:rPr>
          <w:color w:val="000000"/>
          <w:rtl/>
        </w:rPr>
        <w:t xml:space="preserve"> </w:t>
      </w:r>
      <w:r>
        <w:rPr>
          <w:b/>
          <w:bCs/>
          <w:color w:val="000000"/>
          <w:rtl/>
        </w:rPr>
        <w:t xml:space="preserve">רך חסן </w:t>
      </w:r>
      <w:r>
        <w:rPr>
          <w:rFonts w:hint="cs"/>
          <w:b/>
          <w:bCs/>
          <w:color w:val="000000"/>
          <w:rtl/>
        </w:rPr>
        <w:t xml:space="preserve">ואח' </w:t>
      </w:r>
      <w:r>
        <w:rPr>
          <w:b/>
          <w:bCs/>
          <w:color w:val="000000"/>
          <w:rtl/>
        </w:rPr>
        <w:t>נגד מדינת ישראל</w:t>
      </w:r>
      <w:r>
        <w:rPr>
          <w:color w:val="000000"/>
          <w:rtl/>
        </w:rPr>
        <w:t xml:space="preserve"> (ניתן ביום 5.6.13) (להלן: "</w:t>
      </w:r>
      <w:r>
        <w:rPr>
          <w:b/>
          <w:bCs/>
          <w:color w:val="000000"/>
          <w:rtl/>
        </w:rPr>
        <w:t>חסן</w:t>
      </w:r>
      <w:r>
        <w:rPr>
          <w:color w:val="000000"/>
          <w:rtl/>
        </w:rPr>
        <w:t>"), שם קבעה השופטת ע. ארבל:</w:t>
      </w:r>
    </w:p>
    <w:p w14:paraId="36D1E7AE" w14:textId="77777777" w:rsidR="00BB74F1" w:rsidRDefault="00BB74F1">
      <w:pPr>
        <w:spacing w:line="360" w:lineRule="auto"/>
        <w:jc w:val="both"/>
        <w:rPr>
          <w:color w:val="000000"/>
          <w:rtl/>
        </w:rPr>
      </w:pPr>
    </w:p>
    <w:p w14:paraId="2DB1E1CB" w14:textId="77777777" w:rsidR="00BB74F1" w:rsidRDefault="00205A15">
      <w:pPr>
        <w:pStyle w:val="Ruller40"/>
        <w:ind w:left="720"/>
        <w:rPr>
          <w:rFonts w:ascii="Times New Roman" w:hAnsi="Times New Roman" w:cs="David"/>
          <w:b/>
          <w:bCs/>
          <w:sz w:val="24"/>
          <w:szCs w:val="24"/>
          <w:rtl/>
        </w:rPr>
      </w:pPr>
      <w:r>
        <w:rPr>
          <w:rFonts w:ascii="Times New Roman" w:hAnsi="Times New Roman" w:cs="David"/>
          <w:b/>
          <w:bCs/>
          <w:sz w:val="24"/>
          <w:szCs w:val="24"/>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כל מקרה לגופו, לפי נסיבותיו ומידת אשמו של הנאשם". </w:t>
      </w:r>
    </w:p>
    <w:p w14:paraId="1C2FEB96" w14:textId="77777777" w:rsidR="00BB74F1" w:rsidRDefault="00BB74F1">
      <w:pPr>
        <w:spacing w:after="80" w:line="360" w:lineRule="auto"/>
        <w:jc w:val="both"/>
        <w:rPr>
          <w:b/>
          <w:bCs/>
          <w:color w:val="000000"/>
          <w:rtl/>
        </w:rPr>
      </w:pPr>
    </w:p>
    <w:p w14:paraId="756D8DDD" w14:textId="77777777" w:rsidR="00BB74F1" w:rsidRDefault="00205A15">
      <w:pPr>
        <w:spacing w:after="80" w:line="360" w:lineRule="auto"/>
        <w:ind w:left="720"/>
        <w:jc w:val="both"/>
        <w:rPr>
          <w:color w:val="000000"/>
          <w:rtl/>
        </w:rPr>
      </w:pPr>
      <w:r>
        <w:rPr>
          <w:rFonts w:hint="cs"/>
          <w:color w:val="000000"/>
          <w:rtl/>
        </w:rPr>
        <w:t>גם בעניין הנ"ל הנסיבות חמורות יותר מהנסיבות של המקרה שבפני. מדובר בעבירות סחר בנשק מסוג רימון הלם וסחר בסמים לסוכן משטרתי כשלנאשמים עבר פלילי מכביד, חרף הנסיבות המחמירות הוטל על מערער 1 עונש של 24 חודשי מאסר בפועל ועל השני 36 חודשים, להבדיל מהנאשם שבפני שהחזיק אקדח עם מחסנית ללא כדורים, צעיר, עברו נקי וזה כשלנו הראשון.</w:t>
      </w:r>
    </w:p>
    <w:p w14:paraId="06E85638" w14:textId="77777777" w:rsidR="00BB74F1" w:rsidRDefault="00205A15">
      <w:pPr>
        <w:spacing w:after="80" w:line="360" w:lineRule="auto"/>
        <w:ind w:left="720"/>
        <w:jc w:val="both"/>
        <w:rPr>
          <w:color w:val="000000"/>
          <w:rtl/>
        </w:rPr>
      </w:pPr>
      <w:r>
        <w:rPr>
          <w:rFonts w:hint="cs"/>
          <w:color w:val="000000"/>
          <w:rtl/>
        </w:rPr>
        <w:t xml:space="preserve">  </w:t>
      </w:r>
    </w:p>
    <w:p w14:paraId="1A404A6F" w14:textId="77777777" w:rsidR="00BB74F1" w:rsidRDefault="00205A15">
      <w:pPr>
        <w:spacing w:after="80" w:line="360" w:lineRule="auto"/>
        <w:ind w:left="720" w:hanging="720"/>
        <w:jc w:val="both"/>
        <w:rPr>
          <w:color w:val="000000"/>
          <w:rtl/>
        </w:rPr>
      </w:pPr>
      <w:r>
        <w:rPr>
          <w:rFonts w:hint="cs"/>
          <w:b/>
          <w:bCs/>
          <w:color w:val="000000"/>
          <w:rtl/>
        </w:rPr>
        <w:t>36</w:t>
      </w:r>
      <w:r>
        <w:rPr>
          <w:color w:val="000000"/>
          <w:rtl/>
        </w:rPr>
        <w:t>.</w:t>
      </w:r>
      <w:r>
        <w:rPr>
          <w:color w:val="000000"/>
          <w:rtl/>
        </w:rPr>
        <w:tab/>
        <w:t xml:space="preserve">אדגיש כי הענישה במקומותינו היא אינדיווידואלית ומותאמת לנסיבות ולנאשם הספציפי העומד לתת את הדין בפני ביהמ"ש – ראו </w:t>
      </w:r>
      <w:hyperlink r:id="rId18" w:history="1">
        <w:r w:rsidR="00007859" w:rsidRPr="00007859">
          <w:rPr>
            <w:rStyle w:val="Hyperlink"/>
            <w:rtl/>
          </w:rPr>
          <w:t>ע"פ 433/89 ג'ורג' אטיאס נ. מידת ישראל, פ"ד מ"ג</w:t>
        </w:r>
      </w:hyperlink>
      <w:r>
        <w:rPr>
          <w:color w:val="000000"/>
          <w:rtl/>
        </w:rPr>
        <w:t xml:space="preserve"> (4) 170, 174).</w:t>
      </w:r>
    </w:p>
    <w:p w14:paraId="2F743E9F" w14:textId="77777777" w:rsidR="00BB74F1" w:rsidRDefault="00BB74F1">
      <w:pPr>
        <w:pStyle w:val="filenumber"/>
        <w:ind w:left="720"/>
        <w:jc w:val="both"/>
        <w:rPr>
          <w:rFonts w:cs="David"/>
          <w:color w:val="000000"/>
          <w:sz w:val="24"/>
          <w:szCs w:val="24"/>
          <w:rtl/>
        </w:rPr>
      </w:pPr>
    </w:p>
    <w:p w14:paraId="19931961" w14:textId="77777777" w:rsidR="00BB74F1" w:rsidRDefault="00205A15">
      <w:pPr>
        <w:pStyle w:val="filenumber"/>
        <w:ind w:left="720"/>
        <w:jc w:val="both"/>
        <w:rPr>
          <w:rFonts w:cs="David"/>
          <w:color w:val="000000"/>
          <w:sz w:val="24"/>
          <w:szCs w:val="24"/>
          <w:rtl/>
        </w:rPr>
      </w:pPr>
      <w:r>
        <w:rPr>
          <w:rFonts w:cs="David"/>
          <w:color w:val="000000"/>
          <w:sz w:val="24"/>
          <w:szCs w:val="24"/>
          <w:rtl/>
        </w:rPr>
        <w:t>לכן יש לבחון כל מקרה ונסיבותיו, לרבות הנסיבות האישיות של הנאשם שעומד לדין בפני בית המשפט. וכך נקבע ב</w:t>
      </w:r>
      <w:hyperlink r:id="rId19" w:history="1">
        <w:r w:rsidR="00007859" w:rsidRPr="00007859">
          <w:rPr>
            <w:rStyle w:val="Hyperlink"/>
            <w:rFonts w:cs="David"/>
            <w:sz w:val="24"/>
            <w:szCs w:val="24"/>
            <w:rtl/>
          </w:rPr>
          <w:t>ע"פ 3210/06</w:t>
        </w:r>
      </w:hyperlink>
      <w:r>
        <w:rPr>
          <w:rFonts w:cs="David"/>
          <w:color w:val="000000"/>
          <w:sz w:val="24"/>
          <w:szCs w:val="24"/>
          <w:rtl/>
        </w:rPr>
        <w:t xml:space="preserve"> </w:t>
      </w:r>
      <w:r>
        <w:rPr>
          <w:rFonts w:cs="David"/>
          <w:b/>
          <w:bCs/>
          <w:color w:val="000000"/>
          <w:sz w:val="24"/>
          <w:szCs w:val="24"/>
          <w:rtl/>
        </w:rPr>
        <w:t>עמארה נ' מדינת ישראל</w:t>
      </w:r>
      <w:r>
        <w:rPr>
          <w:rFonts w:cs="David"/>
          <w:color w:val="000000"/>
          <w:sz w:val="24"/>
          <w:szCs w:val="24"/>
          <w:rtl/>
        </w:rPr>
        <w:t>, (ניתן ביום 18.03.07):</w:t>
      </w:r>
    </w:p>
    <w:p w14:paraId="3B4159E2" w14:textId="77777777" w:rsidR="00BB74F1" w:rsidRDefault="00BB74F1">
      <w:pPr>
        <w:spacing w:line="360" w:lineRule="auto"/>
        <w:jc w:val="both"/>
        <w:rPr>
          <w:color w:val="000000"/>
          <w:rtl/>
        </w:rPr>
      </w:pPr>
    </w:p>
    <w:p w14:paraId="5521FD0E" w14:textId="77777777" w:rsidR="00BB74F1" w:rsidRDefault="00205A15">
      <w:pPr>
        <w:spacing w:line="360" w:lineRule="auto"/>
        <w:ind w:left="585"/>
        <w:jc w:val="both"/>
        <w:rPr>
          <w:b/>
          <w:bCs/>
          <w:color w:val="000000"/>
          <w:rtl/>
        </w:rPr>
      </w:pPr>
      <w:r>
        <w:rPr>
          <w:b/>
          <w:bCs/>
          <w:color w:val="000000"/>
          <w:rtl/>
        </w:rPr>
        <w:t>"הפרמטרים הרלבנטיים האפשריים לגזירת העונש על עבירה זו כשלעצמה, הם חומרת התוצאה, השאלה האם היו בני אדם במקום והועמדו בסכנה, עברו הפלילי של הנאשם וכיוצא בזה.".</w:t>
      </w:r>
    </w:p>
    <w:p w14:paraId="13F5E6A5" w14:textId="77777777" w:rsidR="00BB74F1" w:rsidRDefault="00BB74F1">
      <w:pPr>
        <w:tabs>
          <w:tab w:val="left" w:pos="567"/>
          <w:tab w:val="left" w:pos="1134"/>
          <w:tab w:val="left" w:pos="1701"/>
          <w:tab w:val="left" w:pos="2268"/>
          <w:tab w:val="left" w:pos="2835"/>
          <w:tab w:val="left" w:pos="3402"/>
        </w:tabs>
        <w:spacing w:line="360" w:lineRule="auto"/>
        <w:jc w:val="both"/>
        <w:rPr>
          <w:b/>
          <w:bCs/>
          <w:color w:val="000000"/>
          <w:rtl/>
        </w:rPr>
      </w:pPr>
    </w:p>
    <w:p w14:paraId="5B9DF246" w14:textId="77777777" w:rsidR="00BB74F1" w:rsidRDefault="00205A15">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b/>
          <w:bCs/>
          <w:color w:val="000000"/>
          <w:rtl/>
        </w:rPr>
        <w:t>37</w:t>
      </w:r>
      <w:r>
        <w:rPr>
          <w:color w:val="000000"/>
          <w:rtl/>
        </w:rPr>
        <w:t>.</w:t>
      </w:r>
      <w:r>
        <w:rPr>
          <w:color w:val="000000"/>
          <w:rtl/>
        </w:rPr>
        <w:tab/>
        <w:t>על כן, ובשל כל אשר הובא לעיל, על ביהמ"ש להטיל עונש שיהיה בו כדי לאזן בין מכלול השיקולים ומבלי שיהיה בו כדי לפגוע בסיכויי הנאשם לעלות על דרך המלך, לחזור למוטב להמשיך את התהליך השיקומי, וכל זאת מבלי להתעלם מחומרת העבירה והחובה להגן על רכוש הציבור, בהתחשב בשיקולי הענישה שבאינטרס הציבורי.</w:t>
      </w:r>
    </w:p>
    <w:p w14:paraId="55645952" w14:textId="77777777" w:rsidR="00BB74F1" w:rsidRDefault="00BB74F1">
      <w:pPr>
        <w:tabs>
          <w:tab w:val="left" w:pos="567"/>
          <w:tab w:val="left" w:pos="1134"/>
          <w:tab w:val="left" w:pos="1701"/>
          <w:tab w:val="left" w:pos="2268"/>
          <w:tab w:val="left" w:pos="2835"/>
          <w:tab w:val="left" w:pos="3402"/>
        </w:tabs>
        <w:spacing w:line="360" w:lineRule="auto"/>
        <w:ind w:left="567" w:hanging="567"/>
        <w:jc w:val="both"/>
        <w:rPr>
          <w:color w:val="000000"/>
          <w:rtl/>
        </w:rPr>
      </w:pPr>
    </w:p>
    <w:p w14:paraId="05C37C3B" w14:textId="77777777" w:rsidR="00BB74F1" w:rsidRDefault="00205A15">
      <w:pPr>
        <w:pStyle w:val="Ruller40"/>
        <w:ind w:left="567"/>
        <w:rPr>
          <w:rFonts w:ascii="Times New Roman" w:hAnsi="Times New Roman" w:cs="David"/>
          <w:color w:val="000000"/>
          <w:sz w:val="24"/>
          <w:szCs w:val="24"/>
          <w:rtl/>
        </w:rPr>
      </w:pPr>
      <w:r>
        <w:rPr>
          <w:rFonts w:ascii="Times New Roman" w:hAnsi="Times New Roman" w:cs="David"/>
          <w:color w:val="000000"/>
          <w:sz w:val="24"/>
          <w:szCs w:val="24"/>
          <w:rtl/>
        </w:rPr>
        <w:t xml:space="preserve">בית המשפט העליון דן לאחרונה, בקביעת מתחם העונש ההולם, בעבירת נשק </w:t>
      </w:r>
      <w:r>
        <w:rPr>
          <w:rFonts w:ascii="Times New Roman" w:hAnsi="Times New Roman" w:cs="David" w:hint="cs"/>
          <w:color w:val="000000"/>
          <w:sz w:val="24"/>
          <w:szCs w:val="24"/>
          <w:rtl/>
        </w:rPr>
        <w:t>כשהוא אומר</w:t>
      </w:r>
      <w:r>
        <w:rPr>
          <w:rFonts w:ascii="Times New Roman" w:hAnsi="Times New Roman" w:cs="David"/>
          <w:color w:val="000000"/>
          <w:sz w:val="24"/>
          <w:szCs w:val="24"/>
          <w:rtl/>
        </w:rPr>
        <w:t>:</w:t>
      </w:r>
    </w:p>
    <w:p w14:paraId="378183F4" w14:textId="77777777" w:rsidR="00BB74F1" w:rsidRDefault="00205A15">
      <w:pPr>
        <w:pStyle w:val="Ruller40"/>
        <w:rPr>
          <w:rFonts w:cs="David"/>
          <w:b/>
          <w:bCs/>
          <w:color w:val="000000"/>
          <w:sz w:val="24"/>
          <w:szCs w:val="24"/>
          <w:rtl/>
        </w:rPr>
      </w:pPr>
      <w:r>
        <w:rPr>
          <w:rFonts w:cs="David"/>
          <w:b/>
          <w:bCs/>
          <w:color w:val="000000"/>
          <w:sz w:val="24"/>
          <w:szCs w:val="24"/>
          <w:rtl/>
        </w:rPr>
        <w:tab/>
      </w:r>
    </w:p>
    <w:p w14:paraId="7EAFFB08" w14:textId="77777777" w:rsidR="00BB74F1" w:rsidRDefault="00205A15">
      <w:pPr>
        <w:pStyle w:val="Ruller50"/>
        <w:spacing w:line="360" w:lineRule="auto"/>
        <w:ind w:left="567" w:right="0"/>
        <w:rPr>
          <w:rFonts w:cs="David"/>
          <w:b/>
          <w:bCs/>
          <w:color w:val="000000"/>
          <w:sz w:val="24"/>
          <w:szCs w:val="24"/>
          <w:rtl/>
        </w:rPr>
      </w:pPr>
      <w:r>
        <w:rPr>
          <w:rFonts w:cs="David"/>
          <w:b/>
          <w:bCs/>
          <w:color w:val="000000"/>
          <w:sz w:val="24"/>
          <w:szCs w:val="24"/>
          <w:rtl/>
        </w:rPr>
        <w:t>"לפני כשנה נכנס לתוקף תיקון מספר 113 ל</w:t>
      </w:r>
      <w:hyperlink r:id="rId20" w:history="1">
        <w:r w:rsidR="00007859" w:rsidRPr="00007859">
          <w:rPr>
            <w:rStyle w:val="Hyperlink"/>
            <w:rFonts w:cs="David"/>
            <w:b/>
            <w:bCs/>
            <w:sz w:val="24"/>
            <w:szCs w:val="24"/>
            <w:rtl/>
          </w:rPr>
          <w:t>חוק העונשין</w:t>
        </w:r>
      </w:hyperlink>
      <w:r>
        <w:rPr>
          <w:rFonts w:cs="David"/>
          <w:b/>
          <w:bCs/>
          <w:color w:val="000000"/>
          <w:sz w:val="24"/>
          <w:szCs w:val="24"/>
          <w:rtl/>
        </w:rPr>
        <w:t xml:space="preserve">, אשר מטרתו היא להבנות את שיקול-דעתו של בית המשפט במלאכת גזירת הדין בהתאם לעקרונות ושיקולים מנחים... בגדרו של התיקון לחוק, ניתנה הבכורה לעקרון ההלימה, אשר נועד להבטיח כי טיב ומידת העונש שיושת על הנאשם יהלום את חומרת מעשה העבירה בנסיבותיו ואת מידת אשמו של הנאשם (ראו סעיף 40ב לחוק). לשם הגשמת עיקרון זה, קובע החוק מנגנון תלת-שלבי שראשיתו בקביעת מתחם העונש ההולם וסופו בקביעת העונש המתאים לנאשם בתוך המתחם שנקבע, תוך אפשרות לחרוג מהמתחם משיקולי שיקום (לקולה) או הגנה על שלום הציבור (לחומרה)... מתחם העונש ההולם הוא אמת-מידה </w:t>
      </w:r>
      <w:r>
        <w:rPr>
          <w:rFonts w:ascii="Times New Roman" w:hAnsi="Times New Roman" w:cs="David"/>
          <w:b/>
          <w:bCs/>
          <w:color w:val="000000"/>
          <w:sz w:val="24"/>
          <w:szCs w:val="24"/>
          <w:rtl/>
        </w:rPr>
        <w:t>נורמטיבית</w:t>
      </w:r>
      <w:r>
        <w:rPr>
          <w:rFonts w:cs="David"/>
          <w:b/>
          <w:bCs/>
          <w:color w:val="000000"/>
          <w:sz w:val="24"/>
          <w:szCs w:val="24"/>
          <w:rtl/>
        </w:rPr>
        <w:t xml:space="preserve">, המשקללת את הערך החברתי שנפגע כתוצאה מן העבירה, מדיניות הענישה הנהוגה ביחס לעבירה זו ונסיבות ביצועה, לרבות מידת אשמו של הנאשם. בשלב זה איננו מתחשבים בנסיבותיו האישיות של הנאשם, היינו נסיבות שאינן קשורות בביצוע העבירה (ראו סעיף 40יא), דוגמת נסיבות חייו של הנאשם, הפגיעה שתיגרם לו ולמשפחתו כתוצאה מהעונש, מאמציו לחזור למוטב ועברו הפלילי או היעדרו. </w:t>
      </w:r>
      <w:r>
        <w:rPr>
          <w:rFonts w:cs="David"/>
          <w:b/>
          <w:bCs/>
          <w:color w:val="000000"/>
          <w:sz w:val="24"/>
          <w:szCs w:val="24"/>
          <w:u w:val="single"/>
          <w:rtl/>
        </w:rPr>
        <w:t>אולם אין בכך כדי לגרוע מ</w:t>
      </w:r>
      <w:r>
        <w:rPr>
          <w:rFonts w:ascii="Times New Roman" w:hAnsi="Times New Roman" w:cs="David"/>
          <w:b/>
          <w:bCs/>
          <w:color w:val="000000"/>
          <w:sz w:val="24"/>
          <w:szCs w:val="24"/>
          <w:u w:val="single"/>
          <w:rtl/>
        </w:rPr>
        <w:t>הצביון האינדיבידואלי</w:t>
      </w:r>
      <w:r>
        <w:rPr>
          <w:rFonts w:cs="David"/>
          <w:b/>
          <w:bCs/>
          <w:color w:val="000000"/>
          <w:sz w:val="24"/>
          <w:szCs w:val="24"/>
          <w:u w:val="single"/>
          <w:rtl/>
        </w:rPr>
        <w:t xml:space="preserve"> שהעניק המחוקק לשלב עיצוב המתחם</w:t>
      </w:r>
      <w:r>
        <w:rPr>
          <w:rFonts w:cs="David"/>
          <w:b/>
          <w:bCs/>
          <w:color w:val="000000"/>
          <w:sz w:val="24"/>
          <w:szCs w:val="24"/>
          <w:rtl/>
        </w:rPr>
        <w:t>, אשר בא לידי ביטוי בהוראה להתחשב בסוג העבירה</w:t>
      </w:r>
      <w:r>
        <w:rPr>
          <w:rFonts w:ascii="Times New Roman" w:hAnsi="Times New Roman" w:cs="David"/>
          <w:b/>
          <w:bCs/>
          <w:color w:val="000000"/>
          <w:sz w:val="24"/>
          <w:szCs w:val="24"/>
          <w:rtl/>
        </w:rPr>
        <w:t xml:space="preserve"> בנסיבות המסוימות שבהן היא בוצעה (למשל: קיומו של תכנון מוקדם, נזק בכוח ובפועל, מידת אכזריות כלפי ה</w:t>
      </w:r>
      <w:r>
        <w:rPr>
          <w:rFonts w:cs="David"/>
          <w:b/>
          <w:bCs/>
          <w:color w:val="000000"/>
          <w:sz w:val="24"/>
          <w:szCs w:val="24"/>
          <w:rtl/>
        </w:rPr>
        <w:t>קורבן וכו'), ותוך התייחסות למידת האשם של ה</w:t>
      </w:r>
      <w:r>
        <w:rPr>
          <w:rFonts w:ascii="Times New Roman" w:hAnsi="Times New Roman" w:cs="David"/>
          <w:b/>
          <w:bCs/>
          <w:color w:val="000000"/>
          <w:sz w:val="24"/>
          <w:szCs w:val="24"/>
          <w:rtl/>
        </w:rPr>
        <w:t xml:space="preserve">נאשם המסוים </w:t>
      </w:r>
      <w:r>
        <w:rPr>
          <w:rFonts w:cs="David"/>
          <w:b/>
          <w:bCs/>
          <w:color w:val="000000"/>
          <w:sz w:val="24"/>
          <w:szCs w:val="24"/>
          <w:rtl/>
        </w:rPr>
        <w:t xml:space="preserve">שלפנינו (למשל: הסיבות שהובילוהו לבצע את העבירה, חלקו היחסי בביצועה, יכולתו להימנע מהמעשה, מצוקתו הנפשית עקב התעללות מצד קורבן העבירה וכו')... </w:t>
      </w:r>
      <w:r>
        <w:rPr>
          <w:rFonts w:ascii="Times New Roman" w:hAnsi="Times New Roman" w:cs="David"/>
          <w:b/>
          <w:bCs/>
          <w:color w:val="000000"/>
          <w:sz w:val="24"/>
          <w:szCs w:val="24"/>
          <w:rtl/>
        </w:rPr>
        <w:t xml:space="preserve">ודוק: החוק אינו מגדיר את היקפו הרצוי של מתחם העונש, אך ברי כי מתחם רחב מדי, המסוגל להכיל שלל מעשים ונסיבות, כך שכל תוצאה עונשית "תיתפס" בתוכו, איננו מתחם ראוי, שכן הוא ירוקן מתוכן את תכלית החוק ... במקביל, ניכרת בפסיקה מגמה המתנגדת גם לקביעת מתחם צר מדי, לבל ניאלץ "להמציא את הגלגל" בכל פעם מחדש (שם). כשלעצמי, דומני כי רוחב המתחם שייקבע תלוי במורכבות העבירה הנדונה, כלומר במידת השונוּת שבנסיבות ביצועה. ככל שתהיינה יותר נסיבות רלוונטיות, המשליכות על חומרת המעשה, הרי שהמתחם יעוצב בצורה פרטנית, קונקרטית ומדויקת יותר בהתאם לנסיבות אלה. ואולם, בהקשר זה יש לתת את הדעת לעובדה, שככל שנקבע מתחם צר יותר, כך יוענק משקל נמוך יותר לנסיבות שאינן קשורות בביצוע העבירה (המנויות כזכור בסעיף 40יא), שהן ברובן נסיבות המקלות עם הנאשם. ולהיפך: ככל שנקבע מתחם רחב יותר, כך תהיה לנסיבות אלה השפעה גדולה יותר על קביעת העונש...עוד אבקש לחדד בהקשר זה כי אין לטעות ולזהות בין מתחם העונש ההולם לבין טווח הענישה הנהוג. מדובר ב"יצורים" שונים. מתחם העונש ההולם מגלם, כאמור, הכרעה ערכית המבוססת על שיקולים שונים, כאשר מדיניות הענישה הנהוגה בעבירה הנדונה הוא רק אחד מהם. טווח הענישה הנהוג בפסיקה, לעומת זאת, הוא נתון אמפירי-עובדתי, המורכב מהעונשים המקובלים בגין עבירה מסוימת בדין הנוהג. היעדר החפיפה בין השניים עולה במפורש גם מדברי ההסבר להצעת החוק, שהפכה לימים לתיקון 113: "ככל שהמדיניות הנוהגת משקפת את עיקרון ההלימות היא מהווה אינדיקציה לקביעת העונש ההולם ואילו כאשר יש פער בינה לבין המדיניות הראויה, תועדף המדיניות הראויה" (הצעת </w:t>
      </w:r>
      <w:hyperlink r:id="rId21" w:history="1">
        <w:r w:rsidR="00007859" w:rsidRPr="00007859">
          <w:rPr>
            <w:rStyle w:val="Hyperlink"/>
            <w:rFonts w:ascii="Times New Roman" w:hAnsi="Times New Roman" w:cs="David"/>
            <w:b/>
            <w:bCs/>
            <w:sz w:val="24"/>
            <w:szCs w:val="24"/>
            <w:rtl/>
          </w:rPr>
          <w:t>חוק העונשין</w:t>
        </w:r>
      </w:hyperlink>
      <w:r>
        <w:rPr>
          <w:rFonts w:ascii="Times New Roman" w:hAnsi="Times New Roman" w:cs="David"/>
          <w:b/>
          <w:bCs/>
          <w:color w:val="000000"/>
          <w:sz w:val="24"/>
          <w:szCs w:val="24"/>
          <w:rtl/>
        </w:rPr>
        <w:t xml:space="preserve"> (תיקון מס' 92) (הבניית שיקול הדעת השיפוטי בענישה), התשס"ו-2006, ה"ח הממשלה 241, 447). ובניסיון שלא להיסחף יתר על המידה לדקדוקי עניות, אוסיף כי זיהוי מתחם העונש ההולם עם טווח הענישה המקובל (כיום) הוא שגוי גם מאחר שהוא יאפשר הכנסת שיקולים שאינם קשורים בביצוע העבירה לתוך השלב הראשון (של קביעת מתחם העונש), שאמור על-פי תיקון 113 להיות "נקי" משיקולים אלה. שהרי, רף הענישה הקיים כיום בפסיקה משקף את משטר הענישה שלפני התיקון, שלא הבחין או דירג בין נסיבות הקשורות בביצוע העבירה לבין אלה שאינן קשורות לביצועה, בעת גזירת העונש (ברוב המקרים).</w:t>
      </w:r>
      <w:r>
        <w:rPr>
          <w:rFonts w:cs="David"/>
          <w:b/>
          <w:bCs/>
          <w:color w:val="000000"/>
          <w:sz w:val="24"/>
          <w:szCs w:val="24"/>
          <w:rtl/>
        </w:rPr>
        <w:t>..". (</w:t>
      </w:r>
      <w:r>
        <w:rPr>
          <w:rFonts w:ascii="Times New Roman" w:hAnsi="Times New Roman" w:cs="David"/>
          <w:color w:val="000000"/>
          <w:sz w:val="24"/>
          <w:szCs w:val="24"/>
          <w:rtl/>
        </w:rPr>
        <w:t>ראו פסק דין חסן שהוזכר לעיל).</w:t>
      </w:r>
    </w:p>
    <w:p w14:paraId="403E687A" w14:textId="77777777" w:rsidR="00BB74F1" w:rsidRDefault="00BB74F1">
      <w:pPr>
        <w:pStyle w:val="Ruller50"/>
        <w:spacing w:line="360" w:lineRule="auto"/>
        <w:ind w:left="567" w:right="0"/>
        <w:rPr>
          <w:rFonts w:cs="David"/>
          <w:b/>
          <w:bCs/>
          <w:color w:val="000000"/>
          <w:sz w:val="24"/>
          <w:szCs w:val="24"/>
          <w:rtl/>
        </w:rPr>
      </w:pPr>
    </w:p>
    <w:p w14:paraId="353AF2DA" w14:textId="77777777" w:rsidR="00BB74F1" w:rsidRDefault="00205A15">
      <w:pPr>
        <w:pStyle w:val="Ruller50"/>
        <w:spacing w:line="360" w:lineRule="auto"/>
        <w:ind w:left="567" w:right="0"/>
        <w:rPr>
          <w:rFonts w:cs="David"/>
          <w:color w:val="000000"/>
          <w:sz w:val="24"/>
          <w:szCs w:val="24"/>
          <w:rtl/>
        </w:rPr>
      </w:pPr>
      <w:r>
        <w:rPr>
          <w:rFonts w:cs="David"/>
          <w:color w:val="000000"/>
          <w:sz w:val="24"/>
          <w:szCs w:val="24"/>
          <w:rtl/>
        </w:rPr>
        <w:t>לפי פסיקתו של בית המשפט העליון יש לקבוע את מתחת הענישה ההולם בהתאם לסוג וכמות הנשק ש</w:t>
      </w:r>
      <w:r>
        <w:rPr>
          <w:rFonts w:cs="David" w:hint="cs"/>
          <w:color w:val="000000"/>
          <w:sz w:val="24"/>
          <w:szCs w:val="24"/>
          <w:rtl/>
        </w:rPr>
        <w:t>בו</w:t>
      </w:r>
      <w:r>
        <w:rPr>
          <w:rFonts w:cs="David"/>
          <w:color w:val="000000"/>
          <w:sz w:val="24"/>
          <w:szCs w:val="24"/>
          <w:rtl/>
        </w:rPr>
        <w:t xml:space="preserve"> </w:t>
      </w:r>
      <w:r>
        <w:rPr>
          <w:rFonts w:cs="David" w:hint="cs"/>
          <w:color w:val="000000"/>
          <w:sz w:val="24"/>
          <w:szCs w:val="24"/>
          <w:rtl/>
        </w:rPr>
        <w:t xml:space="preserve">החזיק הנאשם, </w:t>
      </w:r>
      <w:r>
        <w:rPr>
          <w:rFonts w:cs="David"/>
          <w:color w:val="000000"/>
          <w:sz w:val="24"/>
          <w:szCs w:val="24"/>
          <w:rtl/>
        </w:rPr>
        <w:t xml:space="preserve">נשא והוביל </w:t>
      </w:r>
      <w:r>
        <w:rPr>
          <w:rFonts w:cs="David" w:hint="cs"/>
          <w:color w:val="000000"/>
          <w:sz w:val="24"/>
          <w:szCs w:val="24"/>
          <w:rtl/>
        </w:rPr>
        <w:t>כשגם התכלית לכך חשובה בועלת משקל</w:t>
      </w:r>
      <w:r>
        <w:rPr>
          <w:rFonts w:cs="David"/>
          <w:color w:val="000000"/>
          <w:sz w:val="24"/>
          <w:szCs w:val="24"/>
          <w:rtl/>
        </w:rPr>
        <w:t>.</w:t>
      </w:r>
    </w:p>
    <w:p w14:paraId="31836991" w14:textId="77777777" w:rsidR="00BB74F1" w:rsidRDefault="00BB74F1">
      <w:pPr>
        <w:pStyle w:val="Ruller50"/>
        <w:spacing w:line="360" w:lineRule="auto"/>
        <w:ind w:left="567" w:right="0"/>
        <w:rPr>
          <w:rFonts w:cs="David"/>
          <w:color w:val="000000"/>
          <w:sz w:val="24"/>
          <w:szCs w:val="24"/>
          <w:rtl/>
        </w:rPr>
      </w:pPr>
    </w:p>
    <w:p w14:paraId="1975A763" w14:textId="77777777" w:rsidR="00BB74F1" w:rsidRDefault="00205A15">
      <w:pPr>
        <w:pStyle w:val="Ruller50"/>
        <w:spacing w:line="360" w:lineRule="auto"/>
        <w:ind w:left="567" w:right="0"/>
        <w:rPr>
          <w:rFonts w:cs="David"/>
          <w:color w:val="000000"/>
          <w:sz w:val="24"/>
          <w:szCs w:val="24"/>
          <w:rtl/>
        </w:rPr>
      </w:pPr>
      <w:r>
        <w:rPr>
          <w:rFonts w:cs="David"/>
          <w:color w:val="000000"/>
          <w:sz w:val="24"/>
          <w:szCs w:val="24"/>
          <w:rtl/>
        </w:rPr>
        <w:t xml:space="preserve">בענייננו מדובר באקדח אחד עם מחסנית ללא כדורים, דברים אלה </w:t>
      </w:r>
      <w:r>
        <w:rPr>
          <w:rFonts w:cs="David"/>
          <w:sz w:val="24"/>
          <w:szCs w:val="24"/>
          <w:rtl/>
        </w:rPr>
        <w:t xml:space="preserve">מהווים </w:t>
      </w:r>
      <w:r>
        <w:rPr>
          <w:rFonts w:ascii="Times New Roman" w:hAnsi="Times New Roman" w:cs="David"/>
          <w:sz w:val="24"/>
          <w:szCs w:val="24"/>
          <w:rtl/>
        </w:rPr>
        <w:t xml:space="preserve">נסיבות הקשורות בביצוע העבירה </w:t>
      </w:r>
      <w:r>
        <w:rPr>
          <w:rFonts w:cs="David"/>
          <w:sz w:val="24"/>
          <w:szCs w:val="24"/>
          <w:rtl/>
        </w:rPr>
        <w:t>והם שקובעים את פוטנציאל הנזק הכרוך במעשה העבירה</w:t>
      </w:r>
      <w:r>
        <w:rPr>
          <w:rFonts w:cs="David"/>
          <w:color w:val="000000"/>
          <w:sz w:val="24"/>
          <w:szCs w:val="24"/>
          <w:rtl/>
        </w:rPr>
        <w:t>.</w:t>
      </w:r>
    </w:p>
    <w:p w14:paraId="51A32DEC" w14:textId="77777777" w:rsidR="00BB74F1" w:rsidRDefault="00BB74F1">
      <w:pPr>
        <w:pStyle w:val="Ruller50"/>
        <w:spacing w:line="360" w:lineRule="auto"/>
        <w:ind w:left="567" w:right="0"/>
        <w:rPr>
          <w:rFonts w:cs="David"/>
          <w:color w:val="000000"/>
          <w:sz w:val="24"/>
          <w:szCs w:val="24"/>
          <w:rtl/>
        </w:rPr>
      </w:pPr>
    </w:p>
    <w:p w14:paraId="7C258FF8" w14:textId="77777777" w:rsidR="00BB74F1" w:rsidRDefault="00205A15">
      <w:pPr>
        <w:pStyle w:val="Ruller40"/>
        <w:ind w:left="567"/>
        <w:rPr>
          <w:rFonts w:cs="David"/>
          <w:sz w:val="24"/>
          <w:szCs w:val="24"/>
          <w:rtl/>
        </w:rPr>
      </w:pPr>
      <w:r>
        <w:rPr>
          <w:rFonts w:cs="David"/>
          <w:sz w:val="24"/>
          <w:szCs w:val="24"/>
          <w:rtl/>
        </w:rPr>
        <w:t>יודגש, בעניין זה כי כבר נקבע בעבר שקיים מדרג ענישה בעבירות המבוצעות בנשק, הנקבע, בין השאר, ע"פ סוג, איכות וכמות הנשק שנעשה בו שימוש וכך נאמר לא אחת כי:</w:t>
      </w:r>
      <w:r>
        <w:rPr>
          <w:rFonts w:cs="David" w:hint="cs"/>
          <w:sz w:val="24"/>
          <w:szCs w:val="24"/>
          <w:rtl/>
        </w:rPr>
        <w:t xml:space="preserve"> </w:t>
      </w:r>
    </w:p>
    <w:p w14:paraId="48112A1C" w14:textId="77777777" w:rsidR="00BB74F1" w:rsidRDefault="00BB74F1">
      <w:pPr>
        <w:pStyle w:val="Ruller40"/>
        <w:ind w:left="567"/>
        <w:rPr>
          <w:rFonts w:cs="David"/>
          <w:sz w:val="24"/>
          <w:szCs w:val="24"/>
          <w:rtl/>
        </w:rPr>
      </w:pPr>
    </w:p>
    <w:p w14:paraId="55894851" w14:textId="77777777" w:rsidR="00BB74F1" w:rsidRDefault="00205A15">
      <w:pPr>
        <w:pStyle w:val="Ruller40"/>
        <w:ind w:left="567"/>
        <w:rPr>
          <w:rFonts w:ascii="Times New Roman" w:hAnsi="Times New Roman" w:cs="David"/>
          <w:color w:val="000000"/>
          <w:sz w:val="24"/>
          <w:szCs w:val="24"/>
          <w:rtl/>
        </w:rPr>
      </w:pPr>
      <w:r>
        <w:rPr>
          <w:rFonts w:cs="David"/>
          <w:b/>
          <w:bCs/>
          <w:sz w:val="24"/>
          <w:szCs w:val="24"/>
          <w:rtl/>
        </w:rPr>
        <w:t>"...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ascii="Times New Roman" w:hAnsi="Times New Roman" w:cs="David"/>
          <w:b/>
          <w:bCs/>
          <w:sz w:val="24"/>
          <w:szCs w:val="24"/>
          <w:rtl/>
        </w:rPr>
        <w:t>"</w:t>
      </w:r>
      <w:r>
        <w:rPr>
          <w:rFonts w:ascii="Times New Roman" w:hAnsi="Times New Roman" w:cs="David"/>
          <w:sz w:val="24"/>
          <w:szCs w:val="24"/>
          <w:rtl/>
        </w:rPr>
        <w:t xml:space="preserve"> (ראו </w:t>
      </w:r>
      <w:hyperlink r:id="rId22" w:history="1">
        <w:r w:rsidR="0049738F" w:rsidRPr="0049738F">
          <w:rPr>
            <w:rStyle w:val="Hyperlink"/>
            <w:rFonts w:ascii="Times New Roman" w:hAnsi="Times New Roman" w:cs="David"/>
            <w:sz w:val="24"/>
            <w:szCs w:val="24"/>
            <w:rtl/>
          </w:rPr>
          <w:t xml:space="preserve">ע"פ 1332/04 </w:t>
        </w:r>
      </w:hyperlink>
      <w:r w:rsidRPr="00F24162">
        <w:rPr>
          <w:rFonts w:ascii="Times New Roman" w:hAnsi="Times New Roman" w:cs="David"/>
          <w:color w:val="000000"/>
          <w:sz w:val="24"/>
          <w:szCs w:val="24"/>
          <w:rtl/>
        </w:rPr>
        <w:t xml:space="preserve"> </w:t>
      </w:r>
      <w:r w:rsidRPr="00F24162">
        <w:rPr>
          <w:rFonts w:ascii="Times New Roman" w:hAnsi="Times New Roman" w:cs="David"/>
          <w:b/>
          <w:bCs/>
          <w:color w:val="000000"/>
          <w:sz w:val="24"/>
          <w:szCs w:val="24"/>
          <w:rtl/>
        </w:rPr>
        <w:t>פס נ' מדינת ישראל</w:t>
      </w:r>
      <w:r w:rsidRPr="00F24162">
        <w:rPr>
          <w:rFonts w:ascii="Times New Roman" w:hAnsi="Times New Roman" w:cs="David"/>
          <w:color w:val="000000"/>
          <w:sz w:val="24"/>
          <w:szCs w:val="24"/>
          <w:rtl/>
        </w:rPr>
        <w:t>, פ"ד נח</w:t>
      </w:r>
      <w:r>
        <w:rPr>
          <w:rFonts w:ascii="Times New Roman" w:hAnsi="Times New Roman" w:cs="David"/>
          <w:sz w:val="24"/>
          <w:szCs w:val="24"/>
          <w:rtl/>
        </w:rPr>
        <w:t>(5) 541, 544 (2004).</w:t>
      </w:r>
    </w:p>
    <w:p w14:paraId="0EA82498" w14:textId="77777777" w:rsidR="00BB74F1" w:rsidRDefault="00BB74F1">
      <w:pPr>
        <w:pStyle w:val="Ruller50"/>
        <w:spacing w:line="360" w:lineRule="auto"/>
        <w:ind w:left="567" w:right="0"/>
        <w:rPr>
          <w:rFonts w:ascii="Times New Roman" w:hAnsi="Times New Roman" w:cs="David"/>
          <w:color w:val="000000"/>
          <w:sz w:val="24"/>
          <w:szCs w:val="24"/>
          <w:rtl/>
        </w:rPr>
      </w:pPr>
    </w:p>
    <w:p w14:paraId="63909489" w14:textId="77777777" w:rsidR="00BB74F1" w:rsidRDefault="00205A15">
      <w:pPr>
        <w:pStyle w:val="Ruller50"/>
        <w:spacing w:line="360" w:lineRule="auto"/>
        <w:ind w:left="567" w:right="0" w:hanging="567"/>
        <w:rPr>
          <w:rFonts w:cs="David"/>
          <w:color w:val="000000"/>
          <w:sz w:val="24"/>
          <w:szCs w:val="24"/>
          <w:rtl/>
        </w:rPr>
      </w:pPr>
      <w:r>
        <w:rPr>
          <w:rFonts w:cs="David" w:hint="cs"/>
          <w:b/>
          <w:bCs/>
          <w:color w:val="000000"/>
          <w:sz w:val="24"/>
          <w:szCs w:val="24"/>
          <w:rtl/>
        </w:rPr>
        <w:t>38</w:t>
      </w:r>
      <w:r>
        <w:rPr>
          <w:rFonts w:cs="David"/>
          <w:color w:val="000000"/>
          <w:sz w:val="24"/>
          <w:szCs w:val="24"/>
          <w:rtl/>
        </w:rPr>
        <w:t>.</w:t>
      </w:r>
      <w:r>
        <w:rPr>
          <w:rFonts w:cs="David"/>
          <w:color w:val="000000"/>
          <w:sz w:val="24"/>
          <w:szCs w:val="24"/>
          <w:rtl/>
        </w:rPr>
        <w:tab/>
        <w:t xml:space="preserve">יוער כאן כי בפסק דין חסן הורשעו שני נאשמים ע"פ הודאתם בעבירות של החזקת נשק, נשיאה והובלת נשק וסחר בנשק. </w:t>
      </w:r>
    </w:p>
    <w:p w14:paraId="3C9F4A40" w14:textId="77777777" w:rsidR="00BB74F1" w:rsidRDefault="00BB74F1">
      <w:pPr>
        <w:pStyle w:val="Ruller50"/>
        <w:spacing w:line="360" w:lineRule="auto"/>
        <w:ind w:left="567" w:right="0" w:hanging="567"/>
        <w:rPr>
          <w:rFonts w:cs="David"/>
          <w:color w:val="000000"/>
          <w:sz w:val="24"/>
          <w:szCs w:val="24"/>
          <w:rtl/>
        </w:rPr>
      </w:pPr>
    </w:p>
    <w:p w14:paraId="45F0441A" w14:textId="77777777" w:rsidR="00BB74F1" w:rsidRDefault="00205A15">
      <w:pPr>
        <w:pStyle w:val="Ruller50"/>
        <w:spacing w:line="360" w:lineRule="auto"/>
        <w:ind w:left="567" w:right="0"/>
        <w:rPr>
          <w:rFonts w:cs="David"/>
          <w:color w:val="000000"/>
          <w:sz w:val="24"/>
          <w:szCs w:val="24"/>
          <w:rtl/>
        </w:rPr>
      </w:pPr>
      <w:r>
        <w:rPr>
          <w:rFonts w:cs="David"/>
          <w:color w:val="000000"/>
          <w:sz w:val="24"/>
          <w:szCs w:val="24"/>
          <w:rtl/>
        </w:rPr>
        <w:t xml:space="preserve">בימ"ש המחוזי קבע מתחם ענישה הולם, בעבירות הנשק, שנע בין 1 עד  4 שנות מאסר וכן קבע מתחם לפי מדיניות הענישה הנוהגת, שנע בין 10 עד 27 חודשי מאסר. </w:t>
      </w:r>
    </w:p>
    <w:p w14:paraId="2D7184E5" w14:textId="77777777" w:rsidR="00BB74F1" w:rsidRDefault="00BB74F1">
      <w:pPr>
        <w:pStyle w:val="Ruller50"/>
        <w:spacing w:line="360" w:lineRule="auto"/>
        <w:ind w:left="567" w:right="0"/>
        <w:rPr>
          <w:rFonts w:cs="David"/>
          <w:color w:val="000000"/>
          <w:sz w:val="24"/>
          <w:szCs w:val="24"/>
          <w:rtl/>
        </w:rPr>
      </w:pPr>
    </w:p>
    <w:p w14:paraId="77040ACC" w14:textId="77777777" w:rsidR="00BB74F1" w:rsidRDefault="00205A15">
      <w:pPr>
        <w:pStyle w:val="Ruller50"/>
        <w:spacing w:line="360" w:lineRule="auto"/>
        <w:ind w:left="567" w:right="0"/>
        <w:rPr>
          <w:rFonts w:cs="David"/>
          <w:b/>
          <w:bCs/>
          <w:color w:val="000000"/>
          <w:sz w:val="24"/>
          <w:szCs w:val="24"/>
          <w:rtl/>
        </w:rPr>
      </w:pPr>
      <w:r>
        <w:rPr>
          <w:rFonts w:cs="David"/>
          <w:color w:val="000000"/>
          <w:sz w:val="24"/>
          <w:szCs w:val="24"/>
          <w:rtl/>
        </w:rPr>
        <w:t>בימ"ש העליון קבע כי</w:t>
      </w:r>
      <w:r>
        <w:rPr>
          <w:rFonts w:cs="David" w:hint="cs"/>
          <w:b/>
          <w:bCs/>
          <w:color w:val="000000"/>
          <w:sz w:val="24"/>
          <w:szCs w:val="24"/>
          <w:rtl/>
        </w:rPr>
        <w:t>:</w:t>
      </w:r>
    </w:p>
    <w:p w14:paraId="711F2A7E" w14:textId="77777777" w:rsidR="00BB74F1" w:rsidRDefault="00BB74F1">
      <w:pPr>
        <w:pStyle w:val="Ruller50"/>
        <w:spacing w:line="360" w:lineRule="auto"/>
        <w:ind w:left="567" w:right="0"/>
        <w:rPr>
          <w:rFonts w:cs="David"/>
          <w:b/>
          <w:bCs/>
          <w:color w:val="000000"/>
          <w:sz w:val="24"/>
          <w:szCs w:val="24"/>
          <w:rtl/>
        </w:rPr>
      </w:pPr>
    </w:p>
    <w:p w14:paraId="53AE23AD" w14:textId="77777777" w:rsidR="00BB74F1" w:rsidRDefault="00205A15">
      <w:pPr>
        <w:pStyle w:val="Ruller50"/>
        <w:spacing w:line="360" w:lineRule="auto"/>
        <w:ind w:left="567" w:right="0"/>
        <w:rPr>
          <w:color w:val="000000"/>
          <w:rtl/>
        </w:rPr>
      </w:pPr>
      <w:r>
        <w:rPr>
          <w:rFonts w:cs="David"/>
          <w:b/>
          <w:bCs/>
          <w:color w:val="000000"/>
          <w:sz w:val="24"/>
          <w:szCs w:val="24"/>
          <w:rtl/>
        </w:rPr>
        <w:t xml:space="preserve"> "יש יסוד לטענה כי המתחם שקבע בימ"ש המחוזי במקרה דנא הוא מעט מחמיר מדי... ואולם עדיין לא מצאתי הצדקה להתערב במתחם שנקבע...". </w:t>
      </w:r>
    </w:p>
    <w:p w14:paraId="5A9B8015" w14:textId="77777777" w:rsidR="00BB74F1" w:rsidRDefault="00205A15">
      <w:pPr>
        <w:pStyle w:val="Ruller50"/>
        <w:spacing w:line="360" w:lineRule="auto"/>
        <w:ind w:left="567" w:right="0"/>
        <w:rPr>
          <w:rFonts w:cs="David"/>
          <w:color w:val="000000"/>
          <w:sz w:val="24"/>
          <w:szCs w:val="24"/>
          <w:rtl/>
        </w:rPr>
      </w:pPr>
      <w:r>
        <w:rPr>
          <w:rFonts w:cs="David"/>
          <w:color w:val="000000"/>
          <w:sz w:val="24"/>
          <w:szCs w:val="24"/>
          <w:rtl/>
        </w:rPr>
        <w:t>עוד ראוי לציין, כי לא נעלמה מעיני גם פסיקתו האחרונה של בית משפט העליון ב</w:t>
      </w:r>
      <w:hyperlink r:id="rId23" w:history="1">
        <w:r w:rsidR="00007859" w:rsidRPr="00007859">
          <w:rPr>
            <w:rStyle w:val="Hyperlink"/>
            <w:rFonts w:cs="David"/>
            <w:sz w:val="24"/>
            <w:szCs w:val="24"/>
            <w:rtl/>
          </w:rPr>
          <w:t>ע"פ 318/11</w:t>
        </w:r>
      </w:hyperlink>
      <w:r>
        <w:rPr>
          <w:rFonts w:cs="David" w:hint="cs"/>
          <w:color w:val="000000"/>
          <w:sz w:val="24"/>
          <w:szCs w:val="24"/>
          <w:rtl/>
        </w:rPr>
        <w:t xml:space="preserve"> </w:t>
      </w:r>
      <w:r>
        <w:rPr>
          <w:rFonts w:cs="David" w:hint="cs"/>
          <w:b/>
          <w:bCs/>
          <w:color w:val="000000"/>
          <w:sz w:val="24"/>
          <w:szCs w:val="24"/>
          <w:rtl/>
        </w:rPr>
        <w:t>מ</w:t>
      </w:r>
      <w:r>
        <w:rPr>
          <w:rFonts w:cs="David"/>
          <w:b/>
          <w:bCs/>
          <w:color w:val="000000"/>
          <w:sz w:val="24"/>
          <w:szCs w:val="24"/>
          <w:rtl/>
        </w:rPr>
        <w:t>דינת ישראל נגד אבו ערב</w:t>
      </w:r>
      <w:r>
        <w:rPr>
          <w:rFonts w:cs="David"/>
          <w:color w:val="000000"/>
          <w:sz w:val="24"/>
          <w:szCs w:val="24"/>
          <w:rtl/>
        </w:rPr>
        <w:t xml:space="preserve"> (ניתנה ביום 5.12.11), שם קבעה השופטת א' חיות כי:</w:t>
      </w:r>
    </w:p>
    <w:p w14:paraId="1A8D9679" w14:textId="77777777" w:rsidR="00BB74F1" w:rsidRDefault="00BB74F1">
      <w:pPr>
        <w:spacing w:line="360" w:lineRule="auto"/>
        <w:ind w:left="720" w:hanging="720"/>
        <w:jc w:val="both"/>
        <w:rPr>
          <w:color w:val="000000"/>
          <w:rtl/>
        </w:rPr>
      </w:pPr>
    </w:p>
    <w:p w14:paraId="44D26890" w14:textId="77777777" w:rsidR="00BB74F1" w:rsidRDefault="00205A15">
      <w:pPr>
        <w:spacing w:line="360" w:lineRule="auto"/>
        <w:ind w:left="720"/>
        <w:jc w:val="both"/>
        <w:rPr>
          <w:b/>
          <w:bCs/>
          <w:color w:val="000000"/>
          <w:rtl/>
        </w:rPr>
      </w:pPr>
      <w:r>
        <w:rPr>
          <w:b/>
          <w:bCs/>
          <w:color w:val="000000"/>
          <w:rtl/>
        </w:rPr>
        <w:t>"... הגיעה העת להחמיר בעונשיהם של מבצעי עבירות נשק בכלל ועבירות שעניינן סחר בנשק בפרט, בשל האינטרס הציבורי להרתיע מפני ביצוען של עבירות אלו שמימדיהן הולכים ומתעצמים".</w:t>
      </w:r>
    </w:p>
    <w:p w14:paraId="57023686" w14:textId="77777777" w:rsidR="00BB74F1" w:rsidRDefault="00BB74F1">
      <w:pPr>
        <w:spacing w:line="360" w:lineRule="auto"/>
        <w:jc w:val="both"/>
        <w:rPr>
          <w:b/>
          <w:bCs/>
          <w:color w:val="000000"/>
          <w:rtl/>
        </w:rPr>
      </w:pPr>
    </w:p>
    <w:p w14:paraId="0AF2A732" w14:textId="77777777" w:rsidR="00BB74F1" w:rsidRDefault="00205A15">
      <w:pPr>
        <w:spacing w:line="360" w:lineRule="auto"/>
        <w:ind w:left="720"/>
        <w:jc w:val="both"/>
        <w:rPr>
          <w:color w:val="000000"/>
          <w:rtl/>
        </w:rPr>
      </w:pPr>
      <w:r>
        <w:rPr>
          <w:rtl/>
        </w:rPr>
        <w:t xml:space="preserve">יחד עם זאת, נסיבות המקרה שלפנינו שונות הן </w:t>
      </w:r>
      <w:r>
        <w:rPr>
          <w:rFonts w:hint="cs"/>
          <w:rtl/>
        </w:rPr>
        <w:t xml:space="preserve">מהותית </w:t>
      </w:r>
      <w:r>
        <w:rPr>
          <w:rtl/>
        </w:rPr>
        <w:t>מהמקרים הנ"ל. כך שבענייננו, לא מיוחסות לנאשם עבירות סחר בנשק, אלא רק נשיאת והובלת נשק. מה גם המדובר בנאשם יליד 1991, שזו לו מעורבותו הראשונה בפלילים, הודה בעבירה והביע חרטה.</w:t>
      </w:r>
    </w:p>
    <w:p w14:paraId="1A04EDF3" w14:textId="77777777" w:rsidR="00BB74F1" w:rsidRDefault="00BB74F1">
      <w:pPr>
        <w:spacing w:line="360" w:lineRule="auto"/>
        <w:jc w:val="both"/>
        <w:rPr>
          <w:color w:val="000000"/>
          <w:rtl/>
        </w:rPr>
      </w:pPr>
    </w:p>
    <w:p w14:paraId="4A295360" w14:textId="77777777" w:rsidR="00BB74F1" w:rsidRDefault="00205A15">
      <w:pPr>
        <w:spacing w:line="360" w:lineRule="auto"/>
        <w:ind w:left="720" w:hanging="720"/>
        <w:jc w:val="both"/>
        <w:rPr>
          <w:color w:val="000000"/>
          <w:rtl/>
        </w:rPr>
      </w:pPr>
      <w:r>
        <w:rPr>
          <w:rFonts w:hint="cs"/>
          <w:b/>
          <w:bCs/>
          <w:color w:val="000000"/>
          <w:rtl/>
        </w:rPr>
        <w:t>39</w:t>
      </w:r>
      <w:r>
        <w:rPr>
          <w:color w:val="000000"/>
          <w:rtl/>
        </w:rPr>
        <w:t>.</w:t>
      </w:r>
      <w:r>
        <w:rPr>
          <w:color w:val="000000"/>
          <w:rtl/>
        </w:rPr>
        <w:tab/>
        <w:t>לאחר שבחנתי את טענות הצדדים ובהתחשב במכלול הנסיבות ובעיקר, סוג וכמות הנשק (אקדח ומחסנית ללא כדורים), הרקע הנורמטיבי של משפחת הנאשם, עברו הפלילי הנקי, גילו הצעיר,</w:t>
      </w:r>
      <w:r>
        <w:rPr>
          <w:rFonts w:hint="cs"/>
          <w:color w:val="000000"/>
          <w:rtl/>
        </w:rPr>
        <w:t xml:space="preserve"> </w:t>
      </w:r>
      <w:r>
        <w:rPr>
          <w:color w:val="000000"/>
          <w:rtl/>
        </w:rPr>
        <w:t xml:space="preserve">מעצרו כחודש ימים בתיק דנן, הודאתו המידית, לקיחת </w:t>
      </w:r>
      <w:r>
        <w:rPr>
          <w:rFonts w:hint="cs"/>
          <w:color w:val="000000"/>
          <w:rtl/>
        </w:rPr>
        <w:t>ה</w:t>
      </w:r>
      <w:r>
        <w:rPr>
          <w:color w:val="000000"/>
          <w:rtl/>
        </w:rPr>
        <w:t>אחריות ותסקיר שירות המבחן החיובי; נראה לי כי הפעם הנאשם הפנים את הפסול שבהתנהגותו ולמד לקח מהסתבכותו</w:t>
      </w:r>
      <w:r>
        <w:rPr>
          <w:rFonts w:hint="cs"/>
          <w:color w:val="000000"/>
          <w:rtl/>
        </w:rPr>
        <w:t xml:space="preserve"> </w:t>
      </w:r>
      <w:r>
        <w:rPr>
          <w:color w:val="000000"/>
          <w:rtl/>
        </w:rPr>
        <w:t>הראשונה ולכן החלטתי לחרוג לקול</w:t>
      </w:r>
      <w:r>
        <w:rPr>
          <w:rFonts w:hint="cs"/>
          <w:color w:val="000000"/>
          <w:rtl/>
        </w:rPr>
        <w:t>ה</w:t>
      </w:r>
      <w:r>
        <w:rPr>
          <w:color w:val="000000"/>
          <w:rtl/>
        </w:rPr>
        <w:t xml:space="preserve"> ממתחם הענישה ההולם וזאת משיקולי</w:t>
      </w:r>
      <w:r>
        <w:rPr>
          <w:rFonts w:hint="cs"/>
          <w:color w:val="000000"/>
          <w:rtl/>
        </w:rPr>
        <w:t>ם שבטובת האינטרס הציבורי והוא</w:t>
      </w:r>
      <w:r>
        <w:rPr>
          <w:color w:val="000000"/>
          <w:rtl/>
        </w:rPr>
        <w:t xml:space="preserve"> שיקום הנאשם</w:t>
      </w:r>
      <w:r>
        <w:rPr>
          <w:rFonts w:hint="cs"/>
          <w:color w:val="000000"/>
          <w:rtl/>
        </w:rPr>
        <w:t>,</w:t>
      </w:r>
      <w:r>
        <w:rPr>
          <w:color w:val="000000"/>
          <w:rtl/>
        </w:rPr>
        <w:t xml:space="preserve"> ועל מנת לאפשר לו ל</w:t>
      </w:r>
      <w:r>
        <w:rPr>
          <w:rFonts w:hint="cs"/>
          <w:color w:val="000000"/>
          <w:rtl/>
        </w:rPr>
        <w:t>עלות</w:t>
      </w:r>
      <w:r>
        <w:rPr>
          <w:color w:val="000000"/>
          <w:rtl/>
        </w:rPr>
        <w:t xml:space="preserve"> </w:t>
      </w:r>
      <w:r>
        <w:rPr>
          <w:rFonts w:hint="cs"/>
          <w:color w:val="000000"/>
          <w:rtl/>
        </w:rPr>
        <w:t>ע</w:t>
      </w:r>
      <w:r>
        <w:rPr>
          <w:color w:val="000000"/>
          <w:rtl/>
        </w:rPr>
        <w:t>ל</w:t>
      </w:r>
      <w:r>
        <w:rPr>
          <w:rFonts w:hint="cs"/>
          <w:color w:val="000000"/>
          <w:rtl/>
        </w:rPr>
        <w:t xml:space="preserve"> </w:t>
      </w:r>
      <w:r>
        <w:rPr>
          <w:color w:val="000000"/>
          <w:rtl/>
        </w:rPr>
        <w:t>דרך המלך, כאשר שליחתו למאסר מאחורי סורג ובריח עלולה לפגוע באורח</w:t>
      </w:r>
      <w:r>
        <w:rPr>
          <w:rFonts w:hint="cs"/>
          <w:color w:val="000000"/>
          <w:rtl/>
        </w:rPr>
        <w:t>ות</w:t>
      </w:r>
      <w:r>
        <w:rPr>
          <w:color w:val="000000"/>
          <w:rtl/>
        </w:rPr>
        <w:t xml:space="preserve"> חי</w:t>
      </w:r>
      <w:r>
        <w:rPr>
          <w:rFonts w:hint="cs"/>
          <w:color w:val="000000"/>
          <w:rtl/>
        </w:rPr>
        <w:t>י</w:t>
      </w:r>
      <w:r>
        <w:rPr>
          <w:color w:val="000000"/>
          <w:rtl/>
        </w:rPr>
        <w:t>ו הנורמטיבי</w:t>
      </w:r>
      <w:r>
        <w:rPr>
          <w:rFonts w:hint="cs"/>
          <w:color w:val="000000"/>
          <w:rtl/>
        </w:rPr>
        <w:t>ות</w:t>
      </w:r>
      <w:r>
        <w:rPr>
          <w:color w:val="000000"/>
          <w:rtl/>
        </w:rPr>
        <w:t xml:space="preserve"> והפנמת נורמות עברייניות, במידה ויהיה במגע עם אסירים אחרים.</w:t>
      </w:r>
    </w:p>
    <w:p w14:paraId="2E706A62" w14:textId="77777777" w:rsidR="00BB74F1" w:rsidRDefault="00BB74F1">
      <w:pPr>
        <w:spacing w:line="360" w:lineRule="auto"/>
        <w:ind w:left="720" w:hanging="720"/>
        <w:jc w:val="both"/>
        <w:rPr>
          <w:color w:val="000000"/>
          <w:rtl/>
        </w:rPr>
      </w:pPr>
    </w:p>
    <w:p w14:paraId="29AE09A5" w14:textId="77777777" w:rsidR="00BB74F1" w:rsidRDefault="00205A15">
      <w:pPr>
        <w:spacing w:line="360" w:lineRule="auto"/>
        <w:ind w:left="720" w:hanging="720"/>
        <w:jc w:val="both"/>
        <w:rPr>
          <w:color w:val="000000"/>
          <w:rtl/>
        </w:rPr>
      </w:pPr>
      <w:r>
        <w:rPr>
          <w:rFonts w:hint="cs"/>
          <w:b/>
          <w:bCs/>
          <w:color w:val="000000"/>
          <w:rtl/>
        </w:rPr>
        <w:t>40</w:t>
      </w:r>
      <w:r>
        <w:rPr>
          <w:rFonts w:hint="cs"/>
          <w:color w:val="000000"/>
          <w:rtl/>
        </w:rPr>
        <w:t>.</w:t>
      </w:r>
      <w:r>
        <w:rPr>
          <w:rFonts w:hint="cs"/>
          <w:color w:val="000000"/>
          <w:rtl/>
        </w:rPr>
        <w:tab/>
        <w:t xml:space="preserve">לעיין חשיבות הפן השיקומי של נאשמים ובמיוחד כשמדובר בקטינים ראו </w:t>
      </w:r>
      <w:hyperlink r:id="rId24" w:history="1">
        <w:r w:rsidR="00007859" w:rsidRPr="00007859">
          <w:rPr>
            <w:rStyle w:val="Hyperlink"/>
            <w:rtl/>
          </w:rPr>
          <w:t>ע"פ 6914/10</w:t>
        </w:r>
      </w:hyperlink>
      <w:r>
        <w:rPr>
          <w:rFonts w:hint="cs"/>
          <w:color w:val="000000"/>
          <w:rtl/>
        </w:rPr>
        <w:t xml:space="preserve"> </w:t>
      </w:r>
      <w:r>
        <w:rPr>
          <w:rFonts w:hint="cs"/>
          <w:b/>
          <w:bCs/>
          <w:color w:val="000000"/>
          <w:rtl/>
        </w:rPr>
        <w:t>פלוני נגד מדינת ישראל</w:t>
      </w:r>
      <w:r>
        <w:rPr>
          <w:rFonts w:hint="cs"/>
          <w:color w:val="000000"/>
          <w:rtl/>
        </w:rPr>
        <w:t xml:space="preserve"> (ניתן ביום 27.2.12), שם ננקט צעד טיפולי בגדרי ערעור, כאשר שירות המבחן המליץ על כך. ראו גם פסק דין שניתן לאחרונה ב</w:t>
      </w:r>
      <w:hyperlink r:id="rId25" w:history="1">
        <w:r w:rsidR="00007859" w:rsidRPr="00007859">
          <w:rPr>
            <w:rStyle w:val="Hyperlink"/>
            <w:rtl/>
          </w:rPr>
          <w:t>ע"פ 1131/13</w:t>
        </w:r>
      </w:hyperlink>
      <w:r>
        <w:rPr>
          <w:rFonts w:hint="cs"/>
          <w:color w:val="000000"/>
          <w:rtl/>
        </w:rPr>
        <w:t xml:space="preserve"> </w:t>
      </w:r>
      <w:r>
        <w:rPr>
          <w:rFonts w:hint="cs"/>
          <w:b/>
          <w:bCs/>
          <w:color w:val="000000"/>
          <w:rtl/>
        </w:rPr>
        <w:t>פלוני נגד מדינת ישראל</w:t>
      </w:r>
      <w:r>
        <w:rPr>
          <w:rFonts w:hint="cs"/>
          <w:color w:val="000000"/>
          <w:rtl/>
        </w:rPr>
        <w:t xml:space="preserve"> (ניתן ביום 12.6.13), שם נדחה ערעור על החלטת בימ"ש המחוזי לנוער לבטל צו מבחן וצו שירות לתועלת הציבור שנגזרו על הנאשם בגין ביצוע עבירות מין חמורות והשית עליו מאסר בפועל וזאת נוכח מעשיו החמורים של הנאשם ונוכח העדר המלצה טיפולית של שירות המבחן לנוער ולאחר שתקופת שיקום ארכה לא הועילה.  </w:t>
      </w:r>
      <w:r>
        <w:rPr>
          <w:color w:val="000000"/>
          <w:rtl/>
        </w:rPr>
        <w:t>שם קבע בימ"ש העליון כי:</w:t>
      </w:r>
    </w:p>
    <w:p w14:paraId="14B4C2D4" w14:textId="77777777" w:rsidR="00BB74F1" w:rsidRDefault="00BB74F1">
      <w:pPr>
        <w:pStyle w:val="Ruller40"/>
        <w:rPr>
          <w:rFonts w:cs="David"/>
          <w:b/>
          <w:bCs/>
          <w:color w:val="000000"/>
          <w:sz w:val="24"/>
          <w:szCs w:val="24"/>
          <w:rtl/>
        </w:rPr>
      </w:pPr>
    </w:p>
    <w:p w14:paraId="75A30838" w14:textId="77777777" w:rsidR="00BB74F1" w:rsidRDefault="00205A15">
      <w:pPr>
        <w:pStyle w:val="Ruller40"/>
        <w:ind w:left="720"/>
        <w:rPr>
          <w:rFonts w:cs="David"/>
          <w:b/>
          <w:bCs/>
          <w:color w:val="000000"/>
          <w:sz w:val="24"/>
          <w:szCs w:val="24"/>
        </w:rPr>
      </w:pPr>
      <w:r>
        <w:rPr>
          <w:rFonts w:cs="David"/>
          <w:b/>
          <w:bCs/>
          <w:color w:val="000000"/>
          <w:sz w:val="24"/>
          <w:szCs w:val="24"/>
          <w:rtl/>
        </w:rPr>
        <w:t>"המחוקק חפץ בשיקום קטינים (</w:t>
      </w:r>
      <w:hyperlink r:id="rId26" w:history="1">
        <w:r w:rsidR="00007859" w:rsidRPr="00007859">
          <w:rPr>
            <w:rStyle w:val="Hyperlink"/>
            <w:rFonts w:cs="David"/>
            <w:b/>
            <w:bCs/>
            <w:sz w:val="24"/>
            <w:szCs w:val="24"/>
            <w:rtl/>
          </w:rPr>
          <w:t>חוק הנוער (שפיטה, ענישה ודרכי טיפול)</w:t>
        </w:r>
      </w:hyperlink>
      <w:r>
        <w:rPr>
          <w:rFonts w:cs="David"/>
          <w:b/>
          <w:bCs/>
          <w:color w:val="000000"/>
          <w:sz w:val="24"/>
          <w:szCs w:val="24"/>
          <w:rtl/>
        </w:rPr>
        <w:t xml:space="preserve"> תשל"א-1971), ובודאי ובמיוחד בעקבות תיקונו מתשס"ח; שמו של החוק מעיד עליו. בית משפט זה מצווה מפי המחוקק ונותן ידו תדיר למאמצי השיקום (וראו בין השאר פסק הדין ב</w:t>
      </w:r>
      <w:hyperlink r:id="rId27" w:history="1">
        <w:r w:rsidR="00007859" w:rsidRPr="00007859">
          <w:rPr>
            <w:rStyle w:val="Hyperlink"/>
            <w:rFonts w:cs="David"/>
            <w:b/>
            <w:bCs/>
            <w:sz w:val="24"/>
            <w:szCs w:val="24"/>
            <w:rtl/>
          </w:rPr>
          <w:t>ע"פ 49/09</w:t>
        </w:r>
      </w:hyperlink>
      <w:r>
        <w:rPr>
          <w:rFonts w:cs="David"/>
          <w:b/>
          <w:bCs/>
          <w:color w:val="000000"/>
          <w:sz w:val="24"/>
          <w:szCs w:val="24"/>
          <w:rtl/>
        </w:rPr>
        <w:t xml:space="preserve"> </w:t>
      </w:r>
      <w:r>
        <w:rPr>
          <w:rFonts w:ascii="Times New Roman" w:hAnsi="Times New Roman" w:cs="David"/>
          <w:b/>
          <w:bCs/>
          <w:color w:val="000000"/>
          <w:spacing w:val="0"/>
          <w:sz w:val="24"/>
          <w:szCs w:val="24"/>
          <w:rtl/>
        </w:rPr>
        <w:t>מדינת ישראל נ' פלוני</w:t>
      </w:r>
      <w:r>
        <w:rPr>
          <w:rFonts w:cs="David"/>
          <w:b/>
          <w:bCs/>
          <w:color w:val="000000"/>
          <w:sz w:val="24"/>
          <w:szCs w:val="24"/>
          <w:rtl/>
        </w:rPr>
        <w:t xml:space="preserve"> </w:t>
      </w:r>
      <w:r>
        <w:rPr>
          <w:rFonts w:ascii="Times New Roman" w:hAnsi="Times New Roman" w:cs="David"/>
          <w:b/>
          <w:bCs/>
          <w:color w:val="000000"/>
          <w:spacing w:val="0"/>
          <w:sz w:val="24"/>
          <w:szCs w:val="24"/>
          <w:rtl/>
        </w:rPr>
        <w:t xml:space="preserve">[פורסם בנבו] </w:t>
      </w:r>
      <w:r>
        <w:rPr>
          <w:rFonts w:cs="David"/>
          <w:b/>
          <w:bCs/>
          <w:color w:val="000000"/>
          <w:sz w:val="24"/>
          <w:szCs w:val="24"/>
          <w:rtl/>
        </w:rPr>
        <w:t>(2009) בחוות דעתו של השופט דנציגר). ואולם, כבר נאמר לא אחת כי קטינים אינם חסינים ממאסר..."</w:t>
      </w:r>
    </w:p>
    <w:p w14:paraId="0A7F37F2" w14:textId="77777777" w:rsidR="00BB74F1" w:rsidRDefault="00BB74F1">
      <w:pPr>
        <w:spacing w:line="360" w:lineRule="auto"/>
        <w:jc w:val="both"/>
        <w:rPr>
          <w:color w:val="000000"/>
          <w:rtl/>
        </w:rPr>
      </w:pPr>
    </w:p>
    <w:p w14:paraId="4D91EC18" w14:textId="77777777" w:rsidR="00BB74F1" w:rsidRDefault="00205A15">
      <w:pPr>
        <w:spacing w:line="360" w:lineRule="auto"/>
        <w:ind w:left="720" w:hanging="720"/>
        <w:jc w:val="both"/>
        <w:rPr>
          <w:color w:val="000000"/>
          <w:rtl/>
        </w:rPr>
      </w:pPr>
      <w:r>
        <w:rPr>
          <w:rFonts w:hint="cs"/>
          <w:b/>
          <w:bCs/>
          <w:color w:val="000000"/>
          <w:rtl/>
        </w:rPr>
        <w:t>41</w:t>
      </w:r>
      <w:r>
        <w:rPr>
          <w:color w:val="000000"/>
          <w:rtl/>
        </w:rPr>
        <w:t>.</w:t>
      </w:r>
      <w:r>
        <w:rPr>
          <w:color w:val="000000"/>
          <w:rtl/>
        </w:rPr>
        <w:tab/>
        <w:t>לאחר ששקלתי ונתתי דעתי למכלול השיקולים והנסיבות שפורטו לעיל לקול</w:t>
      </w:r>
      <w:r>
        <w:rPr>
          <w:rFonts w:hint="cs"/>
          <w:color w:val="000000"/>
          <w:rtl/>
        </w:rPr>
        <w:t>ה</w:t>
      </w:r>
      <w:r>
        <w:rPr>
          <w:color w:val="000000"/>
          <w:rtl/>
        </w:rPr>
        <w:t xml:space="preserve"> ולחומרה ומבלי להתעלם מחומרת העבירה, </w:t>
      </w:r>
      <w:r>
        <w:rPr>
          <w:rFonts w:hint="cs"/>
          <w:color w:val="000000"/>
          <w:rtl/>
        </w:rPr>
        <w:t xml:space="preserve">ובהתחשב בהמלצת שירות המבחן, </w:t>
      </w:r>
      <w:r>
        <w:rPr>
          <w:color w:val="000000"/>
          <w:rtl/>
        </w:rPr>
        <w:t>אני רואה שלא למצות את הדין עם הנאשם שבפני ומחליט לגזור עליו את העונשים הבאים:</w:t>
      </w:r>
    </w:p>
    <w:p w14:paraId="721B42DC" w14:textId="77777777" w:rsidR="00BB74F1" w:rsidRDefault="00BB74F1">
      <w:pPr>
        <w:spacing w:line="360" w:lineRule="auto"/>
        <w:ind w:left="720" w:hanging="720"/>
        <w:jc w:val="both"/>
        <w:rPr>
          <w:color w:val="000000"/>
          <w:rtl/>
        </w:rPr>
      </w:pPr>
    </w:p>
    <w:p w14:paraId="1AE0F294" w14:textId="77777777" w:rsidR="00BB74F1" w:rsidRDefault="00205A15">
      <w:pPr>
        <w:numPr>
          <w:ilvl w:val="0"/>
          <w:numId w:val="2"/>
        </w:numPr>
        <w:spacing w:line="360" w:lineRule="auto"/>
        <w:jc w:val="both"/>
        <w:rPr>
          <w:color w:val="000000"/>
        </w:rPr>
      </w:pPr>
      <w:r>
        <w:rPr>
          <w:color w:val="000000"/>
          <w:rtl/>
        </w:rPr>
        <w:t>ששה חודשי מאסר בפועל אשר ירוצו בעבודות שירות, אם ימליץ על כך הממונה על עבודות השירות.</w:t>
      </w:r>
    </w:p>
    <w:p w14:paraId="42C6C699" w14:textId="77777777" w:rsidR="00BB74F1" w:rsidRDefault="00BB74F1">
      <w:pPr>
        <w:spacing w:line="360" w:lineRule="auto"/>
        <w:ind w:left="720"/>
        <w:jc w:val="both"/>
        <w:rPr>
          <w:color w:val="000000"/>
          <w:rtl/>
        </w:rPr>
      </w:pPr>
    </w:p>
    <w:p w14:paraId="5EBDA336" w14:textId="77777777" w:rsidR="00BB74F1" w:rsidRDefault="00205A15">
      <w:pPr>
        <w:numPr>
          <w:ilvl w:val="0"/>
          <w:numId w:val="2"/>
        </w:numPr>
        <w:spacing w:line="360" w:lineRule="auto"/>
        <w:jc w:val="both"/>
        <w:rPr>
          <w:color w:val="000000"/>
        </w:rPr>
      </w:pPr>
      <w:r>
        <w:rPr>
          <w:color w:val="000000"/>
          <w:rtl/>
        </w:rPr>
        <w:t>18 חודשי מאסר על תנאי, כשהתנאי הוא, שהנאשם לא יישא עונש זה אלא אם, תוך 3 שנים, יעבור עבירה בה הורשע, ויורשעו עליה בדין.</w:t>
      </w:r>
    </w:p>
    <w:p w14:paraId="2C2B4155" w14:textId="77777777" w:rsidR="00BB74F1" w:rsidRDefault="00BB74F1">
      <w:pPr>
        <w:spacing w:line="360" w:lineRule="auto"/>
        <w:jc w:val="both"/>
        <w:rPr>
          <w:color w:val="000000"/>
          <w:rtl/>
        </w:rPr>
      </w:pPr>
    </w:p>
    <w:p w14:paraId="1276373E" w14:textId="77777777" w:rsidR="00BB74F1" w:rsidRDefault="00205A15">
      <w:pPr>
        <w:numPr>
          <w:ilvl w:val="0"/>
          <w:numId w:val="2"/>
        </w:numPr>
        <w:spacing w:line="360" w:lineRule="auto"/>
        <w:jc w:val="both"/>
        <w:rPr>
          <w:color w:val="000000"/>
        </w:rPr>
      </w:pPr>
      <w:r>
        <w:rPr>
          <w:color w:val="000000"/>
          <w:rtl/>
        </w:rPr>
        <w:t>אני מחייב את הנאשם לשלם קנס כספי בסך 3,000 ש"ח, או 30 ימי מאסר תמורתו. הקנס ישולם בשלושה תשלומים שווים ורצופים, כאשר הראשון יהיה תוך 30 יום מיום סיום ריצוי עונש המאסר.</w:t>
      </w:r>
    </w:p>
    <w:p w14:paraId="5C320570" w14:textId="77777777" w:rsidR="00BB74F1" w:rsidRDefault="00205A15">
      <w:pPr>
        <w:numPr>
          <w:ilvl w:val="0"/>
          <w:numId w:val="2"/>
        </w:numPr>
        <w:spacing w:line="360" w:lineRule="auto"/>
        <w:jc w:val="both"/>
        <w:rPr>
          <w:color w:val="000000"/>
        </w:rPr>
      </w:pPr>
      <w:r>
        <w:rPr>
          <w:color w:val="000000"/>
          <w:rtl/>
        </w:rPr>
        <w:t>על הנאשם לחתום על התחייבות להימנע מעבירה על סך של 10,000 ₪ ולמשך שנתיים.</w:t>
      </w:r>
    </w:p>
    <w:p w14:paraId="06077135" w14:textId="77777777" w:rsidR="00BB74F1" w:rsidRDefault="00BB74F1">
      <w:pPr>
        <w:spacing w:line="360" w:lineRule="auto"/>
        <w:jc w:val="both"/>
        <w:rPr>
          <w:color w:val="000000"/>
          <w:rtl/>
        </w:rPr>
      </w:pPr>
    </w:p>
    <w:p w14:paraId="668EB7B9" w14:textId="77777777" w:rsidR="00BB74F1" w:rsidRDefault="00205A15">
      <w:pPr>
        <w:numPr>
          <w:ilvl w:val="0"/>
          <w:numId w:val="2"/>
        </w:numPr>
        <w:spacing w:line="360" w:lineRule="auto"/>
        <w:jc w:val="both"/>
        <w:rPr>
          <w:color w:val="000000"/>
        </w:rPr>
      </w:pPr>
      <w:r>
        <w:rPr>
          <w:color w:val="000000"/>
          <w:rtl/>
        </w:rPr>
        <w:t>הנאשם יועמד למבחן בפיקוח שירות המבחן למשך שנה ממועד סיום ריצוי העונש במסגרת עבודות השירות</w:t>
      </w:r>
    </w:p>
    <w:p w14:paraId="0C2B1A43" w14:textId="77777777" w:rsidR="00BB74F1" w:rsidRDefault="00BB74F1">
      <w:pPr>
        <w:spacing w:line="360" w:lineRule="auto"/>
        <w:jc w:val="both"/>
        <w:rPr>
          <w:color w:val="000000"/>
          <w:rtl/>
        </w:rPr>
      </w:pPr>
    </w:p>
    <w:p w14:paraId="6C9B3EF3" w14:textId="77777777" w:rsidR="00BB74F1" w:rsidRDefault="00205A15">
      <w:pPr>
        <w:spacing w:line="360" w:lineRule="auto"/>
        <w:ind w:left="720" w:hanging="720"/>
        <w:jc w:val="both"/>
        <w:rPr>
          <w:b/>
          <w:bCs/>
          <w:color w:val="000000"/>
          <w:u w:val="single"/>
          <w:rtl/>
        </w:rPr>
      </w:pPr>
      <w:r>
        <w:rPr>
          <w:rFonts w:hint="cs"/>
          <w:b/>
          <w:bCs/>
          <w:color w:val="000000"/>
          <w:rtl/>
        </w:rPr>
        <w:t>42</w:t>
      </w:r>
      <w:r>
        <w:rPr>
          <w:rFonts w:hint="cs"/>
          <w:color w:val="000000"/>
          <w:rtl/>
        </w:rPr>
        <w:t>.</w:t>
      </w:r>
      <w:r>
        <w:rPr>
          <w:rFonts w:hint="cs"/>
          <w:color w:val="000000"/>
          <w:rtl/>
        </w:rPr>
        <w:tab/>
      </w:r>
      <w:r>
        <w:rPr>
          <w:b/>
          <w:bCs/>
          <w:color w:val="000000"/>
          <w:u w:val="single"/>
          <w:rtl/>
        </w:rPr>
        <w:t xml:space="preserve">בנסיבות אלו על הממונה להגיש את חוות דעתו עובר למועד שיקבע להלן. הממונה יוכל לזמן את הנאשם לראיון באמצעות בא כוחו עו"ד </w:t>
      </w:r>
      <w:r>
        <w:rPr>
          <w:rFonts w:hint="cs"/>
          <w:b/>
          <w:bCs/>
          <w:color w:val="000000"/>
          <w:u w:val="single"/>
          <w:rtl/>
        </w:rPr>
        <w:t>אברהים כנאענה</w:t>
      </w:r>
      <w:r>
        <w:rPr>
          <w:b/>
          <w:bCs/>
          <w:color w:val="000000"/>
          <w:u w:val="single"/>
          <w:rtl/>
        </w:rPr>
        <w:t xml:space="preserve"> </w:t>
      </w:r>
      <w:r>
        <w:rPr>
          <w:rFonts w:hint="cs"/>
          <w:b/>
          <w:bCs/>
          <w:color w:val="000000"/>
          <w:u w:val="single"/>
          <w:rtl/>
        </w:rPr>
        <w:t xml:space="preserve">טלפון נייד 0508917798, </w:t>
      </w:r>
      <w:r>
        <w:rPr>
          <w:b/>
          <w:bCs/>
          <w:color w:val="000000"/>
          <w:u w:val="single"/>
          <w:rtl/>
        </w:rPr>
        <w:t xml:space="preserve">טלפון </w:t>
      </w:r>
      <w:r>
        <w:rPr>
          <w:rFonts w:hint="cs"/>
          <w:b/>
          <w:bCs/>
          <w:color w:val="000000"/>
          <w:u w:val="single"/>
          <w:rtl/>
        </w:rPr>
        <w:t xml:space="preserve">04-6749753 </w:t>
      </w:r>
      <w:r>
        <w:rPr>
          <w:b/>
          <w:bCs/>
          <w:color w:val="000000"/>
          <w:u w:val="single"/>
          <w:rtl/>
        </w:rPr>
        <w:t xml:space="preserve">או </w:t>
      </w:r>
      <w:r>
        <w:rPr>
          <w:rFonts w:hint="cs"/>
          <w:b/>
          <w:bCs/>
          <w:color w:val="000000"/>
          <w:u w:val="single"/>
          <w:rtl/>
        </w:rPr>
        <w:t>ב</w:t>
      </w:r>
      <w:r>
        <w:rPr>
          <w:b/>
          <w:bCs/>
          <w:color w:val="000000"/>
          <w:u w:val="single"/>
          <w:rtl/>
        </w:rPr>
        <w:t xml:space="preserve">פקס </w:t>
      </w:r>
      <w:r>
        <w:rPr>
          <w:rFonts w:hint="cs"/>
          <w:b/>
          <w:bCs/>
          <w:color w:val="000000"/>
          <w:u w:val="single"/>
          <w:rtl/>
        </w:rPr>
        <w:t>04-6747555 וטלפון של הנאשם 0507661114.</w:t>
      </w:r>
    </w:p>
    <w:p w14:paraId="1ACADC7A" w14:textId="77777777" w:rsidR="00BB74F1" w:rsidRDefault="00BB74F1">
      <w:pPr>
        <w:suppressLineNumbers/>
        <w:tabs>
          <w:tab w:val="left" w:pos="8505"/>
        </w:tabs>
        <w:spacing w:line="360" w:lineRule="auto"/>
        <w:ind w:left="585"/>
        <w:jc w:val="both"/>
        <w:rPr>
          <w:b/>
          <w:bCs/>
          <w:color w:val="000000"/>
          <w:u w:val="single"/>
          <w:rtl/>
        </w:rPr>
      </w:pPr>
    </w:p>
    <w:p w14:paraId="7378F2E2" w14:textId="77777777" w:rsidR="00BB74F1" w:rsidRDefault="00205A15">
      <w:pPr>
        <w:suppressLineNumbers/>
        <w:spacing w:line="360" w:lineRule="auto"/>
        <w:ind w:left="720" w:firstLine="26"/>
        <w:jc w:val="both"/>
        <w:rPr>
          <w:color w:val="000000"/>
          <w:rtl/>
        </w:rPr>
      </w:pPr>
      <w:r>
        <w:rPr>
          <w:color w:val="000000"/>
          <w:rtl/>
        </w:rPr>
        <w:t xml:space="preserve">אני קובע ישיבה נוספת ליום  </w:t>
      </w:r>
      <w:r>
        <w:rPr>
          <w:rFonts w:hint="cs"/>
          <w:color w:val="000000"/>
          <w:rtl/>
        </w:rPr>
        <w:t>24.7.13</w:t>
      </w:r>
      <w:r>
        <w:rPr>
          <w:color w:val="000000"/>
          <w:rtl/>
        </w:rPr>
        <w:t xml:space="preserve">, שעה </w:t>
      </w:r>
      <w:r>
        <w:rPr>
          <w:rFonts w:hint="cs"/>
          <w:color w:val="000000"/>
          <w:rtl/>
        </w:rPr>
        <w:t>12:00.</w:t>
      </w:r>
    </w:p>
    <w:p w14:paraId="020ABBA5" w14:textId="77777777" w:rsidR="00BB74F1" w:rsidRDefault="00BB74F1">
      <w:pPr>
        <w:suppressLineNumbers/>
        <w:spacing w:line="360" w:lineRule="auto"/>
        <w:ind w:firstLine="585"/>
        <w:jc w:val="both"/>
        <w:rPr>
          <w:color w:val="000000"/>
          <w:rtl/>
        </w:rPr>
      </w:pPr>
    </w:p>
    <w:p w14:paraId="70CD6003" w14:textId="77777777" w:rsidR="00BB74F1" w:rsidRDefault="00205A15">
      <w:pPr>
        <w:suppressLineNumbers/>
        <w:spacing w:line="360" w:lineRule="auto"/>
        <w:ind w:firstLine="585"/>
        <w:jc w:val="both"/>
        <w:rPr>
          <w:b/>
          <w:bCs/>
          <w:color w:val="000000"/>
          <w:u w:val="single"/>
          <w:rtl/>
        </w:rPr>
      </w:pPr>
      <w:r>
        <w:rPr>
          <w:b/>
          <w:bCs/>
          <w:color w:val="000000"/>
          <w:u w:val="single"/>
          <w:rtl/>
        </w:rPr>
        <w:t>המזכירות תמציא לשירות המבחן ולממונה על עבודות השירות עותק מגזר הדין.</w:t>
      </w:r>
    </w:p>
    <w:p w14:paraId="11E94057" w14:textId="77777777" w:rsidR="00BB74F1" w:rsidRDefault="00BB74F1">
      <w:pPr>
        <w:suppressLineNumbers/>
        <w:spacing w:line="360" w:lineRule="auto"/>
        <w:ind w:firstLine="585"/>
        <w:jc w:val="both"/>
        <w:rPr>
          <w:b/>
          <w:bCs/>
          <w:color w:val="000000"/>
          <w:u w:val="single"/>
          <w:rtl/>
        </w:rPr>
      </w:pPr>
    </w:p>
    <w:p w14:paraId="3C560DB7" w14:textId="77777777" w:rsidR="00BB74F1" w:rsidRDefault="00205A15">
      <w:pPr>
        <w:spacing w:line="360" w:lineRule="auto"/>
        <w:ind w:left="585"/>
        <w:jc w:val="both"/>
        <w:rPr>
          <w:rFonts w:ascii="Arial" w:hAnsi="Arial"/>
          <w:b/>
          <w:bCs/>
          <w:color w:val="000000"/>
          <w:u w:val="single"/>
          <w:rtl/>
        </w:rPr>
      </w:pPr>
      <w:r>
        <w:rPr>
          <w:rFonts w:ascii="Arial" w:hAnsi="Arial"/>
          <w:b/>
          <w:bCs/>
          <w:color w:val="000000"/>
          <w:u w:val="single"/>
          <w:rtl/>
        </w:rPr>
        <w:t>הוסברה לנאשם חובתו להתייצב לדיון הנ"ל ולשתף פעולה עם הממונה על עבודות שירות.</w:t>
      </w:r>
    </w:p>
    <w:p w14:paraId="4C590397" w14:textId="77777777" w:rsidR="00BB74F1" w:rsidRDefault="00BB74F1">
      <w:pPr>
        <w:spacing w:line="360" w:lineRule="auto"/>
        <w:rPr>
          <w:rtl/>
        </w:rPr>
      </w:pPr>
    </w:p>
    <w:p w14:paraId="0DEB9718" w14:textId="77777777" w:rsidR="00BB74F1" w:rsidRDefault="00205A15">
      <w:pPr>
        <w:spacing w:line="360" w:lineRule="auto"/>
        <w:ind w:left="585"/>
        <w:jc w:val="both"/>
        <w:rPr>
          <w:rFonts w:ascii="Arial" w:hAnsi="Arial"/>
          <w:rtl/>
        </w:rPr>
      </w:pPr>
      <w:r w:rsidRPr="00205A15">
        <w:rPr>
          <w:rFonts w:ascii="Arial" w:hAnsi="Arial"/>
          <w:color w:val="FFFFFF"/>
          <w:sz w:val="2"/>
          <w:szCs w:val="2"/>
          <w:rtl/>
        </w:rPr>
        <w:t>5129371</w:t>
      </w:r>
      <w:r>
        <w:rPr>
          <w:rFonts w:ascii="Arial" w:hAnsi="Arial"/>
          <w:rtl/>
        </w:rPr>
        <w:t xml:space="preserve">ניתן היום,  ט"ז תמוז תשע"ג, 24 יוני 2013, במעמד ב"א המאשימה, עו"ד הילה כץ, הנאשם בעצמו </w:t>
      </w:r>
      <w:r>
        <w:rPr>
          <w:rFonts w:ascii="Arial" w:hAnsi="Arial" w:hint="cs"/>
          <w:rtl/>
        </w:rPr>
        <w:t xml:space="preserve">ובא כוחו עו"ד א. </w:t>
      </w:r>
      <w:bookmarkStart w:id="7" w:name="_GoBack"/>
      <w:bookmarkEnd w:id="7"/>
      <w:r>
        <w:rPr>
          <w:rFonts w:ascii="Arial" w:hAnsi="Arial" w:hint="cs"/>
          <w:rtl/>
        </w:rPr>
        <w:t>כנאענה.</w:t>
      </w:r>
    </w:p>
    <w:p w14:paraId="22102207" w14:textId="77777777" w:rsidR="00BB74F1" w:rsidRPr="00205A15" w:rsidRDefault="00205A15">
      <w:pPr>
        <w:spacing w:line="360" w:lineRule="auto"/>
        <w:ind w:left="585"/>
        <w:jc w:val="both"/>
        <w:rPr>
          <w:rFonts w:ascii="Arial" w:hAnsi="Arial"/>
          <w:color w:val="FFFFFF"/>
          <w:sz w:val="2"/>
          <w:szCs w:val="2"/>
          <w:rtl/>
        </w:rPr>
      </w:pPr>
      <w:r w:rsidRPr="00205A15">
        <w:rPr>
          <w:rFonts w:ascii="Arial" w:hAnsi="Arial"/>
          <w:color w:val="FFFFFF"/>
          <w:sz w:val="2"/>
          <w:szCs w:val="2"/>
          <w:rtl/>
        </w:rPr>
        <w:t>54678313</w:t>
      </w:r>
    </w:p>
    <w:p w14:paraId="5FF623C2" w14:textId="77777777" w:rsidR="00205A15" w:rsidRPr="00205A15" w:rsidRDefault="00205A15" w:rsidP="00205A15">
      <w:pPr>
        <w:keepNext/>
        <w:spacing w:line="360" w:lineRule="auto"/>
        <w:rPr>
          <w:rFonts w:ascii="David" w:hAnsi="David"/>
          <w:color w:val="000000"/>
          <w:sz w:val="22"/>
          <w:szCs w:val="22"/>
          <w:rtl/>
        </w:rPr>
      </w:pPr>
    </w:p>
    <w:p w14:paraId="00C6B2AE" w14:textId="77777777" w:rsidR="00BB74F1" w:rsidRPr="00351E01" w:rsidRDefault="00351E01">
      <w:pPr>
        <w:spacing w:line="360" w:lineRule="auto"/>
        <w:ind w:left="585"/>
        <w:jc w:val="both"/>
        <w:rPr>
          <w:rFonts w:ascii="Arial" w:hAnsi="Arial"/>
          <w:color w:val="FFFFFF"/>
          <w:sz w:val="2"/>
          <w:szCs w:val="2"/>
          <w:rtl/>
        </w:rPr>
      </w:pPr>
      <w:r w:rsidRPr="00351E01">
        <w:rPr>
          <w:rFonts w:ascii="Arial" w:hAnsi="Arial"/>
          <w:color w:val="FFFFFF"/>
          <w:sz w:val="2"/>
          <w:szCs w:val="2"/>
          <w:rtl/>
        </w:rPr>
        <w:t>5129371</w:t>
      </w:r>
    </w:p>
    <w:p w14:paraId="61C17196" w14:textId="77777777" w:rsidR="00BB74F1" w:rsidRPr="00351E01" w:rsidRDefault="00351E01">
      <w:pPr>
        <w:spacing w:line="360" w:lineRule="auto"/>
        <w:ind w:left="585"/>
        <w:jc w:val="both"/>
        <w:rPr>
          <w:rFonts w:ascii="Arial" w:hAnsi="Arial"/>
          <w:color w:val="FFFFFF"/>
          <w:sz w:val="2"/>
          <w:szCs w:val="2"/>
        </w:rPr>
      </w:pPr>
      <w:r w:rsidRPr="00351E01">
        <w:rPr>
          <w:rFonts w:ascii="Arial" w:hAnsi="Arial"/>
          <w:color w:val="FFFFFF"/>
          <w:sz w:val="2"/>
          <w:szCs w:val="2"/>
          <w:rtl/>
        </w:rPr>
        <w:t>54678313</w:t>
      </w:r>
    </w:p>
    <w:p w14:paraId="552F600F" w14:textId="77777777" w:rsidR="00351E01" w:rsidRPr="00351E01" w:rsidRDefault="00351E01" w:rsidP="00351E01">
      <w:pPr>
        <w:keepNext/>
        <w:spacing w:line="360" w:lineRule="auto"/>
        <w:rPr>
          <w:rFonts w:ascii="David" w:hAnsi="David" w:hint="cs"/>
          <w:color w:val="000000"/>
          <w:sz w:val="22"/>
          <w:szCs w:val="22"/>
          <w:rtl/>
        </w:rPr>
      </w:pPr>
    </w:p>
    <w:p w14:paraId="1584F937" w14:textId="77777777" w:rsidR="00351E01" w:rsidRPr="00351E01" w:rsidRDefault="00351E01" w:rsidP="00351E01">
      <w:pPr>
        <w:keepNext/>
        <w:spacing w:line="360" w:lineRule="auto"/>
        <w:rPr>
          <w:rFonts w:ascii="David" w:hAnsi="David"/>
          <w:color w:val="000000"/>
          <w:sz w:val="22"/>
          <w:szCs w:val="22"/>
          <w:rtl/>
        </w:rPr>
      </w:pPr>
      <w:r w:rsidRPr="00351E01">
        <w:rPr>
          <w:rFonts w:ascii="David" w:hAnsi="David"/>
          <w:color w:val="000000"/>
          <w:sz w:val="22"/>
          <w:szCs w:val="22"/>
          <w:rtl/>
        </w:rPr>
        <w:t>כמאל סעב 54678313-5000/12</w:t>
      </w:r>
    </w:p>
    <w:p w14:paraId="29597DB0" w14:textId="77777777" w:rsidR="00BB74F1" w:rsidRDefault="00205A15">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9378015" w14:textId="77777777" w:rsidR="00205A15" w:rsidRDefault="00205A15" w:rsidP="00205A15">
      <w:pPr>
        <w:rPr>
          <w:rtl/>
        </w:rPr>
      </w:pPr>
    </w:p>
    <w:p w14:paraId="113999D9" w14:textId="77777777" w:rsidR="00205A15" w:rsidRDefault="00205A15" w:rsidP="00205A15">
      <w:pPr>
        <w:jc w:val="center"/>
        <w:rPr>
          <w:color w:val="0000FF"/>
          <w:u w:val="single"/>
        </w:rPr>
      </w:pPr>
      <w:r w:rsidRPr="00F24162">
        <w:rPr>
          <w:color w:val="000000"/>
          <w:rtl/>
        </w:rPr>
        <w:t>בעניין עריכה ושינויים במסמכי פסיקה, חקיקה ועוד באתר נבו – הקש כאן</w:t>
      </w:r>
    </w:p>
    <w:p w14:paraId="69CFC2BE" w14:textId="77777777" w:rsidR="00BB74F1" w:rsidRPr="00205A15" w:rsidRDefault="00351E01" w:rsidP="00351E01">
      <w:pPr>
        <w:rPr>
          <w:color w:val="0000FF"/>
          <w:u w:val="single"/>
        </w:rPr>
      </w:pPr>
      <w:r w:rsidRPr="00351E01">
        <w:rPr>
          <w:color w:val="000000"/>
          <w:u w:val="single"/>
          <w:rtl/>
        </w:rPr>
        <w:t>נוסח מסמך זה כפוף לשינויי ניסוח ועריכה</w:t>
      </w:r>
    </w:p>
    <w:sectPr w:rsidR="00BB74F1" w:rsidRPr="00205A15" w:rsidSect="00351E01">
      <w:headerReference w:type="even" r:id="rId28"/>
      <w:headerReference w:type="default" r:id="rId29"/>
      <w:footerReference w:type="even" r:id="rId30"/>
      <w:footerReference w:type="default" r:id="rId31"/>
      <w:pgSz w:w="11907" w:h="16840" w:code="9"/>
      <w:pgMar w:top="1701" w:right="1275" w:bottom="2552" w:left="156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B6F2F" w14:textId="77777777" w:rsidR="00350761" w:rsidRPr="00F55473" w:rsidRDefault="00350761">
      <w:pPr>
        <w:rPr>
          <w:rFonts w:cs="Arial"/>
          <w:szCs w:val="20"/>
        </w:rPr>
      </w:pPr>
      <w:r>
        <w:separator/>
      </w:r>
    </w:p>
  </w:endnote>
  <w:endnote w:type="continuationSeparator" w:id="0">
    <w:p w14:paraId="5541F99D" w14:textId="77777777" w:rsidR="00350761" w:rsidRPr="00F55473" w:rsidRDefault="0035076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51235" w14:textId="77777777" w:rsidR="00153A0F" w:rsidRDefault="00153A0F" w:rsidP="00351E0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A87A42" w14:textId="77777777" w:rsidR="00153A0F" w:rsidRPr="00351E01" w:rsidRDefault="00153A0F" w:rsidP="00351E01">
    <w:pPr>
      <w:pStyle w:val="a4"/>
      <w:pBdr>
        <w:top w:val="single" w:sz="4" w:space="1" w:color="auto"/>
        <w:between w:val="single" w:sz="4" w:space="0" w:color="auto"/>
      </w:pBdr>
      <w:spacing w:after="60"/>
      <w:jc w:val="center"/>
      <w:rPr>
        <w:rFonts w:ascii="FrankRuehl" w:hAnsi="FrankRuehl" w:cs="FrankRuehl"/>
        <w:color w:val="000000"/>
      </w:rPr>
    </w:pPr>
    <w:r w:rsidRPr="00351E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A1E5C" w14:textId="77777777" w:rsidR="00153A0F" w:rsidRDefault="00153A0F" w:rsidP="00351E0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22CD">
      <w:rPr>
        <w:rFonts w:ascii="FrankRuehl" w:hAnsi="FrankRuehl" w:cs="FrankRuehl"/>
        <w:noProof/>
        <w:rtl/>
      </w:rPr>
      <w:t>1</w:t>
    </w:r>
    <w:r>
      <w:rPr>
        <w:rFonts w:ascii="FrankRuehl" w:hAnsi="FrankRuehl" w:cs="FrankRuehl"/>
        <w:rtl/>
      </w:rPr>
      <w:fldChar w:fldCharType="end"/>
    </w:r>
  </w:p>
  <w:p w14:paraId="51DB7388" w14:textId="77777777" w:rsidR="00153A0F" w:rsidRPr="00351E01" w:rsidRDefault="00153A0F" w:rsidP="00351E01">
    <w:pPr>
      <w:pStyle w:val="a4"/>
      <w:pBdr>
        <w:top w:val="single" w:sz="4" w:space="1" w:color="auto"/>
        <w:between w:val="single" w:sz="4" w:space="0" w:color="auto"/>
      </w:pBdr>
      <w:spacing w:after="60"/>
      <w:jc w:val="center"/>
      <w:rPr>
        <w:rFonts w:ascii="FrankRuehl" w:hAnsi="FrankRuehl" w:cs="FrankRuehl"/>
        <w:color w:val="000000"/>
      </w:rPr>
    </w:pPr>
    <w:r w:rsidRPr="00351E01">
      <w:rPr>
        <w:rFonts w:ascii="FrankRuehl" w:hAnsi="FrankRuehl" w:cs="FrankRuehl"/>
        <w:color w:val="000000"/>
      </w:rPr>
      <w:pict w14:anchorId="7C796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8C051" w14:textId="77777777" w:rsidR="00350761" w:rsidRPr="00F55473" w:rsidRDefault="00350761">
      <w:pPr>
        <w:rPr>
          <w:rFonts w:cs="Arial"/>
          <w:szCs w:val="20"/>
        </w:rPr>
      </w:pPr>
      <w:r>
        <w:separator/>
      </w:r>
    </w:p>
  </w:footnote>
  <w:footnote w:type="continuationSeparator" w:id="0">
    <w:p w14:paraId="315F162B" w14:textId="77777777" w:rsidR="00350761" w:rsidRPr="00F55473" w:rsidRDefault="0035076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0775F" w14:textId="77777777" w:rsidR="00153A0F" w:rsidRPr="00351E01" w:rsidRDefault="00153A0F" w:rsidP="00351E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(חי') 5000/12 תפ (חי') 5000-12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41CD9" w14:textId="77777777" w:rsidR="00153A0F" w:rsidRPr="00351E01" w:rsidRDefault="00153A0F" w:rsidP="00351E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(חי') 5000/12 תפ (חי') 5000-12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5678C"/>
    <w:multiLevelType w:val="hybridMultilevel"/>
    <w:tmpl w:val="AA76F652"/>
    <w:lvl w:ilvl="0" w:tplc="4F0019BC">
      <w:start w:val="17"/>
      <w:numFmt w:val="decimal"/>
      <w:lvlText w:val="%1."/>
      <w:lvlJc w:val="left"/>
      <w:pPr>
        <w:tabs>
          <w:tab w:val="num" w:pos="720"/>
        </w:tabs>
        <w:ind w:left="720" w:hanging="360"/>
      </w:pPr>
      <w:rPr>
        <w:rFonts w:cs="Times New Roman" w:hint="default"/>
        <w:b/>
        <w:bCs/>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62094AFC"/>
    <w:multiLevelType w:val="hybridMultilevel"/>
    <w:tmpl w:val="840C5052"/>
    <w:lvl w:ilvl="0" w:tplc="AA84046E">
      <w:start w:val="1"/>
      <w:numFmt w:val="hebrew1"/>
      <w:lvlText w:val="%1."/>
      <w:lvlJc w:val="left"/>
      <w:pPr>
        <w:tabs>
          <w:tab w:val="num" w:pos="1080"/>
        </w:tabs>
        <w:ind w:left="1080" w:hanging="360"/>
      </w:pPr>
      <w:rPr>
        <w:rFonts w:cs="Times New Roman" w:hint="default"/>
        <w:b w:val="0"/>
        <w:bCs/>
        <w:szCs w:val="24"/>
      </w:rPr>
    </w:lvl>
    <w:lvl w:ilvl="1" w:tplc="E460C832">
      <w:start w:val="43"/>
      <w:numFmt w:val="decimal"/>
      <w:lvlText w:val="%2."/>
      <w:lvlJc w:val="left"/>
      <w:pPr>
        <w:tabs>
          <w:tab w:val="num" w:pos="1800"/>
        </w:tabs>
        <w:ind w:left="1800" w:hanging="360"/>
      </w:pPr>
      <w:rPr>
        <w:rFonts w:cs="Times New Roman" w:hint="default"/>
        <w:b/>
        <w:bCs/>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86212211">
    <w:abstractNumId w:val="0"/>
  </w:num>
  <w:num w:numId="2" w16cid:durableId="289016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74F1"/>
    <w:rsid w:val="00007859"/>
    <w:rsid w:val="000922CD"/>
    <w:rsid w:val="00153A0F"/>
    <w:rsid w:val="00205A15"/>
    <w:rsid w:val="00262052"/>
    <w:rsid w:val="00266FC8"/>
    <w:rsid w:val="00271686"/>
    <w:rsid w:val="002D0504"/>
    <w:rsid w:val="00350761"/>
    <w:rsid w:val="00351E01"/>
    <w:rsid w:val="00352B60"/>
    <w:rsid w:val="00366317"/>
    <w:rsid w:val="0041320F"/>
    <w:rsid w:val="0049738F"/>
    <w:rsid w:val="00913DBA"/>
    <w:rsid w:val="00B87625"/>
    <w:rsid w:val="00BB74F1"/>
    <w:rsid w:val="00BC3F67"/>
    <w:rsid w:val="00C4791D"/>
    <w:rsid w:val="00F241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62BB01"/>
  <w15:chartTrackingRefBased/>
  <w15:docId w15:val="{EBEFC1E9-7962-4549-BF65-FEE068AC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74F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B74F1"/>
    <w:pPr>
      <w:tabs>
        <w:tab w:val="center" w:pos="4153"/>
        <w:tab w:val="right" w:pos="8306"/>
      </w:tabs>
    </w:pPr>
  </w:style>
  <w:style w:type="paragraph" w:styleId="a4">
    <w:name w:val="footer"/>
    <w:basedOn w:val="a"/>
    <w:rsid w:val="00BB74F1"/>
    <w:pPr>
      <w:tabs>
        <w:tab w:val="center" w:pos="4153"/>
        <w:tab w:val="right" w:pos="8306"/>
      </w:tabs>
    </w:pPr>
  </w:style>
  <w:style w:type="character" w:styleId="a5">
    <w:name w:val="page number"/>
    <w:basedOn w:val="a0"/>
    <w:rsid w:val="00BB74F1"/>
  </w:style>
  <w:style w:type="character" w:customStyle="1" w:styleId="Ruller4">
    <w:name w:val="Ruller4 תו"/>
    <w:link w:val="Ruller40"/>
    <w:locked/>
    <w:rsid w:val="00BB74F1"/>
    <w:rPr>
      <w:rFonts w:ascii="Arial TUR" w:hAnsi="Arial TUR"/>
      <w:spacing w:val="10"/>
      <w:sz w:val="28"/>
      <w:szCs w:val="28"/>
      <w:lang w:bidi="he-IL"/>
    </w:rPr>
  </w:style>
  <w:style w:type="paragraph" w:customStyle="1" w:styleId="Ruller40">
    <w:name w:val="Ruller4"/>
    <w:basedOn w:val="a"/>
    <w:link w:val="Ruller4"/>
    <w:rsid w:val="00BB74F1"/>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customStyle="1" w:styleId="Ruller5">
    <w:name w:val="Ruller5 תו"/>
    <w:link w:val="Ruller50"/>
    <w:locked/>
    <w:rsid w:val="00BB74F1"/>
    <w:rPr>
      <w:rFonts w:ascii="Arial TUR" w:hAnsi="Arial TUR"/>
      <w:spacing w:val="10"/>
      <w:sz w:val="28"/>
      <w:szCs w:val="28"/>
      <w:lang w:bidi="he-IL"/>
    </w:rPr>
  </w:style>
  <w:style w:type="paragraph" w:customStyle="1" w:styleId="Ruller50">
    <w:name w:val="Ruller5"/>
    <w:basedOn w:val="a"/>
    <w:link w:val="Ruller5"/>
    <w:rsid w:val="00BB74F1"/>
    <w:pPr>
      <w:overflowPunct w:val="0"/>
      <w:autoSpaceDE w:val="0"/>
      <w:autoSpaceDN w:val="0"/>
      <w:adjustRightInd w:val="0"/>
      <w:ind w:left="1642" w:right="1282"/>
      <w:jc w:val="both"/>
    </w:pPr>
    <w:rPr>
      <w:rFonts w:ascii="Arial TUR" w:hAnsi="Arial TUR" w:cs="Times New Roman"/>
      <w:spacing w:val="10"/>
      <w:sz w:val="28"/>
      <w:szCs w:val="28"/>
    </w:rPr>
  </w:style>
  <w:style w:type="paragraph" w:customStyle="1" w:styleId="filenumber">
    <w:name w:val="filenumber"/>
    <w:basedOn w:val="a"/>
    <w:rsid w:val="00BB74F1"/>
    <w:pPr>
      <w:overflowPunct w:val="0"/>
      <w:autoSpaceDE w:val="0"/>
      <w:autoSpaceDN w:val="0"/>
      <w:spacing w:line="360" w:lineRule="auto"/>
      <w:jc w:val="right"/>
    </w:pPr>
    <w:rPr>
      <w:rFonts w:eastAsia="Arial Unicode MS" w:cs="Times New Roman"/>
      <w:sz w:val="20"/>
      <w:szCs w:val="20"/>
      <w:lang w:eastAsia="he-IL"/>
    </w:rPr>
  </w:style>
  <w:style w:type="character" w:styleId="Hyperlink">
    <w:name w:val="Hyperlink"/>
    <w:rsid w:val="00205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7941073" TargetMode="External"/><Relationship Id="rId26" Type="http://schemas.openxmlformats.org/officeDocument/2006/relationships/hyperlink" Target="http://www.nevo.co.il/law/70348"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6473037" TargetMode="External"/><Relationship Id="rId25" Type="http://schemas.openxmlformats.org/officeDocument/2006/relationships/hyperlink" Target="http://www.nevo.co.il/case/624338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703734" TargetMode="External"/><Relationship Id="rId20" Type="http://schemas.openxmlformats.org/officeDocument/2006/relationships/hyperlink" Target="http://www.nevo.co.il/law/7030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624745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821327" TargetMode="External"/><Relationship Id="rId23" Type="http://schemas.openxmlformats.org/officeDocument/2006/relationships/hyperlink" Target="http://www.nevo.co.il/case/5692319" TargetMode="External"/><Relationship Id="rId28"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case/5882592"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48" TargetMode="External"/><Relationship Id="rId14" Type="http://schemas.openxmlformats.org/officeDocument/2006/relationships/hyperlink" Target="http://www.nevo.co.il/case/6151556" TargetMode="External"/><Relationship Id="rId22" Type="http://schemas.openxmlformats.org/officeDocument/2006/relationships/hyperlink" Target="http://www.nevo.co.il/case/5762686" TargetMode="External"/><Relationship Id="rId27" Type="http://schemas.openxmlformats.org/officeDocument/2006/relationships/hyperlink" Target="http://www.nevo.co.il/case/2237972" TargetMode="External"/><Relationship Id="rId30" Type="http://schemas.openxmlformats.org/officeDocument/2006/relationships/footer" Target="footer1.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3032</Words>
  <Characters>15164</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18160</CharactersWithSpaces>
  <SharedDoc>false</SharedDoc>
  <HLinks>
    <vt:vector size="126" baseType="variant">
      <vt:variant>
        <vt:i4>3801206</vt:i4>
      </vt:variant>
      <vt:variant>
        <vt:i4>60</vt:i4>
      </vt:variant>
      <vt:variant>
        <vt:i4>0</vt:i4>
      </vt:variant>
      <vt:variant>
        <vt:i4>5</vt:i4>
      </vt:variant>
      <vt:variant>
        <vt:lpwstr>http://www.nevo.co.il/case/2237972</vt:lpwstr>
      </vt:variant>
      <vt:variant>
        <vt:lpwstr/>
      </vt:variant>
      <vt:variant>
        <vt:i4>8257636</vt:i4>
      </vt:variant>
      <vt:variant>
        <vt:i4>57</vt:i4>
      </vt:variant>
      <vt:variant>
        <vt:i4>0</vt:i4>
      </vt:variant>
      <vt:variant>
        <vt:i4>5</vt:i4>
      </vt:variant>
      <vt:variant>
        <vt:lpwstr>http://www.nevo.co.il/law/70348</vt:lpwstr>
      </vt:variant>
      <vt:variant>
        <vt:lpwstr/>
      </vt:variant>
      <vt:variant>
        <vt:i4>3735677</vt:i4>
      </vt:variant>
      <vt:variant>
        <vt:i4>54</vt:i4>
      </vt:variant>
      <vt:variant>
        <vt:i4>0</vt:i4>
      </vt:variant>
      <vt:variant>
        <vt:i4>5</vt:i4>
      </vt:variant>
      <vt:variant>
        <vt:lpwstr>http://www.nevo.co.il/case/6243388</vt:lpwstr>
      </vt:variant>
      <vt:variant>
        <vt:lpwstr/>
      </vt:variant>
      <vt:variant>
        <vt:i4>3276916</vt:i4>
      </vt:variant>
      <vt:variant>
        <vt:i4>51</vt:i4>
      </vt:variant>
      <vt:variant>
        <vt:i4>0</vt:i4>
      </vt:variant>
      <vt:variant>
        <vt:i4>5</vt:i4>
      </vt:variant>
      <vt:variant>
        <vt:lpwstr>http://www.nevo.co.il/case/6247454</vt:lpwstr>
      </vt:variant>
      <vt:variant>
        <vt:lpwstr/>
      </vt:variant>
      <vt:variant>
        <vt:i4>3539057</vt:i4>
      </vt:variant>
      <vt:variant>
        <vt:i4>48</vt:i4>
      </vt:variant>
      <vt:variant>
        <vt:i4>0</vt:i4>
      </vt:variant>
      <vt:variant>
        <vt:i4>5</vt:i4>
      </vt:variant>
      <vt:variant>
        <vt:lpwstr>http://www.nevo.co.il/case/5692319</vt:lpwstr>
      </vt:variant>
      <vt:variant>
        <vt:lpwstr/>
      </vt:variant>
      <vt:variant>
        <vt:i4>3342457</vt:i4>
      </vt:variant>
      <vt:variant>
        <vt:i4>45</vt:i4>
      </vt:variant>
      <vt:variant>
        <vt:i4>0</vt:i4>
      </vt:variant>
      <vt:variant>
        <vt:i4>5</vt:i4>
      </vt:variant>
      <vt:variant>
        <vt:lpwstr>http://www.nevo.co.il/case/5762686</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3801207</vt:i4>
      </vt:variant>
      <vt:variant>
        <vt:i4>36</vt:i4>
      </vt:variant>
      <vt:variant>
        <vt:i4>0</vt:i4>
      </vt:variant>
      <vt:variant>
        <vt:i4>5</vt:i4>
      </vt:variant>
      <vt:variant>
        <vt:lpwstr>http://www.nevo.co.il/case/5882592</vt:lpwstr>
      </vt:variant>
      <vt:variant>
        <vt:lpwstr/>
      </vt:variant>
      <vt:variant>
        <vt:i4>4063351</vt:i4>
      </vt:variant>
      <vt:variant>
        <vt:i4>33</vt:i4>
      </vt:variant>
      <vt:variant>
        <vt:i4>0</vt:i4>
      </vt:variant>
      <vt:variant>
        <vt:i4>5</vt:i4>
      </vt:variant>
      <vt:variant>
        <vt:lpwstr>http://www.nevo.co.il/case/17941073</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3539059</vt:i4>
      </vt:variant>
      <vt:variant>
        <vt:i4>27</vt:i4>
      </vt:variant>
      <vt:variant>
        <vt:i4>0</vt:i4>
      </vt:variant>
      <vt:variant>
        <vt:i4>5</vt:i4>
      </vt:variant>
      <vt:variant>
        <vt:lpwstr>http://www.nevo.co.il/case/5703734</vt:lpwstr>
      </vt:variant>
      <vt:variant>
        <vt:lpwstr/>
      </vt:variant>
      <vt:variant>
        <vt:i4>3342463</vt:i4>
      </vt:variant>
      <vt:variant>
        <vt:i4>24</vt:i4>
      </vt:variant>
      <vt:variant>
        <vt:i4>0</vt:i4>
      </vt:variant>
      <vt:variant>
        <vt:i4>5</vt:i4>
      </vt:variant>
      <vt:variant>
        <vt:lpwstr>http://www.nevo.co.il/case/5821327</vt:lpwstr>
      </vt:variant>
      <vt:variant>
        <vt:lpwstr/>
      </vt:variant>
      <vt:variant>
        <vt:i4>3145841</vt:i4>
      </vt:variant>
      <vt:variant>
        <vt:i4>21</vt:i4>
      </vt:variant>
      <vt:variant>
        <vt:i4>0</vt:i4>
      </vt:variant>
      <vt:variant>
        <vt:i4>5</vt:i4>
      </vt:variant>
      <vt:variant>
        <vt:lpwstr>http://www.nevo.co.il/case/6151556</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8257636</vt:i4>
      </vt:variant>
      <vt:variant>
        <vt:i4>6</vt:i4>
      </vt:variant>
      <vt:variant>
        <vt:i4>0</vt:i4>
      </vt:variant>
      <vt:variant>
        <vt:i4>5</vt:i4>
      </vt:variant>
      <vt:variant>
        <vt:lpwstr>http://www.nevo.co.il/law/70348</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2025-04-25T10:29:00Z</dcterms:created>
  <dcterms:modified xsi:type="dcterms:W3CDTF">2025-04-25T10:29:00Z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5000</vt:lpwstr>
  </property>
  <property fmtid="{D5CDD505-2E9C-101B-9397-08002B2CF9AE}" pid="6" name="NEWPARTB">
    <vt:lpwstr/>
  </property>
  <property fmtid="{D5CDD505-2E9C-101B-9397-08002B2CF9AE}" pid="7" name="NEWPARTC">
    <vt:lpwstr>12</vt:lpwstr>
  </property>
  <property fmtid="{D5CDD505-2E9C-101B-9397-08002B2CF9AE}" pid="8" name="PROCNUM">
    <vt:lpwstr>5000</vt:lpwstr>
  </property>
  <property fmtid="{D5CDD505-2E9C-101B-9397-08002B2CF9AE}" pid="9" name="PROCYEAR">
    <vt:lpwstr>12</vt:lpwstr>
  </property>
  <property fmtid="{D5CDD505-2E9C-101B-9397-08002B2CF9AE}" pid="10" name="APPELLANT">
    <vt:lpwstr>מדינת ישראל</vt:lpwstr>
  </property>
  <property fmtid="{D5CDD505-2E9C-101B-9397-08002B2CF9AE}" pid="11" name="APPELLEE">
    <vt:lpwstr>פלוני</vt:lpwstr>
  </property>
  <property fmtid="{D5CDD505-2E9C-101B-9397-08002B2CF9AE}" pid="12" name="JUDGE">
    <vt:lpwstr>כמאל סעב</vt:lpwstr>
  </property>
  <property fmtid="{D5CDD505-2E9C-101B-9397-08002B2CF9AE}" pid="13" name="CITY">
    <vt:lpwstr>חי'</vt:lpwstr>
  </property>
  <property fmtid="{D5CDD505-2E9C-101B-9397-08002B2CF9AE}" pid="14" name="DATE">
    <vt:lpwstr>20130624</vt:lpwstr>
  </property>
  <property fmtid="{D5CDD505-2E9C-101B-9397-08002B2CF9AE}" pid="15" name="TYPE_N_DATE">
    <vt:lpwstr>39020130624</vt:lpwstr>
  </property>
  <property fmtid="{D5CDD505-2E9C-101B-9397-08002B2CF9AE}" pid="16" name="WORDNUMPAGES">
    <vt:lpwstr>11</vt:lpwstr>
  </property>
  <property fmtid="{D5CDD505-2E9C-101B-9397-08002B2CF9AE}" pid="17" name="TYPE_ABS_DATE">
    <vt:lpwstr>390020130624</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6151556;5821327;5703734;6473037;17941073;5882592;5762686;5692319;6247454;6243388;2237972</vt:lpwstr>
  </property>
  <property fmtid="{D5CDD505-2E9C-101B-9397-08002B2CF9AE}" pid="36" name="LAWLISTTMP1">
    <vt:lpwstr>70301/144.b:2</vt:lpwstr>
  </property>
  <property fmtid="{D5CDD505-2E9C-101B-9397-08002B2CF9AE}" pid="37" name="LAWLISTTMP2">
    <vt:lpwstr>70348</vt:lpwstr>
  </property>
</Properties>
</file>