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43E0E" w:rsidRPr="00D633E8" w14:paraId="23777AED" w14:textId="77777777">
        <w:trPr>
          <w:trHeight w:hRule="exact" w:val="418"/>
          <w:jc w:val="center"/>
        </w:trPr>
        <w:tc>
          <w:tcPr>
            <w:tcW w:w="8721" w:type="dxa"/>
            <w:gridSpan w:val="2"/>
          </w:tcPr>
          <w:p w14:paraId="6681FA98" w14:textId="77777777" w:rsidR="00D43E0E" w:rsidRPr="00D633E8" w:rsidRDefault="00D633E8">
            <w:pPr>
              <w:pStyle w:val="a3"/>
              <w:jc w:val="center"/>
              <w:rPr>
                <w:rFonts w:ascii="Tahoma" w:hAnsi="Tahoma" w:cs="Tahoma"/>
                <w:color w:val="000080"/>
                <w:rtl/>
              </w:rPr>
            </w:pPr>
            <w:bookmarkStart w:id="0" w:name="LastJudge"/>
            <w:r w:rsidRPr="00D633E8">
              <w:rPr>
                <w:rFonts w:ascii="Tahoma" w:hAnsi="Tahoma" w:cs="Tahoma"/>
                <w:b/>
                <w:bCs/>
                <w:color w:val="000080"/>
                <w:rtl/>
              </w:rPr>
              <w:t>בית המשפט המחוזי בחיפה</w:t>
            </w:r>
          </w:p>
        </w:tc>
      </w:tr>
      <w:tr w:rsidR="00D43E0E" w:rsidRPr="00D633E8" w14:paraId="2D7C9CB1" w14:textId="77777777">
        <w:trPr>
          <w:trHeight w:val="337"/>
          <w:jc w:val="center"/>
        </w:trPr>
        <w:tc>
          <w:tcPr>
            <w:tcW w:w="5054" w:type="dxa"/>
          </w:tcPr>
          <w:p w14:paraId="39B3AA8B" w14:textId="77777777" w:rsidR="00D43E0E" w:rsidRPr="00D633E8" w:rsidRDefault="00D633E8">
            <w:pPr>
              <w:rPr>
                <w:rFonts w:cs="FrankRuehl"/>
                <w:sz w:val="28"/>
                <w:szCs w:val="28"/>
                <w:rtl/>
              </w:rPr>
            </w:pPr>
            <w:r w:rsidRPr="00D633E8">
              <w:rPr>
                <w:rFonts w:cs="FrankRuehl"/>
                <w:sz w:val="28"/>
                <w:szCs w:val="28"/>
                <w:rtl/>
              </w:rPr>
              <w:t>ת"פ</w:t>
            </w:r>
            <w:r w:rsidRPr="00D633E8">
              <w:rPr>
                <w:rFonts w:cs="FrankRuehl" w:hint="cs"/>
                <w:sz w:val="28"/>
                <w:szCs w:val="28"/>
                <w:rtl/>
              </w:rPr>
              <w:t xml:space="preserve"> </w:t>
            </w:r>
            <w:r w:rsidRPr="00D633E8">
              <w:rPr>
                <w:rFonts w:cs="FrankRuehl"/>
                <w:sz w:val="28"/>
                <w:szCs w:val="28"/>
                <w:rtl/>
              </w:rPr>
              <w:t>5007-12</w:t>
            </w:r>
            <w:r w:rsidRPr="00D633E8">
              <w:rPr>
                <w:rFonts w:cs="FrankRuehl" w:hint="cs"/>
                <w:sz w:val="28"/>
                <w:szCs w:val="28"/>
                <w:rtl/>
              </w:rPr>
              <w:t xml:space="preserve"> </w:t>
            </w:r>
            <w:r w:rsidRPr="00D633E8">
              <w:rPr>
                <w:rFonts w:cs="FrankRuehl"/>
                <w:sz w:val="28"/>
                <w:szCs w:val="28"/>
                <w:rtl/>
              </w:rPr>
              <w:t>מדינת ישראל נ' זבידאת</w:t>
            </w:r>
          </w:p>
          <w:p w14:paraId="3CA2652C" w14:textId="77777777" w:rsidR="00D43E0E" w:rsidRPr="00D633E8" w:rsidRDefault="00D43E0E">
            <w:pPr>
              <w:pStyle w:val="a3"/>
              <w:rPr>
                <w:rFonts w:cs="FrankRuehl"/>
                <w:sz w:val="12"/>
                <w:szCs w:val="12"/>
                <w:rtl/>
              </w:rPr>
            </w:pPr>
          </w:p>
        </w:tc>
        <w:tc>
          <w:tcPr>
            <w:tcW w:w="3667" w:type="dxa"/>
          </w:tcPr>
          <w:p w14:paraId="3D10182F" w14:textId="77777777" w:rsidR="00D43E0E" w:rsidRPr="00D633E8" w:rsidRDefault="00D43E0E">
            <w:pPr>
              <w:pStyle w:val="a3"/>
              <w:jc w:val="right"/>
              <w:rPr>
                <w:rFonts w:cs="FrankRuehl"/>
                <w:sz w:val="28"/>
                <w:szCs w:val="28"/>
                <w:rtl/>
              </w:rPr>
            </w:pPr>
          </w:p>
        </w:tc>
      </w:tr>
    </w:tbl>
    <w:p w14:paraId="2093EF12" w14:textId="77777777" w:rsidR="00D43E0E" w:rsidRPr="00D633E8" w:rsidRDefault="00D633E8" w:rsidP="00440AE5">
      <w:pPr>
        <w:pStyle w:val="a3"/>
        <w:rPr>
          <w:sz w:val="26"/>
          <w:szCs w:val="26"/>
          <w:rtl/>
        </w:rPr>
      </w:pPr>
      <w:r w:rsidRPr="00D633E8">
        <w:rPr>
          <w:rFonts w:hint="cs"/>
          <w:rtl/>
        </w:rPr>
        <w:t xml:space="preserve"> </w:t>
      </w:r>
    </w:p>
    <w:tbl>
      <w:tblPr>
        <w:bidiVisual/>
        <w:tblW w:w="8802" w:type="dxa"/>
        <w:tblInd w:w="-28" w:type="dxa"/>
        <w:tblLook w:val="01E0" w:firstRow="1" w:lastRow="1" w:firstColumn="1" w:lastColumn="1" w:noHBand="0" w:noVBand="0"/>
      </w:tblPr>
      <w:tblGrid>
        <w:gridCol w:w="2880"/>
        <w:gridCol w:w="5839"/>
        <w:gridCol w:w="83"/>
      </w:tblGrid>
      <w:tr w:rsidR="00D43E0E" w:rsidRPr="00D633E8" w14:paraId="549009A1" w14:textId="77777777">
        <w:trPr>
          <w:gridAfter w:val="1"/>
          <w:wAfter w:w="55" w:type="dxa"/>
        </w:trPr>
        <w:tc>
          <w:tcPr>
            <w:tcW w:w="8719" w:type="dxa"/>
            <w:gridSpan w:val="2"/>
          </w:tcPr>
          <w:p w14:paraId="664744ED" w14:textId="77777777" w:rsidR="00D43E0E" w:rsidRPr="00D633E8" w:rsidRDefault="00D633E8">
            <w:pPr>
              <w:spacing w:line="360" w:lineRule="auto"/>
              <w:jc w:val="both"/>
              <w:rPr>
                <w:b/>
                <w:bCs/>
                <w:sz w:val="26"/>
                <w:szCs w:val="26"/>
                <w:rtl/>
              </w:rPr>
            </w:pPr>
            <w:r w:rsidRPr="00D633E8">
              <w:rPr>
                <w:rFonts w:hint="cs"/>
                <w:b/>
                <w:bCs/>
                <w:sz w:val="26"/>
                <w:szCs w:val="26"/>
                <w:rtl/>
              </w:rPr>
              <w:t>בפני כב' ה</w:t>
            </w:r>
            <w:r w:rsidRPr="00D633E8">
              <w:rPr>
                <w:rFonts w:hint="cs"/>
                <w:rtl/>
              </w:rPr>
              <w:t>שופטת דיאנה סלע</w:t>
            </w:r>
            <w:r w:rsidRPr="00D633E8">
              <w:rPr>
                <w:rStyle w:val="TimesNewRomanTimesNewRoman"/>
                <w:rFonts w:hint="cs"/>
                <w:rtl/>
              </w:rPr>
              <w:t xml:space="preserve"> </w:t>
            </w:r>
          </w:p>
          <w:p w14:paraId="572C2B90" w14:textId="77777777" w:rsidR="00D43E0E" w:rsidRPr="00D633E8" w:rsidRDefault="00D43E0E">
            <w:pPr>
              <w:spacing w:line="360" w:lineRule="auto"/>
              <w:jc w:val="both"/>
              <w:rPr>
                <w:b/>
                <w:bCs/>
                <w:sz w:val="14"/>
                <w:szCs w:val="14"/>
              </w:rPr>
            </w:pPr>
          </w:p>
        </w:tc>
      </w:tr>
      <w:tr w:rsidR="00D43E0E" w:rsidRPr="00D633E8" w14:paraId="48123232" w14:textId="77777777">
        <w:tc>
          <w:tcPr>
            <w:tcW w:w="2880" w:type="dxa"/>
          </w:tcPr>
          <w:p w14:paraId="34CE48EB" w14:textId="77777777" w:rsidR="00D43E0E" w:rsidRPr="00D633E8" w:rsidRDefault="00D633E8">
            <w:pPr>
              <w:ind w:left="26"/>
              <w:rPr>
                <w:b/>
                <w:bCs/>
                <w:sz w:val="26"/>
                <w:szCs w:val="26"/>
              </w:rPr>
            </w:pPr>
            <w:bookmarkStart w:id="1" w:name="FirstAppellant"/>
            <w:r w:rsidRPr="00D633E8">
              <w:rPr>
                <w:rFonts w:hint="cs"/>
                <w:b/>
                <w:bCs/>
                <w:sz w:val="26"/>
                <w:szCs w:val="26"/>
                <w:rtl/>
              </w:rPr>
              <w:t>ה</w:t>
            </w:r>
            <w:r w:rsidRPr="00D633E8">
              <w:rPr>
                <w:rFonts w:hint="cs"/>
                <w:rtl/>
              </w:rPr>
              <w:t>מאשימה</w:t>
            </w:r>
          </w:p>
        </w:tc>
        <w:tc>
          <w:tcPr>
            <w:tcW w:w="5922" w:type="dxa"/>
            <w:gridSpan w:val="2"/>
          </w:tcPr>
          <w:p w14:paraId="68D03AA2" w14:textId="77777777" w:rsidR="00D43E0E" w:rsidRPr="00D633E8" w:rsidRDefault="00D633E8">
            <w:pPr>
              <w:rPr>
                <w:b/>
                <w:bCs/>
                <w:sz w:val="26"/>
                <w:szCs w:val="26"/>
                <w:rtl/>
              </w:rPr>
            </w:pPr>
            <w:r w:rsidRPr="00D633E8">
              <w:rPr>
                <w:rFonts w:hint="cs"/>
                <w:rtl/>
              </w:rPr>
              <w:t>מדינת ישראל</w:t>
            </w:r>
          </w:p>
          <w:p w14:paraId="17663BD6" w14:textId="77777777" w:rsidR="00D43E0E" w:rsidRPr="00D633E8" w:rsidRDefault="00D43E0E">
            <w:pPr>
              <w:rPr>
                <w:b/>
                <w:bCs/>
                <w:sz w:val="26"/>
                <w:szCs w:val="26"/>
              </w:rPr>
            </w:pPr>
          </w:p>
        </w:tc>
      </w:tr>
      <w:bookmarkEnd w:id="1"/>
      <w:tr w:rsidR="00D43E0E" w:rsidRPr="00D633E8" w14:paraId="7A428131" w14:textId="77777777">
        <w:tc>
          <w:tcPr>
            <w:tcW w:w="8802" w:type="dxa"/>
            <w:gridSpan w:val="3"/>
          </w:tcPr>
          <w:p w14:paraId="7D1C7D81" w14:textId="77777777" w:rsidR="00D43E0E" w:rsidRPr="00D633E8" w:rsidRDefault="00D43E0E">
            <w:pPr>
              <w:jc w:val="both"/>
              <w:rPr>
                <w:rFonts w:ascii="Arial" w:hAnsi="Arial"/>
                <w:b/>
                <w:bCs/>
                <w:sz w:val="26"/>
                <w:szCs w:val="26"/>
                <w:rtl/>
              </w:rPr>
            </w:pPr>
          </w:p>
          <w:p w14:paraId="4907B9CB" w14:textId="77777777" w:rsidR="00D43E0E" w:rsidRPr="00D633E8" w:rsidRDefault="00D633E8">
            <w:pPr>
              <w:jc w:val="center"/>
              <w:rPr>
                <w:rFonts w:ascii="Arial" w:hAnsi="Arial"/>
                <w:b/>
                <w:bCs/>
                <w:sz w:val="26"/>
                <w:szCs w:val="26"/>
                <w:rtl/>
              </w:rPr>
            </w:pPr>
            <w:r w:rsidRPr="00D633E8">
              <w:rPr>
                <w:rFonts w:ascii="Arial" w:hAnsi="Arial" w:hint="cs"/>
                <w:b/>
                <w:bCs/>
                <w:sz w:val="26"/>
                <w:szCs w:val="26"/>
                <w:rtl/>
              </w:rPr>
              <w:t>נגד</w:t>
            </w:r>
          </w:p>
          <w:p w14:paraId="486F8B5E" w14:textId="77777777" w:rsidR="00D43E0E" w:rsidRPr="00D633E8" w:rsidRDefault="00D43E0E">
            <w:pPr>
              <w:jc w:val="center"/>
              <w:rPr>
                <w:rFonts w:ascii="Arial" w:hAnsi="Arial"/>
                <w:b/>
                <w:bCs/>
                <w:sz w:val="26"/>
                <w:szCs w:val="26"/>
              </w:rPr>
            </w:pPr>
          </w:p>
        </w:tc>
      </w:tr>
      <w:tr w:rsidR="00D43E0E" w:rsidRPr="00D633E8" w14:paraId="7A4B8ECD" w14:textId="77777777">
        <w:tc>
          <w:tcPr>
            <w:tcW w:w="2880" w:type="dxa"/>
          </w:tcPr>
          <w:p w14:paraId="64633227" w14:textId="77777777" w:rsidR="00D43E0E" w:rsidRPr="00D633E8" w:rsidRDefault="00D633E8">
            <w:pPr>
              <w:ind w:left="26"/>
              <w:rPr>
                <w:b/>
                <w:bCs/>
                <w:sz w:val="26"/>
                <w:szCs w:val="26"/>
              </w:rPr>
            </w:pPr>
            <w:r w:rsidRPr="00D633E8">
              <w:rPr>
                <w:rFonts w:hint="cs"/>
                <w:b/>
                <w:bCs/>
                <w:sz w:val="26"/>
                <w:szCs w:val="26"/>
                <w:rtl/>
              </w:rPr>
              <w:t>ה</w:t>
            </w:r>
            <w:r w:rsidRPr="00D633E8">
              <w:rPr>
                <w:rFonts w:hint="cs"/>
                <w:rtl/>
              </w:rPr>
              <w:t>נאשם</w:t>
            </w:r>
          </w:p>
        </w:tc>
        <w:tc>
          <w:tcPr>
            <w:tcW w:w="5922" w:type="dxa"/>
            <w:gridSpan w:val="2"/>
          </w:tcPr>
          <w:p w14:paraId="4C87FE06" w14:textId="77777777" w:rsidR="00D43E0E" w:rsidRPr="00D633E8" w:rsidRDefault="00D633E8">
            <w:pPr>
              <w:rPr>
                <w:b/>
                <w:bCs/>
                <w:sz w:val="26"/>
                <w:szCs w:val="26"/>
                <w:rtl/>
              </w:rPr>
            </w:pPr>
            <w:r w:rsidRPr="00D633E8">
              <w:rPr>
                <w:rFonts w:hint="cs"/>
                <w:b/>
                <w:bCs/>
                <w:sz w:val="26"/>
                <w:szCs w:val="26"/>
                <w:rtl/>
              </w:rPr>
              <w:t>עלי זבידאת ת.ז. 032645939</w:t>
            </w:r>
          </w:p>
          <w:p w14:paraId="18290FB0" w14:textId="77777777" w:rsidR="00D43E0E" w:rsidRPr="00D633E8" w:rsidRDefault="00D43E0E">
            <w:pPr>
              <w:rPr>
                <w:b/>
                <w:bCs/>
                <w:sz w:val="26"/>
                <w:szCs w:val="26"/>
              </w:rPr>
            </w:pPr>
          </w:p>
        </w:tc>
      </w:tr>
    </w:tbl>
    <w:p w14:paraId="3FB253B2" w14:textId="77777777" w:rsidR="00D43E0E" w:rsidRPr="00D633E8" w:rsidRDefault="00D43E0E">
      <w:pPr>
        <w:rPr>
          <w:sz w:val="26"/>
          <w:szCs w:val="26"/>
        </w:rPr>
      </w:pPr>
    </w:p>
    <w:p w14:paraId="3741AC01" w14:textId="77777777" w:rsidR="000B6859" w:rsidRPr="000B6859" w:rsidRDefault="000B6859">
      <w:pPr>
        <w:rPr>
          <w:rFonts w:ascii="Arial" w:hAnsi="Arial"/>
          <w:rtl/>
        </w:rPr>
      </w:pPr>
    </w:p>
    <w:p w14:paraId="6D70821F" w14:textId="77777777" w:rsidR="000B6859" w:rsidRPr="000B6859" w:rsidRDefault="000B6859">
      <w:pPr>
        <w:rPr>
          <w:rFonts w:ascii="Arial" w:hAnsi="Arial"/>
          <w:rtl/>
        </w:rPr>
      </w:pPr>
    </w:p>
    <w:p w14:paraId="103CBE59" w14:textId="77777777" w:rsidR="00F16FC9" w:rsidRDefault="00F16FC9">
      <w:pPr>
        <w:rPr>
          <w:rFonts w:ascii="Arial" w:hAnsi="Arial"/>
          <w:rtl/>
        </w:rPr>
      </w:pPr>
      <w:bookmarkStart w:id="2" w:name="Links_Kitvei_Start"/>
    </w:p>
    <w:p w14:paraId="055F2325" w14:textId="77777777" w:rsidR="00F16FC9" w:rsidRPr="00F16FC9" w:rsidRDefault="00F16FC9" w:rsidP="00F16FC9">
      <w:pPr>
        <w:spacing w:after="120" w:line="240" w:lineRule="exact"/>
        <w:ind w:left="283" w:hanging="283"/>
        <w:jc w:val="both"/>
        <w:rPr>
          <w:rFonts w:ascii="FrankRuehl" w:hAnsi="FrankRuehl" w:cs="FrankRuehl"/>
          <w:rtl/>
        </w:rPr>
      </w:pPr>
    </w:p>
    <w:bookmarkEnd w:id="2"/>
    <w:p w14:paraId="2DD3E882" w14:textId="77777777" w:rsidR="00F16FC9" w:rsidRPr="00F16FC9" w:rsidRDefault="00F16FC9" w:rsidP="00F16FC9">
      <w:pPr>
        <w:spacing w:after="120" w:line="240" w:lineRule="exact"/>
        <w:ind w:left="283" w:hanging="283"/>
        <w:jc w:val="both"/>
        <w:rPr>
          <w:rStyle w:val="Hyperlink"/>
          <w:rFonts w:ascii="FrankRuehl" w:hAnsi="FrankRuehl" w:cs="FrankRuehl"/>
          <w:rtl/>
        </w:rPr>
      </w:pPr>
      <w:r w:rsidRPr="00F16FC9">
        <w:rPr>
          <w:rFonts w:ascii="FrankRuehl" w:hAnsi="FrankRuehl" w:cs="FrankRuehl"/>
          <w:rtl/>
        </w:rPr>
        <w:t>כתבי עת:</w:t>
      </w:r>
      <w:r w:rsidRPr="00F16FC9">
        <w:rPr>
          <w:rFonts w:ascii="FrankRuehl" w:hAnsi="FrankRuehl" w:cs="FrankRuehl"/>
          <w:u w:val="single"/>
          <w:rtl/>
        </w:rPr>
        <w:fldChar w:fldCharType="begin"/>
      </w:r>
      <w:r w:rsidRPr="00F16FC9">
        <w:rPr>
          <w:rFonts w:ascii="FrankRuehl" w:hAnsi="FrankRuehl" w:cs="FrankRuehl"/>
          <w:u w:val="single"/>
          <w:rtl/>
        </w:rPr>
        <w:instrText xml:space="preserve"> </w:instrText>
      </w:r>
      <w:r w:rsidRPr="00F16FC9">
        <w:rPr>
          <w:rFonts w:ascii="FrankRuehl" w:hAnsi="FrankRuehl" w:cs="FrankRuehl"/>
          <w:u w:val="single"/>
        </w:rPr>
        <w:instrText>HYPERLINK</w:instrText>
      </w:r>
      <w:r w:rsidRPr="00F16FC9">
        <w:rPr>
          <w:rFonts w:ascii="FrankRuehl" w:hAnsi="FrankRuehl" w:cs="FrankRuehl"/>
          <w:u w:val="single"/>
          <w:rtl/>
        </w:rPr>
        <w:instrText xml:space="preserve"> "</w:instrText>
      </w:r>
      <w:r w:rsidRPr="00F16FC9">
        <w:rPr>
          <w:rFonts w:ascii="FrankRuehl" w:hAnsi="FrankRuehl" w:cs="FrankRuehl"/>
          <w:u w:val="single"/>
        </w:rPr>
        <w:instrText>http://www.nevo.co.il/safrut/book/3366</w:instrText>
      </w:r>
      <w:r w:rsidRPr="00F16FC9">
        <w:rPr>
          <w:rFonts w:ascii="FrankRuehl" w:hAnsi="FrankRuehl" w:cs="FrankRuehl"/>
          <w:u w:val="single"/>
          <w:rtl/>
        </w:rPr>
        <w:instrText xml:space="preserve">" </w:instrText>
      </w:r>
      <w:r w:rsidRPr="00F16FC9">
        <w:rPr>
          <w:rFonts w:ascii="FrankRuehl" w:hAnsi="FrankRuehl" w:cs="FrankRuehl"/>
          <w:u w:val="single"/>
          <w:rtl/>
        </w:rPr>
      </w:r>
      <w:r w:rsidRPr="00F16FC9">
        <w:rPr>
          <w:rFonts w:ascii="FrankRuehl" w:hAnsi="FrankRuehl" w:cs="FrankRuehl"/>
          <w:u w:val="single"/>
          <w:rtl/>
        </w:rPr>
        <w:fldChar w:fldCharType="separate"/>
      </w:r>
    </w:p>
    <w:p w14:paraId="358B8131" w14:textId="77777777" w:rsidR="00F16FC9" w:rsidRPr="00F16FC9" w:rsidRDefault="00F16FC9" w:rsidP="00F16FC9">
      <w:pPr>
        <w:spacing w:after="120" w:line="240" w:lineRule="exact"/>
        <w:ind w:left="283" w:hanging="283"/>
        <w:jc w:val="both"/>
        <w:rPr>
          <w:rFonts w:ascii="FrankRuehl" w:hAnsi="FrankRuehl" w:cs="FrankRuehl"/>
          <w:u w:val="single"/>
          <w:rtl/>
        </w:rPr>
      </w:pPr>
      <w:r w:rsidRPr="00F16FC9">
        <w:rPr>
          <w:rStyle w:val="Hyperlink"/>
          <w:rFonts w:ascii="FrankRuehl" w:hAnsi="FrankRuehl" w:cs="FrankRuehl"/>
          <w:rtl/>
        </w:rPr>
        <w:t>רון שפירא, "הגיעה העת לסולחה", הפרקליט, כרך מח 433</w:t>
      </w:r>
      <w:r w:rsidRPr="00F16FC9">
        <w:rPr>
          <w:rFonts w:ascii="FrankRuehl" w:hAnsi="FrankRuehl" w:cs="FrankRuehl"/>
          <w:u w:val="single"/>
          <w:rtl/>
        </w:rPr>
        <w:fldChar w:fldCharType="end"/>
      </w:r>
    </w:p>
    <w:p w14:paraId="43E816F5" w14:textId="77777777" w:rsidR="00F16FC9" w:rsidRDefault="00F16FC9">
      <w:pPr>
        <w:rPr>
          <w:rFonts w:ascii="Arial" w:hAnsi="Arial"/>
          <w:rtl/>
        </w:rPr>
      </w:pPr>
      <w:bookmarkStart w:id="3" w:name="Links_Kitvei_End"/>
      <w:bookmarkStart w:id="4" w:name="LawTable"/>
      <w:bookmarkEnd w:id="3"/>
      <w:bookmarkEnd w:id="4"/>
    </w:p>
    <w:p w14:paraId="39C58CE5" w14:textId="77777777" w:rsidR="00F16FC9" w:rsidRPr="00F16FC9" w:rsidRDefault="00F16FC9" w:rsidP="00F16FC9">
      <w:pPr>
        <w:spacing w:after="120" w:line="240" w:lineRule="exact"/>
        <w:ind w:left="283" w:hanging="283"/>
        <w:jc w:val="both"/>
        <w:rPr>
          <w:rFonts w:ascii="FrankRuehl" w:hAnsi="FrankRuehl" w:cs="FrankRuehl"/>
          <w:rtl/>
        </w:rPr>
      </w:pPr>
    </w:p>
    <w:p w14:paraId="6ABB0980" w14:textId="77777777" w:rsidR="00F16FC9" w:rsidRPr="00F16FC9" w:rsidRDefault="00F16FC9" w:rsidP="00F16FC9">
      <w:pPr>
        <w:spacing w:after="120" w:line="240" w:lineRule="exact"/>
        <w:ind w:left="283" w:hanging="283"/>
        <w:jc w:val="both"/>
        <w:rPr>
          <w:rFonts w:ascii="FrankRuehl" w:hAnsi="FrankRuehl" w:cs="FrankRuehl"/>
          <w:rtl/>
        </w:rPr>
      </w:pPr>
      <w:r w:rsidRPr="00F16FC9">
        <w:rPr>
          <w:rFonts w:ascii="FrankRuehl" w:hAnsi="FrankRuehl" w:cs="FrankRuehl"/>
          <w:rtl/>
        </w:rPr>
        <w:t xml:space="preserve">חקיקה שאוזכרה: </w:t>
      </w:r>
    </w:p>
    <w:p w14:paraId="24686B50" w14:textId="77777777" w:rsidR="00F16FC9" w:rsidRPr="00F16FC9" w:rsidRDefault="00F16FC9" w:rsidP="00F16FC9">
      <w:pPr>
        <w:spacing w:after="120" w:line="240" w:lineRule="exact"/>
        <w:ind w:left="283" w:hanging="283"/>
        <w:jc w:val="both"/>
        <w:rPr>
          <w:rFonts w:ascii="FrankRuehl" w:hAnsi="FrankRuehl" w:cs="FrankRuehl"/>
          <w:color w:val="0000FF"/>
          <w:u w:val="single"/>
          <w:rtl/>
        </w:rPr>
      </w:pPr>
      <w:hyperlink r:id="rId6" w:history="1">
        <w:r w:rsidRPr="00F16FC9">
          <w:rPr>
            <w:rStyle w:val="Hyperlink"/>
            <w:rFonts w:ascii="FrankRuehl" w:hAnsi="FrankRuehl" w:cs="FrankRuehl"/>
            <w:rtl/>
          </w:rPr>
          <w:t>חוק העונשין, תשל"ז-1977</w:t>
        </w:r>
      </w:hyperlink>
      <w:r w:rsidRPr="00F16FC9">
        <w:rPr>
          <w:rFonts w:ascii="FrankRuehl" w:hAnsi="FrankRuehl" w:cs="FrankRuehl"/>
          <w:color w:val="0000FF"/>
          <w:u w:val="single"/>
          <w:rtl/>
        </w:rPr>
        <w:t xml:space="preserve">: סע'  </w:t>
      </w:r>
      <w:hyperlink r:id="rId7" w:history="1">
        <w:r w:rsidRPr="00F16FC9">
          <w:rPr>
            <w:rStyle w:val="Hyperlink"/>
            <w:rFonts w:ascii="FrankRuehl" w:hAnsi="FrankRuehl" w:cs="FrankRuehl"/>
          </w:rPr>
          <w:t>29</w:t>
        </w:r>
      </w:hyperlink>
      <w:r w:rsidRPr="00F16FC9">
        <w:rPr>
          <w:rFonts w:ascii="FrankRuehl" w:hAnsi="FrankRuehl" w:cs="FrankRuehl"/>
          <w:color w:val="0000FF"/>
          <w:u w:val="single"/>
          <w:rtl/>
        </w:rPr>
        <w:t xml:space="preserve">, </w:t>
      </w:r>
      <w:hyperlink r:id="rId8" w:history="1">
        <w:r w:rsidRPr="00F16FC9">
          <w:rPr>
            <w:rStyle w:val="Hyperlink"/>
            <w:rFonts w:ascii="FrankRuehl" w:hAnsi="FrankRuehl" w:cs="FrankRuehl"/>
          </w:rPr>
          <w:t>40</w:t>
        </w:r>
        <w:r w:rsidRPr="00F16FC9">
          <w:rPr>
            <w:rStyle w:val="Hyperlink"/>
            <w:rFonts w:ascii="FrankRuehl" w:hAnsi="FrankRuehl" w:cs="FrankRuehl"/>
            <w:rtl/>
          </w:rPr>
          <w:t>ב</w:t>
        </w:r>
      </w:hyperlink>
      <w:r w:rsidRPr="00F16FC9">
        <w:rPr>
          <w:rFonts w:ascii="FrankRuehl" w:hAnsi="FrankRuehl" w:cs="FrankRuehl"/>
          <w:color w:val="0000FF"/>
          <w:u w:val="single"/>
          <w:rtl/>
        </w:rPr>
        <w:t xml:space="preserve">, </w:t>
      </w:r>
      <w:hyperlink r:id="rId9" w:history="1">
        <w:r w:rsidRPr="00F16FC9">
          <w:rPr>
            <w:rStyle w:val="Hyperlink"/>
            <w:rFonts w:ascii="FrankRuehl" w:hAnsi="FrankRuehl" w:cs="FrankRuehl"/>
          </w:rPr>
          <w:t>40</w:t>
        </w:r>
        <w:r w:rsidRPr="00F16FC9">
          <w:rPr>
            <w:rStyle w:val="Hyperlink"/>
            <w:rFonts w:ascii="FrankRuehl" w:hAnsi="FrankRuehl" w:cs="FrankRuehl"/>
            <w:rtl/>
          </w:rPr>
          <w:t>ג(א)</w:t>
        </w:r>
      </w:hyperlink>
      <w:r w:rsidRPr="00F16FC9">
        <w:rPr>
          <w:rFonts w:ascii="FrankRuehl" w:hAnsi="FrankRuehl" w:cs="FrankRuehl"/>
          <w:color w:val="0000FF"/>
          <w:u w:val="single"/>
          <w:rtl/>
        </w:rPr>
        <w:t xml:space="preserve">, </w:t>
      </w:r>
      <w:hyperlink r:id="rId10" w:history="1">
        <w:r w:rsidRPr="00F16FC9">
          <w:rPr>
            <w:rStyle w:val="Hyperlink"/>
            <w:rFonts w:ascii="FrankRuehl" w:hAnsi="FrankRuehl" w:cs="FrankRuehl"/>
          </w:rPr>
          <w:t xml:space="preserve">40 </w:t>
        </w:r>
        <w:r w:rsidRPr="00F16FC9">
          <w:rPr>
            <w:rStyle w:val="Hyperlink"/>
            <w:rFonts w:ascii="FrankRuehl" w:hAnsi="FrankRuehl" w:cs="FrankRuehl"/>
            <w:rtl/>
          </w:rPr>
          <w:t>ו</w:t>
        </w:r>
      </w:hyperlink>
      <w:r w:rsidRPr="00F16FC9">
        <w:rPr>
          <w:rFonts w:ascii="FrankRuehl" w:hAnsi="FrankRuehl" w:cs="FrankRuehl"/>
          <w:color w:val="0000FF"/>
          <w:u w:val="single"/>
          <w:rtl/>
        </w:rPr>
        <w:t xml:space="preserve">, </w:t>
      </w:r>
      <w:hyperlink r:id="rId11" w:history="1">
        <w:r w:rsidRPr="00F16FC9">
          <w:rPr>
            <w:rStyle w:val="Hyperlink"/>
            <w:rFonts w:ascii="FrankRuehl" w:hAnsi="FrankRuehl" w:cs="FrankRuehl"/>
          </w:rPr>
          <w:t>40</w:t>
        </w:r>
        <w:r w:rsidRPr="00F16FC9">
          <w:rPr>
            <w:rStyle w:val="Hyperlink"/>
            <w:rFonts w:ascii="FrankRuehl" w:hAnsi="FrankRuehl" w:cs="FrankRuehl"/>
            <w:rtl/>
          </w:rPr>
          <w:t>ט</w:t>
        </w:r>
      </w:hyperlink>
      <w:r w:rsidRPr="00F16FC9">
        <w:rPr>
          <w:rFonts w:ascii="FrankRuehl" w:hAnsi="FrankRuehl" w:cs="FrankRuehl"/>
          <w:color w:val="0000FF"/>
          <w:u w:val="single"/>
          <w:rtl/>
        </w:rPr>
        <w:t xml:space="preserve">, </w:t>
      </w:r>
      <w:hyperlink r:id="rId12" w:history="1">
        <w:r w:rsidRPr="00F16FC9">
          <w:rPr>
            <w:rStyle w:val="Hyperlink"/>
            <w:rFonts w:ascii="FrankRuehl" w:hAnsi="FrankRuehl" w:cs="FrankRuehl"/>
          </w:rPr>
          <w:t>144(</w:t>
        </w:r>
        <w:r w:rsidRPr="00F16FC9">
          <w:rPr>
            <w:rStyle w:val="Hyperlink"/>
            <w:rFonts w:ascii="FrankRuehl" w:hAnsi="FrankRuehl" w:cs="FrankRuehl"/>
            <w:rtl/>
          </w:rPr>
          <w:t>ב</w:t>
        </w:r>
        <w:r w:rsidRPr="00F16FC9">
          <w:rPr>
            <w:rStyle w:val="Hyperlink"/>
            <w:rFonts w:ascii="FrankRuehl" w:hAnsi="FrankRuehl" w:cs="FrankRuehl"/>
          </w:rPr>
          <w:t>)</w:t>
        </w:r>
      </w:hyperlink>
      <w:r w:rsidRPr="00F16FC9">
        <w:rPr>
          <w:rFonts w:ascii="FrankRuehl" w:hAnsi="FrankRuehl" w:cs="FrankRuehl"/>
          <w:color w:val="0000FF"/>
          <w:u w:val="single"/>
          <w:rtl/>
        </w:rPr>
        <w:t xml:space="preserve">, </w:t>
      </w:r>
      <w:hyperlink r:id="rId13" w:history="1">
        <w:r w:rsidRPr="00F16FC9">
          <w:rPr>
            <w:rStyle w:val="Hyperlink"/>
            <w:rFonts w:ascii="FrankRuehl" w:hAnsi="FrankRuehl" w:cs="FrankRuehl"/>
          </w:rPr>
          <w:t>192</w:t>
        </w:r>
      </w:hyperlink>
      <w:r w:rsidRPr="00F16FC9">
        <w:rPr>
          <w:rFonts w:ascii="FrankRuehl" w:hAnsi="FrankRuehl" w:cs="FrankRuehl"/>
          <w:color w:val="0000FF"/>
          <w:u w:val="single"/>
          <w:rtl/>
        </w:rPr>
        <w:t xml:space="preserve">, </w:t>
      </w:r>
      <w:hyperlink r:id="rId14" w:history="1">
        <w:r w:rsidRPr="00F16FC9">
          <w:rPr>
            <w:rStyle w:val="Hyperlink"/>
            <w:rFonts w:ascii="FrankRuehl" w:hAnsi="FrankRuehl" w:cs="FrankRuehl"/>
          </w:rPr>
          <w:t>340</w:t>
        </w:r>
        <w:r w:rsidRPr="00F16FC9">
          <w:rPr>
            <w:rStyle w:val="Hyperlink"/>
            <w:rFonts w:ascii="FrankRuehl" w:hAnsi="FrankRuehl" w:cs="FrankRuehl"/>
            <w:rtl/>
          </w:rPr>
          <w:t>א</w:t>
        </w:r>
      </w:hyperlink>
      <w:r w:rsidRPr="00F16FC9">
        <w:rPr>
          <w:rFonts w:ascii="FrankRuehl" w:hAnsi="FrankRuehl" w:cs="FrankRuehl"/>
          <w:color w:val="0000FF"/>
          <w:u w:val="single"/>
          <w:rtl/>
        </w:rPr>
        <w:t xml:space="preserve">, </w:t>
      </w:r>
      <w:hyperlink r:id="rId15" w:history="1">
        <w:r w:rsidRPr="00F16FC9">
          <w:rPr>
            <w:rStyle w:val="Hyperlink"/>
            <w:rFonts w:ascii="FrankRuehl" w:hAnsi="FrankRuehl" w:cs="FrankRuehl"/>
          </w:rPr>
          <w:t>40</w:t>
        </w:r>
        <w:r w:rsidRPr="00F16FC9">
          <w:rPr>
            <w:rStyle w:val="Hyperlink"/>
            <w:rFonts w:ascii="FrankRuehl" w:hAnsi="FrankRuehl" w:cs="FrankRuehl"/>
            <w:rtl/>
          </w:rPr>
          <w:t>יא</w:t>
        </w:r>
      </w:hyperlink>
      <w:r w:rsidRPr="00F16FC9">
        <w:rPr>
          <w:rFonts w:ascii="FrankRuehl" w:hAnsi="FrankRuehl" w:cs="FrankRuehl"/>
          <w:color w:val="0000FF"/>
          <w:u w:val="single"/>
          <w:rtl/>
        </w:rPr>
        <w:t xml:space="preserve">, </w:t>
      </w:r>
      <w:hyperlink r:id="rId16" w:history="1">
        <w:r w:rsidRPr="00F16FC9">
          <w:rPr>
            <w:rStyle w:val="Hyperlink"/>
            <w:rFonts w:ascii="FrankRuehl" w:hAnsi="FrankRuehl" w:cs="FrankRuehl"/>
          </w:rPr>
          <w:t>40</w:t>
        </w:r>
        <w:r w:rsidRPr="00F16FC9">
          <w:rPr>
            <w:rStyle w:val="Hyperlink"/>
            <w:rFonts w:ascii="FrankRuehl" w:hAnsi="FrankRuehl" w:cs="FrankRuehl"/>
            <w:rtl/>
          </w:rPr>
          <w:t>יב</w:t>
        </w:r>
      </w:hyperlink>
      <w:r w:rsidRPr="00F16FC9">
        <w:rPr>
          <w:rFonts w:ascii="FrankRuehl" w:hAnsi="FrankRuehl" w:cs="FrankRuehl"/>
          <w:color w:val="0000FF"/>
          <w:u w:val="single"/>
          <w:rtl/>
        </w:rPr>
        <w:t xml:space="preserve">, </w:t>
      </w:r>
      <w:hyperlink r:id="rId17" w:history="1">
        <w:r w:rsidRPr="00F16FC9">
          <w:rPr>
            <w:rStyle w:val="Hyperlink"/>
            <w:rFonts w:ascii="FrankRuehl" w:hAnsi="FrankRuehl" w:cs="FrankRuehl"/>
          </w:rPr>
          <w:t>499</w:t>
        </w:r>
        <w:r w:rsidRPr="00F16FC9">
          <w:rPr>
            <w:rStyle w:val="Hyperlink"/>
            <w:rFonts w:ascii="FrankRuehl" w:hAnsi="FrankRuehl" w:cs="FrankRuehl"/>
            <w:rtl/>
          </w:rPr>
          <w:t>(א)</w:t>
        </w:r>
        <w:r w:rsidRPr="00F16FC9">
          <w:rPr>
            <w:rStyle w:val="Hyperlink"/>
            <w:rFonts w:ascii="FrankRuehl" w:hAnsi="FrankRuehl" w:cs="FrankRuehl"/>
          </w:rPr>
          <w:t>(1)</w:t>
        </w:r>
      </w:hyperlink>
    </w:p>
    <w:p w14:paraId="54E9A08C" w14:textId="77777777" w:rsidR="00F16FC9" w:rsidRPr="00F16FC9" w:rsidRDefault="00F16FC9" w:rsidP="00F16FC9">
      <w:pPr>
        <w:spacing w:after="120" w:line="240" w:lineRule="exact"/>
        <w:ind w:left="283" w:hanging="283"/>
        <w:jc w:val="both"/>
        <w:rPr>
          <w:rFonts w:ascii="FrankRuehl" w:hAnsi="FrankRuehl" w:cs="FrankRuehl"/>
          <w:color w:val="0000FF"/>
          <w:u w:val="single"/>
          <w:rtl/>
        </w:rPr>
      </w:pPr>
      <w:hyperlink r:id="rId18" w:history="1">
        <w:r w:rsidRPr="00F16FC9">
          <w:rPr>
            <w:rStyle w:val="Hyperlink"/>
            <w:rFonts w:ascii="FrankRuehl" w:hAnsi="FrankRuehl" w:cs="FrankRuehl"/>
            <w:rtl/>
          </w:rPr>
          <w:t>חוק הממשלה, תשס"א-2001</w:t>
        </w:r>
      </w:hyperlink>
    </w:p>
    <w:p w14:paraId="21C0F573" w14:textId="77777777" w:rsidR="00F16FC9" w:rsidRPr="00F16FC9" w:rsidRDefault="00F16FC9" w:rsidP="00F16FC9">
      <w:pPr>
        <w:spacing w:after="120" w:line="240" w:lineRule="exact"/>
        <w:ind w:left="283" w:hanging="283"/>
        <w:jc w:val="both"/>
        <w:rPr>
          <w:rFonts w:ascii="FrankRuehl" w:hAnsi="FrankRuehl" w:cs="FrankRuehl"/>
          <w:color w:val="0000FF"/>
          <w:u w:val="single"/>
          <w:rtl/>
        </w:rPr>
      </w:pPr>
      <w:hyperlink r:id="rId19" w:history="1">
        <w:r w:rsidRPr="00F16FC9">
          <w:rPr>
            <w:rStyle w:val="Hyperlink"/>
            <w:rFonts w:ascii="FrankRuehl" w:hAnsi="FrankRuehl" w:cs="FrankRuehl"/>
            <w:rtl/>
          </w:rPr>
          <w:t>חוק-יסוד: כבוד האדם וחירותו</w:t>
        </w:r>
      </w:hyperlink>
    </w:p>
    <w:p w14:paraId="02950769" w14:textId="77777777" w:rsidR="00F16FC9" w:rsidRPr="00F16FC9" w:rsidRDefault="00F16FC9" w:rsidP="00F16FC9">
      <w:pPr>
        <w:spacing w:after="120" w:line="240" w:lineRule="exact"/>
        <w:ind w:left="283" w:hanging="283"/>
        <w:jc w:val="both"/>
        <w:rPr>
          <w:rFonts w:ascii="FrankRuehl" w:hAnsi="FrankRuehl" w:cs="FrankRuehl"/>
          <w:color w:val="0000FF"/>
          <w:u w:val="single"/>
          <w:rtl/>
        </w:rPr>
      </w:pPr>
      <w:hyperlink r:id="rId20" w:history="1">
        <w:r w:rsidRPr="00F16FC9">
          <w:rPr>
            <w:rStyle w:val="Hyperlink"/>
            <w:rFonts w:ascii="FrankRuehl" w:hAnsi="FrankRuehl" w:cs="FrankRuehl"/>
            <w:rtl/>
          </w:rPr>
          <w:t>חוק המרשם הפלילי ותקנת השבים, תשמ"א-1981</w:t>
        </w:r>
      </w:hyperlink>
      <w:r w:rsidRPr="00F16FC9">
        <w:rPr>
          <w:rFonts w:ascii="FrankRuehl" w:hAnsi="FrankRuehl" w:cs="FrankRuehl"/>
          <w:color w:val="0000FF"/>
          <w:u w:val="single"/>
          <w:rtl/>
        </w:rPr>
        <w:t xml:space="preserve">: סע'  </w:t>
      </w:r>
      <w:hyperlink r:id="rId21" w:history="1">
        <w:r w:rsidRPr="00F16FC9">
          <w:rPr>
            <w:rStyle w:val="Hyperlink"/>
            <w:rFonts w:ascii="FrankRuehl" w:hAnsi="FrankRuehl" w:cs="FrankRuehl"/>
          </w:rPr>
          <w:t>16 (</w:t>
        </w:r>
        <w:r w:rsidRPr="00F16FC9">
          <w:rPr>
            <w:rStyle w:val="Hyperlink"/>
            <w:rFonts w:ascii="FrankRuehl" w:hAnsi="FrankRuehl" w:cs="FrankRuehl"/>
            <w:rtl/>
          </w:rPr>
          <w:t>ב1</w:t>
        </w:r>
        <w:r w:rsidRPr="00F16FC9">
          <w:rPr>
            <w:rStyle w:val="Hyperlink"/>
            <w:rFonts w:ascii="FrankRuehl" w:hAnsi="FrankRuehl" w:cs="FrankRuehl"/>
          </w:rPr>
          <w:t>)</w:t>
        </w:r>
      </w:hyperlink>
    </w:p>
    <w:p w14:paraId="2A49F753" w14:textId="77777777" w:rsidR="00F16FC9" w:rsidRPr="00F16FC9" w:rsidRDefault="00F16FC9" w:rsidP="00F16FC9">
      <w:pPr>
        <w:spacing w:after="120" w:line="240" w:lineRule="exact"/>
        <w:ind w:left="283" w:hanging="283"/>
        <w:jc w:val="both"/>
        <w:rPr>
          <w:rFonts w:ascii="FrankRuehl" w:hAnsi="FrankRuehl" w:cs="FrankRuehl"/>
          <w:rtl/>
        </w:rPr>
      </w:pPr>
    </w:p>
    <w:p w14:paraId="72A1FD20" w14:textId="77777777" w:rsidR="00F16FC9" w:rsidRPr="00F16FC9" w:rsidRDefault="00F16FC9">
      <w:pPr>
        <w:rPr>
          <w:rFonts w:ascii="Arial" w:hAnsi="Arial"/>
          <w:rtl/>
        </w:rPr>
      </w:pPr>
      <w:bookmarkStart w:id="5" w:name="LawTable_End"/>
      <w:bookmarkEnd w:id="5"/>
    </w:p>
    <w:p w14:paraId="4B789A87" w14:textId="77777777" w:rsidR="00F16FC9" w:rsidRPr="00F16FC9" w:rsidRDefault="00F16FC9">
      <w:pPr>
        <w:rPr>
          <w:rFonts w:ascii="Arial" w:hAnsi="Arial"/>
          <w:rtl/>
        </w:rPr>
      </w:pPr>
    </w:p>
    <w:p w14:paraId="6CCD0814" w14:textId="77777777" w:rsidR="00D633E8" w:rsidRPr="00F16FC9" w:rsidRDefault="00D633E8">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3E0E" w14:paraId="1C9FB101" w14:textId="77777777">
        <w:trPr>
          <w:trHeight w:val="355"/>
          <w:jc w:val="center"/>
        </w:trPr>
        <w:tc>
          <w:tcPr>
            <w:tcW w:w="8820" w:type="dxa"/>
            <w:tcBorders>
              <w:top w:val="nil"/>
              <w:left w:val="nil"/>
              <w:bottom w:val="nil"/>
              <w:right w:val="nil"/>
            </w:tcBorders>
          </w:tcPr>
          <w:p w14:paraId="10BBDBB5" w14:textId="77777777" w:rsidR="00D633E8" w:rsidRPr="00D633E8" w:rsidRDefault="00D633E8" w:rsidP="00D633E8">
            <w:pPr>
              <w:jc w:val="center"/>
              <w:rPr>
                <w:rFonts w:ascii="Arial" w:hAnsi="Arial"/>
                <w:b/>
                <w:bCs/>
                <w:sz w:val="32"/>
                <w:szCs w:val="32"/>
                <w:u w:val="single"/>
                <w:rtl/>
              </w:rPr>
            </w:pPr>
            <w:bookmarkStart w:id="6" w:name="PsakDin" w:colFirst="0" w:colLast="0"/>
            <w:bookmarkEnd w:id="0"/>
            <w:r w:rsidRPr="00D633E8">
              <w:rPr>
                <w:rFonts w:ascii="Arial" w:hAnsi="Arial"/>
                <w:b/>
                <w:bCs/>
                <w:sz w:val="32"/>
                <w:szCs w:val="32"/>
                <w:u w:val="single"/>
                <w:rtl/>
              </w:rPr>
              <w:t>גזר דין</w:t>
            </w:r>
          </w:p>
          <w:p w14:paraId="11E86CB9" w14:textId="77777777" w:rsidR="00D43E0E" w:rsidRPr="00D633E8" w:rsidRDefault="00D43E0E" w:rsidP="00D633E8">
            <w:pPr>
              <w:jc w:val="center"/>
              <w:rPr>
                <w:rFonts w:ascii="Arial" w:hAnsi="Arial"/>
                <w:bCs/>
                <w:sz w:val="32"/>
                <w:szCs w:val="32"/>
                <w:u w:val="single"/>
                <w:rtl/>
              </w:rPr>
            </w:pPr>
          </w:p>
        </w:tc>
      </w:tr>
      <w:bookmarkEnd w:id="6"/>
    </w:tbl>
    <w:p w14:paraId="355624E4" w14:textId="77777777" w:rsidR="00D43E0E" w:rsidRDefault="00D43E0E">
      <w:pPr>
        <w:rPr>
          <w:rFonts w:ascii="Arial" w:hAnsi="Arial"/>
          <w:rtl/>
        </w:rPr>
      </w:pPr>
    </w:p>
    <w:p w14:paraId="44D21B24" w14:textId="77777777" w:rsidR="00D43E0E" w:rsidRDefault="00D43E0E">
      <w:pPr>
        <w:jc w:val="center"/>
        <w:rPr>
          <w:sz w:val="18"/>
          <w:szCs w:val="18"/>
          <w:rtl/>
        </w:rPr>
      </w:pPr>
    </w:p>
    <w:p w14:paraId="4B680586" w14:textId="77777777" w:rsidR="00D43E0E" w:rsidRDefault="00D43E0E">
      <w:pPr>
        <w:jc w:val="both"/>
        <w:rPr>
          <w:sz w:val="16"/>
          <w:szCs w:val="16"/>
          <w:rtl/>
        </w:rPr>
      </w:pPr>
    </w:p>
    <w:p w14:paraId="70A8D086" w14:textId="77777777" w:rsidR="00D43E0E" w:rsidRDefault="00D633E8">
      <w:pPr>
        <w:spacing w:line="360" w:lineRule="auto"/>
        <w:ind w:left="720" w:hanging="720"/>
        <w:jc w:val="both"/>
        <w:rPr>
          <w:rtl/>
        </w:rPr>
      </w:pPr>
      <w:r>
        <w:rPr>
          <w:b/>
          <w:bCs/>
          <w:rtl/>
        </w:rPr>
        <w:t>1</w:t>
      </w:r>
      <w:r>
        <w:rPr>
          <w:rtl/>
        </w:rPr>
        <w:t>.</w:t>
      </w:r>
      <w:r>
        <w:rPr>
          <w:rtl/>
        </w:rPr>
        <w:tab/>
      </w:r>
      <w:bookmarkStart w:id="7" w:name="ABSTRACT_START"/>
      <w:bookmarkEnd w:id="7"/>
      <w:r>
        <w:rPr>
          <w:rtl/>
        </w:rPr>
        <w:t xml:space="preserve">הנאשם, יליד 84', הודה בעבודות כתב אישום אשר תוקן במסגרת הסדר טיעון, בעבירות כדלהלן: </w:t>
      </w:r>
    </w:p>
    <w:p w14:paraId="1754A5A2" w14:textId="77777777" w:rsidR="00D43E0E" w:rsidRDefault="00D633E8">
      <w:pPr>
        <w:spacing w:line="360" w:lineRule="auto"/>
        <w:ind w:left="720"/>
        <w:jc w:val="both"/>
        <w:rPr>
          <w:rtl/>
        </w:rPr>
      </w:pPr>
      <w:r>
        <w:rPr>
          <w:rtl/>
        </w:rPr>
        <w:t xml:space="preserve">נשיאת נשק והובלתו - עבירה לפי </w:t>
      </w:r>
      <w:hyperlink r:id="rId22" w:history="1">
        <w:r w:rsidR="000A7739" w:rsidRPr="000A7739">
          <w:rPr>
            <w:rStyle w:val="Hyperlink"/>
            <w:rtl/>
          </w:rPr>
          <w:t>סעיפים 144(ב)</w:t>
        </w:r>
      </w:hyperlink>
      <w:r>
        <w:rPr>
          <w:rtl/>
        </w:rPr>
        <w:t xml:space="preserve"> רישא ו- 29 ל</w:t>
      </w:r>
      <w:hyperlink r:id="rId23" w:history="1">
        <w:r w:rsidR="000B6859" w:rsidRPr="000B6859">
          <w:rPr>
            <w:rStyle w:val="Hyperlink"/>
            <w:rtl/>
          </w:rPr>
          <w:t>חוק העונשין</w:t>
        </w:r>
      </w:hyperlink>
      <w:r>
        <w:rPr>
          <w:rtl/>
        </w:rPr>
        <w:t xml:space="preserve">, התשל"ז-1977 (להלן: חוק העונשין); ירי באזור מגורים - עבירה לפי </w:t>
      </w:r>
      <w:hyperlink r:id="rId24" w:history="1">
        <w:r w:rsidR="000A7739" w:rsidRPr="000A7739">
          <w:rPr>
            <w:rStyle w:val="Hyperlink"/>
            <w:rtl/>
          </w:rPr>
          <w:t>סעיפים 340א</w:t>
        </w:r>
      </w:hyperlink>
      <w:r>
        <w:rPr>
          <w:rtl/>
        </w:rPr>
        <w:t xml:space="preserve"> ו- </w:t>
      </w:r>
      <w:hyperlink r:id="rId25" w:history="1">
        <w:r w:rsidR="000A7739" w:rsidRPr="000A7739">
          <w:rPr>
            <w:rStyle w:val="Hyperlink"/>
            <w:rtl/>
          </w:rPr>
          <w:t>29</w:t>
        </w:r>
      </w:hyperlink>
      <w:r>
        <w:rPr>
          <w:rtl/>
        </w:rPr>
        <w:t xml:space="preserve"> לחוק העונשין; איומים - עבירה לפי </w:t>
      </w:r>
      <w:hyperlink r:id="rId26" w:history="1">
        <w:r w:rsidR="000A7739" w:rsidRPr="000A7739">
          <w:rPr>
            <w:rStyle w:val="Hyperlink"/>
            <w:rtl/>
          </w:rPr>
          <w:t>סעיפים 192</w:t>
        </w:r>
      </w:hyperlink>
      <w:r>
        <w:rPr>
          <w:rtl/>
        </w:rPr>
        <w:t xml:space="preserve"> ו- </w:t>
      </w:r>
      <w:hyperlink r:id="rId27" w:history="1">
        <w:r w:rsidR="000A7739" w:rsidRPr="000A7739">
          <w:rPr>
            <w:rStyle w:val="Hyperlink"/>
            <w:rtl/>
          </w:rPr>
          <w:t>29</w:t>
        </w:r>
      </w:hyperlink>
      <w:r>
        <w:rPr>
          <w:rtl/>
        </w:rPr>
        <w:t xml:space="preserve"> לחוק העונשין, וקשר לפשע (נשיאת נשק) - עבירה לפי </w:t>
      </w:r>
      <w:hyperlink r:id="rId28" w:history="1">
        <w:r w:rsidR="000A7739" w:rsidRPr="000A7739">
          <w:rPr>
            <w:rStyle w:val="Hyperlink"/>
            <w:rtl/>
          </w:rPr>
          <w:t>סעיפים 499(א)(1)</w:t>
        </w:r>
      </w:hyperlink>
      <w:r>
        <w:rPr>
          <w:rtl/>
        </w:rPr>
        <w:t xml:space="preserve"> ו- </w:t>
      </w:r>
      <w:hyperlink r:id="rId29" w:history="1">
        <w:r w:rsidR="000A7739" w:rsidRPr="000A7739">
          <w:rPr>
            <w:rStyle w:val="Hyperlink"/>
            <w:rtl/>
          </w:rPr>
          <w:t>29</w:t>
        </w:r>
      </w:hyperlink>
      <w:r>
        <w:rPr>
          <w:rtl/>
        </w:rPr>
        <w:t xml:space="preserve"> לחוק העונשין</w:t>
      </w:r>
      <w:bookmarkStart w:id="8" w:name="ABSTRACT_END"/>
      <w:bookmarkEnd w:id="8"/>
      <w:r>
        <w:rPr>
          <w:rtl/>
        </w:rPr>
        <w:t xml:space="preserve">. </w:t>
      </w:r>
    </w:p>
    <w:p w14:paraId="2563028F" w14:textId="77777777" w:rsidR="00D43E0E" w:rsidRDefault="00D43E0E">
      <w:pPr>
        <w:spacing w:line="360" w:lineRule="auto"/>
        <w:jc w:val="both"/>
        <w:rPr>
          <w:rtl/>
        </w:rPr>
      </w:pPr>
    </w:p>
    <w:p w14:paraId="6265DF18" w14:textId="77777777" w:rsidR="00D43E0E" w:rsidRDefault="00D633E8">
      <w:pPr>
        <w:spacing w:line="360" w:lineRule="auto"/>
        <w:jc w:val="both"/>
        <w:rPr>
          <w:rtl/>
        </w:rPr>
      </w:pPr>
      <w:r>
        <w:rPr>
          <w:b/>
          <w:bCs/>
          <w:rtl/>
        </w:rPr>
        <w:t>2</w:t>
      </w:r>
      <w:r>
        <w:rPr>
          <w:rtl/>
        </w:rPr>
        <w:t>.</w:t>
      </w:r>
      <w:r>
        <w:rPr>
          <w:rtl/>
        </w:rPr>
        <w:tab/>
      </w:r>
      <w:r>
        <w:rPr>
          <w:b/>
          <w:bCs/>
          <w:u w:val="single"/>
          <w:rtl/>
        </w:rPr>
        <w:t xml:space="preserve">עובדות כתב האישום המתוקן בתמצית. </w:t>
      </w:r>
    </w:p>
    <w:p w14:paraId="792C8FEE" w14:textId="77777777" w:rsidR="00D43E0E" w:rsidRDefault="00D633E8">
      <w:pPr>
        <w:spacing w:line="360" w:lineRule="auto"/>
        <w:ind w:left="720"/>
        <w:jc w:val="both"/>
        <w:rPr>
          <w:rtl/>
        </w:rPr>
      </w:pPr>
      <w:r>
        <w:rPr>
          <w:b/>
          <w:bCs/>
          <w:rtl/>
        </w:rPr>
        <w:lastRenderedPageBreak/>
        <w:t>א</w:t>
      </w:r>
      <w:r>
        <w:rPr>
          <w:rtl/>
        </w:rPr>
        <w:t xml:space="preserve">. ביום 28/7/12 קשרו הנאשם ומוחמד ג'בארין (להלן: ג'בארין) קשר, על רקע סכסוך בין משפחת הנאשם לבין משפחת אבו יונס, להגיע אל חצר ביתו של רדואן אבו יונס בסחנין (להלן: המתלונן והבית בהתאמה), ולבצע ירי מאקדח, בכוונה להפחיד או להקניט את המתלונן ו/או משפחתו. </w:t>
      </w:r>
    </w:p>
    <w:p w14:paraId="3D9A9319" w14:textId="77777777" w:rsidR="00D43E0E" w:rsidRDefault="00D43E0E">
      <w:pPr>
        <w:spacing w:line="360" w:lineRule="auto"/>
        <w:ind w:left="720"/>
        <w:jc w:val="both"/>
        <w:rPr>
          <w:rtl/>
        </w:rPr>
      </w:pPr>
    </w:p>
    <w:p w14:paraId="6E0A06D0" w14:textId="77777777" w:rsidR="00D43E0E" w:rsidRDefault="00D633E8">
      <w:pPr>
        <w:spacing w:line="360" w:lineRule="auto"/>
        <w:ind w:left="720"/>
        <w:jc w:val="both"/>
        <w:rPr>
          <w:rtl/>
        </w:rPr>
      </w:pPr>
      <w:r>
        <w:rPr>
          <w:b/>
          <w:bCs/>
          <w:rtl/>
        </w:rPr>
        <w:t>ב</w:t>
      </w:r>
      <w:r>
        <w:rPr>
          <w:rtl/>
        </w:rPr>
        <w:t>. בהמשך לקשר ולצורך קידומו הצטיידו הנאשם וג'בארין באקדח שסוגל לירות כדור אשר בכוחו להמית אדם ובתחמושת (להלן: הנשק), וביום 28/7/12 בשעה 19:45 או בסמוך לכך, הגיעו השניים עם הנשק אל חצר ביתו של המתלונן ברכב טנדר מסוג מיצובישי (להלן: הטנדר), כאשר הנאשם נוהג וג'בארין יושב לידו.</w:t>
      </w:r>
    </w:p>
    <w:p w14:paraId="11B44683" w14:textId="77777777" w:rsidR="00D43E0E" w:rsidRDefault="00D43E0E">
      <w:pPr>
        <w:spacing w:line="360" w:lineRule="auto"/>
        <w:ind w:left="720"/>
        <w:jc w:val="both"/>
        <w:rPr>
          <w:rtl/>
        </w:rPr>
      </w:pPr>
    </w:p>
    <w:p w14:paraId="4C01C743" w14:textId="77777777" w:rsidR="00D43E0E" w:rsidRDefault="00D633E8">
      <w:pPr>
        <w:spacing w:line="360" w:lineRule="auto"/>
        <w:ind w:left="720"/>
        <w:jc w:val="both"/>
        <w:rPr>
          <w:rtl/>
        </w:rPr>
      </w:pPr>
      <w:r>
        <w:rPr>
          <w:b/>
          <w:bCs/>
          <w:rtl/>
        </w:rPr>
        <w:t>ג</w:t>
      </w:r>
      <w:r>
        <w:rPr>
          <w:rtl/>
        </w:rPr>
        <w:t xml:space="preserve">. הנאשם וג'בארין נכנסו בנסיעה אל חצר הבית, כשאותה עת ישבו המתלונן ובני משפחתו במרפסת ביתם בקומת הקרקע, וג'בארין ירה מספר יריות לעבר הבית מבעד לחלון הטנדר בכוונה להפחיד או להקניט את המתלוננים. כתוצאה מהירי, פגעו מספר קליעים בקירות הבית ובחלון וגרמו לנזק. </w:t>
      </w:r>
    </w:p>
    <w:p w14:paraId="7B462D9A" w14:textId="77777777" w:rsidR="00D43E0E" w:rsidRDefault="00D43E0E">
      <w:pPr>
        <w:spacing w:line="360" w:lineRule="auto"/>
        <w:ind w:left="720"/>
        <w:jc w:val="both"/>
        <w:rPr>
          <w:rtl/>
        </w:rPr>
      </w:pPr>
    </w:p>
    <w:p w14:paraId="4E506C19" w14:textId="77777777" w:rsidR="00D43E0E" w:rsidRDefault="00D633E8">
      <w:pPr>
        <w:spacing w:line="360" w:lineRule="auto"/>
        <w:ind w:left="720"/>
        <w:jc w:val="both"/>
        <w:rPr>
          <w:rtl/>
        </w:rPr>
      </w:pPr>
      <w:r>
        <w:rPr>
          <w:rtl/>
        </w:rPr>
        <w:t xml:space="preserve">במעשיו כמתואר לעיל, קשר הנאשם קשר עם ג'בארין לביצוע פשע; נשא והוביל נשק בלא רשות על פי דין לנשיאתו או להובלתו; ירה מנשק חם באזור מגורים ללא הסבר סביר, ואיים שלא כדין, לפגוע במתלונן ו/או במשפחתו, בכוונה להפחידם או להקניטם, כל זאת בצוותא חדא עם ג'בארין. </w:t>
      </w:r>
    </w:p>
    <w:p w14:paraId="7E4FDE5C" w14:textId="77777777" w:rsidR="00D43E0E" w:rsidRDefault="00D43E0E">
      <w:pPr>
        <w:spacing w:line="360" w:lineRule="auto"/>
        <w:ind w:left="720"/>
        <w:jc w:val="both"/>
        <w:rPr>
          <w:rtl/>
        </w:rPr>
      </w:pPr>
    </w:p>
    <w:p w14:paraId="5912631C" w14:textId="77777777" w:rsidR="00D43E0E" w:rsidRDefault="00D633E8">
      <w:pPr>
        <w:spacing w:line="360" w:lineRule="auto"/>
        <w:jc w:val="both"/>
        <w:rPr>
          <w:b/>
          <w:bCs/>
          <w:u w:val="single"/>
          <w:rtl/>
        </w:rPr>
      </w:pPr>
      <w:r>
        <w:rPr>
          <w:b/>
          <w:bCs/>
          <w:rtl/>
        </w:rPr>
        <w:t>3.</w:t>
      </w:r>
      <w:r>
        <w:rPr>
          <w:b/>
          <w:bCs/>
          <w:rtl/>
        </w:rPr>
        <w:tab/>
      </w:r>
      <w:r>
        <w:rPr>
          <w:b/>
          <w:bCs/>
          <w:u w:val="single"/>
          <w:rtl/>
        </w:rPr>
        <w:t xml:space="preserve">ראיות לעונש. </w:t>
      </w:r>
    </w:p>
    <w:p w14:paraId="31711465" w14:textId="77777777" w:rsidR="00D43E0E" w:rsidRDefault="00D633E8">
      <w:pPr>
        <w:spacing w:line="360" w:lineRule="auto"/>
        <w:ind w:left="720"/>
        <w:jc w:val="both"/>
        <w:rPr>
          <w:highlight w:val="cyan"/>
          <w:rtl/>
        </w:rPr>
      </w:pPr>
      <w:r>
        <w:rPr>
          <w:b/>
          <w:bCs/>
          <w:rtl/>
        </w:rPr>
        <w:t xml:space="preserve">א. </w:t>
      </w:r>
      <w:r>
        <w:rPr>
          <w:rtl/>
        </w:rPr>
        <w:t>לנאשם הרשעה קודמת בעבירת איומים מיום 3/2/05, בגינה נידון ל- 60 ימי מאסר לריצוי בעבודות שירות, ולמאסר על תנאי. העבירה בוצעה בשנת 03'.</w:t>
      </w:r>
    </w:p>
    <w:p w14:paraId="5A283DC2" w14:textId="77777777" w:rsidR="00D43E0E" w:rsidRDefault="00D43E0E">
      <w:pPr>
        <w:spacing w:line="360" w:lineRule="auto"/>
        <w:ind w:left="720"/>
        <w:jc w:val="both"/>
        <w:rPr>
          <w:b/>
          <w:bCs/>
          <w:rtl/>
        </w:rPr>
      </w:pPr>
    </w:p>
    <w:p w14:paraId="54D617DD" w14:textId="77777777" w:rsidR="00D43E0E" w:rsidRDefault="00D633E8">
      <w:pPr>
        <w:spacing w:line="360" w:lineRule="auto"/>
        <w:ind w:firstLine="720"/>
        <w:jc w:val="both"/>
        <w:rPr>
          <w:b/>
          <w:bCs/>
          <w:rtl/>
        </w:rPr>
      </w:pPr>
      <w:r>
        <w:rPr>
          <w:b/>
          <w:bCs/>
          <w:rtl/>
        </w:rPr>
        <w:t xml:space="preserve">ב. </w:t>
      </w:r>
      <w:r>
        <w:rPr>
          <w:b/>
          <w:bCs/>
          <w:u w:val="single"/>
          <w:rtl/>
        </w:rPr>
        <w:t>תסקיר שירות המבחן</w:t>
      </w:r>
      <w:r>
        <w:rPr>
          <w:b/>
          <w:bCs/>
          <w:rtl/>
        </w:rPr>
        <w:t>.</w:t>
      </w:r>
    </w:p>
    <w:p w14:paraId="345E51B4" w14:textId="77777777" w:rsidR="00D43E0E" w:rsidRDefault="00D633E8">
      <w:pPr>
        <w:spacing w:line="360" w:lineRule="auto"/>
        <w:ind w:left="720"/>
        <w:jc w:val="both"/>
        <w:rPr>
          <w:rtl/>
        </w:rPr>
      </w:pPr>
      <w:r>
        <w:rPr>
          <w:rtl/>
        </w:rPr>
        <w:t xml:space="preserve">שירות המבחן המליץ להטיל על הנאשם מאסר שירוצה בעבודות שירות, מאסר מותנה מרתיע וכן צו מבחן למשך שנה וחצי, במהלכו ישולב בטיפול במסגרת השירות והתחייבות. </w:t>
      </w:r>
    </w:p>
    <w:p w14:paraId="217126C2" w14:textId="77777777" w:rsidR="00D43E0E" w:rsidRDefault="00D43E0E">
      <w:pPr>
        <w:ind w:left="720"/>
        <w:jc w:val="both"/>
        <w:rPr>
          <w:rtl/>
        </w:rPr>
      </w:pPr>
    </w:p>
    <w:p w14:paraId="0CE89514" w14:textId="77777777" w:rsidR="00D43E0E" w:rsidRDefault="00D633E8">
      <w:pPr>
        <w:spacing w:line="360" w:lineRule="auto"/>
        <w:ind w:left="720"/>
        <w:jc w:val="both"/>
        <w:rPr>
          <w:rtl/>
        </w:rPr>
      </w:pPr>
      <w:r>
        <w:rPr>
          <w:rtl/>
        </w:rPr>
        <w:t>קצינת המבחן סקרה את נסיבותיו האישיות של הנאשם, תושב סחנין בן 29, נשוי, ועבד בבני</w:t>
      </w:r>
      <w:r>
        <w:rPr>
          <w:rFonts w:hint="cs"/>
          <w:rtl/>
        </w:rPr>
        <w:t>י</w:t>
      </w:r>
      <w:r>
        <w:rPr>
          <w:rtl/>
        </w:rPr>
        <w:t xml:space="preserve">ן. הנאשם השוהה כיום בתנאי מעצר בית כמעט מלא, הביע בפני קצינת המבחן מצוקה רגשית נוכח תנאי מעצרו, והדגיש את ההתדרדרות במצבו הכלכלי עקב חוסר יכולתו להשתלב בשוק העבודה. </w:t>
      </w:r>
    </w:p>
    <w:p w14:paraId="51ABE75F" w14:textId="77777777" w:rsidR="00D43E0E" w:rsidRDefault="00D43E0E">
      <w:pPr>
        <w:ind w:left="720"/>
        <w:jc w:val="both"/>
        <w:rPr>
          <w:rtl/>
        </w:rPr>
      </w:pPr>
    </w:p>
    <w:p w14:paraId="4AD80FD0" w14:textId="77777777" w:rsidR="00D43E0E" w:rsidRDefault="00D633E8">
      <w:pPr>
        <w:spacing w:line="360" w:lineRule="auto"/>
        <w:ind w:left="720"/>
        <w:jc w:val="both"/>
        <w:rPr>
          <w:rtl/>
        </w:rPr>
      </w:pPr>
      <w:r>
        <w:rPr>
          <w:rtl/>
        </w:rPr>
        <w:t xml:space="preserve">הנאשם ציין כי משפחתו מנהלת אורח חיים נורמטיבי, ללא הסתבכות בפלילים, והוא זוכה  לתמיכה כלכלית ורגשית מצד הוריו, נוכח היותו נתון במשבר. </w:t>
      </w:r>
    </w:p>
    <w:p w14:paraId="5DE37268" w14:textId="77777777" w:rsidR="00D43E0E" w:rsidRDefault="00D43E0E">
      <w:pPr>
        <w:ind w:left="720"/>
        <w:jc w:val="both"/>
        <w:rPr>
          <w:rtl/>
        </w:rPr>
      </w:pPr>
    </w:p>
    <w:p w14:paraId="79A8E36F" w14:textId="77777777" w:rsidR="00D43E0E" w:rsidRDefault="00D633E8">
      <w:pPr>
        <w:spacing w:line="360" w:lineRule="auto"/>
        <w:ind w:left="720"/>
        <w:jc w:val="both"/>
        <w:rPr>
          <w:rtl/>
        </w:rPr>
      </w:pPr>
      <w:r>
        <w:rPr>
          <w:rtl/>
        </w:rPr>
        <w:t xml:space="preserve">קצינת המבחן התרשמה כי הנאשם לוקח אחריות חלקית על מעשיו באירוע נשוא כתב האישום המתוקן. לטענתו, מעשהו האלים אינו מאפיין את דפוסי התנהגותו. לדבריו, על רקע סכסוך בין המתלונן לאחיו, הותקף האחרון על ידי אנשים הקרובים למתלונן, ואושפז בבית חולים, ומשפחתו סבלה איומים מתמשכים מצדו של המתלונן כלפי אחיו. הנאשם </w:t>
      </w:r>
      <w:r>
        <w:rPr>
          <w:rtl/>
        </w:rPr>
        <w:lastRenderedPageBreak/>
        <w:t xml:space="preserve">שיתף את חברו ג'בארין בכעסו כלפי המתלונן, ובנסיבות אלו החליטו השניים ללכת לחצר ביתו של המתלונן. בהגיעם לאזור מגוריו, שלף שותפו אקדח מכיסו וירה באוויר. כאשר שמע הנאשם את היריות וראה את האקדח, ברח לדבריו מהמקום והביע בפני שותפו טרוניה על אופי התנהלותו, ואת פחדיו להסתבך עם גורמי החוק. הנאשם הביע צער וחרטה על ביצוע העבירות ועל עצם החלטתו להתקרב לאזור המגורים של המתלונן, אך טען כי לא ידע על קיומו של האקדח אצל שותפו, ולא רצה להפחיד או לאיים על המתלונן ביריות. </w:t>
      </w:r>
    </w:p>
    <w:p w14:paraId="5F2A097E" w14:textId="77777777" w:rsidR="00D43E0E" w:rsidRDefault="00D43E0E">
      <w:pPr>
        <w:ind w:left="720"/>
        <w:jc w:val="both"/>
        <w:rPr>
          <w:rtl/>
        </w:rPr>
      </w:pPr>
    </w:p>
    <w:p w14:paraId="6ABAFD77" w14:textId="77777777" w:rsidR="00D43E0E" w:rsidRDefault="00D633E8">
      <w:pPr>
        <w:spacing w:line="360" w:lineRule="auto"/>
        <w:ind w:left="720"/>
        <w:jc w:val="both"/>
        <w:rPr>
          <w:rtl/>
        </w:rPr>
      </w:pPr>
      <w:r>
        <w:rPr>
          <w:rtl/>
        </w:rPr>
        <w:t xml:space="preserve">הוא ביקש להשתלב בהליך טיפולי במסגרת שירות המבחן, ואמר כי ההליך הפלילי הרתיע אותו מפני ביצוע עבירות דומות בעתיד. </w:t>
      </w:r>
    </w:p>
    <w:p w14:paraId="229A9E24" w14:textId="77777777" w:rsidR="00D43E0E" w:rsidRDefault="00D43E0E">
      <w:pPr>
        <w:ind w:left="720"/>
        <w:jc w:val="both"/>
        <w:rPr>
          <w:rtl/>
        </w:rPr>
      </w:pPr>
    </w:p>
    <w:p w14:paraId="20B191BD" w14:textId="77777777" w:rsidR="00D43E0E" w:rsidRDefault="00D633E8">
      <w:pPr>
        <w:spacing w:line="360" w:lineRule="auto"/>
        <w:ind w:left="720"/>
        <w:jc w:val="both"/>
        <w:rPr>
          <w:rtl/>
        </w:rPr>
      </w:pPr>
      <w:r>
        <w:rPr>
          <w:rtl/>
        </w:rPr>
        <w:t xml:space="preserve">מעיון בגיליון הרישום הפלילי עולה כי לנאשם הרשעה קודמת בגין עבירת איומים משנת 04'. קצינת המבחן, אשר התייחסה להרשעתו הקודמת של הנאשם, התרשמה כי ניהל לרוב אורח חיים נורמטיבי, במשפחה שתמכה בו, ללא קיומם של דפוסים עבריינים מושרשים, גילה יכולת וורבלית גבוהה ויכולות קוגניטיביות תקינות, וכי כיום הוא נעדר יציבות במישור התעסוקתי. להערכתה, מדובר באדם הנוטה להגיב באופן אימפולסיבי שאינו מותאם לסיטואציה, כאשר הוא חש פגיעה בכבודו ובתדמיתו האישית, אך הסיכון להישנות עבירות דומות העתיד הינו נמוך וברמת חומרה נמוכה. </w:t>
      </w:r>
    </w:p>
    <w:p w14:paraId="5730BE26" w14:textId="77777777" w:rsidR="00D43E0E" w:rsidRDefault="00D43E0E">
      <w:pPr>
        <w:ind w:left="720"/>
        <w:jc w:val="both"/>
        <w:rPr>
          <w:rtl/>
        </w:rPr>
      </w:pPr>
    </w:p>
    <w:p w14:paraId="03FBA461" w14:textId="77777777" w:rsidR="00D43E0E" w:rsidRDefault="00D633E8">
      <w:pPr>
        <w:spacing w:line="360" w:lineRule="auto"/>
        <w:ind w:left="720"/>
        <w:jc w:val="both"/>
        <w:rPr>
          <w:rtl/>
        </w:rPr>
      </w:pPr>
      <w:r>
        <w:rPr>
          <w:rtl/>
        </w:rPr>
        <w:t xml:space="preserve">בנתונים אלה המליצה קצינת המבחן לשקול להטיל עליו צו מבחן למשך שנה וחצי, במהלכו ישתלב בהליך טיפולי במסגרת שירות המבחן. אם הנאשם לא יעמוד בתנאי הצו, יפנה שירות המבחן לבית המשפט בבקשה לדיון מחודש בעניינו, מאסר שירוצה בעבודות שירות, אשר יהווה עבורו עונש מרתיע, מאסר מותנה מתריע והתחייבות. </w:t>
      </w:r>
    </w:p>
    <w:p w14:paraId="67DDD848" w14:textId="77777777" w:rsidR="00D43E0E" w:rsidRDefault="00D43E0E">
      <w:pPr>
        <w:jc w:val="both"/>
        <w:rPr>
          <w:b/>
          <w:bCs/>
          <w:rtl/>
        </w:rPr>
      </w:pPr>
    </w:p>
    <w:p w14:paraId="44BF2117" w14:textId="77777777" w:rsidR="00D43E0E" w:rsidRDefault="00D633E8">
      <w:pPr>
        <w:spacing w:line="360" w:lineRule="auto"/>
        <w:ind w:left="720"/>
        <w:jc w:val="both"/>
        <w:rPr>
          <w:rtl/>
        </w:rPr>
      </w:pPr>
      <w:r>
        <w:rPr>
          <w:rtl/>
        </w:rPr>
        <w:t xml:space="preserve">לאחר שהוגש התסקיר, בדיון בו טענו הצדדים לעונש, חזר הנאשם והודיע כי הוא נוטל אחריות למעשיו. </w:t>
      </w:r>
    </w:p>
    <w:p w14:paraId="73654E83" w14:textId="77777777" w:rsidR="00D43E0E" w:rsidRDefault="00D43E0E">
      <w:pPr>
        <w:spacing w:line="360" w:lineRule="auto"/>
        <w:ind w:left="720"/>
        <w:jc w:val="both"/>
        <w:rPr>
          <w:rtl/>
        </w:rPr>
      </w:pPr>
    </w:p>
    <w:p w14:paraId="1081EBA8" w14:textId="77777777" w:rsidR="00D43E0E" w:rsidRDefault="00D633E8">
      <w:pPr>
        <w:spacing w:line="360" w:lineRule="auto"/>
        <w:jc w:val="both"/>
        <w:rPr>
          <w:b/>
          <w:bCs/>
          <w:rtl/>
        </w:rPr>
      </w:pPr>
      <w:r>
        <w:rPr>
          <w:b/>
          <w:bCs/>
          <w:rtl/>
        </w:rPr>
        <w:t>4.</w:t>
      </w:r>
      <w:r>
        <w:rPr>
          <w:b/>
          <w:bCs/>
          <w:rtl/>
        </w:rPr>
        <w:tab/>
      </w:r>
      <w:r>
        <w:rPr>
          <w:b/>
          <w:bCs/>
          <w:u w:val="single"/>
          <w:rtl/>
        </w:rPr>
        <w:t>טיעוני המאשימה</w:t>
      </w:r>
      <w:r>
        <w:rPr>
          <w:b/>
          <w:bCs/>
          <w:rtl/>
        </w:rPr>
        <w:t xml:space="preserve"> </w:t>
      </w:r>
    </w:p>
    <w:p w14:paraId="633A4D71" w14:textId="77777777" w:rsidR="00D43E0E" w:rsidRDefault="00D633E8">
      <w:pPr>
        <w:spacing w:line="360" w:lineRule="auto"/>
        <w:ind w:left="720"/>
        <w:jc w:val="both"/>
        <w:rPr>
          <w:rtl/>
        </w:rPr>
      </w:pPr>
      <w:r>
        <w:rPr>
          <w:rtl/>
        </w:rPr>
        <w:t xml:space="preserve">המאשימה עתרה להשית על הנאשם מאסר בפועל ברף הגבוה של מתחם הענישה, הנע לשיטתה במקרה הנדון בטווח של בין 3 ל- 5 שנות מאסר בפועל, וכן מאסר על תנאי, קנס ופיצוי למתלונן. </w:t>
      </w:r>
    </w:p>
    <w:p w14:paraId="4EB9D7D8" w14:textId="77777777" w:rsidR="00D43E0E" w:rsidRDefault="00D43E0E">
      <w:pPr>
        <w:ind w:left="720"/>
        <w:jc w:val="both"/>
        <w:rPr>
          <w:rtl/>
        </w:rPr>
      </w:pPr>
    </w:p>
    <w:p w14:paraId="4A9A539B" w14:textId="77777777" w:rsidR="00D43E0E" w:rsidRDefault="00D633E8">
      <w:pPr>
        <w:spacing w:line="360" w:lineRule="auto"/>
        <w:ind w:left="720"/>
        <w:jc w:val="both"/>
        <w:rPr>
          <w:rFonts w:ascii="Algerian" w:hAnsi="Algerian"/>
          <w:rtl/>
        </w:rPr>
      </w:pPr>
      <w:r>
        <w:rPr>
          <w:rFonts w:ascii="Algerian" w:hAnsi="Algerian" w:hint="eastAsia"/>
          <w:b/>
          <w:bCs/>
          <w:rtl/>
        </w:rPr>
        <w:t>א</w:t>
      </w:r>
      <w:r>
        <w:rPr>
          <w:rFonts w:ascii="Algerian" w:hAnsi="Algerian"/>
          <w:b/>
          <w:bCs/>
          <w:rtl/>
        </w:rPr>
        <w:t>.</w:t>
      </w:r>
      <w:r>
        <w:rPr>
          <w:rFonts w:ascii="Algerian" w:hAnsi="Algerian"/>
          <w:rtl/>
        </w:rPr>
        <w:t xml:space="preserve"> </w:t>
      </w:r>
      <w:r>
        <w:rPr>
          <w:rFonts w:ascii="Algerian" w:hAnsi="Algerian" w:hint="eastAsia"/>
          <w:rtl/>
        </w:rPr>
        <w:t>בחוזרה</w:t>
      </w:r>
      <w:r>
        <w:rPr>
          <w:rFonts w:ascii="Algerian" w:hAnsi="Algerian"/>
          <w:rtl/>
        </w:rPr>
        <w:t xml:space="preserve"> </w:t>
      </w:r>
      <w:r>
        <w:rPr>
          <w:rFonts w:ascii="Algerian" w:hAnsi="Algerian" w:hint="eastAsia"/>
          <w:rtl/>
        </w:rPr>
        <w:t>על</w:t>
      </w:r>
      <w:r>
        <w:rPr>
          <w:rFonts w:ascii="Algerian" w:hAnsi="Algerian"/>
          <w:rtl/>
        </w:rPr>
        <w:t xml:space="preserve"> </w:t>
      </w:r>
      <w:r>
        <w:rPr>
          <w:rFonts w:ascii="Algerian" w:hAnsi="Algerian" w:hint="eastAsia"/>
          <w:rtl/>
        </w:rPr>
        <w:t>עובדות</w:t>
      </w:r>
      <w:r>
        <w:rPr>
          <w:rFonts w:ascii="Algerian" w:hAnsi="Algerian"/>
          <w:rtl/>
        </w:rPr>
        <w:t xml:space="preserve"> </w:t>
      </w:r>
      <w:r>
        <w:rPr>
          <w:rFonts w:ascii="Algerian" w:hAnsi="Algerian" w:hint="eastAsia"/>
          <w:rtl/>
        </w:rPr>
        <w:t>כתב</w:t>
      </w:r>
      <w:r>
        <w:rPr>
          <w:rFonts w:ascii="Algerian" w:hAnsi="Algerian"/>
          <w:rtl/>
        </w:rPr>
        <w:t xml:space="preserve"> </w:t>
      </w:r>
      <w:r>
        <w:rPr>
          <w:rFonts w:ascii="Algerian" w:hAnsi="Algerian" w:hint="eastAsia"/>
          <w:rtl/>
        </w:rPr>
        <w:t>האישום</w:t>
      </w:r>
      <w:r>
        <w:rPr>
          <w:rFonts w:ascii="Algerian" w:hAnsi="Algerian"/>
          <w:rtl/>
        </w:rPr>
        <w:t xml:space="preserve"> </w:t>
      </w:r>
      <w:r>
        <w:rPr>
          <w:rFonts w:ascii="Algerian" w:hAnsi="Algerian" w:hint="eastAsia"/>
          <w:rtl/>
        </w:rPr>
        <w:t>המתוקן</w:t>
      </w:r>
      <w:r>
        <w:rPr>
          <w:rFonts w:ascii="Algerian" w:hAnsi="Algerian"/>
          <w:rtl/>
        </w:rPr>
        <w:t xml:space="preserve">, </w:t>
      </w:r>
      <w:r>
        <w:rPr>
          <w:rFonts w:ascii="Algerian" w:hAnsi="Algerian" w:hint="eastAsia"/>
          <w:rtl/>
        </w:rPr>
        <w:t>הדגישה</w:t>
      </w:r>
      <w:r>
        <w:rPr>
          <w:rFonts w:ascii="Algerian" w:hAnsi="Algerian"/>
          <w:rtl/>
        </w:rPr>
        <w:t xml:space="preserve"> </w:t>
      </w:r>
      <w:r>
        <w:rPr>
          <w:rFonts w:ascii="Algerian" w:hAnsi="Algerian" w:hint="eastAsia"/>
          <w:rtl/>
        </w:rPr>
        <w:t>ב</w:t>
      </w:r>
      <w:r>
        <w:rPr>
          <w:rFonts w:ascii="Algerian" w:hAnsi="Algerian"/>
          <w:rtl/>
        </w:rPr>
        <w:t>"</w:t>
      </w:r>
      <w:r>
        <w:rPr>
          <w:rFonts w:ascii="Algerian" w:hAnsi="Algerian" w:hint="eastAsia"/>
          <w:rtl/>
        </w:rPr>
        <w:t>כ</w:t>
      </w:r>
      <w:r>
        <w:rPr>
          <w:rFonts w:ascii="Algerian" w:hAnsi="Algerian"/>
          <w:rtl/>
        </w:rPr>
        <w:t xml:space="preserve"> </w:t>
      </w:r>
      <w:r>
        <w:rPr>
          <w:rFonts w:ascii="Algerian" w:hAnsi="Algerian" w:hint="eastAsia"/>
          <w:rtl/>
        </w:rPr>
        <w:t>המאשימה</w:t>
      </w:r>
      <w:r>
        <w:rPr>
          <w:rFonts w:ascii="Algerian" w:hAnsi="Algerian"/>
          <w:rtl/>
        </w:rPr>
        <w:t xml:space="preserve"> </w:t>
      </w:r>
      <w:r>
        <w:rPr>
          <w:rFonts w:ascii="Algerian" w:hAnsi="Algerian" w:hint="eastAsia"/>
          <w:rtl/>
        </w:rPr>
        <w:t>את</w:t>
      </w:r>
      <w:r>
        <w:rPr>
          <w:rFonts w:ascii="Algerian" w:hAnsi="Algerian"/>
          <w:rtl/>
        </w:rPr>
        <w:t xml:space="preserve"> </w:t>
      </w:r>
      <w:r>
        <w:rPr>
          <w:rFonts w:ascii="Algerian" w:hAnsi="Algerian" w:hint="eastAsia"/>
          <w:rtl/>
        </w:rPr>
        <w:t>חומרתן</w:t>
      </w:r>
      <w:r>
        <w:rPr>
          <w:rFonts w:ascii="Algerian" w:hAnsi="Algerian"/>
          <w:rtl/>
        </w:rPr>
        <w:t xml:space="preserve"> </w:t>
      </w:r>
      <w:r>
        <w:rPr>
          <w:rFonts w:ascii="Algerian" w:hAnsi="Algerian" w:hint="eastAsia"/>
          <w:rtl/>
        </w:rPr>
        <w:t>של</w:t>
      </w:r>
      <w:r>
        <w:rPr>
          <w:rFonts w:ascii="Algerian" w:hAnsi="Algerian"/>
          <w:rtl/>
        </w:rPr>
        <w:t xml:space="preserve">  </w:t>
      </w:r>
      <w:r>
        <w:rPr>
          <w:rFonts w:ascii="Algerian" w:hAnsi="Algerian" w:hint="eastAsia"/>
          <w:rtl/>
        </w:rPr>
        <w:t>עבירות</w:t>
      </w:r>
      <w:r>
        <w:rPr>
          <w:rFonts w:ascii="Algerian" w:hAnsi="Algerian"/>
          <w:rtl/>
        </w:rPr>
        <w:t xml:space="preserve"> </w:t>
      </w:r>
      <w:r>
        <w:rPr>
          <w:rFonts w:ascii="Algerian" w:hAnsi="Algerian" w:hint="eastAsia"/>
          <w:rtl/>
        </w:rPr>
        <w:t>הנשק</w:t>
      </w:r>
      <w:r>
        <w:rPr>
          <w:rFonts w:ascii="Algerian" w:hAnsi="Algerian"/>
          <w:rtl/>
        </w:rPr>
        <w:t xml:space="preserve"> </w:t>
      </w:r>
      <w:r>
        <w:rPr>
          <w:rFonts w:ascii="Algerian" w:hAnsi="Algerian" w:hint="eastAsia"/>
          <w:rtl/>
        </w:rPr>
        <w:t>שביצע</w:t>
      </w:r>
      <w:r>
        <w:rPr>
          <w:rFonts w:ascii="Algerian" w:hAnsi="Algerian"/>
          <w:rtl/>
        </w:rPr>
        <w:t xml:space="preserve"> </w:t>
      </w:r>
      <w:r>
        <w:rPr>
          <w:rFonts w:ascii="Algerian" w:hAnsi="Algerian" w:hint="eastAsia"/>
          <w:rtl/>
        </w:rPr>
        <w:t>הנאשם</w:t>
      </w:r>
      <w:r>
        <w:rPr>
          <w:rFonts w:ascii="Algerian" w:hAnsi="Algerian"/>
          <w:rtl/>
        </w:rPr>
        <w:t xml:space="preserve">, </w:t>
      </w:r>
      <w:r>
        <w:rPr>
          <w:rFonts w:ascii="Algerian" w:hAnsi="Algerian" w:hint="eastAsia"/>
          <w:rtl/>
        </w:rPr>
        <w:t>הטומנות</w:t>
      </w:r>
      <w:r>
        <w:rPr>
          <w:rFonts w:ascii="Algerian" w:hAnsi="Algerian"/>
          <w:rtl/>
        </w:rPr>
        <w:t xml:space="preserve"> </w:t>
      </w:r>
      <w:r>
        <w:rPr>
          <w:rFonts w:ascii="Algerian" w:hAnsi="Algerian" w:hint="eastAsia"/>
          <w:rtl/>
        </w:rPr>
        <w:t>בחובן</w:t>
      </w:r>
      <w:r>
        <w:rPr>
          <w:rFonts w:ascii="Algerian" w:hAnsi="Algerian"/>
          <w:rtl/>
        </w:rPr>
        <w:t xml:space="preserve"> </w:t>
      </w:r>
      <w:r>
        <w:rPr>
          <w:rFonts w:ascii="Algerian" w:hAnsi="Algerian" w:hint="eastAsia"/>
          <w:rtl/>
        </w:rPr>
        <w:t>סכנה</w:t>
      </w:r>
      <w:r>
        <w:rPr>
          <w:rFonts w:ascii="Algerian" w:hAnsi="Algerian"/>
          <w:rtl/>
        </w:rPr>
        <w:t xml:space="preserve"> </w:t>
      </w:r>
      <w:r>
        <w:rPr>
          <w:rFonts w:ascii="Algerian" w:hAnsi="Algerian" w:hint="eastAsia"/>
          <w:rtl/>
        </w:rPr>
        <w:t>אדירה</w:t>
      </w:r>
      <w:r>
        <w:rPr>
          <w:rFonts w:ascii="Algerian" w:hAnsi="Algerian"/>
          <w:rtl/>
        </w:rPr>
        <w:t xml:space="preserve">. </w:t>
      </w:r>
      <w:r>
        <w:rPr>
          <w:rFonts w:ascii="Algerian" w:hAnsi="Algerian" w:hint="eastAsia"/>
          <w:rtl/>
        </w:rPr>
        <w:t>הנאשם</w:t>
      </w:r>
      <w:r>
        <w:rPr>
          <w:rFonts w:ascii="Algerian" w:hAnsi="Algerian"/>
          <w:rtl/>
        </w:rPr>
        <w:t xml:space="preserve"> </w:t>
      </w:r>
      <w:r>
        <w:rPr>
          <w:rFonts w:ascii="Algerian" w:hAnsi="Algerian" w:hint="eastAsia"/>
          <w:rtl/>
        </w:rPr>
        <w:t>נשא</w:t>
      </w:r>
      <w:r>
        <w:rPr>
          <w:rFonts w:ascii="Algerian" w:hAnsi="Algerian"/>
          <w:rtl/>
        </w:rPr>
        <w:t xml:space="preserve"> </w:t>
      </w:r>
      <w:r>
        <w:rPr>
          <w:rFonts w:ascii="Algerian" w:hAnsi="Algerian" w:hint="eastAsia"/>
          <w:rtl/>
        </w:rPr>
        <w:t>והוביל</w:t>
      </w:r>
      <w:r>
        <w:rPr>
          <w:rFonts w:ascii="Algerian" w:hAnsi="Algerian"/>
          <w:rtl/>
        </w:rPr>
        <w:t xml:space="preserve"> </w:t>
      </w:r>
      <w:r>
        <w:rPr>
          <w:rFonts w:ascii="Algerian" w:hAnsi="Algerian" w:hint="eastAsia"/>
          <w:rtl/>
        </w:rPr>
        <w:t>בצוותא</w:t>
      </w:r>
      <w:r>
        <w:rPr>
          <w:rFonts w:ascii="Algerian" w:hAnsi="Algerian"/>
          <w:rtl/>
        </w:rPr>
        <w:t xml:space="preserve"> </w:t>
      </w:r>
      <w:r>
        <w:rPr>
          <w:rFonts w:ascii="Algerian" w:hAnsi="Algerian" w:hint="eastAsia"/>
          <w:rtl/>
        </w:rPr>
        <w:t>חדא</w:t>
      </w:r>
      <w:r>
        <w:rPr>
          <w:rFonts w:ascii="Algerian" w:hAnsi="Algerian"/>
          <w:rtl/>
        </w:rPr>
        <w:t xml:space="preserve"> </w:t>
      </w:r>
      <w:r>
        <w:rPr>
          <w:rFonts w:ascii="Algerian" w:hAnsi="Algerian" w:hint="eastAsia"/>
          <w:rtl/>
        </w:rPr>
        <w:t>עם</w:t>
      </w:r>
      <w:r>
        <w:rPr>
          <w:rFonts w:ascii="Algerian" w:hAnsi="Algerian"/>
          <w:rtl/>
        </w:rPr>
        <w:t xml:space="preserve"> </w:t>
      </w:r>
      <w:r>
        <w:rPr>
          <w:rFonts w:ascii="Algerian" w:hAnsi="Algerian" w:hint="eastAsia"/>
          <w:rtl/>
        </w:rPr>
        <w:t>ג</w:t>
      </w:r>
      <w:r>
        <w:rPr>
          <w:rFonts w:ascii="Algerian" w:hAnsi="Algerian"/>
          <w:rtl/>
        </w:rPr>
        <w:t>'</w:t>
      </w:r>
      <w:r>
        <w:rPr>
          <w:rFonts w:ascii="Algerian" w:hAnsi="Algerian" w:hint="eastAsia"/>
          <w:rtl/>
        </w:rPr>
        <w:t>בארין</w:t>
      </w:r>
      <w:r>
        <w:rPr>
          <w:rFonts w:ascii="Algerian" w:hAnsi="Algerian"/>
          <w:rtl/>
        </w:rPr>
        <w:t xml:space="preserve"> </w:t>
      </w:r>
      <w:r>
        <w:rPr>
          <w:rFonts w:ascii="Algerian" w:hAnsi="Algerian" w:hint="eastAsia"/>
          <w:rtl/>
        </w:rPr>
        <w:t>נשק</w:t>
      </w:r>
      <w:r>
        <w:rPr>
          <w:rFonts w:ascii="Algerian" w:hAnsi="Algerian"/>
          <w:rtl/>
        </w:rPr>
        <w:t xml:space="preserve"> </w:t>
      </w:r>
      <w:r>
        <w:rPr>
          <w:rFonts w:ascii="Algerian" w:hAnsi="Algerian" w:hint="eastAsia"/>
          <w:rtl/>
        </w:rPr>
        <w:t>חם</w:t>
      </w:r>
      <w:r>
        <w:rPr>
          <w:rFonts w:ascii="Algerian" w:hAnsi="Algerian"/>
          <w:rtl/>
        </w:rPr>
        <w:t xml:space="preserve">, </w:t>
      </w:r>
      <w:r>
        <w:rPr>
          <w:rFonts w:ascii="Algerian" w:hAnsi="Algerian" w:hint="eastAsia"/>
          <w:rtl/>
        </w:rPr>
        <w:t>עבירה</w:t>
      </w:r>
      <w:r>
        <w:rPr>
          <w:rFonts w:ascii="Algerian" w:hAnsi="Algerian"/>
          <w:rtl/>
        </w:rPr>
        <w:t xml:space="preserve"> </w:t>
      </w:r>
      <w:r>
        <w:rPr>
          <w:rFonts w:ascii="Algerian" w:hAnsi="Algerian" w:hint="eastAsia"/>
          <w:rtl/>
        </w:rPr>
        <w:t>אשר</w:t>
      </w:r>
      <w:r>
        <w:rPr>
          <w:rFonts w:ascii="Algerian" w:hAnsi="Algerian"/>
          <w:rtl/>
        </w:rPr>
        <w:t xml:space="preserve"> </w:t>
      </w:r>
      <w:r>
        <w:rPr>
          <w:rFonts w:ascii="Algerian" w:hAnsi="Algerian" w:hint="eastAsia"/>
          <w:rtl/>
        </w:rPr>
        <w:t>העונש</w:t>
      </w:r>
      <w:r>
        <w:rPr>
          <w:rFonts w:ascii="Algerian" w:hAnsi="Algerian"/>
          <w:rtl/>
        </w:rPr>
        <w:t xml:space="preserve"> </w:t>
      </w:r>
      <w:r>
        <w:rPr>
          <w:rFonts w:ascii="Algerian" w:hAnsi="Algerian" w:hint="eastAsia"/>
          <w:rtl/>
        </w:rPr>
        <w:t>העומד</w:t>
      </w:r>
      <w:r>
        <w:rPr>
          <w:rFonts w:ascii="Algerian" w:hAnsi="Algerian"/>
          <w:rtl/>
        </w:rPr>
        <w:t xml:space="preserve"> </w:t>
      </w:r>
      <w:r>
        <w:rPr>
          <w:rFonts w:ascii="Algerian" w:hAnsi="Algerian" w:hint="eastAsia"/>
          <w:rtl/>
        </w:rPr>
        <w:t>בצידה</w:t>
      </w:r>
      <w:r>
        <w:rPr>
          <w:rFonts w:ascii="Algerian" w:hAnsi="Algerian"/>
          <w:rtl/>
        </w:rPr>
        <w:t xml:space="preserve"> </w:t>
      </w:r>
      <w:r>
        <w:rPr>
          <w:rFonts w:ascii="Algerian" w:hAnsi="Algerian" w:hint="eastAsia"/>
          <w:rtl/>
        </w:rPr>
        <w:t>הנו</w:t>
      </w:r>
      <w:r>
        <w:rPr>
          <w:rFonts w:ascii="Algerian" w:hAnsi="Algerian"/>
          <w:rtl/>
        </w:rPr>
        <w:t xml:space="preserve"> 10 </w:t>
      </w:r>
      <w:r>
        <w:rPr>
          <w:rFonts w:ascii="Algerian" w:hAnsi="Algerian" w:hint="eastAsia"/>
          <w:rtl/>
        </w:rPr>
        <w:t>שנות</w:t>
      </w:r>
      <w:r>
        <w:rPr>
          <w:rFonts w:ascii="Algerian" w:hAnsi="Algerian"/>
          <w:rtl/>
        </w:rPr>
        <w:t xml:space="preserve"> </w:t>
      </w:r>
      <w:r>
        <w:rPr>
          <w:rFonts w:ascii="Algerian" w:hAnsi="Algerian" w:hint="eastAsia"/>
          <w:rtl/>
        </w:rPr>
        <w:t>מאסר</w:t>
      </w:r>
      <w:r>
        <w:rPr>
          <w:rFonts w:ascii="Algerian" w:hAnsi="Algerian"/>
          <w:rtl/>
        </w:rPr>
        <w:t xml:space="preserve">. </w:t>
      </w:r>
      <w:r>
        <w:rPr>
          <w:rFonts w:ascii="Algerian" w:hAnsi="Algerian" w:hint="eastAsia"/>
          <w:rtl/>
        </w:rPr>
        <w:t>לא</w:t>
      </w:r>
      <w:r>
        <w:rPr>
          <w:rFonts w:ascii="Algerian" w:hAnsi="Algerian"/>
          <w:rtl/>
        </w:rPr>
        <w:t xml:space="preserve"> </w:t>
      </w:r>
      <w:r>
        <w:rPr>
          <w:rFonts w:ascii="Algerian" w:hAnsi="Algerian" w:hint="eastAsia"/>
          <w:rtl/>
        </w:rPr>
        <w:t>זו</w:t>
      </w:r>
      <w:r>
        <w:rPr>
          <w:rFonts w:ascii="Algerian" w:hAnsi="Algerian"/>
          <w:rtl/>
        </w:rPr>
        <w:t xml:space="preserve"> </w:t>
      </w:r>
      <w:r>
        <w:rPr>
          <w:rFonts w:ascii="Algerian" w:hAnsi="Algerian" w:hint="eastAsia"/>
          <w:rtl/>
        </w:rPr>
        <w:t>אף</w:t>
      </w:r>
      <w:r>
        <w:rPr>
          <w:rFonts w:ascii="Algerian" w:hAnsi="Algerian"/>
          <w:rtl/>
        </w:rPr>
        <w:t xml:space="preserve"> </w:t>
      </w:r>
      <w:r>
        <w:rPr>
          <w:rFonts w:ascii="Algerian" w:hAnsi="Algerian" w:hint="eastAsia"/>
          <w:rtl/>
        </w:rPr>
        <w:t>זו</w:t>
      </w:r>
      <w:r>
        <w:rPr>
          <w:rFonts w:ascii="Algerian" w:hAnsi="Algerian"/>
          <w:rtl/>
        </w:rPr>
        <w:t xml:space="preserve">, </w:t>
      </w:r>
      <w:r>
        <w:rPr>
          <w:rFonts w:ascii="Algerian" w:hAnsi="Algerian" w:hint="eastAsia"/>
          <w:rtl/>
        </w:rPr>
        <w:t>הנאשם</w:t>
      </w:r>
      <w:r>
        <w:rPr>
          <w:rFonts w:ascii="Algerian" w:hAnsi="Algerian"/>
          <w:rtl/>
        </w:rPr>
        <w:t xml:space="preserve"> </w:t>
      </w:r>
      <w:r>
        <w:rPr>
          <w:rFonts w:ascii="Algerian" w:hAnsi="Algerian" w:hint="eastAsia"/>
          <w:rtl/>
        </w:rPr>
        <w:t>וג</w:t>
      </w:r>
      <w:r>
        <w:rPr>
          <w:rFonts w:ascii="Algerian" w:hAnsi="Algerian"/>
          <w:rtl/>
        </w:rPr>
        <w:t>'</w:t>
      </w:r>
      <w:r>
        <w:rPr>
          <w:rFonts w:ascii="Algerian" w:hAnsi="Algerian" w:hint="eastAsia"/>
          <w:rtl/>
        </w:rPr>
        <w:t>בארין</w:t>
      </w:r>
      <w:r>
        <w:rPr>
          <w:rFonts w:ascii="Algerian" w:hAnsi="Algerian"/>
          <w:rtl/>
        </w:rPr>
        <w:t xml:space="preserve"> </w:t>
      </w:r>
      <w:r>
        <w:rPr>
          <w:rFonts w:ascii="Algerian" w:hAnsi="Algerian" w:hint="eastAsia"/>
          <w:rtl/>
        </w:rPr>
        <w:t>עשו</w:t>
      </w:r>
      <w:r>
        <w:rPr>
          <w:rFonts w:ascii="Algerian" w:hAnsi="Algerian"/>
          <w:rtl/>
        </w:rPr>
        <w:t xml:space="preserve"> </w:t>
      </w:r>
      <w:r>
        <w:rPr>
          <w:rFonts w:ascii="Algerian" w:hAnsi="Algerian" w:hint="eastAsia"/>
          <w:rtl/>
        </w:rPr>
        <w:t>שימוש</w:t>
      </w:r>
      <w:r>
        <w:rPr>
          <w:rFonts w:ascii="Algerian" w:hAnsi="Algerian"/>
          <w:rtl/>
        </w:rPr>
        <w:t xml:space="preserve"> </w:t>
      </w:r>
      <w:r>
        <w:rPr>
          <w:rFonts w:ascii="Algerian" w:hAnsi="Algerian" w:hint="eastAsia"/>
          <w:rtl/>
        </w:rPr>
        <w:t>בנשק</w:t>
      </w:r>
      <w:r>
        <w:rPr>
          <w:rFonts w:ascii="Algerian" w:hAnsi="Algerian"/>
          <w:rtl/>
        </w:rPr>
        <w:t xml:space="preserve">, </w:t>
      </w:r>
      <w:r>
        <w:rPr>
          <w:rFonts w:ascii="Algerian" w:hAnsi="Algerian" w:hint="eastAsia"/>
          <w:rtl/>
        </w:rPr>
        <w:t>ולמעשה</w:t>
      </w:r>
      <w:r>
        <w:rPr>
          <w:rFonts w:ascii="Algerian" w:hAnsi="Algerian"/>
          <w:rtl/>
        </w:rPr>
        <w:t xml:space="preserve"> </w:t>
      </w:r>
      <w:r>
        <w:rPr>
          <w:rFonts w:ascii="Algerian" w:hAnsi="Algerian" w:hint="eastAsia"/>
          <w:rtl/>
        </w:rPr>
        <w:t>הוציאו</w:t>
      </w:r>
      <w:r>
        <w:rPr>
          <w:rFonts w:ascii="Algerian" w:hAnsi="Algerian"/>
          <w:rtl/>
        </w:rPr>
        <w:t xml:space="preserve"> </w:t>
      </w:r>
      <w:r>
        <w:rPr>
          <w:rFonts w:ascii="Algerian" w:hAnsi="Algerian" w:hint="eastAsia"/>
          <w:rtl/>
        </w:rPr>
        <w:t>אל</w:t>
      </w:r>
      <w:r>
        <w:rPr>
          <w:rFonts w:ascii="Algerian" w:hAnsi="Algerian"/>
          <w:rtl/>
        </w:rPr>
        <w:t xml:space="preserve"> </w:t>
      </w:r>
      <w:r>
        <w:rPr>
          <w:rFonts w:ascii="Algerian" w:hAnsi="Algerian" w:hint="eastAsia"/>
          <w:rtl/>
        </w:rPr>
        <w:t>הפועל</w:t>
      </w:r>
      <w:r>
        <w:rPr>
          <w:rFonts w:ascii="Algerian" w:hAnsi="Algerian"/>
          <w:rtl/>
        </w:rPr>
        <w:t xml:space="preserve"> </w:t>
      </w:r>
      <w:r>
        <w:rPr>
          <w:rFonts w:ascii="Algerian" w:hAnsi="Algerian" w:hint="eastAsia"/>
          <w:rtl/>
        </w:rPr>
        <w:t>את</w:t>
      </w:r>
      <w:r>
        <w:rPr>
          <w:rFonts w:ascii="Algerian" w:hAnsi="Algerian"/>
          <w:rtl/>
        </w:rPr>
        <w:t xml:space="preserve"> </w:t>
      </w:r>
      <w:r>
        <w:rPr>
          <w:rFonts w:ascii="Algerian" w:hAnsi="Algerian" w:hint="eastAsia"/>
          <w:rtl/>
        </w:rPr>
        <w:t>הסיכון</w:t>
      </w:r>
      <w:r>
        <w:rPr>
          <w:rFonts w:ascii="Algerian" w:hAnsi="Algerian"/>
          <w:rtl/>
        </w:rPr>
        <w:t xml:space="preserve"> </w:t>
      </w:r>
      <w:r>
        <w:rPr>
          <w:rFonts w:ascii="Algerian" w:hAnsi="Algerian" w:hint="eastAsia"/>
          <w:rtl/>
        </w:rPr>
        <w:t>הטמון</w:t>
      </w:r>
      <w:r>
        <w:rPr>
          <w:rFonts w:ascii="Algerian" w:hAnsi="Algerian"/>
          <w:rtl/>
        </w:rPr>
        <w:t xml:space="preserve"> </w:t>
      </w:r>
      <w:r>
        <w:rPr>
          <w:rFonts w:ascii="Algerian" w:hAnsi="Algerian" w:hint="eastAsia"/>
          <w:rtl/>
        </w:rPr>
        <w:t>בהחזקת</w:t>
      </w:r>
      <w:r>
        <w:rPr>
          <w:rFonts w:ascii="Algerian" w:hAnsi="Algerian"/>
          <w:rtl/>
        </w:rPr>
        <w:t xml:space="preserve"> </w:t>
      </w:r>
      <w:r>
        <w:rPr>
          <w:rFonts w:ascii="Algerian" w:hAnsi="Algerian" w:hint="eastAsia"/>
          <w:rtl/>
        </w:rPr>
        <w:t>נשק</w:t>
      </w:r>
      <w:r>
        <w:rPr>
          <w:rFonts w:ascii="Algerian" w:hAnsi="Algerian"/>
          <w:rtl/>
        </w:rPr>
        <w:t xml:space="preserve"> </w:t>
      </w:r>
      <w:r>
        <w:rPr>
          <w:rFonts w:ascii="Algerian" w:hAnsi="Algerian" w:hint="eastAsia"/>
          <w:rtl/>
        </w:rPr>
        <w:t>ובנשיאתו</w:t>
      </w:r>
      <w:r>
        <w:rPr>
          <w:rFonts w:ascii="Algerian" w:hAnsi="Algerian"/>
          <w:rtl/>
        </w:rPr>
        <w:t xml:space="preserve">. </w:t>
      </w:r>
      <w:r>
        <w:rPr>
          <w:rFonts w:ascii="Algerian" w:hAnsi="Algerian" w:hint="eastAsia"/>
          <w:rtl/>
        </w:rPr>
        <w:t>אמנם</w:t>
      </w:r>
      <w:r>
        <w:rPr>
          <w:rFonts w:ascii="Algerian" w:hAnsi="Algerian"/>
          <w:rtl/>
        </w:rPr>
        <w:t xml:space="preserve"> </w:t>
      </w:r>
      <w:r>
        <w:rPr>
          <w:rFonts w:ascii="Algerian" w:hAnsi="Algerian" w:hint="eastAsia"/>
          <w:rtl/>
        </w:rPr>
        <w:t>ג</w:t>
      </w:r>
      <w:r>
        <w:rPr>
          <w:rFonts w:ascii="Algerian" w:hAnsi="Algerian"/>
          <w:rtl/>
        </w:rPr>
        <w:t>'</w:t>
      </w:r>
      <w:r>
        <w:rPr>
          <w:rFonts w:ascii="Algerian" w:hAnsi="Algerian" w:hint="eastAsia"/>
          <w:rtl/>
        </w:rPr>
        <w:t>בארין</w:t>
      </w:r>
      <w:r>
        <w:rPr>
          <w:rFonts w:ascii="Algerian" w:hAnsi="Algerian"/>
          <w:rtl/>
        </w:rPr>
        <w:t xml:space="preserve"> </w:t>
      </w:r>
      <w:r>
        <w:rPr>
          <w:rFonts w:ascii="Algerian" w:hAnsi="Algerian" w:hint="eastAsia"/>
          <w:rtl/>
        </w:rPr>
        <w:t>הוא</w:t>
      </w:r>
      <w:r>
        <w:rPr>
          <w:rFonts w:ascii="Algerian" w:hAnsi="Algerian"/>
          <w:rtl/>
        </w:rPr>
        <w:t xml:space="preserve"> </w:t>
      </w:r>
      <w:r>
        <w:rPr>
          <w:rFonts w:ascii="Algerian" w:hAnsi="Algerian" w:hint="eastAsia"/>
          <w:rtl/>
        </w:rPr>
        <w:t>אשר</w:t>
      </w:r>
      <w:r>
        <w:rPr>
          <w:rFonts w:ascii="Algerian" w:hAnsi="Algerian"/>
          <w:rtl/>
        </w:rPr>
        <w:t xml:space="preserve"> </w:t>
      </w:r>
      <w:r>
        <w:rPr>
          <w:rFonts w:ascii="Algerian" w:hAnsi="Algerian" w:hint="eastAsia"/>
          <w:rtl/>
        </w:rPr>
        <w:t>ירה</w:t>
      </w:r>
      <w:r>
        <w:rPr>
          <w:rFonts w:ascii="Algerian" w:hAnsi="Algerian"/>
          <w:rtl/>
        </w:rPr>
        <w:t xml:space="preserve"> </w:t>
      </w:r>
      <w:r>
        <w:rPr>
          <w:rFonts w:ascii="Algerian" w:hAnsi="Algerian" w:hint="eastAsia"/>
          <w:rtl/>
        </w:rPr>
        <w:t>בפועל</w:t>
      </w:r>
      <w:r>
        <w:rPr>
          <w:rFonts w:ascii="Algerian" w:hAnsi="Algerian"/>
          <w:rtl/>
        </w:rPr>
        <w:t xml:space="preserve"> </w:t>
      </w:r>
      <w:r>
        <w:rPr>
          <w:rFonts w:ascii="Algerian" w:hAnsi="Algerian" w:hint="eastAsia"/>
          <w:rtl/>
        </w:rPr>
        <w:t>בנשק</w:t>
      </w:r>
      <w:r>
        <w:rPr>
          <w:rFonts w:ascii="Algerian" w:hAnsi="Algerian"/>
          <w:rtl/>
        </w:rPr>
        <w:t xml:space="preserve">, </w:t>
      </w:r>
      <w:r>
        <w:rPr>
          <w:rFonts w:ascii="Algerian" w:hAnsi="Algerian" w:hint="eastAsia"/>
          <w:rtl/>
        </w:rPr>
        <w:t>אך</w:t>
      </w:r>
      <w:r>
        <w:rPr>
          <w:rFonts w:ascii="Algerian" w:hAnsi="Algerian"/>
          <w:rtl/>
        </w:rPr>
        <w:t xml:space="preserve"> </w:t>
      </w:r>
      <w:r>
        <w:rPr>
          <w:rFonts w:ascii="Algerian" w:hAnsi="Algerian" w:hint="eastAsia"/>
          <w:rtl/>
        </w:rPr>
        <w:t>הנאשם</w:t>
      </w:r>
      <w:r>
        <w:rPr>
          <w:rFonts w:ascii="Algerian" w:hAnsi="Algerian"/>
          <w:rtl/>
        </w:rPr>
        <w:t xml:space="preserve"> </w:t>
      </w:r>
      <w:r>
        <w:rPr>
          <w:rFonts w:ascii="Algerian" w:hAnsi="Algerian" w:hint="eastAsia"/>
          <w:rtl/>
        </w:rPr>
        <w:t>דידן</w:t>
      </w:r>
      <w:r>
        <w:rPr>
          <w:rFonts w:ascii="Algerian" w:hAnsi="Algerian"/>
          <w:rtl/>
        </w:rPr>
        <w:t xml:space="preserve"> </w:t>
      </w:r>
      <w:r>
        <w:rPr>
          <w:rFonts w:ascii="Algerian" w:hAnsi="Algerian" w:hint="eastAsia"/>
          <w:rtl/>
        </w:rPr>
        <w:t>היה</w:t>
      </w:r>
      <w:r>
        <w:rPr>
          <w:rFonts w:ascii="Algerian" w:hAnsi="Algerian"/>
          <w:rtl/>
        </w:rPr>
        <w:t xml:space="preserve"> </w:t>
      </w:r>
      <w:r>
        <w:rPr>
          <w:rFonts w:ascii="Algerian" w:hAnsi="Algerian" w:hint="eastAsia"/>
          <w:rtl/>
        </w:rPr>
        <w:t>שותף</w:t>
      </w:r>
      <w:r>
        <w:rPr>
          <w:rFonts w:ascii="Algerian" w:hAnsi="Algerian"/>
          <w:rtl/>
        </w:rPr>
        <w:t xml:space="preserve"> </w:t>
      </w:r>
      <w:r>
        <w:rPr>
          <w:rFonts w:ascii="Algerian" w:hAnsi="Algerian" w:hint="eastAsia"/>
          <w:rtl/>
        </w:rPr>
        <w:t>ואחראי</w:t>
      </w:r>
      <w:r>
        <w:rPr>
          <w:rFonts w:ascii="Algerian" w:hAnsi="Algerian"/>
          <w:rtl/>
        </w:rPr>
        <w:t xml:space="preserve"> </w:t>
      </w:r>
      <w:r>
        <w:rPr>
          <w:rFonts w:ascii="Algerian" w:hAnsi="Algerian" w:hint="eastAsia"/>
          <w:rtl/>
        </w:rPr>
        <w:t>במידה</w:t>
      </w:r>
      <w:r>
        <w:rPr>
          <w:rFonts w:ascii="Algerian" w:hAnsi="Algerian"/>
          <w:rtl/>
        </w:rPr>
        <w:t xml:space="preserve"> </w:t>
      </w:r>
      <w:r>
        <w:rPr>
          <w:rFonts w:ascii="Algerian" w:hAnsi="Algerian" w:hint="eastAsia"/>
          <w:rtl/>
        </w:rPr>
        <w:t>שווה</w:t>
      </w:r>
      <w:r>
        <w:rPr>
          <w:rFonts w:ascii="Algerian" w:hAnsi="Algerian"/>
          <w:rtl/>
        </w:rPr>
        <w:t xml:space="preserve"> </w:t>
      </w:r>
      <w:r>
        <w:rPr>
          <w:rFonts w:ascii="Algerian" w:hAnsi="Algerian" w:hint="eastAsia"/>
          <w:rtl/>
        </w:rPr>
        <w:t>למעשהו</w:t>
      </w:r>
      <w:r>
        <w:rPr>
          <w:rFonts w:ascii="Algerian" w:hAnsi="Algerian"/>
          <w:rtl/>
        </w:rPr>
        <w:t xml:space="preserve">. </w:t>
      </w:r>
      <w:r>
        <w:rPr>
          <w:rFonts w:ascii="Algerian" w:hAnsi="Algerian" w:hint="eastAsia"/>
          <w:rtl/>
        </w:rPr>
        <w:t>עוד</w:t>
      </w:r>
      <w:r>
        <w:rPr>
          <w:rFonts w:ascii="Algerian" w:hAnsi="Algerian"/>
          <w:rtl/>
        </w:rPr>
        <w:t xml:space="preserve"> </w:t>
      </w:r>
      <w:r>
        <w:rPr>
          <w:rFonts w:ascii="Algerian" w:hAnsi="Algerian" w:hint="eastAsia"/>
          <w:rtl/>
        </w:rPr>
        <w:t>ביקשה</w:t>
      </w:r>
      <w:r>
        <w:rPr>
          <w:rFonts w:ascii="Algerian" w:hAnsi="Algerian"/>
          <w:rtl/>
        </w:rPr>
        <w:t xml:space="preserve"> </w:t>
      </w:r>
      <w:r>
        <w:rPr>
          <w:rFonts w:ascii="Algerian" w:hAnsi="Algerian" w:hint="eastAsia"/>
          <w:rtl/>
        </w:rPr>
        <w:t>לזכור</w:t>
      </w:r>
      <w:r>
        <w:rPr>
          <w:rFonts w:ascii="Algerian" w:hAnsi="Algerian"/>
          <w:rtl/>
        </w:rPr>
        <w:t xml:space="preserve"> </w:t>
      </w:r>
      <w:r>
        <w:rPr>
          <w:rFonts w:ascii="Algerian" w:hAnsi="Algerian" w:hint="eastAsia"/>
          <w:rtl/>
        </w:rPr>
        <w:t>כי</w:t>
      </w:r>
      <w:r>
        <w:rPr>
          <w:rFonts w:ascii="Algerian" w:hAnsi="Algerian"/>
          <w:rtl/>
        </w:rPr>
        <w:t xml:space="preserve"> </w:t>
      </w:r>
      <w:r>
        <w:rPr>
          <w:rFonts w:ascii="Algerian" w:hAnsi="Algerian" w:hint="eastAsia"/>
          <w:rtl/>
        </w:rPr>
        <w:t>הנאשם</w:t>
      </w:r>
      <w:r>
        <w:rPr>
          <w:rFonts w:ascii="Algerian" w:hAnsi="Algerian"/>
          <w:rtl/>
        </w:rPr>
        <w:t xml:space="preserve"> </w:t>
      </w:r>
      <w:r>
        <w:rPr>
          <w:rFonts w:ascii="Algerian" w:hAnsi="Algerian" w:hint="eastAsia"/>
          <w:rtl/>
        </w:rPr>
        <w:t>היה</w:t>
      </w:r>
      <w:r>
        <w:rPr>
          <w:rFonts w:ascii="Algerian" w:hAnsi="Algerian"/>
          <w:rtl/>
        </w:rPr>
        <w:t xml:space="preserve"> </w:t>
      </w:r>
      <w:r>
        <w:rPr>
          <w:rFonts w:ascii="Algerian" w:hAnsi="Algerian" w:hint="eastAsia"/>
          <w:rtl/>
        </w:rPr>
        <w:t>בעל</w:t>
      </w:r>
      <w:r>
        <w:rPr>
          <w:rFonts w:ascii="Algerian" w:hAnsi="Algerian"/>
          <w:rtl/>
        </w:rPr>
        <w:t xml:space="preserve"> </w:t>
      </w:r>
      <w:r>
        <w:rPr>
          <w:rFonts w:ascii="Algerian" w:hAnsi="Algerian" w:hint="eastAsia"/>
          <w:rtl/>
        </w:rPr>
        <w:t>הסכסוך</w:t>
      </w:r>
      <w:r>
        <w:rPr>
          <w:rFonts w:ascii="Algerian" w:hAnsi="Algerian"/>
          <w:rtl/>
        </w:rPr>
        <w:t xml:space="preserve"> </w:t>
      </w:r>
      <w:r>
        <w:rPr>
          <w:rFonts w:ascii="Algerian" w:hAnsi="Algerian" w:hint="eastAsia"/>
          <w:rtl/>
        </w:rPr>
        <w:t>עם</w:t>
      </w:r>
      <w:r>
        <w:rPr>
          <w:rFonts w:ascii="Algerian" w:hAnsi="Algerian"/>
          <w:rtl/>
        </w:rPr>
        <w:t xml:space="preserve"> </w:t>
      </w:r>
      <w:r>
        <w:rPr>
          <w:rFonts w:ascii="Algerian" w:hAnsi="Algerian" w:hint="eastAsia"/>
          <w:rtl/>
        </w:rPr>
        <w:t>המתלונן</w:t>
      </w:r>
      <w:r>
        <w:rPr>
          <w:rFonts w:ascii="Algerian" w:hAnsi="Algerian"/>
          <w:rtl/>
        </w:rPr>
        <w:t xml:space="preserve">, </w:t>
      </w:r>
      <w:r>
        <w:rPr>
          <w:rFonts w:ascii="Algerian" w:hAnsi="Algerian" w:hint="eastAsia"/>
          <w:rtl/>
        </w:rPr>
        <w:t>והוא</w:t>
      </w:r>
      <w:r>
        <w:rPr>
          <w:rFonts w:ascii="Algerian" w:hAnsi="Algerian"/>
          <w:rtl/>
        </w:rPr>
        <w:t xml:space="preserve"> </w:t>
      </w:r>
      <w:r>
        <w:rPr>
          <w:rFonts w:ascii="Algerian" w:hAnsi="Algerian" w:hint="eastAsia"/>
          <w:rtl/>
        </w:rPr>
        <w:t>אשר</w:t>
      </w:r>
      <w:r>
        <w:rPr>
          <w:rFonts w:ascii="Algerian" w:hAnsi="Algerian"/>
          <w:rtl/>
        </w:rPr>
        <w:t xml:space="preserve"> </w:t>
      </w:r>
      <w:r>
        <w:rPr>
          <w:rFonts w:ascii="Algerian" w:hAnsi="Algerian" w:hint="eastAsia"/>
          <w:rtl/>
        </w:rPr>
        <w:t>נהג</w:t>
      </w:r>
      <w:r>
        <w:rPr>
          <w:rFonts w:ascii="Algerian" w:hAnsi="Algerian"/>
          <w:rtl/>
        </w:rPr>
        <w:t xml:space="preserve"> </w:t>
      </w:r>
      <w:r>
        <w:rPr>
          <w:rFonts w:ascii="Algerian" w:hAnsi="Algerian" w:hint="eastAsia"/>
          <w:rtl/>
        </w:rPr>
        <w:t>והוביל</w:t>
      </w:r>
      <w:r>
        <w:rPr>
          <w:rFonts w:ascii="Algerian" w:hAnsi="Algerian"/>
          <w:rtl/>
        </w:rPr>
        <w:t xml:space="preserve"> </w:t>
      </w:r>
      <w:r>
        <w:rPr>
          <w:rFonts w:ascii="Algerian" w:hAnsi="Algerian" w:hint="eastAsia"/>
          <w:rtl/>
        </w:rPr>
        <w:t>את</w:t>
      </w:r>
      <w:r>
        <w:rPr>
          <w:rFonts w:ascii="Algerian" w:hAnsi="Algerian"/>
          <w:rtl/>
        </w:rPr>
        <w:t xml:space="preserve"> </w:t>
      </w:r>
      <w:r>
        <w:rPr>
          <w:rFonts w:ascii="Algerian" w:hAnsi="Algerian" w:hint="eastAsia"/>
          <w:rtl/>
        </w:rPr>
        <w:t>ג</w:t>
      </w:r>
      <w:r>
        <w:rPr>
          <w:rFonts w:ascii="Algerian" w:hAnsi="Algerian"/>
          <w:rtl/>
        </w:rPr>
        <w:t>'</w:t>
      </w:r>
      <w:r>
        <w:rPr>
          <w:rFonts w:ascii="Algerian" w:hAnsi="Algerian" w:hint="eastAsia"/>
          <w:rtl/>
        </w:rPr>
        <w:t>בארין</w:t>
      </w:r>
      <w:r>
        <w:rPr>
          <w:rFonts w:ascii="Algerian" w:hAnsi="Algerian"/>
          <w:rtl/>
        </w:rPr>
        <w:t xml:space="preserve"> </w:t>
      </w:r>
      <w:r>
        <w:rPr>
          <w:rFonts w:ascii="Algerian" w:hAnsi="Algerian" w:hint="eastAsia"/>
          <w:rtl/>
        </w:rPr>
        <w:t>למקום</w:t>
      </w:r>
      <w:r>
        <w:rPr>
          <w:rFonts w:ascii="Algerian" w:hAnsi="Algerian"/>
          <w:rtl/>
        </w:rPr>
        <w:t xml:space="preserve"> </w:t>
      </w:r>
      <w:r>
        <w:rPr>
          <w:rFonts w:ascii="Algerian" w:hAnsi="Algerian" w:hint="eastAsia"/>
          <w:rtl/>
        </w:rPr>
        <w:t>מגוריו</w:t>
      </w:r>
      <w:r>
        <w:rPr>
          <w:rFonts w:ascii="Algerian" w:hAnsi="Algerian"/>
          <w:rtl/>
        </w:rPr>
        <w:t xml:space="preserve"> </w:t>
      </w:r>
      <w:r>
        <w:rPr>
          <w:rFonts w:ascii="Algerian" w:hAnsi="Algerian" w:hint="eastAsia"/>
          <w:rtl/>
        </w:rPr>
        <w:t>של</w:t>
      </w:r>
      <w:r>
        <w:rPr>
          <w:rFonts w:ascii="Algerian" w:hAnsi="Algerian"/>
          <w:rtl/>
        </w:rPr>
        <w:t xml:space="preserve"> </w:t>
      </w:r>
      <w:r>
        <w:rPr>
          <w:rFonts w:ascii="Algerian" w:hAnsi="Algerian" w:hint="eastAsia"/>
          <w:rtl/>
        </w:rPr>
        <w:t>המתלונן</w:t>
      </w:r>
      <w:r>
        <w:rPr>
          <w:rFonts w:ascii="Algerian" w:hAnsi="Algerian"/>
          <w:rtl/>
        </w:rPr>
        <w:t xml:space="preserve">. </w:t>
      </w:r>
      <w:r>
        <w:rPr>
          <w:rFonts w:ascii="Algerian" w:hAnsi="Algerian" w:hint="eastAsia"/>
          <w:rtl/>
        </w:rPr>
        <w:t>לכן</w:t>
      </w:r>
      <w:r>
        <w:rPr>
          <w:rFonts w:ascii="Algerian" w:hAnsi="Algerian"/>
          <w:rtl/>
        </w:rPr>
        <w:t xml:space="preserve">, </w:t>
      </w:r>
      <w:r>
        <w:rPr>
          <w:rFonts w:ascii="Algerian" w:hAnsi="Algerian" w:hint="eastAsia"/>
          <w:rtl/>
        </w:rPr>
        <w:t>לשיטתה</w:t>
      </w:r>
      <w:r>
        <w:rPr>
          <w:rFonts w:ascii="Algerian" w:hAnsi="Algerian"/>
          <w:rtl/>
        </w:rPr>
        <w:t xml:space="preserve">, </w:t>
      </w:r>
      <w:r>
        <w:rPr>
          <w:rFonts w:ascii="Algerian" w:hAnsi="Algerian" w:hint="eastAsia"/>
          <w:rtl/>
        </w:rPr>
        <w:t>חלקיהם</w:t>
      </w:r>
      <w:r>
        <w:rPr>
          <w:rFonts w:ascii="Algerian" w:hAnsi="Algerian"/>
          <w:rtl/>
        </w:rPr>
        <w:t xml:space="preserve"> </w:t>
      </w:r>
      <w:r>
        <w:rPr>
          <w:rFonts w:ascii="Algerian" w:hAnsi="Algerian" w:hint="eastAsia"/>
          <w:rtl/>
        </w:rPr>
        <w:t>במעשים</w:t>
      </w:r>
      <w:r>
        <w:rPr>
          <w:rFonts w:ascii="Algerian" w:hAnsi="Algerian"/>
          <w:rtl/>
        </w:rPr>
        <w:t xml:space="preserve"> </w:t>
      </w:r>
      <w:r>
        <w:rPr>
          <w:rFonts w:ascii="Algerian" w:hAnsi="Algerian" w:hint="eastAsia"/>
          <w:rtl/>
        </w:rPr>
        <w:t>זהה</w:t>
      </w:r>
      <w:r>
        <w:rPr>
          <w:rFonts w:ascii="Algerian" w:hAnsi="Algerian"/>
          <w:rtl/>
        </w:rPr>
        <w:t xml:space="preserve">. </w:t>
      </w:r>
      <w:r>
        <w:rPr>
          <w:rFonts w:ascii="Algerian" w:hAnsi="Algerian" w:hint="eastAsia"/>
          <w:rtl/>
        </w:rPr>
        <w:t>כן</w:t>
      </w:r>
      <w:r>
        <w:rPr>
          <w:rFonts w:ascii="Algerian" w:hAnsi="Algerian"/>
          <w:rtl/>
        </w:rPr>
        <w:t xml:space="preserve"> </w:t>
      </w:r>
      <w:r>
        <w:rPr>
          <w:rFonts w:ascii="Algerian" w:hAnsi="Algerian" w:hint="eastAsia"/>
          <w:rtl/>
        </w:rPr>
        <w:t>ציינה</w:t>
      </w:r>
      <w:r>
        <w:rPr>
          <w:rFonts w:ascii="Algerian" w:hAnsi="Algerian"/>
          <w:rtl/>
        </w:rPr>
        <w:t xml:space="preserve"> </w:t>
      </w:r>
      <w:r>
        <w:rPr>
          <w:rFonts w:ascii="Algerian" w:hAnsi="Algerian" w:hint="eastAsia"/>
          <w:rtl/>
        </w:rPr>
        <w:t>כי</w:t>
      </w:r>
      <w:r>
        <w:rPr>
          <w:rFonts w:ascii="Algerian" w:hAnsi="Algerian"/>
          <w:rtl/>
        </w:rPr>
        <w:t xml:space="preserve"> </w:t>
      </w:r>
      <w:r>
        <w:rPr>
          <w:rFonts w:ascii="Algerian" w:hAnsi="Algerian" w:hint="eastAsia"/>
          <w:rtl/>
        </w:rPr>
        <w:t>ג</w:t>
      </w:r>
      <w:r>
        <w:rPr>
          <w:rFonts w:ascii="Algerian" w:hAnsi="Algerian"/>
          <w:rtl/>
        </w:rPr>
        <w:t>'</w:t>
      </w:r>
      <w:r>
        <w:rPr>
          <w:rFonts w:ascii="Algerian" w:hAnsi="Algerian" w:hint="eastAsia"/>
          <w:rtl/>
        </w:rPr>
        <w:t>בארין</w:t>
      </w:r>
      <w:r>
        <w:rPr>
          <w:rFonts w:ascii="Algerian" w:hAnsi="Algerian"/>
          <w:rtl/>
        </w:rPr>
        <w:t xml:space="preserve"> </w:t>
      </w:r>
      <w:r>
        <w:rPr>
          <w:rFonts w:ascii="Algerian" w:hAnsi="Algerian" w:hint="eastAsia"/>
          <w:rtl/>
        </w:rPr>
        <w:t>אשר</w:t>
      </w:r>
      <w:r>
        <w:rPr>
          <w:rFonts w:ascii="Algerian" w:hAnsi="Algerian"/>
          <w:rtl/>
        </w:rPr>
        <w:t xml:space="preserve"> </w:t>
      </w:r>
      <w:r>
        <w:rPr>
          <w:rFonts w:ascii="Algerian" w:hAnsi="Algerian" w:hint="eastAsia"/>
          <w:rtl/>
        </w:rPr>
        <w:t>עניינו</w:t>
      </w:r>
      <w:r>
        <w:rPr>
          <w:rFonts w:ascii="Algerian" w:hAnsi="Algerian"/>
          <w:rtl/>
        </w:rPr>
        <w:t xml:space="preserve"> </w:t>
      </w:r>
      <w:r>
        <w:rPr>
          <w:rFonts w:ascii="Algerian" w:hAnsi="Algerian" w:hint="eastAsia"/>
          <w:rtl/>
        </w:rPr>
        <w:t>נדון</w:t>
      </w:r>
      <w:r>
        <w:rPr>
          <w:rFonts w:ascii="Algerian" w:hAnsi="Algerian"/>
          <w:rtl/>
        </w:rPr>
        <w:t xml:space="preserve"> </w:t>
      </w:r>
      <w:r>
        <w:rPr>
          <w:rFonts w:ascii="Algerian" w:hAnsi="Algerian" w:hint="eastAsia"/>
          <w:rtl/>
        </w:rPr>
        <w:t>בנפרד</w:t>
      </w:r>
      <w:r>
        <w:rPr>
          <w:rFonts w:ascii="Algerian" w:hAnsi="Algerian"/>
          <w:rtl/>
        </w:rPr>
        <w:t xml:space="preserve">, </w:t>
      </w:r>
      <w:r>
        <w:rPr>
          <w:rFonts w:ascii="Algerian" w:hAnsi="Algerian" w:hint="eastAsia"/>
          <w:rtl/>
        </w:rPr>
        <w:t>בפני</w:t>
      </w:r>
      <w:r>
        <w:rPr>
          <w:rFonts w:ascii="Algerian" w:hAnsi="Algerian"/>
          <w:rtl/>
        </w:rPr>
        <w:t xml:space="preserve"> </w:t>
      </w:r>
      <w:r>
        <w:rPr>
          <w:rFonts w:ascii="Algerian" w:hAnsi="Algerian" w:hint="eastAsia"/>
          <w:rtl/>
        </w:rPr>
        <w:t>כב</w:t>
      </w:r>
      <w:r>
        <w:rPr>
          <w:rFonts w:ascii="Algerian" w:hAnsi="Algerian"/>
          <w:rtl/>
        </w:rPr>
        <w:t xml:space="preserve">' </w:t>
      </w:r>
      <w:r>
        <w:rPr>
          <w:rFonts w:ascii="Algerian" w:hAnsi="Algerian" w:hint="eastAsia"/>
          <w:rtl/>
        </w:rPr>
        <w:t>הש</w:t>
      </w:r>
      <w:r>
        <w:rPr>
          <w:rFonts w:ascii="Algerian" w:hAnsi="Algerian"/>
          <w:rtl/>
        </w:rPr>
        <w:t xml:space="preserve">' </w:t>
      </w:r>
      <w:r>
        <w:rPr>
          <w:rFonts w:ascii="Algerian" w:hAnsi="Algerian" w:hint="eastAsia"/>
          <w:rtl/>
        </w:rPr>
        <w:t>הורוביץ</w:t>
      </w:r>
      <w:r>
        <w:rPr>
          <w:rFonts w:ascii="Algerian" w:hAnsi="Algerian"/>
          <w:rtl/>
        </w:rPr>
        <w:t xml:space="preserve">, </w:t>
      </w:r>
      <w:r>
        <w:rPr>
          <w:rFonts w:ascii="Algerian" w:hAnsi="Algerian" w:hint="eastAsia"/>
          <w:rtl/>
        </w:rPr>
        <w:t>הודה</w:t>
      </w:r>
      <w:r>
        <w:rPr>
          <w:rFonts w:ascii="Algerian" w:hAnsi="Algerian"/>
          <w:rtl/>
        </w:rPr>
        <w:t xml:space="preserve"> </w:t>
      </w:r>
      <w:r>
        <w:rPr>
          <w:rFonts w:ascii="Algerian" w:hAnsi="Algerian" w:hint="eastAsia"/>
          <w:rtl/>
        </w:rPr>
        <w:t>בעובדות</w:t>
      </w:r>
      <w:r>
        <w:rPr>
          <w:rFonts w:ascii="Algerian" w:hAnsi="Algerian"/>
          <w:rtl/>
        </w:rPr>
        <w:t xml:space="preserve"> </w:t>
      </w:r>
      <w:r>
        <w:rPr>
          <w:rFonts w:ascii="Algerian" w:hAnsi="Algerian" w:hint="eastAsia"/>
          <w:rtl/>
        </w:rPr>
        <w:t>כתב</w:t>
      </w:r>
      <w:r>
        <w:rPr>
          <w:rFonts w:ascii="Algerian" w:hAnsi="Algerian"/>
          <w:rtl/>
        </w:rPr>
        <w:t xml:space="preserve"> </w:t>
      </w:r>
      <w:r>
        <w:rPr>
          <w:rFonts w:ascii="Algerian" w:hAnsi="Algerian" w:hint="eastAsia"/>
          <w:rtl/>
        </w:rPr>
        <w:t>אישום</w:t>
      </w:r>
      <w:r>
        <w:rPr>
          <w:rFonts w:ascii="Algerian" w:hAnsi="Algerian"/>
          <w:rtl/>
        </w:rPr>
        <w:t xml:space="preserve"> </w:t>
      </w:r>
      <w:r>
        <w:rPr>
          <w:rFonts w:ascii="Algerian" w:hAnsi="Algerian" w:hint="eastAsia"/>
          <w:rtl/>
        </w:rPr>
        <w:t>מתוקן</w:t>
      </w:r>
      <w:r>
        <w:rPr>
          <w:rFonts w:ascii="Algerian" w:hAnsi="Algerian"/>
          <w:rtl/>
        </w:rPr>
        <w:t xml:space="preserve"> </w:t>
      </w:r>
      <w:r>
        <w:rPr>
          <w:rFonts w:ascii="Algerian" w:hAnsi="Algerian" w:hint="eastAsia"/>
          <w:rtl/>
        </w:rPr>
        <w:t>ודינו</w:t>
      </w:r>
      <w:r>
        <w:rPr>
          <w:rFonts w:ascii="Algerian" w:hAnsi="Algerian"/>
          <w:rtl/>
        </w:rPr>
        <w:t xml:space="preserve"> </w:t>
      </w:r>
      <w:r>
        <w:rPr>
          <w:rFonts w:ascii="Algerian" w:hAnsi="Algerian" w:hint="eastAsia"/>
          <w:rtl/>
        </w:rPr>
        <w:t>טרם</w:t>
      </w:r>
      <w:r>
        <w:rPr>
          <w:rFonts w:ascii="Algerian" w:hAnsi="Algerian"/>
          <w:rtl/>
        </w:rPr>
        <w:t xml:space="preserve"> </w:t>
      </w:r>
      <w:r>
        <w:rPr>
          <w:rFonts w:ascii="Algerian" w:hAnsi="Algerian" w:hint="eastAsia"/>
          <w:rtl/>
        </w:rPr>
        <w:t>נגזר</w:t>
      </w:r>
      <w:r>
        <w:rPr>
          <w:rFonts w:ascii="Algerian" w:hAnsi="Algerian"/>
          <w:rtl/>
        </w:rPr>
        <w:t xml:space="preserve">.  </w:t>
      </w:r>
    </w:p>
    <w:p w14:paraId="1D864EDB" w14:textId="77777777" w:rsidR="00D43E0E" w:rsidRDefault="00D43E0E">
      <w:pPr>
        <w:pStyle w:val="David"/>
        <w:rPr>
          <w:rtl/>
        </w:rPr>
      </w:pPr>
    </w:p>
    <w:p w14:paraId="448BF077" w14:textId="77777777" w:rsidR="00D43E0E" w:rsidRDefault="00D633E8">
      <w:pPr>
        <w:spacing w:line="360" w:lineRule="auto"/>
        <w:ind w:left="720"/>
        <w:jc w:val="both"/>
        <w:rPr>
          <w:rtl/>
        </w:rPr>
      </w:pPr>
      <w:r>
        <w:rPr>
          <w:b/>
          <w:bCs/>
          <w:rtl/>
        </w:rPr>
        <w:t>ב.</w:t>
      </w:r>
      <w:r>
        <w:rPr>
          <w:rtl/>
        </w:rPr>
        <w:t xml:space="preserve"> מלבד הסכנה שנשקפה לאנשים המעורבים בסכסוך הספציפי, והגם שבסופו של יום אלו לא נפגעו, לא ניתן להתעלם מהסיכון לכלל הציבור הטמון במעשיהם של הנאשם ושותפו. עסקינן בעבירות אשר בוצעו בתוך הכפר, באזור מגורים צפוף, לאור יום ובזמן ארוחת החג, דבר מעיד על תעוזה ומסוכנות רבה. ב"כ המאשימה הגישה לוח צילומים מיום 12/4/12 המתעד את הבית וסביבתו, וכן קליעים ופגיעות הכדורים באזורים שונים של הבית, לרבות בחלון המצוי בקומה השנייה (ת/2). </w:t>
      </w:r>
    </w:p>
    <w:p w14:paraId="4794D4F4" w14:textId="77777777" w:rsidR="00D43E0E" w:rsidRDefault="00D43E0E">
      <w:pPr>
        <w:ind w:left="720"/>
        <w:jc w:val="both"/>
        <w:rPr>
          <w:rtl/>
        </w:rPr>
      </w:pPr>
    </w:p>
    <w:p w14:paraId="33BA78AC" w14:textId="77777777" w:rsidR="00D43E0E" w:rsidRDefault="00D633E8">
      <w:pPr>
        <w:spacing w:line="360" w:lineRule="auto"/>
        <w:ind w:left="720"/>
        <w:jc w:val="both"/>
        <w:rPr>
          <w:rtl/>
        </w:rPr>
      </w:pPr>
      <w:r>
        <w:rPr>
          <w:b/>
          <w:bCs/>
          <w:rtl/>
        </w:rPr>
        <w:t>ג.</w:t>
      </w:r>
      <w:r>
        <w:rPr>
          <w:rtl/>
        </w:rPr>
        <w:t xml:space="preserve"> לטענתה, העובדה שהירי לא פגע באדם ספציפי אין בה כדי להקהות מחומרת המעשה. לא פעם אנו עדים למקרים בהם שימוש פזיז בנשק, ללא כוונות קטילה או פגיעה בחיי אדם, יכול להוביל לפגיעה בחיי אדם, ואירועי אלימות דומים המתרחשים על רקע סכסוכים מסתיימים בפגיעה בחפים מפשע. </w:t>
      </w:r>
    </w:p>
    <w:p w14:paraId="13B424C5" w14:textId="77777777" w:rsidR="00D43E0E" w:rsidRDefault="00D43E0E">
      <w:pPr>
        <w:spacing w:line="360" w:lineRule="auto"/>
        <w:ind w:left="720"/>
        <w:jc w:val="both"/>
        <w:rPr>
          <w:rtl/>
        </w:rPr>
      </w:pPr>
    </w:p>
    <w:p w14:paraId="00F35B95" w14:textId="77777777" w:rsidR="00D43E0E" w:rsidRDefault="00D633E8">
      <w:pPr>
        <w:spacing w:line="360" w:lineRule="auto"/>
        <w:ind w:left="720"/>
        <w:jc w:val="both"/>
        <w:rPr>
          <w:b/>
          <w:bCs/>
          <w:rtl/>
        </w:rPr>
      </w:pPr>
      <w:r>
        <w:rPr>
          <w:b/>
          <w:bCs/>
          <w:rtl/>
        </w:rPr>
        <w:t>ד.</w:t>
      </w:r>
      <w:r>
        <w:rPr>
          <w:rtl/>
        </w:rPr>
        <w:t xml:space="preserve"> המחוקק ייחס חומרה רבה לעבירות הנשק אותן ביצע הנאשם ולא בכדי קבע בצידן עונשי מאסר משמעותיים. בתי המשפט עמדו לא פעם על חומרת עבירות הנשק והסיכון הטמון בעבירות אלו והפוטנציאל להסלמת האלימות והעבריינות והצורך בהטלת ענישה מרתיעה. </w:t>
      </w:r>
    </w:p>
    <w:p w14:paraId="130D1795" w14:textId="77777777" w:rsidR="00D43E0E" w:rsidRDefault="00D43E0E">
      <w:pPr>
        <w:ind w:left="720"/>
        <w:jc w:val="both"/>
        <w:rPr>
          <w:b/>
          <w:bCs/>
          <w:rtl/>
        </w:rPr>
      </w:pPr>
    </w:p>
    <w:p w14:paraId="784E684C" w14:textId="77777777" w:rsidR="00D43E0E" w:rsidRDefault="00D633E8">
      <w:pPr>
        <w:spacing w:line="360" w:lineRule="auto"/>
        <w:ind w:left="720"/>
        <w:jc w:val="both"/>
        <w:rPr>
          <w:rtl/>
        </w:rPr>
      </w:pPr>
      <w:r>
        <w:rPr>
          <w:b/>
          <w:bCs/>
          <w:rtl/>
        </w:rPr>
        <w:t>ה.</w:t>
      </w:r>
      <w:r>
        <w:rPr>
          <w:rtl/>
        </w:rPr>
        <w:t xml:space="preserve"> הנאשם דידן היה עצור בין התאריכים 28/7/12- 9/9/12, ומאז שוהה כאמור במעצר בית. ב"כ המאשימה ביקשה שלא לאמץ את המלצתו של שירות המבחן בעניינו של הנאשם, מן הטעם שבנסיבות העניין ראוי כי נסיבותיו האישיות של הנאשם, שאינן חריגות, יידחו בפני אינטרס ההגנה על הציבור, בגינו עומד מתחם הענישה על הרף המצוין לעיל. שירות המבחן דן באינטרס האישי של הנאשם, בעוד ששיקוליו של בית המשפט הינם רחבים הרבה יותר. לטענתה, ראוי להטיל על הנאשם את הרף הגבוה של המתחם, והימנעות משליחתו לריצוי מאסר בפועל תעביר מסר מוטעה לציבור של ענישה סלחנית כלפי אדם שבחר להשתמש בנשק חם על מנת ליישב סכסוכים ובנס לא היו פגיעות בגוף ובנפש. </w:t>
      </w:r>
    </w:p>
    <w:p w14:paraId="730427A6" w14:textId="77777777" w:rsidR="00D43E0E" w:rsidRDefault="00D43E0E">
      <w:pPr>
        <w:spacing w:line="360" w:lineRule="auto"/>
        <w:ind w:left="720"/>
        <w:jc w:val="both"/>
        <w:rPr>
          <w:rtl/>
        </w:rPr>
      </w:pPr>
    </w:p>
    <w:p w14:paraId="01721374" w14:textId="77777777" w:rsidR="00D43E0E" w:rsidRDefault="00D633E8">
      <w:pPr>
        <w:spacing w:line="360" w:lineRule="auto"/>
        <w:ind w:left="720"/>
        <w:jc w:val="both"/>
        <w:rPr>
          <w:rtl/>
        </w:rPr>
      </w:pPr>
      <w:r>
        <w:rPr>
          <w:rtl/>
        </w:rPr>
        <w:t xml:space="preserve">לפיכך, ביקשה להחמיר בעונשו כמפורט לעיל. </w:t>
      </w:r>
    </w:p>
    <w:p w14:paraId="1060FE45" w14:textId="77777777" w:rsidR="00D43E0E" w:rsidRDefault="00D43E0E">
      <w:pPr>
        <w:spacing w:line="360" w:lineRule="auto"/>
        <w:ind w:left="720"/>
        <w:jc w:val="both"/>
        <w:rPr>
          <w:rtl/>
        </w:rPr>
      </w:pPr>
    </w:p>
    <w:p w14:paraId="74074839" w14:textId="77777777" w:rsidR="00D43E0E" w:rsidRDefault="00D633E8">
      <w:pPr>
        <w:spacing w:line="360" w:lineRule="auto"/>
        <w:jc w:val="both"/>
        <w:rPr>
          <w:b/>
          <w:bCs/>
          <w:u w:val="single"/>
          <w:rtl/>
        </w:rPr>
      </w:pPr>
      <w:r>
        <w:rPr>
          <w:b/>
          <w:bCs/>
          <w:rtl/>
        </w:rPr>
        <w:t>5.</w:t>
      </w:r>
      <w:r>
        <w:rPr>
          <w:b/>
          <w:bCs/>
          <w:rtl/>
        </w:rPr>
        <w:tab/>
      </w:r>
      <w:r>
        <w:rPr>
          <w:b/>
          <w:bCs/>
          <w:u w:val="single"/>
          <w:rtl/>
        </w:rPr>
        <w:t xml:space="preserve">טיעוני הנאשם </w:t>
      </w:r>
    </w:p>
    <w:p w14:paraId="566AB006" w14:textId="77777777" w:rsidR="00D43E0E" w:rsidRDefault="00D633E8">
      <w:pPr>
        <w:pStyle w:val="David"/>
        <w:ind w:left="720"/>
        <w:rPr>
          <w:rtl/>
        </w:rPr>
      </w:pPr>
      <w:r>
        <w:rPr>
          <w:rtl/>
        </w:rPr>
        <w:t xml:space="preserve">סנגורו של הנאשם ביקש שלא למצות את הדין עם מרשו, לאמץ את המלצת שירות המבחן בעניינו ולהטיל עליו עונש מאסר שירוצה בעבודות שירות. </w:t>
      </w:r>
    </w:p>
    <w:p w14:paraId="55EFBB68" w14:textId="77777777" w:rsidR="00D43E0E" w:rsidRDefault="00D43E0E">
      <w:pPr>
        <w:pStyle w:val="David"/>
        <w:ind w:left="720"/>
        <w:rPr>
          <w:highlight w:val="yellow"/>
          <w:rtl/>
        </w:rPr>
      </w:pPr>
    </w:p>
    <w:p w14:paraId="68F56DD4" w14:textId="77777777" w:rsidR="00D43E0E" w:rsidRDefault="00D633E8">
      <w:pPr>
        <w:pStyle w:val="David"/>
        <w:ind w:left="720"/>
        <w:rPr>
          <w:rtl/>
        </w:rPr>
      </w:pPr>
      <w:r>
        <w:rPr>
          <w:b/>
          <w:bCs/>
          <w:rtl/>
        </w:rPr>
        <w:t>א.</w:t>
      </w:r>
      <w:r>
        <w:rPr>
          <w:rtl/>
        </w:rPr>
        <w:t xml:space="preserve"> בחוזרו על עובדות האירוע נשוא כתב האישום המתוקן, ביקש הסנגור להבהיר כי הנאשם סיפר לשותפו ג'בארין שעבד עמו, על התנהלותם של המתלוננים, אשר תקפו אותו ואת אחיו, עת ישבו יחד, אכלו ושתו אלכוהול. ג'בארין הציע לנאשם לבצע "מעין פרובוקציה למתלונן". תחילה לא ידע הנאשם כי הוא נושא אקדח, אך הדבר נודע לו בדרך מהמקום בו ישבו לבית המתלוננים, הוא לא חשב שג'בארין יעשה שימוש באקדח, ולשאלתו "למה אתה צריך את האקדח" השיב ג'בארין כי "...במידת הצורך, אם נהיה מאוימים בדרך כלשהי, ובזה התחיל האירוע". </w:t>
      </w:r>
    </w:p>
    <w:p w14:paraId="2A83512F" w14:textId="77777777" w:rsidR="00D43E0E" w:rsidRDefault="00D43E0E">
      <w:pPr>
        <w:pStyle w:val="David"/>
        <w:spacing w:line="240" w:lineRule="auto"/>
        <w:ind w:left="720"/>
        <w:rPr>
          <w:rtl/>
        </w:rPr>
      </w:pPr>
    </w:p>
    <w:p w14:paraId="0ACE3286" w14:textId="77777777" w:rsidR="00D43E0E" w:rsidRDefault="00D633E8">
      <w:pPr>
        <w:pStyle w:val="David"/>
        <w:ind w:left="720"/>
        <w:rPr>
          <w:rtl/>
        </w:rPr>
      </w:pPr>
      <w:r>
        <w:rPr>
          <w:rtl/>
        </w:rPr>
        <w:t>כן ביקש להדגיש כי הנאשם לא החזיק בפועל בנשק, וכי העבירה של נשיאת נשק מיוחסת לו מכוח ביצוע בצוותא</w:t>
      </w:r>
      <w:r>
        <w:rPr>
          <w:rFonts w:hint="cs"/>
          <w:rtl/>
        </w:rPr>
        <w:t>.</w:t>
      </w:r>
      <w:r>
        <w:rPr>
          <w:rtl/>
        </w:rPr>
        <w:t xml:space="preserve"> כמו כן, קשירת קשר לביצוע פשע נוצרה תוך כדי הנסיעה ולא קודם לכן. </w:t>
      </w:r>
    </w:p>
    <w:p w14:paraId="2374E5DF" w14:textId="77777777" w:rsidR="00D43E0E" w:rsidRDefault="00D43E0E">
      <w:pPr>
        <w:pStyle w:val="David"/>
        <w:ind w:left="720"/>
        <w:rPr>
          <w:rtl/>
        </w:rPr>
      </w:pPr>
    </w:p>
    <w:p w14:paraId="56A34F69" w14:textId="77777777" w:rsidR="00D43E0E" w:rsidRDefault="00D633E8">
      <w:pPr>
        <w:pStyle w:val="David"/>
        <w:ind w:left="720"/>
        <w:rPr>
          <w:rtl/>
        </w:rPr>
      </w:pPr>
      <w:r>
        <w:rPr>
          <w:b/>
          <w:bCs/>
          <w:rtl/>
        </w:rPr>
        <w:t>ב.</w:t>
      </w:r>
      <w:r>
        <w:rPr>
          <w:rtl/>
        </w:rPr>
        <w:t xml:space="preserve"> הסניגור ביקש להתחשב לקולא בהודייתו המיידית של הנאשם במשטרה, אשר חסכה זמן יקר של כוחות המשטרה, והביאה בסופו של דבר גם למעצרו ולהפללתו של ג'בארין, בציינו כי הנאשם הנו עד מרכזי אם לא יחיד נגד שותפו. </w:t>
      </w:r>
    </w:p>
    <w:p w14:paraId="522A6036" w14:textId="77777777" w:rsidR="00D43E0E" w:rsidRDefault="00D43E0E">
      <w:pPr>
        <w:pStyle w:val="David"/>
        <w:ind w:left="720"/>
        <w:rPr>
          <w:rtl/>
        </w:rPr>
      </w:pPr>
    </w:p>
    <w:p w14:paraId="3EB9D521" w14:textId="77777777" w:rsidR="00D43E0E" w:rsidRDefault="00D633E8">
      <w:pPr>
        <w:pStyle w:val="David"/>
        <w:ind w:left="720"/>
        <w:rPr>
          <w:rtl/>
        </w:rPr>
      </w:pPr>
      <w:r>
        <w:rPr>
          <w:rtl/>
        </w:rPr>
        <w:t xml:space="preserve">כן ביקש להתחשב בהודייתו של הנאשם בבית המשפט בהזדמנות הראשונה, לאחר שכתב האישום תוקן משמעותית, אשר חסכה זמן שיפוטי יקר, וכן באחריות והחרטה שנטל למעשיו. לטענתו, התנהלותו של הנאשם מחזקת את הרושם כי מדובר בהודייה כנה ואמיתית. </w:t>
      </w:r>
    </w:p>
    <w:p w14:paraId="7A3220D6" w14:textId="77777777" w:rsidR="00D43E0E" w:rsidRDefault="00D43E0E">
      <w:pPr>
        <w:pStyle w:val="David"/>
        <w:ind w:left="720"/>
        <w:rPr>
          <w:rtl/>
        </w:rPr>
      </w:pPr>
    </w:p>
    <w:p w14:paraId="7022A761" w14:textId="77777777" w:rsidR="00D43E0E" w:rsidRDefault="00D633E8">
      <w:pPr>
        <w:spacing w:line="360" w:lineRule="auto"/>
        <w:ind w:left="720"/>
        <w:jc w:val="both"/>
        <w:rPr>
          <w:rtl/>
        </w:rPr>
      </w:pPr>
      <w:r>
        <w:rPr>
          <w:b/>
          <w:bCs/>
          <w:rtl/>
        </w:rPr>
        <w:t>ג.</w:t>
      </w:r>
      <w:r>
        <w:rPr>
          <w:rtl/>
        </w:rPr>
        <w:t xml:space="preserve"> לשיטתו, אין לגזור גזירה שווה בין הנאשם לבין שותפו לעבירה, שכן גם ההתנהלות של ג'בארין בבית המשפט היתה אחרת, והודייתו באה רק לאחר שהוחל בשמיעת הראיות בעניינו. לכן, ההבדל בינו לבין הנאשם שעומד בפנינו מבחינת חלקו של כל אחד בביצוע בעבירה, והתנהלותם לאחר ביצועה הוא עצום, ויש להקל בעונשו של הנאשם. </w:t>
      </w:r>
    </w:p>
    <w:p w14:paraId="7C7C14F8" w14:textId="77777777" w:rsidR="00D43E0E" w:rsidRDefault="00D43E0E">
      <w:pPr>
        <w:pStyle w:val="David"/>
        <w:ind w:left="720"/>
        <w:rPr>
          <w:rtl/>
        </w:rPr>
      </w:pPr>
    </w:p>
    <w:p w14:paraId="3F3D5B1D" w14:textId="77777777" w:rsidR="00D43E0E" w:rsidRDefault="00D633E8">
      <w:pPr>
        <w:pStyle w:val="David"/>
        <w:ind w:left="720"/>
        <w:rPr>
          <w:rtl/>
        </w:rPr>
      </w:pPr>
      <w:r>
        <w:rPr>
          <w:b/>
          <w:bCs/>
          <w:rtl/>
        </w:rPr>
        <w:t>ד.</w:t>
      </w:r>
      <w:r>
        <w:rPr>
          <w:rtl/>
        </w:rPr>
        <w:t xml:space="preserve"> בהדגישו את עקרון הענישה האינדיבידואלית ביקש הסנגור להתחשב בנסיבותיו האישיות של הנאשם כמפורט בתסקיר שירות המבחן, בעובדה כי היה במעצר למעלה מחודשיים, ומזה כחמישה חודשים הוא מורחק ממקום מגוריו ושוהה במעצר בית מלא. </w:t>
      </w:r>
    </w:p>
    <w:p w14:paraId="2FDD4C77" w14:textId="77777777" w:rsidR="00D43E0E" w:rsidRDefault="00D43E0E">
      <w:pPr>
        <w:pStyle w:val="David"/>
        <w:ind w:left="720"/>
        <w:rPr>
          <w:rtl/>
        </w:rPr>
      </w:pPr>
    </w:p>
    <w:p w14:paraId="57CB3E68" w14:textId="77777777" w:rsidR="00D43E0E" w:rsidRDefault="00D633E8">
      <w:pPr>
        <w:pStyle w:val="David"/>
        <w:ind w:left="720"/>
        <w:rPr>
          <w:rtl/>
        </w:rPr>
      </w:pPr>
      <w:r>
        <w:rPr>
          <w:b/>
          <w:bCs/>
          <w:rtl/>
        </w:rPr>
        <w:t>ה.</w:t>
      </w:r>
      <w:r>
        <w:rPr>
          <w:rtl/>
        </w:rPr>
        <w:t xml:space="preserve"> אשר להרשעה הקודמת בגין העבירה שביצע בשנת 03', זו התיישנה זה מכבר ולכן בעת גזירת דינו מן הראוי להתייחס לנאשם כאל מי שעברו הפלילי הנו נקי. </w:t>
      </w:r>
    </w:p>
    <w:p w14:paraId="2B25F912" w14:textId="77777777" w:rsidR="00D43E0E" w:rsidRDefault="00D633E8">
      <w:pPr>
        <w:pStyle w:val="David"/>
        <w:rPr>
          <w:rtl/>
        </w:rPr>
      </w:pPr>
      <w:r>
        <w:rPr>
          <w:rtl/>
        </w:rPr>
        <w:tab/>
      </w:r>
    </w:p>
    <w:p w14:paraId="6AD0E07B" w14:textId="77777777" w:rsidR="00D43E0E" w:rsidRDefault="00D633E8">
      <w:pPr>
        <w:spacing w:line="360" w:lineRule="auto"/>
        <w:ind w:left="720"/>
        <w:jc w:val="both"/>
        <w:rPr>
          <w:rtl/>
        </w:rPr>
      </w:pPr>
      <w:r>
        <w:rPr>
          <w:b/>
          <w:bCs/>
          <w:rtl/>
        </w:rPr>
        <w:t>ו.</w:t>
      </w:r>
      <w:r>
        <w:rPr>
          <w:rtl/>
        </w:rPr>
        <w:t xml:space="preserve"> הסנגור הגיש לבית המשפט הסכם סולחה בין משפחת הנאשם למשפחת המתלוננים (נ/1), והסביר כי ההסכם אינו נושא את חתימתו של הנאשם, מכיוון שהוא שוהה במקום מרוחק ממקום מגוריו: "את הסולחה עשו בסחנין ואני הייתי בלוד. המשפחות הגיעו לסולחה. אני הייתי מורחק, בוודאי שהסולחה היתה על דעתי" (עמ' 19 לפרוט'). </w:t>
      </w:r>
    </w:p>
    <w:p w14:paraId="6A40D0AF" w14:textId="77777777" w:rsidR="00D43E0E" w:rsidRDefault="00D43E0E">
      <w:pPr>
        <w:spacing w:line="360" w:lineRule="auto"/>
        <w:ind w:left="720"/>
        <w:jc w:val="both"/>
        <w:rPr>
          <w:rtl/>
        </w:rPr>
      </w:pPr>
    </w:p>
    <w:p w14:paraId="5392A91B" w14:textId="77777777" w:rsidR="00D43E0E" w:rsidRDefault="00D633E8">
      <w:pPr>
        <w:spacing w:line="360" w:lineRule="auto"/>
        <w:ind w:left="720"/>
        <w:jc w:val="both"/>
        <w:rPr>
          <w:rtl/>
        </w:rPr>
      </w:pPr>
      <w:r>
        <w:rPr>
          <w:rtl/>
        </w:rPr>
        <w:t xml:space="preserve">בעומדו על חשיבותו של מוסד הסולחה במגזר הערבי, טען הסנגור כי הסולחה במקרה הנדון הינה אמיתית, הנאשם הנו שותף לה, ובעקבותיה הסכימו בני משפחת המתלוננים כי הנאשם יחזור לסחנין. כן ציין כי במשרדו העתק נוסף של הסכם הסולחה עליו חתום הנאשם וכי יעבירו לביהמ"ש. </w:t>
      </w:r>
    </w:p>
    <w:p w14:paraId="3C6E615A" w14:textId="77777777" w:rsidR="00D43E0E" w:rsidRDefault="00D43E0E">
      <w:pPr>
        <w:spacing w:line="360" w:lineRule="auto"/>
        <w:jc w:val="both"/>
        <w:rPr>
          <w:b/>
          <w:bCs/>
          <w:rtl/>
        </w:rPr>
      </w:pPr>
    </w:p>
    <w:p w14:paraId="71998CCA" w14:textId="77777777" w:rsidR="00D43E0E" w:rsidRDefault="00D633E8">
      <w:pPr>
        <w:pStyle w:val="David"/>
        <w:ind w:left="720"/>
        <w:rPr>
          <w:rtl/>
        </w:rPr>
      </w:pPr>
      <w:r>
        <w:rPr>
          <w:b/>
          <w:bCs/>
          <w:rtl/>
        </w:rPr>
        <w:t>ז</w:t>
      </w:r>
      <w:r>
        <w:rPr>
          <w:rtl/>
        </w:rPr>
        <w:t xml:space="preserve">. לדידו, בנסיבות העניין המלצתו של שירות המבחן, להטיל על הנאשם עונש שירוצה בעבודות שירות, משקפת את האיזון הראוי בין מכלול השיקולים והאינטרסים העומדים על הפרק, לרבות נסיבותיו האישיות, חומרת העבירה ואינטרס ההגנה על הציבור. בהדגישו את מעמדו המיוחד של שירות המבחן, ואת חשיבותו של אינטרס השיקום בענישה, טען הסניגור כי בתי המשפט אינם נוטים לסטות מהמלצותיו אלא במקרים מיוחדים. </w:t>
      </w:r>
    </w:p>
    <w:p w14:paraId="2ABB0C15" w14:textId="77777777" w:rsidR="00D43E0E" w:rsidRDefault="00D43E0E">
      <w:pPr>
        <w:pStyle w:val="David"/>
        <w:ind w:left="720"/>
        <w:rPr>
          <w:rtl/>
        </w:rPr>
      </w:pPr>
    </w:p>
    <w:p w14:paraId="64CB4E47" w14:textId="77777777" w:rsidR="00D43E0E" w:rsidRDefault="00D633E8">
      <w:pPr>
        <w:pStyle w:val="David"/>
        <w:ind w:left="720"/>
        <w:rPr>
          <w:rtl/>
        </w:rPr>
      </w:pPr>
      <w:r>
        <w:rPr>
          <w:rtl/>
        </w:rPr>
        <w:t>לפיכך, ביקש שלא להחמיר עם הנאשם, כאמור.</w:t>
      </w:r>
    </w:p>
    <w:p w14:paraId="6686F306" w14:textId="77777777" w:rsidR="00D43E0E" w:rsidRDefault="00D43E0E">
      <w:pPr>
        <w:pStyle w:val="David"/>
        <w:ind w:left="720"/>
        <w:rPr>
          <w:rtl/>
        </w:rPr>
      </w:pPr>
    </w:p>
    <w:p w14:paraId="62262956" w14:textId="77777777" w:rsidR="00D43E0E" w:rsidRDefault="00D633E8">
      <w:pPr>
        <w:spacing w:line="360" w:lineRule="auto"/>
        <w:ind w:left="720" w:hanging="720"/>
        <w:jc w:val="both"/>
        <w:rPr>
          <w:rFonts w:cs="Times New Roman"/>
          <w:rtl/>
        </w:rPr>
      </w:pPr>
      <w:r>
        <w:rPr>
          <w:b/>
          <w:bCs/>
          <w:rtl/>
        </w:rPr>
        <w:t>6.</w:t>
      </w:r>
      <w:r>
        <w:rPr>
          <w:b/>
          <w:bCs/>
          <w:rtl/>
        </w:rPr>
        <w:tab/>
      </w:r>
      <w:r>
        <w:rPr>
          <w:b/>
          <w:bCs/>
          <w:u w:val="single"/>
          <w:rtl/>
        </w:rPr>
        <w:t xml:space="preserve">דברי הנאשם- </w:t>
      </w:r>
      <w:r>
        <w:rPr>
          <w:rtl/>
        </w:rPr>
        <w:t>"</w:t>
      </w:r>
      <w:r>
        <w:rPr>
          <w:rFonts w:cs="Times New Roman"/>
          <w:rtl/>
        </w:rPr>
        <w:t xml:space="preserve">אני מתנצל, מצטער על הדבר שעשיתי, זאת פעם ראשונה שאני עושה דבר כזה, אני עם עבר פלילי נקי, היתה לי עבירה ב-03'... לא ישבתי בבית סוהר. עשיתי עבודות שירות חודשיים.... את האמת הסכסוך התחיל בין אח שלי לבין משפחת אבו יונס המתלוננים. תקפו אותו פעמיים, שלוש פעמים. אח שלי בן 26. תקפו אותו פעמיים ולא ידעתי איך הגעתי למצב הזה. התחלתי לספר לחבר שלי וקרה מה שקרה. עכשיו עשינו סולחה. </w:t>
      </w:r>
    </w:p>
    <w:p w14:paraId="6D0CA141" w14:textId="77777777" w:rsidR="00D43E0E" w:rsidRDefault="00D43E0E">
      <w:pPr>
        <w:spacing w:line="360" w:lineRule="auto"/>
        <w:jc w:val="both"/>
        <w:rPr>
          <w:rFonts w:cs="Times New Roman"/>
          <w:b/>
          <w:bCs/>
          <w:rtl/>
        </w:rPr>
      </w:pPr>
    </w:p>
    <w:p w14:paraId="189332BA" w14:textId="77777777" w:rsidR="00D43E0E" w:rsidRDefault="00D633E8">
      <w:pPr>
        <w:spacing w:line="360" w:lineRule="auto"/>
        <w:ind w:left="720"/>
        <w:jc w:val="both"/>
        <w:rPr>
          <w:rFonts w:cs="Times New Roman"/>
          <w:rtl/>
        </w:rPr>
      </w:pPr>
      <w:r>
        <w:rPr>
          <w:rFonts w:cs="Times New Roman"/>
          <w:rtl/>
        </w:rPr>
        <w:t xml:space="preserve">לשאלת בית המשפט איך קוראים לאח שלי שהרביצו לו – סעיד זבידאת... אני הייתי באותו יום מלווה אותו, וישבתי איתו מאז שתקפו אותו משעה שש בערב ועד שלוש בבוקר. הרביצו לו, יש לו מכות מכף הרגל ועד הראש. הכל היה שרוט. מלא דם. מי שהרביצו לו זה רדואן אבו יונס, אחד מהילדים שלו ואחד קרוב משפחה – נדיר אבו יונס, בן אחותו. מאז שהתחיל הסכסוך היו יושבים אח שלי ורדואן שהוא בן 50 ומשהו, אחד זורק מילה לשני ותקפו אחד את השני, אבל התקיפה היתה קטנה לא משהו רציני. זה היה לפני שנתיים. וחיכו עם זה כאילו שכחו את הקטע הזה עד לפני כשנה עד שתפסו את אח שלי, היה באיזה מקום אחרי התקיפה הראשונה ותקפו אותו שוב. באו שלושה, ארבעה אנשים, ירדו מהאוטו, ראו שאח שלי יושב פה. </w:t>
      </w:r>
    </w:p>
    <w:p w14:paraId="620DC3A3" w14:textId="77777777" w:rsidR="00D43E0E" w:rsidRDefault="00D43E0E">
      <w:pPr>
        <w:jc w:val="both"/>
        <w:rPr>
          <w:rFonts w:cs="Times New Roman"/>
          <w:sz w:val="14"/>
          <w:szCs w:val="14"/>
          <w:rtl/>
        </w:rPr>
      </w:pPr>
    </w:p>
    <w:p w14:paraId="45173BA7" w14:textId="77777777" w:rsidR="00D43E0E" w:rsidRDefault="00D633E8">
      <w:pPr>
        <w:spacing w:line="360" w:lineRule="auto"/>
        <w:ind w:left="720"/>
        <w:jc w:val="both"/>
        <w:rPr>
          <w:rtl/>
        </w:rPr>
      </w:pPr>
      <w:r>
        <w:rPr>
          <w:rFonts w:cs="Times New Roman"/>
          <w:rtl/>
        </w:rPr>
        <w:t>לשאלת בית המשפט כמה זמן אחרי זה אני הלכתי עם החבר שלי – כמעט כמה חודשים, שישה, שבעה חודשים, אני לא זוכר בדיוק. אני אף פעם לא התקרבתי לקטטות, לבעיות. היה לי פעם אחת ב-03' ואחרי זה אין. אני נקי במשטרה. לא היתה לי קטטה, תלונה. אני עובד בבניין</w:t>
      </w:r>
      <w:r>
        <w:rPr>
          <w:rtl/>
        </w:rPr>
        <w:t xml:space="preserve">". (עמ' 19-20 לפרוט'). </w:t>
      </w:r>
    </w:p>
    <w:p w14:paraId="27583DAD" w14:textId="77777777" w:rsidR="00D43E0E" w:rsidRDefault="00D43E0E">
      <w:pPr>
        <w:spacing w:line="360" w:lineRule="auto"/>
        <w:ind w:left="720"/>
        <w:jc w:val="both"/>
        <w:rPr>
          <w:rtl/>
        </w:rPr>
      </w:pPr>
    </w:p>
    <w:p w14:paraId="7F42DEAD" w14:textId="77777777" w:rsidR="00D43E0E" w:rsidRDefault="00D633E8">
      <w:pPr>
        <w:spacing w:line="360" w:lineRule="auto"/>
        <w:ind w:left="720" w:hanging="720"/>
        <w:jc w:val="both"/>
        <w:rPr>
          <w:rtl/>
        </w:rPr>
      </w:pPr>
      <w:r>
        <w:rPr>
          <w:b/>
          <w:bCs/>
          <w:rtl/>
        </w:rPr>
        <w:t>7</w:t>
      </w:r>
      <w:r>
        <w:rPr>
          <w:rtl/>
        </w:rPr>
        <w:t>.</w:t>
      </w:r>
      <w:r>
        <w:rPr>
          <w:rtl/>
        </w:rPr>
        <w:tab/>
        <w:t xml:space="preserve">באי כוח הצדדים הגישו פסיקה התומכת בעמדתם, מי לחומרא ומי לקולא. </w:t>
      </w:r>
    </w:p>
    <w:p w14:paraId="436581F7" w14:textId="77777777" w:rsidR="00D43E0E" w:rsidRDefault="00D43E0E">
      <w:pPr>
        <w:spacing w:line="360" w:lineRule="auto"/>
        <w:jc w:val="both"/>
        <w:rPr>
          <w:rtl/>
        </w:rPr>
      </w:pPr>
    </w:p>
    <w:p w14:paraId="2837C8F5" w14:textId="77777777" w:rsidR="00D43E0E" w:rsidRDefault="00D633E8">
      <w:pPr>
        <w:spacing w:line="360" w:lineRule="auto"/>
        <w:jc w:val="both"/>
        <w:rPr>
          <w:b/>
          <w:bCs/>
          <w:rtl/>
        </w:rPr>
      </w:pPr>
      <w:r>
        <w:rPr>
          <w:b/>
          <w:bCs/>
          <w:rtl/>
        </w:rPr>
        <w:tab/>
      </w:r>
      <w:r>
        <w:rPr>
          <w:b/>
          <w:bCs/>
          <w:u w:val="single"/>
          <w:rtl/>
        </w:rPr>
        <w:t>דיון</w:t>
      </w:r>
    </w:p>
    <w:p w14:paraId="7F252BE0" w14:textId="77777777" w:rsidR="00D43E0E" w:rsidRDefault="00D633E8">
      <w:pPr>
        <w:spacing w:line="360" w:lineRule="auto"/>
        <w:ind w:left="720" w:hanging="720"/>
        <w:jc w:val="both"/>
        <w:rPr>
          <w:rFonts w:ascii="Arial" w:hAnsi="Arial"/>
          <w:rtl/>
        </w:rPr>
      </w:pPr>
      <w:r>
        <w:rPr>
          <w:b/>
          <w:bCs/>
          <w:rtl/>
        </w:rPr>
        <w:t>8.</w:t>
      </w:r>
      <w:r>
        <w:rPr>
          <w:b/>
          <w:bCs/>
          <w:rtl/>
        </w:rPr>
        <w:tab/>
      </w:r>
      <w:r>
        <w:rPr>
          <w:rFonts w:ascii="Arial" w:hAnsi="Arial"/>
          <w:rtl/>
        </w:rPr>
        <w:t>קשה היא מלאכת גזירת הדין, בעיקר כאשר עסקינן באנשים צעירים אשר עברם אינו מכביד, ואשר ביצעו עבירות חמורות, הפוגעות בחברה. כידוע, מושפעת הענישה משיקולי גמול, מניעה והרתעה (אם כי קרנה של ההרתעה ירדה אחרונה בעקבות מחקרים רבים שנעשו על ידי אנשי אקדמיה), נסיבות ביצוע העבירות וחומרתן, נפיצותן ותדירות ביצוען, השפעתן על כלל החברה וההשלכות היכולות להיגרם מהן, כגון מידת הפגיעה בביטחון הציבור, והפחד שמעשים אלה נוטעים בלבו של אדם מן הישוב; עוד היא מושפעת מהנסיבות האישיות של מבצעי העבירות, גילם, עברם הפלילי, שיקולי שיקום ועוד. בכל מקרה ומקרה מוטלת על בית המשפט החובה לערוך את האיזון בין האינטרסים השונים. (</w:t>
      </w:r>
      <w:r>
        <w:rPr>
          <w:rtl/>
        </w:rPr>
        <w:t xml:space="preserve">ראו לעניין זה גם </w:t>
      </w:r>
      <w:hyperlink r:id="rId30" w:history="1">
        <w:r w:rsidR="000B6859" w:rsidRPr="000B6859">
          <w:rPr>
            <w:rStyle w:val="Hyperlink"/>
            <w:rtl/>
          </w:rPr>
          <w:t>ע"פ 4890/01 מ"י נ' פלוני, פ"ד נו</w:t>
        </w:r>
      </w:hyperlink>
      <w:r>
        <w:rPr>
          <w:rtl/>
        </w:rPr>
        <w:t xml:space="preserve">(1), 594, מפי כב' הש' בייניש (כתוארה אז); </w:t>
      </w:r>
      <w:hyperlink r:id="rId31" w:history="1">
        <w:r w:rsidR="000B6859" w:rsidRPr="000B6859">
          <w:rPr>
            <w:rStyle w:val="Hyperlink"/>
            <w:rtl/>
          </w:rPr>
          <w:t>ע"פ 2163/05</w:t>
        </w:r>
      </w:hyperlink>
      <w:r>
        <w:rPr>
          <w:rtl/>
        </w:rPr>
        <w:t xml:space="preserve"> </w:t>
      </w:r>
      <w:r>
        <w:rPr>
          <w:b/>
          <w:bCs/>
          <w:rtl/>
        </w:rPr>
        <w:t>דג'מיל אלייב נ' מ"י</w:t>
      </w:r>
      <w:r>
        <w:rPr>
          <w:rtl/>
        </w:rPr>
        <w:t xml:space="preserve"> (12/12/05),</w:t>
      </w:r>
      <w:r>
        <w:rPr>
          <w:rFonts w:ascii="Arial" w:hAnsi="Arial"/>
          <w:rtl/>
        </w:rPr>
        <w:t xml:space="preserve"> מפי כב' הש' רובינשטיין, ו</w:t>
      </w:r>
      <w:hyperlink r:id="rId32" w:history="1">
        <w:r w:rsidR="000B6859" w:rsidRPr="000B6859">
          <w:rPr>
            <w:rStyle w:val="Hyperlink"/>
            <w:rFonts w:ascii="Arial" w:hAnsi="Arial"/>
            <w:rtl/>
          </w:rPr>
          <w:t>ע"פ 344/81 מ"י נ' שחר סגל, פ"ד לה</w:t>
        </w:r>
      </w:hyperlink>
      <w:r>
        <w:rPr>
          <w:rFonts w:ascii="Arial" w:hAnsi="Arial"/>
          <w:rtl/>
        </w:rPr>
        <w:t xml:space="preserve"> (4), 313, מפי כב' הנשיא שמגר).</w:t>
      </w:r>
    </w:p>
    <w:p w14:paraId="50113E83" w14:textId="77777777" w:rsidR="00D43E0E" w:rsidRDefault="00D43E0E">
      <w:pPr>
        <w:spacing w:line="360" w:lineRule="auto"/>
        <w:ind w:left="720"/>
        <w:jc w:val="both"/>
        <w:rPr>
          <w:rFonts w:ascii="Arial" w:hAnsi="Arial"/>
          <w:rtl/>
        </w:rPr>
      </w:pPr>
    </w:p>
    <w:p w14:paraId="40981775" w14:textId="77777777" w:rsidR="00D43E0E" w:rsidRDefault="00D633E8">
      <w:pPr>
        <w:spacing w:line="360" w:lineRule="auto"/>
        <w:ind w:left="720"/>
        <w:jc w:val="both"/>
        <w:rPr>
          <w:rStyle w:val="normal-h"/>
          <w:rtl/>
        </w:rPr>
      </w:pPr>
      <w:r>
        <w:rPr>
          <w:rtl/>
        </w:rPr>
        <w:t>העיקרון המנחה בגזירת עונשו של נאשם הוא קיומו של יחס הולם בין חומרת העבירה בנסיבותיה ומידת אשמו של הנאשם, ובין סוג העונש המוטל עליו ומידתו. (</w:t>
      </w:r>
      <w:hyperlink r:id="rId33" w:history="1">
        <w:r w:rsidR="000A7739" w:rsidRPr="000A7739">
          <w:rPr>
            <w:rStyle w:val="Hyperlink"/>
            <w:rtl/>
          </w:rPr>
          <w:t>סעיף 40ב</w:t>
        </w:r>
      </w:hyperlink>
      <w:r>
        <w:rPr>
          <w:rtl/>
        </w:rPr>
        <w:t xml:space="preserve"> ל</w:t>
      </w:r>
      <w:hyperlink r:id="rId34" w:history="1">
        <w:r w:rsidR="000B6859" w:rsidRPr="000B6859">
          <w:rPr>
            <w:rStyle w:val="Hyperlink"/>
            <w:rtl/>
          </w:rPr>
          <w:t>חוק העונשין</w:t>
        </w:r>
      </w:hyperlink>
      <w:r>
        <w:rPr>
          <w:rtl/>
        </w:rPr>
        <w:t>). השיקולים לבחינת מתחם העונש ההולם למעשה העבירה הם הערך החברתי שנפגע מביצוע העבירה ומידת הפגיעה בו, מדיניות הענישה הנהוגה, ונסיבות הקשורות בביצוע העבירה כמפורט ב</w:t>
      </w:r>
      <w:hyperlink r:id="rId35" w:history="1">
        <w:r w:rsidR="000A7739" w:rsidRPr="000A7739">
          <w:rPr>
            <w:rStyle w:val="Hyperlink"/>
            <w:rtl/>
          </w:rPr>
          <w:t>סעיף 40ט</w:t>
        </w:r>
      </w:hyperlink>
      <w:r>
        <w:rPr>
          <w:rtl/>
        </w:rPr>
        <w:t xml:space="preserve"> ל</w:t>
      </w:r>
      <w:hyperlink r:id="rId36" w:history="1">
        <w:r w:rsidR="000B6859" w:rsidRPr="000B6859">
          <w:rPr>
            <w:rStyle w:val="Hyperlink"/>
            <w:rtl/>
          </w:rPr>
          <w:t>חוק העונשין</w:t>
        </w:r>
      </w:hyperlink>
      <w:r>
        <w:rPr>
          <w:rtl/>
        </w:rPr>
        <w:t xml:space="preserve"> (</w:t>
      </w:r>
      <w:hyperlink r:id="rId37" w:history="1">
        <w:r w:rsidR="000A7739" w:rsidRPr="000A7739">
          <w:rPr>
            <w:rStyle w:val="Hyperlink"/>
            <w:rtl/>
          </w:rPr>
          <w:t>סעיף 40ג(א)</w:t>
        </w:r>
      </w:hyperlink>
      <w:r>
        <w:rPr>
          <w:rtl/>
        </w:rPr>
        <w:t xml:space="preserve"> לחוק העונשין).</w:t>
      </w:r>
      <w:r>
        <w:rPr>
          <w:rStyle w:val="normal-h"/>
          <w:rtl/>
        </w:rPr>
        <w:t xml:space="preserve"> על פי </w:t>
      </w:r>
      <w:hyperlink r:id="rId38" w:history="1">
        <w:r w:rsidR="000A7739" w:rsidRPr="000A7739">
          <w:rPr>
            <w:rStyle w:val="Hyperlink"/>
            <w:rFonts w:cs="Times New Roman"/>
            <w:rtl/>
          </w:rPr>
          <w:t>סעיף 40יב</w:t>
        </w:r>
      </w:hyperlink>
      <w:r>
        <w:rPr>
          <w:rStyle w:val="normal-h"/>
          <w:rtl/>
        </w:rPr>
        <w:t xml:space="preserve"> ל</w:t>
      </w:r>
      <w:hyperlink r:id="rId39" w:history="1">
        <w:r w:rsidR="000B6859" w:rsidRPr="000B6859">
          <w:rPr>
            <w:rStyle w:val="Hyperlink"/>
            <w:rFonts w:cs="Times New Roman"/>
            <w:rtl/>
          </w:rPr>
          <w:t>חוק העונשין</w:t>
        </w:r>
      </w:hyperlink>
      <w:r>
        <w:rPr>
          <w:rStyle w:val="normal-h"/>
          <w:rtl/>
        </w:rPr>
        <w:t xml:space="preserve">, בית המשפט רשאי לשקול נסיבות נוספות הקשורות בביצוע העבירה לשם קביעת העונש ההולם. </w:t>
      </w:r>
    </w:p>
    <w:p w14:paraId="25C8C49D" w14:textId="77777777" w:rsidR="00D43E0E" w:rsidRDefault="00D43E0E">
      <w:pPr>
        <w:spacing w:line="360" w:lineRule="auto"/>
        <w:ind w:left="720"/>
        <w:jc w:val="both"/>
        <w:rPr>
          <w:rStyle w:val="normal-h"/>
          <w:rtl/>
        </w:rPr>
      </w:pPr>
    </w:p>
    <w:p w14:paraId="222B7E19" w14:textId="77777777" w:rsidR="00D43E0E" w:rsidRDefault="00D633E8">
      <w:pPr>
        <w:spacing w:line="360" w:lineRule="auto"/>
        <w:ind w:left="720"/>
        <w:jc w:val="both"/>
        <w:rPr>
          <w:rFonts w:ascii="Arial" w:hAnsi="Arial"/>
          <w:rtl/>
        </w:rPr>
      </w:pPr>
      <w:r>
        <w:rPr>
          <w:rStyle w:val="normal-h"/>
          <w:rtl/>
        </w:rPr>
        <w:t xml:space="preserve">הפסיקה פירשה את עקרון ההלימה - יחס הולם בין חומרת מעשיה העבירה ואשם הנאשם לבין חומרת העונש שיושת עליו - כמבטא את "עקרון הגמול". </w:t>
      </w:r>
      <w:r>
        <w:rPr>
          <w:rFonts w:ascii="Arial" w:hAnsi="Arial"/>
          <w:rtl/>
        </w:rPr>
        <w:t>ראו לענין זה דברי כב' הש' רובינשטיין ב</w:t>
      </w:r>
      <w:hyperlink r:id="rId40" w:history="1">
        <w:r w:rsidR="000B6859" w:rsidRPr="000B6859">
          <w:rPr>
            <w:rStyle w:val="Hyperlink"/>
            <w:rFonts w:ascii="Arial" w:hAnsi="Arial"/>
            <w:rtl/>
          </w:rPr>
          <w:t>ע"פ 1523/10</w:t>
        </w:r>
      </w:hyperlink>
      <w:r>
        <w:rPr>
          <w:rFonts w:ascii="Arial" w:hAnsi="Arial"/>
          <w:rtl/>
        </w:rPr>
        <w:t xml:space="preserve"> </w:t>
      </w:r>
      <w:r>
        <w:rPr>
          <w:rFonts w:ascii="Arial" w:hAnsi="Arial"/>
          <w:b/>
          <w:bCs/>
          <w:rtl/>
        </w:rPr>
        <w:t>פלונית נ' מ"י</w:t>
      </w:r>
      <w:r>
        <w:rPr>
          <w:rFonts w:ascii="Arial" w:hAnsi="Arial"/>
          <w:rtl/>
        </w:rPr>
        <w:t xml:space="preserve"> (18/4/12): </w:t>
      </w:r>
    </w:p>
    <w:p w14:paraId="79914E5C" w14:textId="77777777" w:rsidR="00D43E0E" w:rsidRDefault="00D43E0E">
      <w:pPr>
        <w:spacing w:line="360" w:lineRule="auto"/>
        <w:ind w:left="1440"/>
        <w:jc w:val="both"/>
        <w:rPr>
          <w:sz w:val="16"/>
          <w:szCs w:val="16"/>
          <w:rtl/>
        </w:rPr>
      </w:pPr>
    </w:p>
    <w:p w14:paraId="567811FC" w14:textId="77777777" w:rsidR="00D43E0E" w:rsidRDefault="00D633E8">
      <w:pPr>
        <w:spacing w:line="360" w:lineRule="auto"/>
        <w:ind w:left="1440"/>
        <w:jc w:val="both"/>
        <w:rPr>
          <w:rStyle w:val="normal-h"/>
          <w:rtl/>
        </w:rPr>
      </w:pPr>
      <w:r>
        <w:rPr>
          <w:rtl/>
        </w:rPr>
        <w:t>"</w:t>
      </w:r>
      <w:r>
        <w:rPr>
          <w:rFonts w:cs="Times New Roman"/>
          <w:rtl/>
        </w:rPr>
        <w:t xml:space="preserve">מלשון התיקון ברי (ראו גם דברי ההסבר הצעות </w:t>
      </w:r>
      <w:hyperlink r:id="rId41" w:history="1">
        <w:r w:rsidR="000B6859" w:rsidRPr="000B6859">
          <w:rPr>
            <w:rStyle w:val="Hyperlink"/>
            <w:rFonts w:cs="Times New Roman"/>
            <w:rtl/>
          </w:rPr>
          <w:t>חוק הממשלה</w:t>
        </w:r>
      </w:hyperlink>
      <w:r>
        <w:rPr>
          <w:rFonts w:cs="Times New Roman"/>
          <w:rtl/>
        </w:rPr>
        <w:t xml:space="preserve"> תשס"ו, 448-446), כי בגדרי עקרונות הענישה "גמול, הרתעה אישית או כללית, הגנת שלום הציבור ושיקום" ניתנה כאן בכורה לעקרון ההלימות. בדברי ההסבר נאמר, כי: "עקרון-העל, המוצע ב</w:t>
      </w:r>
      <w:hyperlink r:id="rId42" w:history="1">
        <w:r w:rsidR="000A7739" w:rsidRPr="000A7739">
          <w:rPr>
            <w:rStyle w:val="Hyperlink"/>
            <w:rFonts w:cs="Times New Roman"/>
            <w:rtl/>
          </w:rPr>
          <w:t>סעיף 40ב</w:t>
        </w:r>
      </w:hyperlink>
      <w:r>
        <w:rPr>
          <w:rFonts w:cs="Times New Roman"/>
          <w:rtl/>
        </w:rPr>
        <w:t>, הוא עקרון ההלימות, ולפיו נדרש יחס הולם בין חומרת מעשה העבירה ואשם הנאשם לבין חומרת העונש שיושת עליו. יחס זה מבטא את עקרון הגמול" (ראו גם דברי השופט חאלד כבוב בהרצאה, המובאים על-ידי השופט דרורי (פסקה 185)). אכן, דברי המחוקק כוללים גם איזונים מסוגים שונים, שיש ליישמם בכל מקרה לגופו; בבסיס, על כפות המאזניים מונחים מזה "חומרת מעשה העבירות בנסיבותיו ומידת אשמו של הנאשם" ומזה "סוג ומידת העונש", וכדי שכפות המאזניים יהיו מעוינות יש צורך בהלימה ("יחס הולם") בין השניים. ואולם, מרחב שיקול הדעת הנתון לבית המשפט אינו מועט, בגדרי נסיבות המקרה, והוא כולל את מידת האשם ואת מידת העונש. גם אם "כוכב הצפון", "העיקרון המנחה", כולל בגדרי ההלימות את הגמול לפי חומרת המעשה בנסיבות, לא התעלם המחוקק מיסודות הענישה האחרים, ובהם ההרתעה והשיקום, וכן מן הנסיבות האישיות, אך קבע בכורה (על הצעת החוק ראו גם המאמרים שפורסמו במסגרת כתב העת חוקים גליון מספר 3 (2011))".</w:t>
      </w:r>
      <w:r>
        <w:rPr>
          <w:rtl/>
        </w:rPr>
        <w:t xml:space="preserve"> </w:t>
      </w:r>
      <w:r>
        <w:rPr>
          <w:rStyle w:val="normal-h"/>
          <w:rtl/>
        </w:rPr>
        <w:t xml:space="preserve">(כן ראו </w:t>
      </w:r>
      <w:hyperlink r:id="rId43" w:history="1">
        <w:r w:rsidR="0007034C" w:rsidRPr="0007034C">
          <w:rPr>
            <w:rStyle w:val="Hyperlink"/>
            <w:rFonts w:cs="Times New Roman"/>
            <w:rtl/>
          </w:rPr>
          <w:t xml:space="preserve">156/80 </w:t>
        </w:r>
      </w:hyperlink>
      <w:r>
        <w:rPr>
          <w:rStyle w:val="normal-h"/>
          <w:rtl/>
        </w:rPr>
        <w:t xml:space="preserve"> </w:t>
      </w:r>
      <w:r>
        <w:rPr>
          <w:rStyle w:val="normal-h"/>
          <w:b/>
          <w:bCs/>
          <w:rtl/>
        </w:rPr>
        <w:t>כוכבי בנימין נ' מ"י</w:t>
      </w:r>
      <w:r>
        <w:rPr>
          <w:rStyle w:val="normal-h"/>
          <w:rtl/>
        </w:rPr>
        <w:t xml:space="preserve">, פ"ד לה(4) 744, מפי כב' הש' אלון). </w:t>
      </w:r>
    </w:p>
    <w:p w14:paraId="5756E668" w14:textId="77777777" w:rsidR="00D43E0E" w:rsidRDefault="00D43E0E">
      <w:pPr>
        <w:spacing w:line="360" w:lineRule="auto"/>
        <w:ind w:left="1440"/>
        <w:jc w:val="both"/>
        <w:rPr>
          <w:rStyle w:val="normal-h"/>
          <w:rtl/>
        </w:rPr>
      </w:pPr>
    </w:p>
    <w:p w14:paraId="3BD21945" w14:textId="77777777" w:rsidR="00D43E0E" w:rsidRDefault="00D633E8">
      <w:pPr>
        <w:spacing w:line="360" w:lineRule="auto"/>
        <w:ind w:left="720" w:hanging="720"/>
        <w:jc w:val="both"/>
        <w:rPr>
          <w:rtl/>
        </w:rPr>
      </w:pPr>
      <w:r>
        <w:rPr>
          <w:b/>
          <w:bCs/>
          <w:rtl/>
        </w:rPr>
        <w:t>9.</w:t>
      </w:r>
      <w:r>
        <w:rPr>
          <w:b/>
          <w:bCs/>
          <w:rtl/>
        </w:rPr>
        <w:tab/>
        <w:t>א</w:t>
      </w:r>
      <w:r>
        <w:rPr>
          <w:rtl/>
        </w:rPr>
        <w:t xml:space="preserve">. אין צורך להרחיב את הדיבור אודות חומרת מעשיו של הנאשם, אשר קשר קשר עם ג'בארין להגיע אל חצרו של המתלונן ולבצע ירי בכוונה להפחיד או להקניט את המתלונן ובני משפחתו, על רקע סכסוך קודם בין משפחות הנאשם והמתלונן, ולאחר שהצטיידו באקדח ובתחמושת, נהג אותו אל חצר ביתו של המתלונן. בהיכנסם עם הרכב לחצר הבית, ירה ג'בארין מספר יריות לעבר הבית, שעה שהמתלונן ובני משפחתו ישבו במרפסת ביתם בקומת הקרקע. רק למזלם הטוב לא נפגע איש, על אף שמספר קליעים פגעו בקירות הבית ובחלון בקומה השנייה,  וגרמו לנזק. </w:t>
      </w:r>
    </w:p>
    <w:p w14:paraId="06203EB7" w14:textId="77777777" w:rsidR="00D43E0E" w:rsidRDefault="00D43E0E">
      <w:pPr>
        <w:spacing w:line="360" w:lineRule="auto"/>
        <w:jc w:val="both"/>
        <w:rPr>
          <w:rtl/>
        </w:rPr>
      </w:pPr>
    </w:p>
    <w:p w14:paraId="1E12B35F" w14:textId="77777777" w:rsidR="00D43E0E" w:rsidRDefault="00D633E8">
      <w:pPr>
        <w:spacing w:line="360" w:lineRule="auto"/>
        <w:ind w:left="720"/>
        <w:jc w:val="both"/>
        <w:rPr>
          <w:rtl/>
        </w:rPr>
      </w:pPr>
      <w:r>
        <w:rPr>
          <w:rtl/>
        </w:rPr>
        <w:t xml:space="preserve">לא נעלם מעיני כי הנאשם לא החזיק בעצמו בנשק ולא ביצע בפועל את הירי לעבר ביתו של המתלונן. עם זאת הוא נושא במלוא האחריות למעשים אלה, בהיותו מבצע בצוותא וכמי שהיה בעל העניין בביצוע הפעילות העבריינית, על רקע הסכסוך המפורט לעיל, בעוד שעד לאירוע הנדון לא היתה לג'בארין כל נגיעה לסכסוך זה. ועוד, הנאשם הוא אשר נהג בטנדר והוביל את ג'בארין אל ביתו של המתלונן, ביודעו כי ג'בארין נושא עמו נשק ותחמושת, ומתוך מטרה להוציא אל הפועל את התכנית העבריינית. בנתונים אלו, אין הנאשם יכול להיבנות מהטענה כי חלקו במעשים קטן מזה של שותפו. </w:t>
      </w:r>
    </w:p>
    <w:p w14:paraId="4E780287" w14:textId="77777777" w:rsidR="00D43E0E" w:rsidRDefault="00D43E0E">
      <w:pPr>
        <w:spacing w:line="360" w:lineRule="auto"/>
        <w:jc w:val="both"/>
        <w:rPr>
          <w:highlight w:val="green"/>
          <w:rtl/>
        </w:rPr>
      </w:pPr>
    </w:p>
    <w:p w14:paraId="6D05C5AA" w14:textId="77777777" w:rsidR="00D43E0E" w:rsidRDefault="00D633E8">
      <w:pPr>
        <w:spacing w:line="360" w:lineRule="auto"/>
        <w:ind w:left="720"/>
        <w:jc w:val="both"/>
        <w:rPr>
          <w:rStyle w:val="normal-h"/>
          <w:rtl/>
        </w:rPr>
      </w:pPr>
      <w:r>
        <w:rPr>
          <w:rStyle w:val="normal-h"/>
          <w:b/>
          <w:bCs/>
          <w:rtl/>
        </w:rPr>
        <w:t>ב.</w:t>
      </w:r>
      <w:r>
        <w:rPr>
          <w:rStyle w:val="normal-h"/>
          <w:rtl/>
        </w:rPr>
        <w:t xml:space="preserve"> הערכים החברתיים שנפגעו מביצוע העבירות דידן הינם שלומם, ביטחונם, בריאותם, שלמות גופם וקניינם של המתלונן ובני משפחתו, וכן של עוברי הדרך, והדיירים המתגוררים בסמיכות לביתו של המתלונן. לא בכדי העניק המחוקק לערכים אלה מעמד מיוחד ב</w:t>
      </w:r>
      <w:hyperlink r:id="rId44" w:history="1">
        <w:r w:rsidR="000A7739" w:rsidRPr="000A7739">
          <w:rPr>
            <w:rStyle w:val="Hyperlink"/>
            <w:rFonts w:cs="Times New Roman"/>
            <w:rtl/>
          </w:rPr>
          <w:t>חוק יסוד כבוד האדם וחירותו</w:t>
        </w:r>
      </w:hyperlink>
      <w:r>
        <w:rPr>
          <w:rStyle w:val="normal-h"/>
          <w:rtl/>
        </w:rPr>
        <w:t xml:space="preserve">. כאמור, הכדורים שנורו פגעו בקירות הבית ובחלון, ורק בנס לא נפגעו גם בני אדם.  </w:t>
      </w:r>
    </w:p>
    <w:p w14:paraId="117CF5AF" w14:textId="77777777" w:rsidR="00D43E0E" w:rsidRDefault="00D43E0E">
      <w:pPr>
        <w:spacing w:line="360" w:lineRule="auto"/>
        <w:jc w:val="both"/>
        <w:rPr>
          <w:highlight w:val="green"/>
          <w:rtl/>
        </w:rPr>
      </w:pPr>
    </w:p>
    <w:p w14:paraId="01E9F5D9" w14:textId="77777777" w:rsidR="00D43E0E" w:rsidRDefault="00D633E8">
      <w:pPr>
        <w:shd w:val="clear" w:color="auto" w:fill="FFFFFF"/>
        <w:spacing w:line="360" w:lineRule="auto"/>
        <w:ind w:left="720"/>
        <w:jc w:val="both"/>
        <w:rPr>
          <w:noProof/>
          <w:sz w:val="10"/>
          <w:szCs w:val="10"/>
          <w:rtl/>
        </w:rPr>
      </w:pPr>
      <w:r>
        <w:rPr>
          <w:noProof/>
          <w:rtl/>
        </w:rPr>
        <w:t xml:space="preserve">רבות נכתב אודות פוטנציאל הסיכון הגלום בעבירות בנשק, ועל הצורך בהחמרת הענישה  בעבירות של החזקה, נשיאה ושימוש בנשק חם מסוגים שונים. בית המשפט העליון חזר וציין את זמינותו של הנשק החם, הקלות הבלתי נסבלת בה נעשה בו שימוש, אפילו בעקבות סכסוכים קלי ערך ("סכסוכי זוטא"), ואת חובתו של בית המשפט לתרום חלקו להרתעה ומניעה של תופעה נלוזה זו. </w:t>
      </w:r>
      <w:r>
        <w:rPr>
          <w:rFonts w:ascii="Arial TUR" w:hAnsi="Arial TUR"/>
          <w:noProof/>
          <w:spacing w:val="10"/>
          <w:rtl/>
        </w:rPr>
        <w:t xml:space="preserve"> </w:t>
      </w:r>
    </w:p>
    <w:p w14:paraId="07892CF3" w14:textId="77777777" w:rsidR="00D43E0E" w:rsidRDefault="00D633E8">
      <w:pPr>
        <w:shd w:val="clear" w:color="auto" w:fill="FFFFFF"/>
        <w:spacing w:before="100" w:beforeAutospacing="1" w:after="100" w:afterAutospacing="1" w:line="360" w:lineRule="auto"/>
        <w:ind w:left="1440"/>
        <w:jc w:val="both"/>
        <w:rPr>
          <w:rFonts w:cs="Arial Unicode MS"/>
          <w:sz w:val="20"/>
          <w:szCs w:val="20"/>
          <w:rtl/>
        </w:rPr>
      </w:pPr>
      <w:r>
        <w:rPr>
          <w:noProof/>
          <w:rtl/>
        </w:rPr>
        <w:t>"</w:t>
      </w:r>
      <w:r>
        <w:rPr>
          <w:rFonts w:cs="Times New Roman"/>
          <w:noProof/>
          <w:rtl/>
        </w:rPr>
        <w:t>מן הראוי שיהיה בעונש כדי להרתיע מנפיצות התופעה העבריינית של החזקה, נשיאה ושימוש בנשק חם מסוגים שונים.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מחייבים מתן ביטוי עונשי הולם והחמרה ברמת הענישה".</w:t>
      </w:r>
      <w:r>
        <w:rPr>
          <w:noProof/>
          <w:rtl/>
        </w:rPr>
        <w:t xml:space="preserve"> (</w:t>
      </w:r>
      <w:hyperlink r:id="rId45" w:history="1">
        <w:r w:rsidR="0007034C" w:rsidRPr="0007034C">
          <w:rPr>
            <w:rStyle w:val="Hyperlink"/>
            <w:noProof/>
            <w:rtl/>
          </w:rPr>
          <w:t xml:space="preserve">ע"פ 1332/04 </w:t>
        </w:r>
      </w:hyperlink>
      <w:r w:rsidRPr="00B6554D">
        <w:rPr>
          <w:noProof/>
          <w:color w:val="000000"/>
          <w:rtl/>
        </w:rPr>
        <w:t xml:space="preserve"> מ"י נ' פס, פ"ד נח</w:t>
      </w:r>
      <w:r>
        <w:rPr>
          <w:noProof/>
          <w:rtl/>
        </w:rPr>
        <w:t xml:space="preserve">(5) 541, </w:t>
      </w:r>
      <w:r>
        <w:rPr>
          <w:rtl/>
        </w:rPr>
        <w:t xml:space="preserve">מפי כב' הש' (כתוארה אז) ביניש; ראו גם </w:t>
      </w:r>
      <w:hyperlink r:id="rId46" w:history="1">
        <w:r w:rsidR="000B6859" w:rsidRPr="000B6859">
          <w:rPr>
            <w:rStyle w:val="Hyperlink"/>
            <w:rtl/>
          </w:rPr>
          <w:t>רע"פ 10376/05</w:t>
        </w:r>
      </w:hyperlink>
      <w:r>
        <w:rPr>
          <w:rtl/>
        </w:rPr>
        <w:t xml:space="preserve"> </w:t>
      </w:r>
      <w:r>
        <w:rPr>
          <w:b/>
          <w:bCs/>
          <w:rtl/>
        </w:rPr>
        <w:t xml:space="preserve">ברהוב נ' מ"י </w:t>
      </w:r>
      <w:r>
        <w:rPr>
          <w:rtl/>
        </w:rPr>
        <w:t xml:space="preserve">(17/5/06),  מפי כב' הש' ג'ובראן). </w:t>
      </w:r>
    </w:p>
    <w:p w14:paraId="348E12B7" w14:textId="77777777" w:rsidR="00D43E0E" w:rsidRDefault="00D633E8">
      <w:pPr>
        <w:shd w:val="clear" w:color="auto" w:fill="FFFFFF"/>
        <w:spacing w:line="360" w:lineRule="auto"/>
        <w:ind w:left="720"/>
        <w:jc w:val="both"/>
        <w:rPr>
          <w:noProof/>
          <w:rtl/>
        </w:rPr>
      </w:pPr>
      <w:r>
        <w:rPr>
          <w:noProof/>
          <w:rtl/>
        </w:rPr>
        <w:t>ראו גם:</w:t>
      </w:r>
    </w:p>
    <w:p w14:paraId="4970B5EF" w14:textId="77777777" w:rsidR="00D43E0E" w:rsidRDefault="00D633E8">
      <w:pPr>
        <w:shd w:val="clear" w:color="auto" w:fill="FFFFFF"/>
        <w:spacing w:line="360" w:lineRule="auto"/>
        <w:ind w:left="1440"/>
        <w:jc w:val="both"/>
        <w:rPr>
          <w:noProof/>
          <w:rtl/>
        </w:rPr>
      </w:pPr>
      <w:r>
        <w:rPr>
          <w:noProof/>
          <w:rtl/>
        </w:rPr>
        <w:t>"</w:t>
      </w:r>
      <w:r>
        <w:rPr>
          <w:rFonts w:cs="Times New Roman"/>
          <w:noProof/>
          <w:rtl/>
        </w:rPr>
        <w:t>אכן, המערערים עשו שימוש בנשק חם, בלב אזור מגורים, בדרך אשר הפכה, כפי שציין בית המשפט קמא, מקובלת ליישוב סכסוכים בחלק מן החברה בה מדובר. דומה כי אין מנוס מהכבדת היד, ותוך נקיטת מדיניות ענישה מחמירה בכגון דא, הכוללת תקופה משמעותית של מאסר מאחורי סורג ובריח, גם לאנשים בעלי רקע נורמטיבי - כמו המערערים שלפנינו. ראוי שייצא הקול במקומות המתאימים, כי דינו של העושה שימוש בנשק שלא כדין עלול להיגזר לתקופת מאסר של ממש</w:t>
      </w:r>
      <w:r>
        <w:rPr>
          <w:rFonts w:cs="Times New Roman"/>
          <w:b/>
          <w:bCs/>
          <w:noProof/>
          <w:rtl/>
        </w:rPr>
        <w:t>".</w:t>
      </w:r>
      <w:r>
        <w:rPr>
          <w:b/>
          <w:bCs/>
          <w:noProof/>
          <w:rtl/>
        </w:rPr>
        <w:t xml:space="preserve"> </w:t>
      </w:r>
      <w:r>
        <w:rPr>
          <w:noProof/>
          <w:rtl/>
        </w:rPr>
        <w:t>(</w:t>
      </w:r>
      <w:hyperlink r:id="rId47" w:history="1">
        <w:r w:rsidR="000B6859" w:rsidRPr="000B6859">
          <w:rPr>
            <w:rStyle w:val="Hyperlink"/>
            <w:noProof/>
            <w:rtl/>
          </w:rPr>
          <w:t>ע"פ 1676/08</w:t>
        </w:r>
      </w:hyperlink>
      <w:r>
        <w:rPr>
          <w:noProof/>
          <w:rtl/>
        </w:rPr>
        <w:t xml:space="preserve">, 2148 </w:t>
      </w:r>
      <w:r>
        <w:rPr>
          <w:b/>
          <w:bCs/>
          <w:noProof/>
          <w:rtl/>
        </w:rPr>
        <w:t>אבו האני נ' מ"י</w:t>
      </w:r>
      <w:r>
        <w:rPr>
          <w:noProof/>
          <w:rtl/>
        </w:rPr>
        <w:t xml:space="preserve"> (1/6/09), מפי כב' הש' רובינשטיין; כן ראו </w:t>
      </w:r>
      <w:hyperlink r:id="rId48" w:history="1">
        <w:r w:rsidR="000B6859" w:rsidRPr="000B6859">
          <w:rPr>
            <w:rStyle w:val="Hyperlink"/>
            <w:noProof/>
            <w:rtl/>
          </w:rPr>
          <w:t>ע"פ 371/08</w:t>
        </w:r>
      </w:hyperlink>
      <w:r>
        <w:rPr>
          <w:noProof/>
          <w:rtl/>
        </w:rPr>
        <w:t xml:space="preserve"> </w:t>
      </w:r>
      <w:r>
        <w:rPr>
          <w:b/>
          <w:bCs/>
          <w:noProof/>
          <w:rtl/>
        </w:rPr>
        <w:t>מ"י נ' ביטאו</w:t>
      </w:r>
      <w:r>
        <w:rPr>
          <w:noProof/>
          <w:rtl/>
        </w:rPr>
        <w:t xml:space="preserve"> (27/10/08), מפי כב' הש' ארבל). </w:t>
      </w:r>
    </w:p>
    <w:p w14:paraId="04007D03" w14:textId="77777777" w:rsidR="00D43E0E" w:rsidRDefault="00D43E0E">
      <w:pPr>
        <w:shd w:val="clear" w:color="auto" w:fill="FFFFFF"/>
        <w:spacing w:line="360" w:lineRule="auto"/>
        <w:ind w:left="1440"/>
        <w:jc w:val="both"/>
        <w:rPr>
          <w:noProof/>
          <w:rtl/>
        </w:rPr>
      </w:pPr>
    </w:p>
    <w:p w14:paraId="21C89C88" w14:textId="77777777" w:rsidR="00D43E0E" w:rsidRDefault="00D633E8">
      <w:pPr>
        <w:shd w:val="clear" w:color="auto" w:fill="FFFFFF"/>
        <w:spacing w:line="360" w:lineRule="auto"/>
        <w:ind w:left="720"/>
        <w:jc w:val="both"/>
        <w:rPr>
          <w:noProof/>
          <w:rtl/>
        </w:rPr>
      </w:pPr>
      <w:r>
        <w:rPr>
          <w:b/>
          <w:bCs/>
          <w:noProof/>
          <w:rtl/>
        </w:rPr>
        <w:t>ג.</w:t>
      </w:r>
      <w:r>
        <w:rPr>
          <w:noProof/>
          <w:rtl/>
        </w:rPr>
        <w:t xml:space="preserve"> חומרה יתירה יש בכך שהנאשם ירה בצוותא עם ג'בארין מספר יריות בשעת ערב לעבר בית המתלונן המצוי בשכונה צפופה למדי, בעת שהמתלונן ובני משפחתו ישבו במרפסת הבית שבקומה הקרקע, מעשה שכרוכה בו סכנה ממשית לחיי אדם, לא רק למעורבים בסכסוך, אלא לכל מי שנמצא אותה עת בסביבה, תוך שהם מגלים אדישות וקלות דעת לתוצאות הקשות וההרסניות שעלולות להיגרם ממעשיהם. כאמור, אין מדובר רק במתלונן עמו היה לנאשם או לאחיו סכסוך קודם, אלא בבני משפחתו, הורים, אחים, נשים וילדים, בשכנים, ועוברי דרך בסמיכות למקום, אשר היו עלולים להפגע מהירי.</w:t>
      </w:r>
    </w:p>
    <w:p w14:paraId="2829C8FA" w14:textId="77777777" w:rsidR="00D43E0E" w:rsidRDefault="00D633E8">
      <w:pPr>
        <w:shd w:val="clear" w:color="auto" w:fill="FFFFFF"/>
        <w:spacing w:before="100" w:beforeAutospacing="1" w:after="100" w:afterAutospacing="1" w:line="360" w:lineRule="auto"/>
        <w:ind w:left="1440"/>
        <w:jc w:val="both"/>
        <w:rPr>
          <w:rFonts w:cs="Arial Unicode MS"/>
          <w:sz w:val="20"/>
          <w:szCs w:val="20"/>
          <w:rtl/>
        </w:rPr>
      </w:pPr>
      <w:r>
        <w:rPr>
          <w:rtl/>
        </w:rPr>
        <w:t>"</w:t>
      </w:r>
      <w:r>
        <w:rPr>
          <w:rFonts w:cs="Times New Roman"/>
          <w:rtl/>
        </w:rPr>
        <w:t>המערערים עשו שימוש בנשק חם על רקע סכסוך שפרץ בין משפחותיהם, תוך שהם מתכוונים לגרום חבלות ופציעה לזולת. ירי מסוג זה, ובמיוחד כשהוא מתרחש באזור מגורים, כרוכה בו סכנה של ממש לחיי אדם, ולא רק לאלה המעורבים בסכסוך, אלא גם לעוברי אורח תמימים. הנכונות של המערערים לעשות שימוש בנשק חם, ותהיה המחלוקת ביניהם אשר תהיה, היא המלמדת על מסוכנותם, ומכאן הצורך לנהוג בהם ביד קשה, דבר המתחייב גם מהצורך להרתיע את הרבים</w:t>
      </w:r>
      <w:r>
        <w:rPr>
          <w:rFonts w:hint="cs"/>
          <w:rtl/>
        </w:rPr>
        <w:t>"</w:t>
      </w:r>
      <w:r>
        <w:rPr>
          <w:b/>
          <w:bCs/>
          <w:rtl/>
        </w:rPr>
        <w:t xml:space="preserve">. </w:t>
      </w:r>
      <w:r>
        <w:rPr>
          <w:rtl/>
        </w:rPr>
        <w:t>(</w:t>
      </w:r>
      <w:hyperlink r:id="rId49" w:history="1">
        <w:r w:rsidR="000B6859" w:rsidRPr="000B6859">
          <w:rPr>
            <w:rStyle w:val="Hyperlink"/>
            <w:rtl/>
          </w:rPr>
          <w:t>ע"פ 6493/05</w:t>
        </w:r>
      </w:hyperlink>
      <w:r>
        <w:rPr>
          <w:rtl/>
        </w:rPr>
        <w:t xml:space="preserve">, 8353 </w:t>
      </w:r>
      <w:r>
        <w:rPr>
          <w:b/>
          <w:bCs/>
          <w:rtl/>
        </w:rPr>
        <w:t>מוסא נ' מ"י</w:t>
      </w:r>
      <w:r>
        <w:rPr>
          <w:rtl/>
        </w:rPr>
        <w:t xml:space="preserve"> (22/2/06), מפי כב' הש' לוי). </w:t>
      </w:r>
    </w:p>
    <w:p w14:paraId="660FE1CE" w14:textId="77777777" w:rsidR="00D43E0E" w:rsidRDefault="00D633E8">
      <w:pPr>
        <w:shd w:val="clear" w:color="auto" w:fill="FFFFFF"/>
        <w:spacing w:line="360" w:lineRule="auto"/>
        <w:ind w:left="720"/>
        <w:jc w:val="both"/>
        <w:rPr>
          <w:rtl/>
        </w:rPr>
      </w:pPr>
      <w:r>
        <w:rPr>
          <w:rtl/>
        </w:rPr>
        <w:t xml:space="preserve">אין מדובר באירוע ספונטני אליו נקלע הנאשם בעל כורחו, כי אם במעשה אשר תוכנן מראש, ולשם ביצועו הצטיידו ג'בארין והנאשם, מכוח היותו מבצע בצוותא, בנשק ובתחמושת, כמפורט בעובדות כתב האישום המתוקן. </w:t>
      </w:r>
    </w:p>
    <w:p w14:paraId="0A568484" w14:textId="77777777" w:rsidR="00D43E0E" w:rsidRDefault="00D43E0E">
      <w:pPr>
        <w:shd w:val="clear" w:color="auto" w:fill="FFFFFF"/>
        <w:spacing w:line="360" w:lineRule="auto"/>
        <w:ind w:left="720"/>
        <w:jc w:val="both"/>
        <w:rPr>
          <w:rtl/>
        </w:rPr>
      </w:pPr>
    </w:p>
    <w:p w14:paraId="342665EA" w14:textId="77777777" w:rsidR="00D43E0E" w:rsidRDefault="00D633E8">
      <w:pPr>
        <w:shd w:val="clear" w:color="auto" w:fill="FFFFFF"/>
        <w:spacing w:line="360" w:lineRule="auto"/>
        <w:ind w:left="720"/>
        <w:jc w:val="both"/>
        <w:rPr>
          <w:rtl/>
        </w:rPr>
      </w:pPr>
      <w:r>
        <w:rPr>
          <w:rtl/>
        </w:rPr>
        <w:t xml:space="preserve">העובדה כי לאירוע הנידון קדמה תקיפתו של אחי הנאשם על ידי המתלונן, ענין שלא הוכח בפני, אינה יכולה להוות נסיבה לקולא, שעה שהיתה פתוחה בפני הנאשם האפשרות לפנות למשטרה בעניין. תחת זאת בחר ליטול את החוק לידיו ולבצע מעשה נלוז ומסוכן ביותר, כמפורט לעיל. </w:t>
      </w:r>
    </w:p>
    <w:p w14:paraId="4020910F" w14:textId="77777777" w:rsidR="00D43E0E" w:rsidRDefault="00D43E0E">
      <w:pPr>
        <w:shd w:val="clear" w:color="auto" w:fill="FFFFFF"/>
        <w:spacing w:line="360" w:lineRule="auto"/>
        <w:ind w:left="720"/>
        <w:jc w:val="both"/>
        <w:rPr>
          <w:rtl/>
        </w:rPr>
      </w:pPr>
    </w:p>
    <w:p w14:paraId="3C69B821" w14:textId="77777777" w:rsidR="00D43E0E" w:rsidRDefault="00D633E8">
      <w:pPr>
        <w:shd w:val="clear" w:color="auto" w:fill="FFFFFF"/>
        <w:spacing w:line="360" w:lineRule="auto"/>
        <w:ind w:left="720"/>
        <w:jc w:val="both"/>
        <w:rPr>
          <w:rtl/>
        </w:rPr>
      </w:pPr>
      <w:r>
        <w:rPr>
          <w:rtl/>
        </w:rPr>
        <w:t>האדישות, הזלזול וחוסר האכפתיות שגילה הנאשם כלפי התוצאות ההרסניות העשויות להיגרם ממעשיו, אפילו יש ממש בגרסתו בפני קצינת המבחן כי נוכח בכך שג'ב</w:t>
      </w:r>
      <w:r>
        <w:rPr>
          <w:rFonts w:hint="cs"/>
          <w:rtl/>
        </w:rPr>
        <w:t>א</w:t>
      </w:r>
      <w:r>
        <w:rPr>
          <w:rtl/>
        </w:rPr>
        <w:t xml:space="preserve">רין מחזיק נשק ותחמושת רק ברכב, (ויש לציין כי הדבר אינו עולה מכתב האישום), מלמדים על התנהגות בריונית ומשולחת רסן, ועל המסוכנות הרבה הנשקפת ממנו. </w:t>
      </w:r>
    </w:p>
    <w:p w14:paraId="3EC98EFF" w14:textId="77777777" w:rsidR="00D43E0E" w:rsidRDefault="00D43E0E">
      <w:pPr>
        <w:shd w:val="clear" w:color="auto" w:fill="FFFFFF"/>
        <w:spacing w:line="360" w:lineRule="auto"/>
        <w:ind w:left="720"/>
        <w:jc w:val="both"/>
        <w:rPr>
          <w:rtl/>
        </w:rPr>
      </w:pPr>
    </w:p>
    <w:p w14:paraId="557FB1A4" w14:textId="77777777" w:rsidR="00D43E0E" w:rsidRDefault="00D633E8">
      <w:pPr>
        <w:shd w:val="clear" w:color="auto" w:fill="FFFFFF"/>
        <w:spacing w:line="360" w:lineRule="auto"/>
        <w:jc w:val="both"/>
        <w:rPr>
          <w:b/>
          <w:bCs/>
          <w:u w:val="single"/>
          <w:rtl/>
        </w:rPr>
      </w:pPr>
      <w:r>
        <w:rPr>
          <w:b/>
          <w:bCs/>
          <w:rtl/>
        </w:rPr>
        <w:t>10</w:t>
      </w:r>
      <w:r>
        <w:rPr>
          <w:rtl/>
        </w:rPr>
        <w:t>.</w:t>
      </w:r>
      <w:r>
        <w:rPr>
          <w:rtl/>
        </w:rPr>
        <w:tab/>
      </w:r>
      <w:r>
        <w:rPr>
          <w:b/>
          <w:bCs/>
          <w:u w:val="single"/>
          <w:rtl/>
        </w:rPr>
        <w:t>מתחם הענישה</w:t>
      </w:r>
    </w:p>
    <w:p w14:paraId="1ECEB4BA" w14:textId="77777777" w:rsidR="00D43E0E" w:rsidRDefault="00D633E8">
      <w:pPr>
        <w:shd w:val="clear" w:color="auto" w:fill="FFFFFF"/>
        <w:spacing w:line="360" w:lineRule="auto"/>
        <w:ind w:left="720"/>
        <w:jc w:val="both"/>
        <w:rPr>
          <w:rtl/>
        </w:rPr>
      </w:pPr>
      <w:r>
        <w:rPr>
          <w:b/>
          <w:bCs/>
          <w:rtl/>
        </w:rPr>
        <w:t>א.</w:t>
      </w:r>
      <w:r>
        <w:rPr>
          <w:rtl/>
        </w:rPr>
        <w:t xml:space="preserve"> באי כח הצדדים הביאו בפני בית המשפט פסיקה בעבירות דומות ובה קשת רחבה של עונשים, זה בכה וזה בכה. המאשימה הפנתה בטיעוניה לפסקי דין בהם נגזרו בגין עבירות בנשק, ירי באזור מגורים ואיומים עונשי מאסר בפועל בטווח של בין 30 חודשי מאסר בפועל ל- 4 שנות מאסר בפועל (ראו </w:t>
      </w:r>
      <w:hyperlink r:id="rId50" w:history="1">
        <w:r w:rsidR="000B6859" w:rsidRPr="000B6859">
          <w:rPr>
            <w:rStyle w:val="Hyperlink"/>
            <w:rtl/>
          </w:rPr>
          <w:t>ע"פ 9373/10</w:t>
        </w:r>
      </w:hyperlink>
      <w:r>
        <w:rPr>
          <w:rtl/>
        </w:rPr>
        <w:t xml:space="preserve"> </w:t>
      </w:r>
      <w:r>
        <w:rPr>
          <w:b/>
          <w:bCs/>
          <w:rtl/>
        </w:rPr>
        <w:t xml:space="preserve">ותד נ' מ"י </w:t>
      </w:r>
      <w:r>
        <w:rPr>
          <w:rtl/>
        </w:rPr>
        <w:t xml:space="preserve">(14/9/11) מפי כב' הש' לוי; </w:t>
      </w:r>
      <w:hyperlink r:id="rId51" w:history="1">
        <w:r w:rsidR="0007034C" w:rsidRPr="0007034C">
          <w:rPr>
            <w:rStyle w:val="Hyperlink"/>
            <w:rtl/>
          </w:rPr>
          <w:t xml:space="preserve">ע"פ 2733/11 </w:t>
        </w:r>
      </w:hyperlink>
      <w:r>
        <w:rPr>
          <w:rtl/>
        </w:rPr>
        <w:t xml:space="preserve"> </w:t>
      </w:r>
      <w:r>
        <w:rPr>
          <w:b/>
          <w:bCs/>
          <w:rtl/>
        </w:rPr>
        <w:t>רקיבי נ' מ"י</w:t>
      </w:r>
      <w:r>
        <w:rPr>
          <w:rtl/>
        </w:rPr>
        <w:t xml:space="preserve"> (14/11/11), מפי כב' הש' נאור; </w:t>
      </w:r>
      <w:hyperlink r:id="rId52" w:history="1">
        <w:r w:rsidR="000B6859" w:rsidRPr="000B6859">
          <w:rPr>
            <w:rStyle w:val="Hyperlink"/>
            <w:rtl/>
          </w:rPr>
          <w:t>ע"פ 4435/11</w:t>
        </w:r>
      </w:hyperlink>
      <w:r>
        <w:rPr>
          <w:rtl/>
        </w:rPr>
        <w:t xml:space="preserve"> </w:t>
      </w:r>
      <w:r>
        <w:rPr>
          <w:b/>
          <w:bCs/>
          <w:rtl/>
        </w:rPr>
        <w:t>מרזוק נ' מ"י</w:t>
      </w:r>
      <w:r>
        <w:rPr>
          <w:rtl/>
        </w:rPr>
        <w:t xml:space="preserve"> (1/7/12), מפי כב' הש' נאור; </w:t>
      </w:r>
      <w:hyperlink r:id="rId53" w:history="1">
        <w:r w:rsidR="000B6859" w:rsidRPr="000B6859">
          <w:rPr>
            <w:rStyle w:val="Hyperlink"/>
            <w:rtl/>
          </w:rPr>
          <w:t>ע"פ 2839/05</w:t>
        </w:r>
      </w:hyperlink>
      <w:r>
        <w:rPr>
          <w:rtl/>
        </w:rPr>
        <w:t xml:space="preserve"> </w:t>
      </w:r>
      <w:r>
        <w:rPr>
          <w:b/>
          <w:bCs/>
          <w:rtl/>
        </w:rPr>
        <w:t>ראיד עבד אל קאדר</w:t>
      </w:r>
      <w:r>
        <w:rPr>
          <w:rtl/>
        </w:rPr>
        <w:t xml:space="preserve"> (17/11/05), מפי כב' הש' לוי; </w:t>
      </w:r>
      <w:hyperlink r:id="rId54" w:history="1">
        <w:r w:rsidR="0007034C" w:rsidRPr="0007034C">
          <w:rPr>
            <w:rStyle w:val="Hyperlink"/>
            <w:rtl/>
          </w:rPr>
          <w:t xml:space="preserve">ת"פ (חי') 11- 02- 49632 </w:t>
        </w:r>
      </w:hyperlink>
      <w:r>
        <w:rPr>
          <w:rtl/>
        </w:rPr>
        <w:t xml:space="preserve"> </w:t>
      </w:r>
      <w:r>
        <w:rPr>
          <w:b/>
          <w:bCs/>
          <w:rtl/>
        </w:rPr>
        <w:t>מ"י נ' מחאג'נה</w:t>
      </w:r>
      <w:r>
        <w:rPr>
          <w:rtl/>
        </w:rPr>
        <w:t xml:space="preserve"> (19/7/11), מפי כב' הש' גרשון; ועוד). </w:t>
      </w:r>
    </w:p>
    <w:p w14:paraId="7AF7F65E" w14:textId="77777777" w:rsidR="00D43E0E" w:rsidRDefault="00D43E0E">
      <w:pPr>
        <w:shd w:val="clear" w:color="auto" w:fill="FFFFFF"/>
        <w:spacing w:line="360" w:lineRule="auto"/>
        <w:ind w:left="720"/>
        <w:jc w:val="both"/>
        <w:rPr>
          <w:rtl/>
        </w:rPr>
      </w:pPr>
    </w:p>
    <w:p w14:paraId="15B37A33" w14:textId="77777777" w:rsidR="00D43E0E" w:rsidRDefault="00D633E8">
      <w:pPr>
        <w:shd w:val="clear" w:color="auto" w:fill="FFFFFF"/>
        <w:spacing w:line="360" w:lineRule="auto"/>
        <w:ind w:left="720"/>
        <w:jc w:val="both"/>
        <w:rPr>
          <w:rtl/>
        </w:rPr>
      </w:pPr>
      <w:r>
        <w:rPr>
          <w:rtl/>
        </w:rPr>
        <w:t xml:space="preserve">ואילו, סנגורו של הנאשם הפנה למספר פסקי דין בהם נגזרו על נאשמים בעבירות בנשק עונשים בטווח שבין מספר חודשי עבודות שירות ל- 9 חודשי מאסר בפועל. (ראו </w:t>
      </w:r>
      <w:hyperlink r:id="rId55" w:history="1">
        <w:r w:rsidR="000B6859" w:rsidRPr="000B6859">
          <w:rPr>
            <w:rStyle w:val="Hyperlink"/>
            <w:rtl/>
          </w:rPr>
          <w:t>ע"פ 7139/12</w:t>
        </w:r>
      </w:hyperlink>
      <w:r>
        <w:rPr>
          <w:rtl/>
        </w:rPr>
        <w:t xml:space="preserve"> </w:t>
      </w:r>
      <w:r>
        <w:rPr>
          <w:b/>
          <w:bCs/>
          <w:rtl/>
        </w:rPr>
        <w:t>גורנו נ' מ"י</w:t>
      </w:r>
      <w:r>
        <w:rPr>
          <w:rtl/>
        </w:rPr>
        <w:t xml:space="preserve"> (9/5/13), מפי כב' הש' רובינשטיין; </w:t>
      </w:r>
      <w:r w:rsidRPr="00B6554D">
        <w:rPr>
          <w:color w:val="000000"/>
          <w:rtl/>
        </w:rPr>
        <w:t>ת"פ (חי') מ"י נ' עאסלה (1/11/10</w:t>
      </w:r>
      <w:r>
        <w:rPr>
          <w:rtl/>
        </w:rPr>
        <w:t xml:space="preserve">), מפי כב' הש' בר-זיו; </w:t>
      </w:r>
      <w:hyperlink r:id="rId56" w:history="1">
        <w:r w:rsidR="0007034C" w:rsidRPr="0007034C">
          <w:rPr>
            <w:rStyle w:val="Hyperlink"/>
            <w:rtl/>
          </w:rPr>
          <w:t xml:space="preserve">ת"פ (עכו) 12- 02- 5102 </w:t>
        </w:r>
      </w:hyperlink>
      <w:r w:rsidRPr="00B6554D">
        <w:rPr>
          <w:color w:val="000000"/>
          <w:rtl/>
        </w:rPr>
        <w:t xml:space="preserve"> מ"י נ</w:t>
      </w:r>
      <w:r>
        <w:rPr>
          <w:b/>
          <w:bCs/>
          <w:rtl/>
        </w:rPr>
        <w:t>' חמדון</w:t>
      </w:r>
      <w:r>
        <w:rPr>
          <w:rtl/>
        </w:rPr>
        <w:t xml:space="preserve"> (24/3/13), מפי כב' הש' סלאח).  </w:t>
      </w:r>
    </w:p>
    <w:p w14:paraId="2163A85B" w14:textId="77777777" w:rsidR="00D43E0E" w:rsidRDefault="00D43E0E">
      <w:pPr>
        <w:shd w:val="clear" w:color="auto" w:fill="FFFFFF"/>
        <w:spacing w:line="360" w:lineRule="auto"/>
        <w:ind w:left="720"/>
        <w:jc w:val="both"/>
        <w:rPr>
          <w:rtl/>
        </w:rPr>
      </w:pPr>
    </w:p>
    <w:p w14:paraId="073E7CE2" w14:textId="77777777" w:rsidR="00D43E0E" w:rsidRDefault="00D633E8">
      <w:pPr>
        <w:shd w:val="clear" w:color="auto" w:fill="FFFFFF"/>
        <w:spacing w:line="360" w:lineRule="auto"/>
        <w:ind w:left="720"/>
        <w:jc w:val="both"/>
        <w:rPr>
          <w:rtl/>
        </w:rPr>
      </w:pPr>
      <w:r>
        <w:rPr>
          <w:b/>
          <w:bCs/>
          <w:rtl/>
        </w:rPr>
        <w:t>ב.</w:t>
      </w:r>
      <w:r>
        <w:rPr>
          <w:rtl/>
        </w:rPr>
        <w:t xml:space="preserve"> העונש הקבוע בצידה של עבירת נשיאה והובלת נשק הנו 10 שנות מאסר; העונש הקבוע בצידה של עבירת ירי באזור מגורים הנו שנת מאסר; העונש הקבוע בצידה של עבירת האיומים הנו 3 שנות מאסר, ובצידה של  עבירת קשירת קשר לביצוע פשע הינו 7 שנות מאסר.</w:t>
      </w:r>
    </w:p>
    <w:p w14:paraId="0349AB12" w14:textId="77777777" w:rsidR="00D43E0E" w:rsidRDefault="00D43E0E">
      <w:pPr>
        <w:shd w:val="clear" w:color="auto" w:fill="FFFFFF"/>
        <w:ind w:left="720"/>
        <w:jc w:val="both"/>
        <w:rPr>
          <w:rtl/>
        </w:rPr>
      </w:pPr>
    </w:p>
    <w:p w14:paraId="3C347129" w14:textId="77777777" w:rsidR="00D43E0E" w:rsidRDefault="00D633E8">
      <w:pPr>
        <w:shd w:val="clear" w:color="auto" w:fill="FFFFFF"/>
        <w:spacing w:line="360" w:lineRule="auto"/>
        <w:ind w:left="720"/>
        <w:jc w:val="both"/>
        <w:rPr>
          <w:rtl/>
        </w:rPr>
      </w:pPr>
      <w:r>
        <w:rPr>
          <w:rtl/>
        </w:rPr>
        <w:t xml:space="preserve">בנסיבות העניין, בהתחשב בחומרתן הרבה של העבירות שביצע הנאשם בצוותא עם ג'בארין, ריבוי העבירות בגינן הורשע; הערכים החברתיים שנפגעו ופוטנציאל הסיכון הרב הטמון בביצוע העבירות, וכן מידת הענישה הראויה והנסיבות הקשורות בביצוע העבירות כמפורט לעיל, דעתי היא כי מתחם העונש ההולם הוא בטווח של בין 30 חודשי מאסר ל- 5 שנות מאסר בפועל. </w:t>
      </w:r>
    </w:p>
    <w:p w14:paraId="42E5FE66" w14:textId="77777777" w:rsidR="00D43E0E" w:rsidRDefault="00D633E8">
      <w:pPr>
        <w:pStyle w:val="normal-p"/>
        <w:bidi/>
        <w:spacing w:line="360" w:lineRule="auto"/>
        <w:ind w:left="720" w:hanging="720"/>
        <w:jc w:val="both"/>
        <w:rPr>
          <w:rFonts w:cs="David"/>
          <w:rtl/>
        </w:rPr>
      </w:pPr>
      <w:r>
        <w:rPr>
          <w:rFonts w:cs="David"/>
          <w:b/>
          <w:bCs/>
          <w:rtl/>
          <w:lang w:eastAsia="en-US"/>
        </w:rPr>
        <w:t>11</w:t>
      </w:r>
      <w:r>
        <w:rPr>
          <w:rFonts w:cs="David"/>
          <w:rtl/>
          <w:lang w:eastAsia="en-US"/>
        </w:rPr>
        <w:t>.</w:t>
      </w:r>
      <w:r>
        <w:rPr>
          <w:rFonts w:cs="David"/>
          <w:rtl/>
          <w:lang w:eastAsia="en-US"/>
        </w:rPr>
        <w:tab/>
      </w:r>
      <w:r>
        <w:rPr>
          <w:rFonts w:cs="David"/>
          <w:rtl/>
        </w:rPr>
        <w:t xml:space="preserve">יחד עם זאת, הענישה היא לעולם אינדיבידואלית, ובית המשפט ישקול גם שיקולים הנוגעים לנסיבותיו האישיות של הנאשם, גילו, עברו, לקיחת אחריות על ידו, חרטתו, שיתוף הפעולה שלו עם רשויות אכיפת החוק, </w:t>
      </w:r>
      <w:r>
        <w:rPr>
          <w:rStyle w:val="default"/>
          <w:rFonts w:cs="David"/>
          <w:rtl/>
        </w:rPr>
        <w:t>מאמציו לתיקון תוצאות העבירה ולפיצוי על הנזק שנגרם בשלה</w:t>
      </w:r>
      <w:r>
        <w:rPr>
          <w:rFonts w:cs="David"/>
          <w:rtl/>
        </w:rPr>
        <w:t xml:space="preserve">, חלוף הזמן מעת ביצוע העבירה, וכן השפעת הענישה עליו ועל משפחתו, שיקומו. (ראו </w:t>
      </w:r>
      <w:hyperlink r:id="rId57" w:history="1">
        <w:r w:rsidR="000B6859" w:rsidRPr="000B6859">
          <w:rPr>
            <w:rStyle w:val="Hyperlink"/>
            <w:rFonts w:cs="David"/>
            <w:rtl/>
          </w:rPr>
          <w:t>ע"פ 10444/06</w:t>
        </w:r>
      </w:hyperlink>
      <w:r>
        <w:rPr>
          <w:rFonts w:cs="David"/>
          <w:rtl/>
        </w:rPr>
        <w:t xml:space="preserve"> </w:t>
      </w:r>
      <w:r>
        <w:rPr>
          <w:rFonts w:cs="David"/>
          <w:b/>
          <w:bCs/>
          <w:rtl/>
        </w:rPr>
        <w:t xml:space="preserve">עייני נ' מ"י </w:t>
      </w:r>
      <w:r>
        <w:rPr>
          <w:rFonts w:cs="David"/>
          <w:rtl/>
        </w:rPr>
        <w:t xml:space="preserve">(25/4/07), מפי כב' הש' ארבל; וכן </w:t>
      </w:r>
      <w:r w:rsidRPr="00B6554D">
        <w:rPr>
          <w:rFonts w:cs="David"/>
          <w:color w:val="000000"/>
          <w:rtl/>
        </w:rPr>
        <w:t>ע"פ 4980/01</w:t>
      </w:r>
      <w:r>
        <w:rPr>
          <w:rFonts w:cs="David"/>
          <w:rtl/>
        </w:rPr>
        <w:t xml:space="preserve"> הנ"ל; וכן </w:t>
      </w:r>
      <w:hyperlink r:id="rId58" w:history="1">
        <w:r w:rsidR="000A7739" w:rsidRPr="000A7739">
          <w:rPr>
            <w:rStyle w:val="Hyperlink"/>
            <w:rFonts w:cs="David"/>
            <w:rtl/>
          </w:rPr>
          <w:t>סעיף 40יא</w:t>
        </w:r>
      </w:hyperlink>
      <w:r>
        <w:rPr>
          <w:rFonts w:cs="David"/>
          <w:rtl/>
        </w:rPr>
        <w:t xml:space="preserve"> ל</w:t>
      </w:r>
      <w:hyperlink r:id="rId59" w:history="1">
        <w:r w:rsidR="000B6859" w:rsidRPr="000B6859">
          <w:rPr>
            <w:rStyle w:val="Hyperlink"/>
            <w:rFonts w:cs="David"/>
            <w:rtl/>
          </w:rPr>
          <w:t>חוק העונשין</w:t>
        </w:r>
      </w:hyperlink>
      <w:r>
        <w:rPr>
          <w:rFonts w:cs="David"/>
          <w:rtl/>
        </w:rPr>
        <w:t xml:space="preserve">). </w:t>
      </w:r>
    </w:p>
    <w:p w14:paraId="0C5D6AFF" w14:textId="77777777" w:rsidR="00D43E0E" w:rsidRDefault="00D633E8">
      <w:pPr>
        <w:shd w:val="clear" w:color="auto" w:fill="FFFFFF"/>
        <w:spacing w:line="360" w:lineRule="auto"/>
        <w:ind w:left="720"/>
        <w:jc w:val="both"/>
        <w:rPr>
          <w:rtl/>
        </w:rPr>
      </w:pPr>
      <w:r>
        <w:rPr>
          <w:b/>
          <w:bCs/>
          <w:rtl/>
        </w:rPr>
        <w:t>א.</w:t>
      </w:r>
      <w:r>
        <w:rPr>
          <w:rtl/>
        </w:rPr>
        <w:t xml:space="preserve"> לקולא אני רואה לקחת בחשבון את גילו של הנאשם, בן ה- 29, ואת נסיבותיו האישיות כפי שפורטו על ידי קצינת המבחן ומפי סנגורו. בקליפת האגוז ייאמר כי מדובר בצעיר אשר גדל בבית נורמטיבי ותומך, נשר מלימודיו והשתלב בעבודה בתחומי המסגרות והבנייה. </w:t>
      </w:r>
    </w:p>
    <w:p w14:paraId="76DE673D" w14:textId="77777777" w:rsidR="00D43E0E" w:rsidRDefault="00D43E0E">
      <w:pPr>
        <w:shd w:val="clear" w:color="auto" w:fill="FFFFFF"/>
        <w:spacing w:line="360" w:lineRule="auto"/>
        <w:ind w:left="720"/>
        <w:jc w:val="both"/>
        <w:rPr>
          <w:rtl/>
        </w:rPr>
      </w:pPr>
    </w:p>
    <w:p w14:paraId="4D2B8E9D" w14:textId="77777777" w:rsidR="00D43E0E" w:rsidRDefault="00D633E8">
      <w:pPr>
        <w:spacing w:line="360" w:lineRule="auto"/>
        <w:ind w:left="720"/>
        <w:jc w:val="both"/>
        <w:rPr>
          <w:rtl/>
        </w:rPr>
      </w:pPr>
      <w:r>
        <w:rPr>
          <w:b/>
          <w:bCs/>
          <w:rtl/>
        </w:rPr>
        <w:t>ב.</w:t>
      </w:r>
      <w:r>
        <w:rPr>
          <w:rtl/>
        </w:rPr>
        <w:t xml:space="preserve"> כאמור לעיל, לחובתו של הנאשם הרשעה קודמת בעבירת איומים שביצע בשנת 03', בגינה ריצה 60 ימי מאסר בעבודות שירות. לא נעלם מעיני כי עסקינן בעבירה אשר התיישנה לאחרונה, ביום 3/4/13, אך כאמור עד להרשעתו של הנאשם בעבירות דידן לא  נמחקה הרשעה קודמת זו, ולפיכך היא עומדת לחובתו.  (ראו </w:t>
      </w:r>
      <w:hyperlink r:id="rId60" w:history="1">
        <w:r w:rsidR="000A7739" w:rsidRPr="000A7739">
          <w:rPr>
            <w:rStyle w:val="Hyperlink"/>
            <w:rtl/>
          </w:rPr>
          <w:t>סעיף 16 (ב1)</w:t>
        </w:r>
      </w:hyperlink>
      <w:r>
        <w:rPr>
          <w:rtl/>
        </w:rPr>
        <w:t xml:space="preserve"> ל</w:t>
      </w:r>
      <w:hyperlink r:id="rId61" w:history="1">
        <w:r w:rsidR="000B6859" w:rsidRPr="000B6859">
          <w:rPr>
            <w:rStyle w:val="Hyperlink"/>
            <w:rtl/>
          </w:rPr>
          <w:t>חוק המרשם הפלילי ותקנת השבים</w:t>
        </w:r>
      </w:hyperlink>
      <w:r>
        <w:rPr>
          <w:rtl/>
        </w:rPr>
        <w:t xml:space="preserve">, התשמ"א- 1981, לפיה, נפסקת תקופת המחיקה של הרשעה "אם מי שהמידע עליו הורשע בעבירה נוספת"). עם זאת, לקולא תילקח בחשבון העובדה כי הנאשם לא הסתבך בעבירות נוספות משך למעלה משבע שנים, משנת 03' ועד לביצוע מעשיו החמורים בתיק זה ביולי 12'. </w:t>
      </w:r>
    </w:p>
    <w:p w14:paraId="1B0AF5D4" w14:textId="77777777" w:rsidR="00D43E0E" w:rsidRDefault="00D43E0E">
      <w:pPr>
        <w:spacing w:line="360" w:lineRule="auto"/>
        <w:ind w:firstLine="720"/>
        <w:jc w:val="both"/>
        <w:rPr>
          <w:b/>
          <w:bCs/>
          <w:rtl/>
        </w:rPr>
      </w:pPr>
    </w:p>
    <w:p w14:paraId="0E8582DC" w14:textId="77777777" w:rsidR="00D43E0E" w:rsidRDefault="00D633E8">
      <w:pPr>
        <w:spacing w:line="360" w:lineRule="auto"/>
        <w:ind w:left="720"/>
        <w:jc w:val="both"/>
        <w:rPr>
          <w:rStyle w:val="normal-h"/>
          <w:rtl/>
        </w:rPr>
      </w:pPr>
      <w:r>
        <w:rPr>
          <w:rStyle w:val="normal-h"/>
          <w:b/>
          <w:bCs/>
          <w:rtl/>
        </w:rPr>
        <w:t>ג.</w:t>
      </w:r>
      <w:r>
        <w:rPr>
          <w:rStyle w:val="normal-h"/>
          <w:rtl/>
        </w:rPr>
        <w:t xml:space="preserve"> כן ייזקפו לזכותו של הנאשם הודייתו המיידית במשטרה, במהלכה חשף את זהות שותפו לביצוע העבירות, הודייתו בהזדמנות הראשונה בבית המשפט בעובדות כתב האישום המתוקן, אשר חסכה זמן שיפוטי יקר, וכן החרטה והאחריות שנטל למעשיו, אם כי בפני קצינת המבחן נטל אחריות חלקית בלבד תוך נסיון למזער את חלקו במעשים.  </w:t>
      </w:r>
    </w:p>
    <w:p w14:paraId="32F9F848" w14:textId="77777777" w:rsidR="00D43E0E" w:rsidRDefault="00D43E0E">
      <w:pPr>
        <w:shd w:val="clear" w:color="auto" w:fill="FFFFFF"/>
        <w:spacing w:line="360" w:lineRule="auto"/>
        <w:jc w:val="both"/>
        <w:rPr>
          <w:rtl/>
        </w:rPr>
      </w:pPr>
    </w:p>
    <w:p w14:paraId="3AB6AB23" w14:textId="77777777" w:rsidR="00D43E0E" w:rsidRDefault="00D633E8">
      <w:pPr>
        <w:shd w:val="clear" w:color="auto" w:fill="FFFFFF"/>
        <w:spacing w:line="360" w:lineRule="auto"/>
        <w:ind w:left="720"/>
        <w:jc w:val="both"/>
        <w:rPr>
          <w:rtl/>
        </w:rPr>
      </w:pPr>
      <w:r>
        <w:rPr>
          <w:b/>
          <w:bCs/>
          <w:rtl/>
        </w:rPr>
        <w:t>ד.</w:t>
      </w:r>
      <w:r>
        <w:rPr>
          <w:rtl/>
        </w:rPr>
        <w:t xml:space="preserve"> עוד אני רואה לייחס משמעות לסולחה שנערכה בין משפחת הנאשם והמתלוננים, על דעתו של הנאשם, המתלווה כאמור להודייתו וחרטתו של הנאשם. הסולחה אפשרה, בין השאר, את חזרתו של הנאשם לאזור מגוריו, ויש בה כדי לתרום להשכנת שלום בין המשפחות ולמניעת מעשים נוספים, עקב האירועים נשוא תיק זה ואלה שקדמו להם, (לעניין זה ראו </w:t>
      </w:r>
      <w:hyperlink r:id="rId62" w:history="1">
        <w:r w:rsidR="000B6859" w:rsidRPr="000B6859">
          <w:rPr>
            <w:rStyle w:val="Hyperlink"/>
            <w:rtl/>
          </w:rPr>
          <w:t>ע"פ 7126/04</w:t>
        </w:r>
      </w:hyperlink>
      <w:r>
        <w:rPr>
          <w:rtl/>
        </w:rPr>
        <w:t xml:space="preserve"> </w:t>
      </w:r>
      <w:r>
        <w:rPr>
          <w:b/>
          <w:bCs/>
          <w:rtl/>
        </w:rPr>
        <w:t>גדיר נ' מ"י</w:t>
      </w:r>
      <w:r>
        <w:rPr>
          <w:rtl/>
        </w:rPr>
        <w:t xml:space="preserve"> (27/6/05), מפי כב' הש' לוי; </w:t>
      </w:r>
      <w:hyperlink r:id="rId63" w:history="1">
        <w:r w:rsidR="000B6859" w:rsidRPr="000B6859">
          <w:rPr>
            <w:rStyle w:val="Hyperlink"/>
            <w:rtl/>
          </w:rPr>
          <w:t>בש"פ 590/08</w:t>
        </w:r>
      </w:hyperlink>
      <w:r>
        <w:rPr>
          <w:rtl/>
        </w:rPr>
        <w:t xml:space="preserve"> </w:t>
      </w:r>
      <w:r>
        <w:rPr>
          <w:b/>
          <w:bCs/>
          <w:rtl/>
        </w:rPr>
        <w:t>מ"י נ' מריסאת</w:t>
      </w:r>
      <w:r>
        <w:rPr>
          <w:rtl/>
        </w:rPr>
        <w:t xml:space="preserve"> (21/1/08), מפי כב' הש'  רובינשטיין; כן ראו מאמרו של כב' הש' רון </w:t>
      </w:r>
      <w:hyperlink r:id="rId64" w:history="1">
        <w:r w:rsidR="000B6859" w:rsidRPr="000B6859">
          <w:rPr>
            <w:rStyle w:val="Hyperlink"/>
            <w:rtl/>
          </w:rPr>
          <w:t>שפירא, "הגיעה העת לסולחה"</w:t>
        </w:r>
      </w:hyperlink>
      <w:r>
        <w:rPr>
          <w:rtl/>
        </w:rPr>
        <w:t>, הפרקליט מח (2) (2006), 433).</w:t>
      </w:r>
    </w:p>
    <w:p w14:paraId="0CD03469" w14:textId="77777777" w:rsidR="00D43E0E" w:rsidRDefault="00D43E0E">
      <w:pPr>
        <w:shd w:val="clear" w:color="auto" w:fill="FFFFFF"/>
        <w:spacing w:line="360" w:lineRule="auto"/>
        <w:ind w:left="720"/>
        <w:jc w:val="both"/>
        <w:rPr>
          <w:rtl/>
        </w:rPr>
      </w:pPr>
    </w:p>
    <w:p w14:paraId="2A7759B1" w14:textId="77777777" w:rsidR="00D43E0E" w:rsidRDefault="00D633E8">
      <w:pPr>
        <w:shd w:val="clear" w:color="auto" w:fill="FFFFFF"/>
        <w:spacing w:line="360" w:lineRule="auto"/>
        <w:ind w:right="720" w:firstLine="720"/>
        <w:jc w:val="both"/>
        <w:rPr>
          <w:rFonts w:ascii="Arial Unicode MS" w:eastAsia="Arial Unicode MS" w:hAnsi="Arial Unicode MS" w:cs="Arial Unicode MS"/>
        </w:rPr>
      </w:pPr>
      <w:r>
        <w:rPr>
          <w:rtl/>
        </w:rPr>
        <w:t xml:space="preserve">ואולם, על נפקותו של הסכם </w:t>
      </w:r>
      <w:r>
        <w:rPr>
          <w:color w:val="000000"/>
          <w:rtl/>
        </w:rPr>
        <w:t>הסולחה</w:t>
      </w:r>
      <w:r>
        <w:rPr>
          <w:rtl/>
        </w:rPr>
        <w:t xml:space="preserve"> על רמת הענישה נאמר כדלהלן:</w:t>
      </w:r>
    </w:p>
    <w:p w14:paraId="3FB8A1F5" w14:textId="77777777" w:rsidR="00D43E0E" w:rsidRDefault="00D633E8">
      <w:pPr>
        <w:shd w:val="clear" w:color="auto" w:fill="FFFFFF"/>
        <w:jc w:val="both"/>
        <w:rPr>
          <w:rtl/>
        </w:rPr>
      </w:pPr>
      <w:r>
        <w:rPr>
          <w:rtl/>
        </w:rPr>
        <w:t xml:space="preserve"> </w:t>
      </w:r>
    </w:p>
    <w:p w14:paraId="292A18DC" w14:textId="77777777" w:rsidR="00D43E0E" w:rsidRDefault="00D633E8">
      <w:pPr>
        <w:shd w:val="clear" w:color="auto" w:fill="FFFFFF"/>
        <w:spacing w:line="360" w:lineRule="auto"/>
        <w:ind w:left="1440"/>
        <w:jc w:val="both"/>
        <w:rPr>
          <w:rtl/>
        </w:rPr>
      </w:pPr>
      <w:r>
        <w:rPr>
          <w:rtl/>
        </w:rPr>
        <w:t>"</w:t>
      </w:r>
      <w:r>
        <w:rPr>
          <w:rFonts w:cs="Times New Roman"/>
          <w:rtl/>
        </w:rPr>
        <w:t xml:space="preserve">איננו רואים </w:t>
      </w:r>
      <w:r>
        <w:rPr>
          <w:rFonts w:cs="Times New Roman"/>
          <w:color w:val="000000"/>
          <w:rtl/>
        </w:rPr>
        <w:t>בסולחה</w:t>
      </w:r>
      <w:r>
        <w:rPr>
          <w:rFonts w:cs="Times New Roman"/>
          <w:rtl/>
        </w:rPr>
        <w:t xml:space="preserve"> גורם הצריך להשפיע על קביעת עונש הולם כפי שמתחייב בנסיבות מקרה זה שהרי הקובע לענין זה אינו ביחסים שהתפתחו בין המשפחות הנוגעות בדבר אלא בסיכון לציבור הרחב מהתנהגות אלימה ובלתי מרוסנת"</w:t>
      </w:r>
      <w:r>
        <w:rPr>
          <w:rtl/>
        </w:rPr>
        <w:t>. (</w:t>
      </w:r>
      <w:hyperlink r:id="rId65" w:history="1">
        <w:r w:rsidR="000B6859" w:rsidRPr="000B6859">
          <w:rPr>
            <w:rStyle w:val="Hyperlink"/>
            <w:rtl/>
          </w:rPr>
          <w:t>ע"פ 373/93</w:t>
        </w:r>
      </w:hyperlink>
      <w:r>
        <w:rPr>
          <w:rtl/>
        </w:rPr>
        <w:t xml:space="preserve"> </w:t>
      </w:r>
      <w:r>
        <w:rPr>
          <w:b/>
          <w:bCs/>
          <w:rtl/>
        </w:rPr>
        <w:t>מ"י נ' מסראווה</w:t>
      </w:r>
      <w:r>
        <w:rPr>
          <w:rtl/>
        </w:rPr>
        <w:t xml:space="preserve"> (24/2/93), מפי כב' השופטים שמגר, גולדברג וחשין).</w:t>
      </w:r>
    </w:p>
    <w:p w14:paraId="4F087621" w14:textId="77777777" w:rsidR="00D43E0E" w:rsidRDefault="00D633E8">
      <w:pPr>
        <w:shd w:val="clear" w:color="auto" w:fill="FFFFFF"/>
        <w:spacing w:line="360" w:lineRule="auto"/>
        <w:ind w:firstLine="720"/>
        <w:jc w:val="both"/>
        <w:rPr>
          <w:rtl/>
        </w:rPr>
      </w:pPr>
      <w:r>
        <w:rPr>
          <w:rtl/>
        </w:rPr>
        <w:t>וכן:</w:t>
      </w:r>
    </w:p>
    <w:p w14:paraId="12A8B166" w14:textId="77777777" w:rsidR="00D43E0E" w:rsidRDefault="00D633E8">
      <w:pPr>
        <w:shd w:val="clear" w:color="auto" w:fill="FFFFFF"/>
        <w:spacing w:line="360" w:lineRule="auto"/>
        <w:ind w:firstLine="720"/>
        <w:jc w:val="both"/>
        <w:rPr>
          <w:rFonts w:cs="Arial Unicode MS"/>
          <w:sz w:val="8"/>
          <w:szCs w:val="8"/>
          <w:rtl/>
        </w:rPr>
      </w:pPr>
      <w:r>
        <w:rPr>
          <w:rtl/>
        </w:rPr>
        <w:t xml:space="preserve"> </w:t>
      </w:r>
    </w:p>
    <w:p w14:paraId="6CAA4EA0" w14:textId="77777777" w:rsidR="00D43E0E" w:rsidRDefault="00D633E8">
      <w:pPr>
        <w:shd w:val="clear" w:color="auto" w:fill="FFFFFF"/>
        <w:spacing w:line="360" w:lineRule="auto"/>
        <w:ind w:left="1440"/>
        <w:jc w:val="both"/>
        <w:rPr>
          <w:rtl/>
        </w:rPr>
      </w:pPr>
      <w:r>
        <w:rPr>
          <w:rtl/>
        </w:rPr>
        <w:t>"</w:t>
      </w:r>
      <w:r>
        <w:rPr>
          <w:rFonts w:cs="Times New Roman"/>
          <w:rtl/>
        </w:rPr>
        <w:t xml:space="preserve">כמובן אין צורך לשכנענו בחשיבות ההתייחסות לנפגעי עבירה ובתועלת שבגישור בין קרבנות לפוגעים, ככל שהדבר אפשרי. בכך משתלב גם מוסד </w:t>
      </w:r>
      <w:r>
        <w:rPr>
          <w:rFonts w:cs="Times New Roman"/>
          <w:color w:val="000000"/>
          <w:rtl/>
        </w:rPr>
        <w:t>הסולחה</w:t>
      </w:r>
      <w:r>
        <w:rPr>
          <w:rFonts w:cs="Times New Roman"/>
          <w:rtl/>
        </w:rPr>
        <w:t xml:space="preserve"> במגזר הערבי במיוחד, שבית משפט זה נדרש אליו בעבר, ולמשל נאמר (</w:t>
      </w:r>
      <w:hyperlink r:id="rId66" w:history="1">
        <w:r w:rsidR="000B6859" w:rsidRPr="000B6859">
          <w:rPr>
            <w:rStyle w:val="Hyperlink"/>
            <w:rFonts w:cs="Times New Roman"/>
            <w:rtl/>
          </w:rPr>
          <w:t>בש"פ 590/08</w:t>
        </w:r>
      </w:hyperlink>
      <w:r>
        <w:rPr>
          <w:rFonts w:cs="Times New Roman"/>
          <w:rtl/>
        </w:rPr>
        <w:t xml:space="preserve"> מדינת ישראל נ' מריסאת (לא פורסם)) "</w:t>
      </w:r>
      <w:r>
        <w:rPr>
          <w:rFonts w:cs="Times New Roman"/>
          <w:color w:val="000000"/>
          <w:rtl/>
        </w:rPr>
        <w:t>שסולחה</w:t>
      </w:r>
      <w:r>
        <w:rPr>
          <w:rFonts w:cs="Times New Roman"/>
          <w:rtl/>
        </w:rPr>
        <w:t xml:space="preserve"> עשויה להוות נדבך בשיקולו בית המשפט לעונש; היא מושרשת בתולדות אזורנו, ועיקרה התגייסותם של נכבדי עדה לפשר בין הצדדים הניצים בני עדתם, ולהשיב שלום ביניהם, בתמורה לפיצוי כספי או התחייבות כבוד" (ראו גם </w:t>
      </w:r>
      <w:hyperlink r:id="rId67" w:history="1">
        <w:r w:rsidR="000B6859" w:rsidRPr="000B6859">
          <w:rPr>
            <w:rStyle w:val="Hyperlink"/>
            <w:rFonts w:cs="Times New Roman"/>
            <w:rtl/>
          </w:rPr>
          <w:t>ע"פ 7126/04</w:t>
        </w:r>
      </w:hyperlink>
      <w:r>
        <w:rPr>
          <w:rFonts w:cs="Times New Roman"/>
          <w:rtl/>
        </w:rPr>
        <w:t xml:space="preserve"> גדיר נ' מדינת ישראל (לא פורסם); השופט רון </w:t>
      </w:r>
      <w:hyperlink r:id="rId68" w:history="1">
        <w:r w:rsidR="000B6859" w:rsidRPr="000B6859">
          <w:rPr>
            <w:rStyle w:val="Hyperlink"/>
            <w:rFonts w:cs="Times New Roman"/>
            <w:rtl/>
          </w:rPr>
          <w:t>שפירא, הגיעה העת לסולחה"</w:t>
        </w:r>
      </w:hyperlink>
      <w:r>
        <w:rPr>
          <w:rFonts w:cs="Times New Roman"/>
          <w:rtl/>
        </w:rPr>
        <w:t xml:space="preserve">, הפרקליט מח(2) 433). ברי כי </w:t>
      </w:r>
      <w:r>
        <w:rPr>
          <w:rFonts w:cs="Times New Roman"/>
          <w:color w:val="000000"/>
          <w:rtl/>
        </w:rPr>
        <w:t>הסולחה</w:t>
      </w:r>
      <w:r>
        <w:rPr>
          <w:rFonts w:cs="Times New Roman"/>
          <w:rtl/>
        </w:rPr>
        <w:t xml:space="preserve"> עשויה "להיות שיקול מסוים בגזר הדין בהתלוותה להודאה ולחרטה" (עניין מריסאת), אך אין היא הופכת את קערת השיקולים על פיה "אין היא מהוה תחליף להליך השיפוטי... אין </w:t>
      </w:r>
      <w:r>
        <w:rPr>
          <w:rFonts w:cs="Times New Roman"/>
          <w:color w:val="000000"/>
          <w:rtl/>
        </w:rPr>
        <w:t>הסולחה</w:t>
      </w:r>
      <w:r>
        <w:rPr>
          <w:rFonts w:cs="Times New Roman"/>
          <w:rtl/>
        </w:rPr>
        <w:t xml:space="preserve"> יכולה להחליף את הדין הפלילי"... מכל מקום, מעמדה במקומה מונח".</w:t>
      </w:r>
      <w:r>
        <w:rPr>
          <w:rtl/>
        </w:rPr>
        <w:t xml:space="preserve"> (</w:t>
      </w:r>
      <w:hyperlink r:id="rId69" w:history="1">
        <w:r w:rsidR="000B6859" w:rsidRPr="000B6859">
          <w:rPr>
            <w:rStyle w:val="Hyperlink"/>
            <w:rtl/>
          </w:rPr>
          <w:t>ע"פ 8199/10</w:t>
        </w:r>
      </w:hyperlink>
      <w:r>
        <w:rPr>
          <w:rtl/>
        </w:rPr>
        <w:t xml:space="preserve"> </w:t>
      </w:r>
      <w:r>
        <w:rPr>
          <w:b/>
          <w:bCs/>
          <w:rtl/>
        </w:rPr>
        <w:t xml:space="preserve">חורי נ' מ"י </w:t>
      </w:r>
      <w:r>
        <w:rPr>
          <w:rtl/>
        </w:rPr>
        <w:t xml:space="preserve">(10/3/11), מפי כב' הש' רובינשטיין; ראו גם </w:t>
      </w:r>
      <w:hyperlink r:id="rId70" w:history="1">
        <w:r w:rsidR="000B6859" w:rsidRPr="000B6859">
          <w:rPr>
            <w:rStyle w:val="Hyperlink"/>
            <w:rtl/>
          </w:rPr>
          <w:t>ע"פ 635/05</w:t>
        </w:r>
      </w:hyperlink>
      <w:r>
        <w:rPr>
          <w:rtl/>
        </w:rPr>
        <w:t xml:space="preserve"> </w:t>
      </w:r>
      <w:r>
        <w:rPr>
          <w:b/>
          <w:bCs/>
          <w:rtl/>
        </w:rPr>
        <w:t>דענא נ' מ"י</w:t>
      </w:r>
      <w:r>
        <w:rPr>
          <w:rtl/>
        </w:rPr>
        <w:t xml:space="preserve"> (26/11/07), מפי כב' הש' חשין).</w:t>
      </w:r>
    </w:p>
    <w:p w14:paraId="5C972F48" w14:textId="77777777" w:rsidR="00D43E0E" w:rsidRDefault="00D43E0E">
      <w:pPr>
        <w:shd w:val="clear" w:color="auto" w:fill="FFFFFF"/>
        <w:spacing w:line="360" w:lineRule="auto"/>
        <w:ind w:left="1440"/>
        <w:jc w:val="both"/>
        <w:rPr>
          <w:rtl/>
        </w:rPr>
      </w:pPr>
    </w:p>
    <w:p w14:paraId="2EFDD15F" w14:textId="77777777" w:rsidR="00D43E0E" w:rsidRDefault="00D633E8">
      <w:pPr>
        <w:shd w:val="clear" w:color="auto" w:fill="FFFFFF"/>
        <w:spacing w:line="360" w:lineRule="auto"/>
        <w:ind w:left="720"/>
        <w:jc w:val="both"/>
        <w:rPr>
          <w:rtl/>
        </w:rPr>
      </w:pPr>
      <w:r>
        <w:rPr>
          <w:rtl/>
        </w:rPr>
        <w:t>מעיון בהסכם הסולחה עולה כי הצדדים לא הסכימו על פיצוי כלשהו שישלם הנאשם למתלוננים בגין מעשיו, ולא מן הנמנע כי הדבר נובע מיחסיהם הקודמים של הצדדים. כאמור, השלום לא שרר בין הצדדים, בלשון המעטה, עוד קודם לאירוע.</w:t>
      </w:r>
    </w:p>
    <w:p w14:paraId="5A55F8C9" w14:textId="77777777" w:rsidR="00D43E0E" w:rsidRDefault="00D43E0E">
      <w:pPr>
        <w:shd w:val="clear" w:color="auto" w:fill="FFFFFF"/>
        <w:spacing w:line="360" w:lineRule="auto"/>
        <w:ind w:left="720"/>
        <w:jc w:val="both"/>
        <w:rPr>
          <w:rtl/>
        </w:rPr>
      </w:pPr>
    </w:p>
    <w:p w14:paraId="2F36179A" w14:textId="77777777" w:rsidR="00D43E0E" w:rsidRDefault="00D633E8">
      <w:pPr>
        <w:spacing w:line="360" w:lineRule="auto"/>
        <w:ind w:left="720"/>
        <w:jc w:val="both"/>
      </w:pPr>
      <w:r>
        <w:rPr>
          <w:b/>
          <w:bCs/>
          <w:rtl/>
        </w:rPr>
        <w:t>ה</w:t>
      </w:r>
      <w:r>
        <w:rPr>
          <w:rtl/>
        </w:rPr>
        <w:t xml:space="preserve">. קצינת המבחן המליצה, כאמור, להטיל על הנאשם מאסר שירוצה בעבודות שירות וכן מאסר על תנאי מרתיע, צו מבחן והתחייבות, ואולם </w:t>
      </w:r>
      <w:r>
        <w:rPr>
          <w:noProof/>
          <w:rtl/>
        </w:rPr>
        <w:t xml:space="preserve">יש לזכור כי מדובר בהמלצה אשר אינה מחייבת, בשל מערך השיקולים השונה בין המערכות. </w:t>
      </w:r>
    </w:p>
    <w:p w14:paraId="49344DF4" w14:textId="77777777" w:rsidR="00D43E0E" w:rsidRDefault="00D633E8">
      <w:pPr>
        <w:shd w:val="clear" w:color="auto" w:fill="FFFFFF"/>
        <w:ind w:left="720"/>
        <w:jc w:val="both"/>
        <w:rPr>
          <w:rtl/>
        </w:rPr>
      </w:pPr>
      <w:r>
        <w:rPr>
          <w:noProof/>
          <w:rtl/>
        </w:rPr>
        <w:t xml:space="preserve"> </w:t>
      </w:r>
    </w:p>
    <w:p w14:paraId="769F6FC4" w14:textId="77777777" w:rsidR="00D43E0E" w:rsidRDefault="00D633E8">
      <w:pPr>
        <w:shd w:val="clear" w:color="auto" w:fill="FFFFFF"/>
        <w:spacing w:line="360" w:lineRule="auto"/>
        <w:ind w:left="1440"/>
        <w:jc w:val="both"/>
        <w:rPr>
          <w:rtl/>
        </w:rPr>
      </w:pPr>
      <w:r>
        <w:rPr>
          <w:noProof/>
          <w:rtl/>
        </w:rPr>
        <w:t>"</w:t>
      </w:r>
      <w:r>
        <w:rPr>
          <w:rFonts w:cs="Times New Roman"/>
          <w:noProof/>
          <w:rtl/>
        </w:rPr>
        <w:t>שיקוליו של שירות המבחן למבוגרים אינם חופפים בהכרח את שיקוליו של בית המשפט, וזאת, בין היתר, מאחר שהוא אינו מופקד על הראייה הכוללת, הבוחנת את אלמנט ההרתעה הכללי ונתונים כיוצא אלה... השירות רואה את עיקר מעייניו במיצויו של היבט מוגדר של התנותנים, הנאספים לקראת ההכרעה השיפוטית, ובית המשפט הוא שיוצר את האיזון הנאות בין הנתונים השונים ומופקד על ראייתו של השלם להבדיל מן הקטע או המקוטע</w:t>
      </w:r>
      <w:r>
        <w:rPr>
          <w:noProof/>
          <w:rtl/>
        </w:rPr>
        <w:t>" (</w:t>
      </w:r>
      <w:hyperlink r:id="rId71" w:history="1">
        <w:r w:rsidR="000B6859" w:rsidRPr="000B6859">
          <w:rPr>
            <w:rStyle w:val="Hyperlink"/>
            <w:noProof/>
            <w:rtl/>
          </w:rPr>
          <w:t>ע"פ 344/81, 359 מ"י נ' סגל, פ"ד לה</w:t>
        </w:r>
      </w:hyperlink>
      <w:r>
        <w:rPr>
          <w:noProof/>
          <w:rtl/>
        </w:rPr>
        <w:t xml:space="preserve">(4) 313, 318, מפי כב' הנשיא שמגר; וכן ראו </w:t>
      </w:r>
      <w:hyperlink r:id="rId72" w:history="1">
        <w:r w:rsidR="000B6859" w:rsidRPr="000B6859">
          <w:rPr>
            <w:rStyle w:val="Hyperlink"/>
            <w:noProof/>
            <w:rtl/>
          </w:rPr>
          <w:t>רע"פ 8787/03</w:t>
        </w:r>
      </w:hyperlink>
      <w:r>
        <w:rPr>
          <w:noProof/>
          <w:rtl/>
        </w:rPr>
        <w:t xml:space="preserve"> </w:t>
      </w:r>
      <w:r>
        <w:rPr>
          <w:b/>
          <w:bCs/>
          <w:noProof/>
          <w:rtl/>
        </w:rPr>
        <w:t>מנסור נ' מ"י</w:t>
      </w:r>
      <w:r>
        <w:rPr>
          <w:noProof/>
          <w:rtl/>
        </w:rPr>
        <w:t xml:space="preserve"> (11/1/04), מפי כב' הש' טירקל;  </w:t>
      </w:r>
      <w:hyperlink r:id="rId73" w:history="1">
        <w:r w:rsidR="000B6859" w:rsidRPr="000B6859">
          <w:rPr>
            <w:rStyle w:val="Hyperlink"/>
            <w:noProof/>
            <w:rtl/>
          </w:rPr>
          <w:t>ע"פ 4383/07</w:t>
        </w:r>
      </w:hyperlink>
      <w:r>
        <w:rPr>
          <w:noProof/>
          <w:rtl/>
        </w:rPr>
        <w:t xml:space="preserve"> </w:t>
      </w:r>
      <w:r>
        <w:rPr>
          <w:b/>
          <w:bCs/>
          <w:noProof/>
          <w:rtl/>
        </w:rPr>
        <w:t>אבו פנה נ' מ"י</w:t>
      </w:r>
      <w:r>
        <w:rPr>
          <w:noProof/>
          <w:rtl/>
        </w:rPr>
        <w:t xml:space="preserve"> (25/9/07), מפי כב' הש' ארבל; </w:t>
      </w:r>
      <w:hyperlink r:id="rId74" w:history="1">
        <w:r w:rsidR="000B6859" w:rsidRPr="000B6859">
          <w:rPr>
            <w:rStyle w:val="Hyperlink"/>
            <w:noProof/>
            <w:rtl/>
          </w:rPr>
          <w:t>בש"פ 7835/09</w:t>
        </w:r>
      </w:hyperlink>
      <w:r>
        <w:rPr>
          <w:noProof/>
          <w:rtl/>
        </w:rPr>
        <w:t xml:space="preserve"> </w:t>
      </w:r>
      <w:r>
        <w:rPr>
          <w:b/>
          <w:bCs/>
          <w:noProof/>
          <w:rtl/>
        </w:rPr>
        <w:t>אגבאריה נ' מ"י</w:t>
      </w:r>
      <w:r>
        <w:rPr>
          <w:noProof/>
          <w:rtl/>
        </w:rPr>
        <w:t xml:space="preserve"> (18/10/09), מפי כב' הש' חיות). </w:t>
      </w:r>
    </w:p>
    <w:p w14:paraId="5D8FA225" w14:textId="77777777" w:rsidR="00D43E0E" w:rsidRDefault="00D43E0E">
      <w:pPr>
        <w:spacing w:line="360" w:lineRule="auto"/>
        <w:ind w:left="720"/>
        <w:jc w:val="both"/>
        <w:rPr>
          <w:rtl/>
        </w:rPr>
      </w:pPr>
    </w:p>
    <w:p w14:paraId="6A4C4DAA" w14:textId="77777777" w:rsidR="00D43E0E" w:rsidRDefault="00D633E8">
      <w:pPr>
        <w:spacing w:line="360" w:lineRule="auto"/>
        <w:ind w:left="720"/>
        <w:jc w:val="both"/>
        <w:rPr>
          <w:rtl/>
        </w:rPr>
      </w:pPr>
      <w:r>
        <w:rPr>
          <w:rtl/>
        </w:rPr>
        <w:t xml:space="preserve">חוששתני כי לא אוכל להיעתר להמלצתה של קצינת המבחן וכן לבקשת הנאשם להטיל עליו עונש שאינו כרוך במאסר בין כתלי הכלא. בנסיבות החומרות של המקרה הנדון, התוצאה המתבקשת מהעדפת נסיבותיו האישיות של הנאשם על פני האינטרס הציבורי, היא מתן לגיטימציה לאנשים נורמטיביים או בעלי עבר פלילי בלתי מכביד לפעול לפתרון סכסוכים בדרך של אלימות. בענישה המקלה כמבוקש על ידי הנאשם יהיה משום התעלמות מחומרת מעשיו, והסיכון הרב שיצר בצוותא עם שותפו לשלומם של המתלוננים והציבור בכללותו. הקלת ראש בעבירות אלה עלולה לגרום להסלמתה של האלימות הגואה במחוזותינו, לרמה אשר תפגע אנושות בסדר הציבורי. </w:t>
      </w:r>
    </w:p>
    <w:p w14:paraId="0C4C6600" w14:textId="77777777" w:rsidR="00D43E0E" w:rsidRDefault="00D43E0E">
      <w:pPr>
        <w:spacing w:after="120" w:line="360" w:lineRule="auto"/>
        <w:ind w:left="720"/>
        <w:jc w:val="both"/>
        <w:rPr>
          <w:rtl/>
        </w:rPr>
      </w:pPr>
    </w:p>
    <w:p w14:paraId="69F1CF69" w14:textId="77777777" w:rsidR="00D43E0E" w:rsidRDefault="00D633E8">
      <w:pPr>
        <w:spacing w:after="120" w:line="360" w:lineRule="auto"/>
        <w:ind w:left="720"/>
        <w:jc w:val="both"/>
        <w:rPr>
          <w:rtl/>
        </w:rPr>
      </w:pPr>
      <w:r>
        <w:rPr>
          <w:rtl/>
        </w:rPr>
        <w:t>לא למותר לציין כי גם קצינת המבחן התרשמה כי הנאשם נוטה להגיב באימפולסיביות כאשר הוא חש פגיעה בכבודו ובתדמיתו האישית, והעריכה קיומו של סיכון להישנות עבירות דומות בעתיד, אם כי בדרגה נמוכה. לענין זה יש לזכור כי הנאשם הורשע בעבר בעבירת איומים, אם כי הדבר קרה לפני שנים רבות ומאז לא נפתחו נגדו תיקים פליליים.</w:t>
      </w:r>
    </w:p>
    <w:p w14:paraId="7CAEDEEF" w14:textId="77777777" w:rsidR="00D43E0E" w:rsidRDefault="00D43E0E">
      <w:pPr>
        <w:shd w:val="clear" w:color="auto" w:fill="FFFFFF"/>
        <w:spacing w:line="360" w:lineRule="auto"/>
        <w:ind w:left="720"/>
        <w:jc w:val="both"/>
        <w:rPr>
          <w:rtl/>
        </w:rPr>
      </w:pPr>
    </w:p>
    <w:p w14:paraId="5BAB7753" w14:textId="77777777" w:rsidR="00D43E0E" w:rsidRDefault="00D633E8">
      <w:pPr>
        <w:spacing w:after="120" w:line="360" w:lineRule="auto"/>
        <w:ind w:left="720"/>
        <w:jc w:val="both"/>
        <w:rPr>
          <w:rtl/>
        </w:rPr>
      </w:pPr>
      <w:r>
        <w:rPr>
          <w:rtl/>
        </w:rPr>
        <w:t xml:space="preserve">בנסיבות העניין סבורתני כי הרחקתו של הנאשם מן הציבור והחמרה בעונשו, נדרשת כדי להגן על שלום הציבור, וכי יש סיכוי של ממש כי הטלת עונש מאסר בפועל משמעותי בגין מעשיו תביא להרתעתו (ראו </w:t>
      </w:r>
      <w:hyperlink r:id="rId75" w:history="1">
        <w:r w:rsidR="000A7739" w:rsidRPr="000A7739">
          <w:rPr>
            <w:rStyle w:val="Hyperlink"/>
            <w:rtl/>
          </w:rPr>
          <w:t>סעיף 40 ו</w:t>
        </w:r>
      </w:hyperlink>
      <w:r>
        <w:rPr>
          <w:rtl/>
        </w:rPr>
        <w:t xml:space="preserve"> ל</w:t>
      </w:r>
      <w:hyperlink r:id="rId76" w:history="1">
        <w:r w:rsidR="000B6859" w:rsidRPr="000B6859">
          <w:rPr>
            <w:rStyle w:val="Hyperlink"/>
            <w:rtl/>
          </w:rPr>
          <w:t>חוק העונשין</w:t>
        </w:r>
      </w:hyperlink>
      <w:r>
        <w:rPr>
          <w:rtl/>
        </w:rPr>
        <w:t xml:space="preserve">). </w:t>
      </w:r>
    </w:p>
    <w:p w14:paraId="5C0D98C5" w14:textId="77777777" w:rsidR="00D43E0E" w:rsidRDefault="00D43E0E">
      <w:pPr>
        <w:spacing w:after="120" w:line="360" w:lineRule="auto"/>
        <w:ind w:left="720"/>
        <w:jc w:val="both"/>
        <w:rPr>
          <w:sz w:val="16"/>
          <w:szCs w:val="16"/>
          <w:rtl/>
        </w:rPr>
      </w:pPr>
    </w:p>
    <w:p w14:paraId="10AAB3CE" w14:textId="77777777" w:rsidR="00D43E0E" w:rsidRDefault="00D633E8">
      <w:pPr>
        <w:spacing w:after="120" w:line="360" w:lineRule="auto"/>
        <w:ind w:left="720"/>
        <w:jc w:val="both"/>
        <w:rPr>
          <w:rtl/>
        </w:rPr>
      </w:pPr>
      <w:r>
        <w:rPr>
          <w:b/>
          <w:bCs/>
          <w:rtl/>
        </w:rPr>
        <w:t>ו.</w:t>
      </w:r>
      <w:r>
        <w:rPr>
          <w:rtl/>
        </w:rPr>
        <w:t xml:space="preserve"> עם זאת, ראיתי לתת משקל משמעותי בגזירת הדין לשיתוף הפעולה של הנאשם עם גורמי אכיפת החוק לאחר מעצרו, להודייתו המיידית בכתב האישום שתוקן כאמור בהסדר טיעון, לעברו הפלילי הבלתי מכביד, לסולחה אליה הגיעו הצדדים, וכן לתקופת מעצרו בגין תיק זה לרבות היותו נתון מזה תשעה חודשים במעצר בית מלא. בנתונים אלו, איני רואה למצות את הדין עם הנאשם. </w:t>
      </w:r>
    </w:p>
    <w:p w14:paraId="7FC0B16F" w14:textId="77777777" w:rsidR="00D43E0E" w:rsidRDefault="00D633E8">
      <w:pPr>
        <w:spacing w:line="360" w:lineRule="auto"/>
        <w:jc w:val="both"/>
        <w:rPr>
          <w:rtl/>
        </w:rPr>
      </w:pPr>
      <w:r>
        <w:rPr>
          <w:rtl/>
        </w:rPr>
        <w:t xml:space="preserve"> </w:t>
      </w:r>
    </w:p>
    <w:p w14:paraId="1E63FA18" w14:textId="77777777" w:rsidR="00D43E0E" w:rsidRDefault="00D633E8">
      <w:pPr>
        <w:spacing w:line="360" w:lineRule="auto"/>
        <w:ind w:left="720" w:hanging="720"/>
        <w:jc w:val="both"/>
        <w:rPr>
          <w:rtl/>
        </w:rPr>
      </w:pPr>
      <w:r>
        <w:rPr>
          <w:b/>
          <w:bCs/>
          <w:rtl/>
        </w:rPr>
        <w:t>12</w:t>
      </w:r>
      <w:r>
        <w:rPr>
          <w:rtl/>
        </w:rPr>
        <w:t>.</w:t>
      </w:r>
      <w:r>
        <w:rPr>
          <w:rtl/>
        </w:rPr>
        <w:tab/>
        <w:t xml:space="preserve">נוכח כל המקובץ לעיל, לאחר ששקלתי את כל השיקולים לחומרא ולקולא, אני רואה לגזור על הנאשם עונשים כדלקמן: </w:t>
      </w:r>
    </w:p>
    <w:p w14:paraId="7C7E2D7A" w14:textId="77777777" w:rsidR="00D43E0E" w:rsidRDefault="00D43E0E">
      <w:pPr>
        <w:spacing w:line="360" w:lineRule="auto"/>
        <w:ind w:left="720" w:hanging="720"/>
        <w:jc w:val="both"/>
        <w:rPr>
          <w:rtl/>
        </w:rPr>
      </w:pPr>
    </w:p>
    <w:p w14:paraId="0FA39B75" w14:textId="77777777" w:rsidR="00D43E0E" w:rsidRDefault="00D633E8">
      <w:pPr>
        <w:spacing w:line="360" w:lineRule="auto"/>
        <w:ind w:left="720"/>
        <w:jc w:val="both"/>
        <w:rPr>
          <w:rtl/>
        </w:rPr>
      </w:pPr>
      <w:r>
        <w:rPr>
          <w:b/>
          <w:bCs/>
          <w:rtl/>
        </w:rPr>
        <w:t xml:space="preserve">א. </w:t>
      </w:r>
      <w:r>
        <w:rPr>
          <w:rFonts w:hint="cs"/>
          <w:rtl/>
        </w:rPr>
        <w:t>42</w:t>
      </w:r>
      <w:r>
        <w:rPr>
          <w:rtl/>
        </w:rPr>
        <w:t xml:space="preserve"> חודשי מאסר בפועל, בניכוי תקופת מעצרו בתיק זה בין התאריכים 28/7/12- 9/9/12.  </w:t>
      </w:r>
    </w:p>
    <w:p w14:paraId="128F8DFB" w14:textId="77777777" w:rsidR="00D43E0E" w:rsidRDefault="00D43E0E">
      <w:pPr>
        <w:spacing w:line="360" w:lineRule="auto"/>
        <w:jc w:val="both"/>
        <w:rPr>
          <w:b/>
          <w:bCs/>
          <w:rtl/>
        </w:rPr>
      </w:pPr>
    </w:p>
    <w:p w14:paraId="28468BAF" w14:textId="77777777" w:rsidR="00D43E0E" w:rsidRDefault="00D633E8">
      <w:pPr>
        <w:spacing w:line="360" w:lineRule="auto"/>
        <w:ind w:left="720"/>
        <w:jc w:val="both"/>
        <w:rPr>
          <w:rtl/>
        </w:rPr>
      </w:pPr>
      <w:r>
        <w:rPr>
          <w:b/>
          <w:bCs/>
          <w:rtl/>
        </w:rPr>
        <w:t xml:space="preserve">ב. </w:t>
      </w:r>
      <w:r>
        <w:rPr>
          <w:rtl/>
        </w:rPr>
        <w:t>מאסר על תנאי למשך 18 חודשים ש</w:t>
      </w:r>
      <w:r>
        <w:rPr>
          <w:rFonts w:hint="cs"/>
          <w:rtl/>
        </w:rPr>
        <w:t>ה</w:t>
      </w:r>
      <w:r>
        <w:rPr>
          <w:rtl/>
        </w:rPr>
        <w:t xml:space="preserve">נאשם לא ישא בו זולת אם יעבור במשך 3 שנים מיום שחרורו עבירה בה הורשע, או עבירת אלימות או רכוש מסוג פשע, ויורשע בה בתוך תקופת התנאי או לאחריה. </w:t>
      </w:r>
    </w:p>
    <w:p w14:paraId="35698693" w14:textId="77777777" w:rsidR="00D43E0E" w:rsidRDefault="00D43E0E">
      <w:pPr>
        <w:spacing w:line="360" w:lineRule="auto"/>
        <w:ind w:left="720"/>
        <w:jc w:val="both"/>
        <w:rPr>
          <w:rtl/>
        </w:rPr>
      </w:pPr>
    </w:p>
    <w:p w14:paraId="2C5C929D" w14:textId="77777777" w:rsidR="00D43E0E" w:rsidRDefault="00D633E8">
      <w:pPr>
        <w:spacing w:line="360" w:lineRule="auto"/>
        <w:ind w:left="720"/>
        <w:jc w:val="both"/>
        <w:rPr>
          <w:rStyle w:val="aa-h1-h1-h1"/>
          <w:b w:val="0"/>
          <w:bCs w:val="0"/>
          <w:rtl/>
        </w:rPr>
      </w:pPr>
      <w:r>
        <w:rPr>
          <w:rStyle w:val="aa-h1-h1-h1"/>
          <w:rtl/>
        </w:rPr>
        <w:t xml:space="preserve">בנסיבות העניין נוכח תקופת המאסר שנגזרה על הנאשם, איני רואה לגזור עליו קנס. </w:t>
      </w:r>
    </w:p>
    <w:p w14:paraId="7671695F" w14:textId="77777777" w:rsidR="00D43E0E" w:rsidRDefault="00D43E0E">
      <w:pPr>
        <w:spacing w:line="360" w:lineRule="auto"/>
        <w:ind w:left="720"/>
        <w:jc w:val="both"/>
        <w:rPr>
          <w:rStyle w:val="aa-h1-h1-h1"/>
          <w:b w:val="0"/>
          <w:bCs w:val="0"/>
          <w:rtl/>
        </w:rPr>
      </w:pPr>
      <w:bookmarkStart w:id="9" w:name="_GoBack"/>
      <w:bookmarkEnd w:id="9"/>
    </w:p>
    <w:p w14:paraId="77E467A1" w14:textId="77777777" w:rsidR="00D43E0E" w:rsidRDefault="00D633E8">
      <w:pPr>
        <w:spacing w:line="360" w:lineRule="auto"/>
        <w:ind w:left="720" w:hanging="720"/>
        <w:jc w:val="both"/>
        <w:rPr>
          <w:rtl/>
        </w:rPr>
      </w:pPr>
      <w:r>
        <w:rPr>
          <w:b/>
          <w:bCs/>
          <w:rtl/>
        </w:rPr>
        <w:t>13</w:t>
      </w:r>
      <w:r>
        <w:rPr>
          <w:rtl/>
        </w:rPr>
        <w:t>.</w:t>
      </w:r>
      <w:r>
        <w:rPr>
          <w:rtl/>
        </w:rPr>
        <w:tab/>
        <w:t xml:space="preserve">בנסיבות המפורטות לעיל, נוכח מערכת היחסים בין הצדדים ואופי הסולחה אליה הגיעו, איני רואה להטיל על הנאשם פיצוי למתלוננים. </w:t>
      </w:r>
    </w:p>
    <w:p w14:paraId="10689117" w14:textId="77777777" w:rsidR="00D43E0E" w:rsidRDefault="00D43E0E">
      <w:pPr>
        <w:spacing w:line="360" w:lineRule="auto"/>
        <w:ind w:left="720" w:hanging="720"/>
        <w:jc w:val="both"/>
        <w:rPr>
          <w:rtl/>
        </w:rPr>
      </w:pPr>
    </w:p>
    <w:p w14:paraId="1692CDBD" w14:textId="77777777" w:rsidR="00D43E0E" w:rsidRDefault="00D43E0E">
      <w:pPr>
        <w:spacing w:line="360" w:lineRule="auto"/>
        <w:ind w:left="720"/>
        <w:jc w:val="both"/>
        <w:rPr>
          <w:rtl/>
        </w:rPr>
      </w:pPr>
    </w:p>
    <w:p w14:paraId="18EB8FD9" w14:textId="77777777" w:rsidR="00D43E0E" w:rsidRDefault="00D633E8">
      <w:pPr>
        <w:spacing w:line="360" w:lineRule="auto"/>
        <w:ind w:firstLine="720"/>
        <w:jc w:val="both"/>
        <w:rPr>
          <w:b/>
          <w:bCs/>
          <w:u w:val="single"/>
          <w:rtl/>
        </w:rPr>
      </w:pPr>
      <w:r>
        <w:rPr>
          <w:b/>
          <w:bCs/>
          <w:u w:val="single"/>
          <w:rtl/>
        </w:rPr>
        <w:t xml:space="preserve">זכות ערעור לבית המשפט העליון בתוך 45 יום מהיום. </w:t>
      </w:r>
    </w:p>
    <w:p w14:paraId="1FFA368D" w14:textId="77777777" w:rsidR="00D43E0E" w:rsidRDefault="00D43E0E">
      <w:pPr>
        <w:rPr>
          <w:rFonts w:ascii="Arial" w:hAnsi="Arial"/>
          <w:rtl/>
        </w:rPr>
      </w:pPr>
    </w:p>
    <w:p w14:paraId="5D0B73F9" w14:textId="77777777" w:rsidR="00D43E0E" w:rsidRDefault="00D43E0E">
      <w:pPr>
        <w:rPr>
          <w:rtl/>
        </w:rPr>
      </w:pPr>
    </w:p>
    <w:p w14:paraId="1B6CEC81" w14:textId="77777777" w:rsidR="00D43E0E" w:rsidRPr="00D633E8" w:rsidRDefault="00D633E8">
      <w:pPr>
        <w:rPr>
          <w:color w:val="FFFFFF"/>
          <w:sz w:val="2"/>
          <w:szCs w:val="2"/>
          <w:rtl/>
        </w:rPr>
      </w:pPr>
      <w:r w:rsidRPr="00D633E8">
        <w:rPr>
          <w:color w:val="FFFFFF"/>
          <w:sz w:val="2"/>
          <w:szCs w:val="2"/>
          <w:rtl/>
        </w:rPr>
        <w:t>5129371</w:t>
      </w:r>
    </w:p>
    <w:p w14:paraId="3CB9CA8F" w14:textId="77777777" w:rsidR="00D43E0E" w:rsidRDefault="00D633E8">
      <w:pPr>
        <w:rPr>
          <w:rFonts w:cs="FrankRuehl"/>
          <w:sz w:val="28"/>
          <w:szCs w:val="28"/>
          <w:rtl/>
        </w:rPr>
      </w:pPr>
      <w:r w:rsidRPr="00D633E8">
        <w:rPr>
          <w:rFonts w:ascii="Arial" w:hAnsi="Arial"/>
          <w:color w:val="FFFFFF"/>
          <w:sz w:val="2"/>
          <w:szCs w:val="2"/>
          <w:rtl/>
        </w:rPr>
        <w:t>54678313</w:t>
      </w:r>
      <w:r>
        <w:rPr>
          <w:rFonts w:ascii="Arial" w:hAnsi="Arial"/>
          <w:rtl/>
        </w:rPr>
        <w:t xml:space="preserve">ניתן היום, ט' תמוז תשע"ג, 17 יוני 2013.  </w:t>
      </w:r>
    </w:p>
    <w:p w14:paraId="3E9CA48B" w14:textId="77777777" w:rsidR="00D633E8" w:rsidRPr="00D633E8" w:rsidRDefault="00D633E8" w:rsidP="00D633E8">
      <w:pPr>
        <w:keepNext/>
        <w:rPr>
          <w:rFonts w:ascii="David" w:hAnsi="David" w:hint="cs"/>
          <w:color w:val="000000"/>
          <w:sz w:val="22"/>
          <w:szCs w:val="22"/>
          <w:rtl/>
        </w:rPr>
      </w:pPr>
    </w:p>
    <w:p w14:paraId="1A61451C" w14:textId="77777777" w:rsidR="00D633E8" w:rsidRPr="00D633E8" w:rsidRDefault="00D633E8" w:rsidP="00D633E8">
      <w:pPr>
        <w:keepNext/>
        <w:rPr>
          <w:rFonts w:ascii="David" w:hAnsi="David"/>
          <w:color w:val="000000"/>
          <w:sz w:val="22"/>
          <w:szCs w:val="22"/>
          <w:rtl/>
        </w:rPr>
      </w:pPr>
      <w:r w:rsidRPr="00D633E8">
        <w:rPr>
          <w:rFonts w:ascii="David" w:hAnsi="David"/>
          <w:color w:val="000000"/>
          <w:sz w:val="22"/>
          <w:szCs w:val="22"/>
          <w:rtl/>
        </w:rPr>
        <w:t>דיאנה סלע 54678313</w:t>
      </w:r>
    </w:p>
    <w:p w14:paraId="20A50A22" w14:textId="77777777" w:rsidR="00D43E0E" w:rsidRDefault="00D633E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6826E59" w14:textId="77777777" w:rsidR="00D633E8" w:rsidRDefault="00D633E8" w:rsidP="00D633E8">
      <w:r w:rsidRPr="00D633E8">
        <w:rPr>
          <w:color w:val="000000"/>
          <w:rtl/>
        </w:rPr>
        <w:t>נוסח מסמך זה כפוף לשינויי ניסוח ועריכה</w:t>
      </w:r>
    </w:p>
    <w:p w14:paraId="04D04EC9" w14:textId="77777777" w:rsidR="00D633E8" w:rsidRDefault="00D633E8" w:rsidP="00D633E8">
      <w:pPr>
        <w:rPr>
          <w:rtl/>
        </w:rPr>
      </w:pPr>
    </w:p>
    <w:p w14:paraId="466B31A3" w14:textId="77777777" w:rsidR="00D633E8" w:rsidRDefault="00D633E8" w:rsidP="00D633E8">
      <w:pPr>
        <w:jc w:val="center"/>
        <w:rPr>
          <w:color w:val="0000FF"/>
          <w:u w:val="single"/>
        </w:rPr>
      </w:pPr>
      <w:r w:rsidRPr="00B6554D">
        <w:rPr>
          <w:color w:val="000000"/>
          <w:rtl/>
        </w:rPr>
        <w:t>בעניין עריכה ושינויים במסמכי פסיקה, חקיקה ועוד באתר נבו – הקש כאן</w:t>
      </w:r>
    </w:p>
    <w:p w14:paraId="195C1209" w14:textId="77777777" w:rsidR="00D43E0E" w:rsidRPr="00D633E8" w:rsidRDefault="00D43E0E" w:rsidP="00D633E8">
      <w:pPr>
        <w:jc w:val="center"/>
        <w:rPr>
          <w:color w:val="0000FF"/>
          <w:u w:val="single"/>
        </w:rPr>
      </w:pPr>
    </w:p>
    <w:sectPr w:rsidR="00D43E0E" w:rsidRPr="00D633E8" w:rsidSect="00D633E8">
      <w:headerReference w:type="even" r:id="rId77"/>
      <w:headerReference w:type="default" r:id="rId78"/>
      <w:footerReference w:type="even" r:id="rId79"/>
      <w:footerReference w:type="default" r:id="rId80"/>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AB9DA" w14:textId="77777777" w:rsidR="007948C5" w:rsidRPr="001F0936" w:rsidRDefault="007948C5">
      <w:pPr>
        <w:rPr>
          <w:rFonts w:cs="Arial"/>
          <w:szCs w:val="20"/>
        </w:rPr>
      </w:pPr>
      <w:r>
        <w:separator/>
      </w:r>
    </w:p>
  </w:endnote>
  <w:endnote w:type="continuationSeparator" w:id="0">
    <w:p w14:paraId="3BBD7A80" w14:textId="77777777" w:rsidR="007948C5" w:rsidRPr="001F0936" w:rsidRDefault="007948C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lgerian">
    <w:panose1 w:val="04020705040A02060702"/>
    <w:charset w:val="00"/>
    <w:family w:val="decorativ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AAFBE" w14:textId="77777777" w:rsidR="00F36705" w:rsidRDefault="00F36705" w:rsidP="00D633E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30251452" w14:textId="77777777" w:rsidR="00F36705" w:rsidRPr="00D633E8" w:rsidRDefault="00F36705" w:rsidP="00D633E8">
    <w:pPr>
      <w:pStyle w:val="a4"/>
      <w:pBdr>
        <w:top w:val="single" w:sz="4" w:space="1" w:color="auto"/>
        <w:between w:val="single" w:sz="4" w:space="0" w:color="auto"/>
      </w:pBdr>
      <w:spacing w:after="60"/>
      <w:jc w:val="center"/>
      <w:rPr>
        <w:rFonts w:ascii="FrankRuehl" w:hAnsi="FrankRuehl" w:cs="FrankRuehl"/>
        <w:color w:val="000000"/>
      </w:rPr>
    </w:pPr>
    <w:r w:rsidRPr="00D633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F1CE7" w14:textId="77777777" w:rsidR="00F36705" w:rsidRDefault="00F36705" w:rsidP="00D633E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7F80">
      <w:rPr>
        <w:rFonts w:ascii="FrankRuehl" w:hAnsi="FrankRuehl" w:cs="FrankRuehl"/>
        <w:noProof/>
        <w:rtl/>
      </w:rPr>
      <w:t>1</w:t>
    </w:r>
    <w:r>
      <w:rPr>
        <w:rFonts w:ascii="FrankRuehl" w:hAnsi="FrankRuehl" w:cs="FrankRuehl"/>
        <w:rtl/>
      </w:rPr>
      <w:fldChar w:fldCharType="end"/>
    </w:r>
  </w:p>
  <w:p w14:paraId="26E49B11" w14:textId="77777777" w:rsidR="00F36705" w:rsidRPr="00D633E8" w:rsidRDefault="00F36705" w:rsidP="00D633E8">
    <w:pPr>
      <w:pStyle w:val="a4"/>
      <w:pBdr>
        <w:top w:val="single" w:sz="4" w:space="1" w:color="auto"/>
        <w:between w:val="single" w:sz="4" w:space="0" w:color="auto"/>
      </w:pBdr>
      <w:spacing w:after="60"/>
      <w:jc w:val="center"/>
      <w:rPr>
        <w:rFonts w:ascii="FrankRuehl" w:hAnsi="FrankRuehl" w:cs="FrankRuehl"/>
        <w:color w:val="000000"/>
      </w:rPr>
    </w:pPr>
    <w:r w:rsidRPr="00D633E8">
      <w:rPr>
        <w:rFonts w:ascii="FrankRuehl" w:hAnsi="FrankRuehl" w:cs="FrankRuehl"/>
        <w:color w:val="000000"/>
      </w:rPr>
      <w:pict w14:anchorId="4AE5A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376D1" w14:textId="77777777" w:rsidR="007948C5" w:rsidRPr="001F0936" w:rsidRDefault="007948C5">
      <w:pPr>
        <w:rPr>
          <w:rFonts w:cs="Arial"/>
          <w:szCs w:val="20"/>
        </w:rPr>
      </w:pPr>
      <w:r>
        <w:separator/>
      </w:r>
    </w:p>
  </w:footnote>
  <w:footnote w:type="continuationSeparator" w:id="0">
    <w:p w14:paraId="066158E9" w14:textId="77777777" w:rsidR="007948C5" w:rsidRPr="001F0936" w:rsidRDefault="007948C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5C543" w14:textId="77777777" w:rsidR="00F36705" w:rsidRPr="00D633E8" w:rsidRDefault="00F36705" w:rsidP="00D633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(חי') 5007/12 תפ (חי') 5007-12</w:t>
    </w:r>
    <w:r>
      <w:rPr>
        <w:rFonts w:ascii="David" w:hAnsi="David"/>
        <w:color w:val="000000"/>
        <w:sz w:val="22"/>
        <w:szCs w:val="22"/>
        <w:rtl/>
      </w:rPr>
      <w:tab/>
      <w:t xml:space="preserve"> מדינת ישראל נ' עלי זבידאת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863DE" w14:textId="77777777" w:rsidR="00F36705" w:rsidRPr="00D633E8" w:rsidRDefault="00F36705" w:rsidP="00D633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(חי') 5007/12 תפ (חי') 5007-12</w:t>
    </w:r>
    <w:r>
      <w:rPr>
        <w:rFonts w:ascii="David" w:hAnsi="David"/>
        <w:color w:val="000000"/>
        <w:sz w:val="22"/>
        <w:szCs w:val="22"/>
        <w:rtl/>
      </w:rPr>
      <w:tab/>
      <w:t xml:space="preserve"> מדינת ישראל נ' עלי זבידאת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3E0E"/>
    <w:rsid w:val="0007034C"/>
    <w:rsid w:val="000A7739"/>
    <w:rsid w:val="000B6859"/>
    <w:rsid w:val="000C699D"/>
    <w:rsid w:val="002034E9"/>
    <w:rsid w:val="003B205D"/>
    <w:rsid w:val="00440AE5"/>
    <w:rsid w:val="00671698"/>
    <w:rsid w:val="006C7C9F"/>
    <w:rsid w:val="007948C5"/>
    <w:rsid w:val="00801A8D"/>
    <w:rsid w:val="00B6554D"/>
    <w:rsid w:val="00B77499"/>
    <w:rsid w:val="00BC7F80"/>
    <w:rsid w:val="00D43E0E"/>
    <w:rsid w:val="00D633E8"/>
    <w:rsid w:val="00F16FC9"/>
    <w:rsid w:val="00F367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8CFB676"/>
  <w15:chartTrackingRefBased/>
  <w15:docId w15:val="{2CF265D0-3D03-4294-81D8-1BD6993D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3E0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43E0E"/>
    <w:pPr>
      <w:tabs>
        <w:tab w:val="center" w:pos="4153"/>
        <w:tab w:val="right" w:pos="8306"/>
      </w:tabs>
    </w:pPr>
  </w:style>
  <w:style w:type="paragraph" w:styleId="a4">
    <w:name w:val="footer"/>
    <w:basedOn w:val="a"/>
    <w:rsid w:val="00D43E0E"/>
    <w:pPr>
      <w:tabs>
        <w:tab w:val="center" w:pos="4153"/>
        <w:tab w:val="right" w:pos="8306"/>
      </w:tabs>
    </w:pPr>
  </w:style>
  <w:style w:type="character" w:styleId="a5">
    <w:name w:val="page number"/>
    <w:basedOn w:val="a0"/>
    <w:rsid w:val="00D43E0E"/>
  </w:style>
  <w:style w:type="character" w:customStyle="1" w:styleId="TimesNewRomanTimesNewRoman">
    <w:name w:val="סגנון (לטיני) Times New Roman (עברית ושפות אחרות) Times New Roman..."/>
    <w:rsid w:val="00D43E0E"/>
    <w:rPr>
      <w:rFonts w:ascii="Times New Roman" w:hAnsi="Times New Roman" w:cs="David" w:hint="default"/>
      <w:b/>
      <w:bCs/>
      <w:sz w:val="26"/>
      <w:szCs w:val="26"/>
    </w:rPr>
  </w:style>
  <w:style w:type="paragraph" w:customStyle="1" w:styleId="David">
    <w:name w:val="סגנון (עברית ושפות אחרות) David מיושר לשני הצדדים מרווח בין שורות..."/>
    <w:basedOn w:val="a"/>
    <w:rsid w:val="00D43E0E"/>
    <w:pPr>
      <w:spacing w:line="360" w:lineRule="auto"/>
      <w:jc w:val="both"/>
    </w:pPr>
  </w:style>
  <w:style w:type="character" w:customStyle="1" w:styleId="normal-h">
    <w:name w:val="normal-h"/>
    <w:rsid w:val="00D43E0E"/>
    <w:rPr>
      <w:rFonts w:ascii="Times New Roman" w:hAnsi="Times New Roman" w:cs="Times New Roman"/>
    </w:rPr>
  </w:style>
  <w:style w:type="paragraph" w:customStyle="1" w:styleId="normal-p">
    <w:name w:val="normal-p"/>
    <w:basedOn w:val="a"/>
    <w:rsid w:val="00D43E0E"/>
    <w:pPr>
      <w:bidi w:val="0"/>
      <w:spacing w:before="100" w:beforeAutospacing="1" w:after="100" w:afterAutospacing="1"/>
    </w:pPr>
    <w:rPr>
      <w:rFonts w:ascii="Arial Unicode MS" w:eastAsia="Arial Unicode MS" w:hAnsi="Arial Unicode MS" w:cs="Arial Unicode MS"/>
      <w:lang w:eastAsia="he-IL"/>
    </w:rPr>
  </w:style>
  <w:style w:type="character" w:customStyle="1" w:styleId="default">
    <w:name w:val="default"/>
    <w:rsid w:val="00D43E0E"/>
    <w:rPr>
      <w:rFonts w:ascii="Times New Roman" w:hAnsi="Times New Roman" w:cs="Times New Roman"/>
      <w:sz w:val="26"/>
      <w:szCs w:val="26"/>
    </w:rPr>
  </w:style>
  <w:style w:type="character" w:customStyle="1" w:styleId="aa-h1-h1-h1">
    <w:name w:val="aa-h1-h1-h1"/>
    <w:rsid w:val="00D43E0E"/>
    <w:rPr>
      <w:rFonts w:ascii="Times New Roman" w:hAnsi="Times New Roman" w:cs="Times New Roman"/>
      <w:b/>
      <w:bCs/>
      <w:sz w:val="20"/>
      <w:szCs w:val="20"/>
    </w:rPr>
  </w:style>
  <w:style w:type="character" w:styleId="Hyperlink">
    <w:name w:val="Hyperlink"/>
    <w:rsid w:val="00D63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92" TargetMode="External"/><Relationship Id="rId21" Type="http://schemas.openxmlformats.org/officeDocument/2006/relationships/hyperlink" Target="http://www.nevo.co.il/law/70302/16.b1" TargetMode="External"/><Relationship Id="rId42" Type="http://schemas.openxmlformats.org/officeDocument/2006/relationships/hyperlink" Target="http://www.nevo.co.il/law/70301/40b" TargetMode="External"/><Relationship Id="rId47" Type="http://schemas.openxmlformats.org/officeDocument/2006/relationships/hyperlink" Target="http://www.nevo.co.il/case/5736455" TargetMode="External"/><Relationship Id="rId63" Type="http://schemas.openxmlformats.org/officeDocument/2006/relationships/hyperlink" Target="http://www.nevo.co.il/case/5712035" TargetMode="External"/><Relationship Id="rId68" Type="http://schemas.openxmlformats.org/officeDocument/2006/relationships/hyperlink" Target="http://www.nevo.co.il/safrut/book/3366" TargetMode="External"/><Relationship Id="rId16" Type="http://schemas.openxmlformats.org/officeDocument/2006/relationships/hyperlink" Target="http://www.nevo.co.il/law/70301/40jb" TargetMode="External"/><Relationship Id="rId11" Type="http://schemas.openxmlformats.org/officeDocument/2006/relationships/hyperlink" Target="http://www.nevo.co.il/law/70301/40i" TargetMode="External"/><Relationship Id="rId32" Type="http://schemas.openxmlformats.org/officeDocument/2006/relationships/hyperlink" Target="http://www.nevo.co.il/case/17939098" TargetMode="External"/><Relationship Id="rId37" Type="http://schemas.openxmlformats.org/officeDocument/2006/relationships/hyperlink" Target="http://www.nevo.co.il/law/70301/40c.a" TargetMode="External"/><Relationship Id="rId53" Type="http://schemas.openxmlformats.org/officeDocument/2006/relationships/hyperlink" Target="http://www.nevo.co.il/case/5859902" TargetMode="External"/><Relationship Id="rId58" Type="http://schemas.openxmlformats.org/officeDocument/2006/relationships/hyperlink" Target="http://www.nevo.co.il/law/70301/40ja" TargetMode="External"/><Relationship Id="rId74" Type="http://schemas.openxmlformats.org/officeDocument/2006/relationships/hyperlink" Target="http://www.nevo.co.il/case/6114126" TargetMode="External"/><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70302" TargetMode="External"/><Relationship Id="rId82" Type="http://schemas.openxmlformats.org/officeDocument/2006/relationships/theme" Target="theme/theme1.xml"/><Relationship Id="rId19" Type="http://schemas.openxmlformats.org/officeDocument/2006/relationships/hyperlink" Target="http://www.nevo.co.il/law/70320"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29" TargetMode="External"/><Relationship Id="rId30" Type="http://schemas.openxmlformats.org/officeDocument/2006/relationships/hyperlink" Target="http://www.nevo.co.il/case/5982047" TargetMode="External"/><Relationship Id="rId35" Type="http://schemas.openxmlformats.org/officeDocument/2006/relationships/hyperlink" Target="http://www.nevo.co.il/law/70301/40i" TargetMode="External"/><Relationship Id="rId43" Type="http://schemas.openxmlformats.org/officeDocument/2006/relationships/hyperlink" Target="http://www.nevo.co.il/case/17940865" TargetMode="External"/><Relationship Id="rId48" Type="http://schemas.openxmlformats.org/officeDocument/2006/relationships/hyperlink" Target="http://www.nevo.co.il/case/5696442" TargetMode="External"/><Relationship Id="rId56" Type="http://schemas.openxmlformats.org/officeDocument/2006/relationships/hyperlink" Target="http://www.nevo.co.il/case/4484743" TargetMode="External"/><Relationship Id="rId64" Type="http://schemas.openxmlformats.org/officeDocument/2006/relationships/hyperlink" Target="http://www.nevo.co.il/safrut/book/3366" TargetMode="External"/><Relationship Id="rId69" Type="http://schemas.openxmlformats.org/officeDocument/2006/relationships/hyperlink" Target="http://www.nevo.co.il/case/6123319" TargetMode="External"/><Relationship Id="rId77"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hyperlink" Target="http://www.nevo.co.il/case/5772355" TargetMode="External"/><Relationship Id="rId72" Type="http://schemas.openxmlformats.org/officeDocument/2006/relationships/hyperlink" Target="http://www.nevo.co.il/case/6137776" TargetMode="External"/><Relationship Id="rId80"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40jb" TargetMode="External"/><Relationship Id="rId46" Type="http://schemas.openxmlformats.org/officeDocument/2006/relationships/hyperlink" Target="http://www.nevo.co.il/case/6169310"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6096035" TargetMode="External"/><Relationship Id="rId20" Type="http://schemas.openxmlformats.org/officeDocument/2006/relationships/hyperlink" Target="http://www.nevo.co.il/law/70302" TargetMode="External"/><Relationship Id="rId41" Type="http://schemas.openxmlformats.org/officeDocument/2006/relationships/hyperlink" Target="http://www.nevo.co.il/law/73606" TargetMode="External"/><Relationship Id="rId54" Type="http://schemas.openxmlformats.org/officeDocument/2006/relationships/hyperlink" Target="http://www.nevo.co.il/case/5060474" TargetMode="External"/><Relationship Id="rId62" Type="http://schemas.openxmlformats.org/officeDocument/2006/relationships/hyperlink" Target="http://www.nevo.co.il/case/6096035" TargetMode="External"/><Relationship Id="rId70" Type="http://schemas.openxmlformats.org/officeDocument/2006/relationships/hyperlink" Target="http://www.nevo.co.il/case/5714901" TargetMode="External"/><Relationship Id="rId75" Type="http://schemas.openxmlformats.org/officeDocument/2006/relationships/hyperlink" Target="http://www.nevo.co.il/law/70301/40f"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6068562" TargetMode="External"/><Relationship Id="rId57" Type="http://schemas.openxmlformats.org/officeDocument/2006/relationships/hyperlink" Target="http://www.nevo.co.il/case/6170256" TargetMode="External"/><Relationship Id="rId10" Type="http://schemas.openxmlformats.org/officeDocument/2006/relationships/hyperlink" Target="http://www.nevo.co.il/law/70301/40f" TargetMode="External"/><Relationship Id="rId31" Type="http://schemas.openxmlformats.org/officeDocument/2006/relationships/hyperlink" Target="http://www.nevo.co.il/case/5815848" TargetMode="External"/><Relationship Id="rId44" Type="http://schemas.openxmlformats.org/officeDocument/2006/relationships/hyperlink" Target="http://www.nevo.co.il/law/70320" TargetMode="External"/><Relationship Id="rId52" Type="http://schemas.openxmlformats.org/officeDocument/2006/relationships/hyperlink" Target="http://www.nevo.co.il/case/5957403" TargetMode="External"/><Relationship Id="rId60" Type="http://schemas.openxmlformats.org/officeDocument/2006/relationships/hyperlink" Target="http://www.nevo.co.il/law/70302/16.b1" TargetMode="External"/><Relationship Id="rId65" Type="http://schemas.openxmlformats.org/officeDocument/2006/relationships/hyperlink" Target="http://www.nevo.co.il/case/17920803" TargetMode="External"/><Relationship Id="rId73" Type="http://schemas.openxmlformats.org/officeDocument/2006/relationships/hyperlink" Target="http://www.nevo.co.il/case/5954809"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c.a" TargetMode="External"/><Relationship Id="rId13" Type="http://schemas.openxmlformats.org/officeDocument/2006/relationships/hyperlink" Target="http://www.nevo.co.il/law/70301/192" TargetMode="External"/><Relationship Id="rId18" Type="http://schemas.openxmlformats.org/officeDocument/2006/relationships/hyperlink" Target="http://www.nevo.co.il/law/73606"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6151556" TargetMode="External"/><Relationship Id="rId55" Type="http://schemas.openxmlformats.org/officeDocument/2006/relationships/hyperlink" Target="http://www.nevo.co.il/case/5614477"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29" TargetMode="External"/><Relationship Id="rId71" Type="http://schemas.openxmlformats.org/officeDocument/2006/relationships/hyperlink" Target="http://www.nevo.co.il/case/17939098" TargetMode="External"/><Relationship Id="rId2" Type="http://schemas.openxmlformats.org/officeDocument/2006/relationships/settings" Target="settings.xml"/><Relationship Id="rId29" Type="http://schemas.openxmlformats.org/officeDocument/2006/relationships/hyperlink" Target="http://www.nevo.co.il/law/70301/29" TargetMode="External"/><Relationship Id="rId24" Type="http://schemas.openxmlformats.org/officeDocument/2006/relationships/hyperlink" Target="http://www.nevo.co.il/law/70301/340a" TargetMode="External"/><Relationship Id="rId40" Type="http://schemas.openxmlformats.org/officeDocument/2006/relationships/hyperlink" Target="http://www.nevo.co.il/case/6243627" TargetMode="External"/><Relationship Id="rId45" Type="http://schemas.openxmlformats.org/officeDocument/2006/relationships/hyperlink" Target="http://www.nevo.co.il/case/5762686" TargetMode="External"/><Relationship Id="rId66" Type="http://schemas.openxmlformats.org/officeDocument/2006/relationships/hyperlink" Target="http://www.nevo.co.il/case/57120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4966</Words>
  <Characters>24835</Characters>
  <Application>Microsoft Office Word</Application>
  <DocSecurity>0</DocSecurity>
  <Lines>206</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29742</CharactersWithSpaces>
  <SharedDoc>false</SharedDoc>
  <HLinks>
    <vt:vector size="432" baseType="variant">
      <vt:variant>
        <vt:i4>7995492</vt:i4>
      </vt:variant>
      <vt:variant>
        <vt:i4>213</vt:i4>
      </vt:variant>
      <vt:variant>
        <vt:i4>0</vt:i4>
      </vt:variant>
      <vt:variant>
        <vt:i4>5</vt:i4>
      </vt:variant>
      <vt:variant>
        <vt:lpwstr>http://www.nevo.co.il/law/70301</vt:lpwstr>
      </vt:variant>
      <vt:variant>
        <vt:lpwstr/>
      </vt:variant>
      <vt:variant>
        <vt:i4>6619233</vt:i4>
      </vt:variant>
      <vt:variant>
        <vt:i4>210</vt:i4>
      </vt:variant>
      <vt:variant>
        <vt:i4>0</vt:i4>
      </vt:variant>
      <vt:variant>
        <vt:i4>5</vt:i4>
      </vt:variant>
      <vt:variant>
        <vt:lpwstr>http://www.nevo.co.il/law/70301/40f</vt:lpwstr>
      </vt:variant>
      <vt:variant>
        <vt:lpwstr/>
      </vt:variant>
      <vt:variant>
        <vt:i4>3145843</vt:i4>
      </vt:variant>
      <vt:variant>
        <vt:i4>207</vt:i4>
      </vt:variant>
      <vt:variant>
        <vt:i4>0</vt:i4>
      </vt:variant>
      <vt:variant>
        <vt:i4>5</vt:i4>
      </vt:variant>
      <vt:variant>
        <vt:lpwstr>http://www.nevo.co.il/case/6114126</vt:lpwstr>
      </vt:variant>
      <vt:variant>
        <vt:lpwstr/>
      </vt:variant>
      <vt:variant>
        <vt:i4>3211385</vt:i4>
      </vt:variant>
      <vt:variant>
        <vt:i4>204</vt:i4>
      </vt:variant>
      <vt:variant>
        <vt:i4>0</vt:i4>
      </vt:variant>
      <vt:variant>
        <vt:i4>5</vt:i4>
      </vt:variant>
      <vt:variant>
        <vt:lpwstr>http://www.nevo.co.il/case/5954809</vt:lpwstr>
      </vt:variant>
      <vt:variant>
        <vt:lpwstr/>
      </vt:variant>
      <vt:variant>
        <vt:i4>3407989</vt:i4>
      </vt:variant>
      <vt:variant>
        <vt:i4>201</vt:i4>
      </vt:variant>
      <vt:variant>
        <vt:i4>0</vt:i4>
      </vt:variant>
      <vt:variant>
        <vt:i4>5</vt:i4>
      </vt:variant>
      <vt:variant>
        <vt:lpwstr>http://www.nevo.co.il/case/6137776</vt:lpwstr>
      </vt:variant>
      <vt:variant>
        <vt:lpwstr/>
      </vt:variant>
      <vt:variant>
        <vt:i4>3670128</vt:i4>
      </vt:variant>
      <vt:variant>
        <vt:i4>198</vt:i4>
      </vt:variant>
      <vt:variant>
        <vt:i4>0</vt:i4>
      </vt:variant>
      <vt:variant>
        <vt:i4>5</vt:i4>
      </vt:variant>
      <vt:variant>
        <vt:lpwstr>http://www.nevo.co.il/case/17939098</vt:lpwstr>
      </vt:variant>
      <vt:variant>
        <vt:lpwstr/>
      </vt:variant>
      <vt:variant>
        <vt:i4>3932279</vt:i4>
      </vt:variant>
      <vt:variant>
        <vt:i4>195</vt:i4>
      </vt:variant>
      <vt:variant>
        <vt:i4>0</vt:i4>
      </vt:variant>
      <vt:variant>
        <vt:i4>5</vt:i4>
      </vt:variant>
      <vt:variant>
        <vt:lpwstr>http://www.nevo.co.il/case/5714901</vt:lpwstr>
      </vt:variant>
      <vt:variant>
        <vt:lpwstr/>
      </vt:variant>
      <vt:variant>
        <vt:i4>4063351</vt:i4>
      </vt:variant>
      <vt:variant>
        <vt:i4>192</vt:i4>
      </vt:variant>
      <vt:variant>
        <vt:i4>0</vt:i4>
      </vt:variant>
      <vt:variant>
        <vt:i4>5</vt:i4>
      </vt:variant>
      <vt:variant>
        <vt:lpwstr>http://www.nevo.co.il/case/6123319</vt:lpwstr>
      </vt:variant>
      <vt:variant>
        <vt:lpwstr/>
      </vt:variant>
      <vt:variant>
        <vt:i4>7602229</vt:i4>
      </vt:variant>
      <vt:variant>
        <vt:i4>189</vt:i4>
      </vt:variant>
      <vt:variant>
        <vt:i4>0</vt:i4>
      </vt:variant>
      <vt:variant>
        <vt:i4>5</vt:i4>
      </vt:variant>
      <vt:variant>
        <vt:lpwstr>http://www.nevo.co.il/safrut/book/3366</vt:lpwstr>
      </vt:variant>
      <vt:variant>
        <vt:lpwstr/>
      </vt:variant>
      <vt:variant>
        <vt:i4>3801201</vt:i4>
      </vt:variant>
      <vt:variant>
        <vt:i4>186</vt:i4>
      </vt:variant>
      <vt:variant>
        <vt:i4>0</vt:i4>
      </vt:variant>
      <vt:variant>
        <vt:i4>5</vt:i4>
      </vt:variant>
      <vt:variant>
        <vt:lpwstr>http://www.nevo.co.il/case/6096035</vt:lpwstr>
      </vt:variant>
      <vt:variant>
        <vt:lpwstr/>
      </vt:variant>
      <vt:variant>
        <vt:i4>3211378</vt:i4>
      </vt:variant>
      <vt:variant>
        <vt:i4>183</vt:i4>
      </vt:variant>
      <vt:variant>
        <vt:i4>0</vt:i4>
      </vt:variant>
      <vt:variant>
        <vt:i4>5</vt:i4>
      </vt:variant>
      <vt:variant>
        <vt:lpwstr>http://www.nevo.co.il/case/5712035</vt:lpwstr>
      </vt:variant>
      <vt:variant>
        <vt:lpwstr/>
      </vt:variant>
      <vt:variant>
        <vt:i4>3670137</vt:i4>
      </vt:variant>
      <vt:variant>
        <vt:i4>180</vt:i4>
      </vt:variant>
      <vt:variant>
        <vt:i4>0</vt:i4>
      </vt:variant>
      <vt:variant>
        <vt:i4>5</vt:i4>
      </vt:variant>
      <vt:variant>
        <vt:lpwstr>http://www.nevo.co.il/case/17920803</vt:lpwstr>
      </vt:variant>
      <vt:variant>
        <vt:lpwstr/>
      </vt:variant>
      <vt:variant>
        <vt:i4>7602229</vt:i4>
      </vt:variant>
      <vt:variant>
        <vt:i4>177</vt:i4>
      </vt:variant>
      <vt:variant>
        <vt:i4>0</vt:i4>
      </vt:variant>
      <vt:variant>
        <vt:i4>5</vt:i4>
      </vt:variant>
      <vt:variant>
        <vt:lpwstr>http://www.nevo.co.il/safrut/book/3366</vt:lpwstr>
      </vt:variant>
      <vt:variant>
        <vt:lpwstr/>
      </vt:variant>
      <vt:variant>
        <vt:i4>3211378</vt:i4>
      </vt:variant>
      <vt:variant>
        <vt:i4>174</vt:i4>
      </vt:variant>
      <vt:variant>
        <vt:i4>0</vt:i4>
      </vt:variant>
      <vt:variant>
        <vt:i4>5</vt:i4>
      </vt:variant>
      <vt:variant>
        <vt:lpwstr>http://www.nevo.co.il/case/5712035</vt:lpwstr>
      </vt:variant>
      <vt:variant>
        <vt:lpwstr/>
      </vt:variant>
      <vt:variant>
        <vt:i4>3801201</vt:i4>
      </vt:variant>
      <vt:variant>
        <vt:i4>171</vt:i4>
      </vt:variant>
      <vt:variant>
        <vt:i4>0</vt:i4>
      </vt:variant>
      <vt:variant>
        <vt:i4>5</vt:i4>
      </vt:variant>
      <vt:variant>
        <vt:lpwstr>http://www.nevo.co.il/case/6096035</vt:lpwstr>
      </vt:variant>
      <vt:variant>
        <vt:lpwstr/>
      </vt:variant>
      <vt:variant>
        <vt:i4>7995492</vt:i4>
      </vt:variant>
      <vt:variant>
        <vt:i4>168</vt:i4>
      </vt:variant>
      <vt:variant>
        <vt:i4>0</vt:i4>
      </vt:variant>
      <vt:variant>
        <vt:i4>5</vt:i4>
      </vt:variant>
      <vt:variant>
        <vt:lpwstr>http://www.nevo.co.il/law/70302</vt:lpwstr>
      </vt:variant>
      <vt:variant>
        <vt:lpwstr/>
      </vt:variant>
      <vt:variant>
        <vt:i4>65609</vt:i4>
      </vt:variant>
      <vt:variant>
        <vt:i4>165</vt:i4>
      </vt:variant>
      <vt:variant>
        <vt:i4>0</vt:i4>
      </vt:variant>
      <vt:variant>
        <vt:i4>5</vt:i4>
      </vt:variant>
      <vt:variant>
        <vt:lpwstr>http://www.nevo.co.il/law/70302/16.b1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262155</vt:i4>
      </vt:variant>
      <vt:variant>
        <vt:i4>159</vt:i4>
      </vt:variant>
      <vt:variant>
        <vt:i4>0</vt:i4>
      </vt:variant>
      <vt:variant>
        <vt:i4>5</vt:i4>
      </vt:variant>
      <vt:variant>
        <vt:lpwstr>http://www.nevo.co.il/law/70301/40ja</vt:lpwstr>
      </vt:variant>
      <vt:variant>
        <vt:lpwstr/>
      </vt:variant>
      <vt:variant>
        <vt:i4>3473520</vt:i4>
      </vt:variant>
      <vt:variant>
        <vt:i4>156</vt:i4>
      </vt:variant>
      <vt:variant>
        <vt:i4>0</vt:i4>
      </vt:variant>
      <vt:variant>
        <vt:i4>5</vt:i4>
      </vt:variant>
      <vt:variant>
        <vt:lpwstr>http://www.nevo.co.il/case/6170256</vt:lpwstr>
      </vt:variant>
      <vt:variant>
        <vt:lpwstr/>
      </vt:variant>
      <vt:variant>
        <vt:i4>3670128</vt:i4>
      </vt:variant>
      <vt:variant>
        <vt:i4>153</vt:i4>
      </vt:variant>
      <vt:variant>
        <vt:i4>0</vt:i4>
      </vt:variant>
      <vt:variant>
        <vt:i4>5</vt:i4>
      </vt:variant>
      <vt:variant>
        <vt:lpwstr>http://www.nevo.co.il/case/4484743</vt:lpwstr>
      </vt:variant>
      <vt:variant>
        <vt:lpwstr/>
      </vt:variant>
      <vt:variant>
        <vt:i4>3604593</vt:i4>
      </vt:variant>
      <vt:variant>
        <vt:i4>150</vt:i4>
      </vt:variant>
      <vt:variant>
        <vt:i4>0</vt:i4>
      </vt:variant>
      <vt:variant>
        <vt:i4>5</vt:i4>
      </vt:variant>
      <vt:variant>
        <vt:lpwstr>http://www.nevo.co.il/case/5614477</vt:lpwstr>
      </vt:variant>
      <vt:variant>
        <vt:lpwstr/>
      </vt:variant>
      <vt:variant>
        <vt:i4>3342451</vt:i4>
      </vt:variant>
      <vt:variant>
        <vt:i4>147</vt:i4>
      </vt:variant>
      <vt:variant>
        <vt:i4>0</vt:i4>
      </vt:variant>
      <vt:variant>
        <vt:i4>5</vt:i4>
      </vt:variant>
      <vt:variant>
        <vt:lpwstr>http://www.nevo.co.il/case/5060474</vt:lpwstr>
      </vt:variant>
      <vt:variant>
        <vt:lpwstr/>
      </vt:variant>
      <vt:variant>
        <vt:i4>3866741</vt:i4>
      </vt:variant>
      <vt:variant>
        <vt:i4>144</vt:i4>
      </vt:variant>
      <vt:variant>
        <vt:i4>0</vt:i4>
      </vt:variant>
      <vt:variant>
        <vt:i4>5</vt:i4>
      </vt:variant>
      <vt:variant>
        <vt:lpwstr>http://www.nevo.co.il/case/5859902</vt:lpwstr>
      </vt:variant>
      <vt:variant>
        <vt:lpwstr/>
      </vt:variant>
      <vt:variant>
        <vt:i4>3604602</vt:i4>
      </vt:variant>
      <vt:variant>
        <vt:i4>141</vt:i4>
      </vt:variant>
      <vt:variant>
        <vt:i4>0</vt:i4>
      </vt:variant>
      <vt:variant>
        <vt:i4>5</vt:i4>
      </vt:variant>
      <vt:variant>
        <vt:lpwstr>http://www.nevo.co.il/case/5957403</vt:lpwstr>
      </vt:variant>
      <vt:variant>
        <vt:lpwstr/>
      </vt:variant>
      <vt:variant>
        <vt:i4>3407988</vt:i4>
      </vt:variant>
      <vt:variant>
        <vt:i4>138</vt:i4>
      </vt:variant>
      <vt:variant>
        <vt:i4>0</vt:i4>
      </vt:variant>
      <vt:variant>
        <vt:i4>5</vt:i4>
      </vt:variant>
      <vt:variant>
        <vt:lpwstr>http://www.nevo.co.il/case/5772355</vt:lpwstr>
      </vt:variant>
      <vt:variant>
        <vt:lpwstr/>
      </vt:variant>
      <vt:variant>
        <vt:i4>3145841</vt:i4>
      </vt:variant>
      <vt:variant>
        <vt:i4>135</vt:i4>
      </vt:variant>
      <vt:variant>
        <vt:i4>0</vt:i4>
      </vt:variant>
      <vt:variant>
        <vt:i4>5</vt:i4>
      </vt:variant>
      <vt:variant>
        <vt:lpwstr>http://www.nevo.co.il/case/6151556</vt:lpwstr>
      </vt:variant>
      <vt:variant>
        <vt:lpwstr/>
      </vt:variant>
      <vt:variant>
        <vt:i4>3604602</vt:i4>
      </vt:variant>
      <vt:variant>
        <vt:i4>132</vt:i4>
      </vt:variant>
      <vt:variant>
        <vt:i4>0</vt:i4>
      </vt:variant>
      <vt:variant>
        <vt:i4>5</vt:i4>
      </vt:variant>
      <vt:variant>
        <vt:lpwstr>http://www.nevo.co.il/case/6068562</vt:lpwstr>
      </vt:variant>
      <vt:variant>
        <vt:lpwstr/>
      </vt:variant>
      <vt:variant>
        <vt:i4>3801200</vt:i4>
      </vt:variant>
      <vt:variant>
        <vt:i4>129</vt:i4>
      </vt:variant>
      <vt:variant>
        <vt:i4>0</vt:i4>
      </vt:variant>
      <vt:variant>
        <vt:i4>5</vt:i4>
      </vt:variant>
      <vt:variant>
        <vt:lpwstr>http://www.nevo.co.il/case/5696442</vt:lpwstr>
      </vt:variant>
      <vt:variant>
        <vt:lpwstr/>
      </vt:variant>
      <vt:variant>
        <vt:i4>3604592</vt:i4>
      </vt:variant>
      <vt:variant>
        <vt:i4>126</vt:i4>
      </vt:variant>
      <vt:variant>
        <vt:i4>0</vt:i4>
      </vt:variant>
      <vt:variant>
        <vt:i4>5</vt:i4>
      </vt:variant>
      <vt:variant>
        <vt:lpwstr>http://www.nevo.co.il/case/5736455</vt:lpwstr>
      </vt:variant>
      <vt:variant>
        <vt:lpwstr/>
      </vt:variant>
      <vt:variant>
        <vt:i4>3342461</vt:i4>
      </vt:variant>
      <vt:variant>
        <vt:i4>123</vt:i4>
      </vt:variant>
      <vt:variant>
        <vt:i4>0</vt:i4>
      </vt:variant>
      <vt:variant>
        <vt:i4>5</vt:i4>
      </vt:variant>
      <vt:variant>
        <vt:lpwstr>http://www.nevo.co.il/case/6169310</vt:lpwstr>
      </vt:variant>
      <vt:variant>
        <vt:lpwstr/>
      </vt:variant>
      <vt:variant>
        <vt:i4>3342457</vt:i4>
      </vt:variant>
      <vt:variant>
        <vt:i4>120</vt:i4>
      </vt:variant>
      <vt:variant>
        <vt:i4>0</vt:i4>
      </vt:variant>
      <vt:variant>
        <vt:i4>5</vt:i4>
      </vt:variant>
      <vt:variant>
        <vt:lpwstr>http://www.nevo.co.il/case/5762686</vt:lpwstr>
      </vt:variant>
      <vt:variant>
        <vt:lpwstr/>
      </vt:variant>
      <vt:variant>
        <vt:i4>7864420</vt:i4>
      </vt:variant>
      <vt:variant>
        <vt:i4>117</vt:i4>
      </vt:variant>
      <vt:variant>
        <vt:i4>0</vt:i4>
      </vt:variant>
      <vt:variant>
        <vt:i4>5</vt:i4>
      </vt:variant>
      <vt:variant>
        <vt:lpwstr>http://www.nevo.co.il/law/70320</vt:lpwstr>
      </vt:variant>
      <vt:variant>
        <vt:lpwstr/>
      </vt:variant>
      <vt:variant>
        <vt:i4>4063359</vt:i4>
      </vt:variant>
      <vt:variant>
        <vt:i4>114</vt:i4>
      </vt:variant>
      <vt:variant>
        <vt:i4>0</vt:i4>
      </vt:variant>
      <vt:variant>
        <vt:i4>5</vt:i4>
      </vt:variant>
      <vt:variant>
        <vt:lpwstr>http://www.nevo.co.il/case/17940865</vt:lpwstr>
      </vt:variant>
      <vt:variant>
        <vt:lpwstr/>
      </vt:variant>
      <vt:variant>
        <vt:i4>6619233</vt:i4>
      </vt:variant>
      <vt:variant>
        <vt:i4>111</vt:i4>
      </vt:variant>
      <vt:variant>
        <vt:i4>0</vt:i4>
      </vt:variant>
      <vt:variant>
        <vt:i4>5</vt:i4>
      </vt:variant>
      <vt:variant>
        <vt:lpwstr>http://www.nevo.co.il/law/70301/40b</vt:lpwstr>
      </vt:variant>
      <vt:variant>
        <vt:lpwstr/>
      </vt:variant>
      <vt:variant>
        <vt:i4>7929953</vt:i4>
      </vt:variant>
      <vt:variant>
        <vt:i4>108</vt:i4>
      </vt:variant>
      <vt:variant>
        <vt:i4>0</vt:i4>
      </vt:variant>
      <vt:variant>
        <vt:i4>5</vt:i4>
      </vt:variant>
      <vt:variant>
        <vt:lpwstr>http://www.nevo.co.il/law/73606</vt:lpwstr>
      </vt:variant>
      <vt:variant>
        <vt:lpwstr/>
      </vt:variant>
      <vt:variant>
        <vt:i4>3342455</vt:i4>
      </vt:variant>
      <vt:variant>
        <vt:i4>105</vt:i4>
      </vt:variant>
      <vt:variant>
        <vt:i4>0</vt:i4>
      </vt:variant>
      <vt:variant>
        <vt:i4>5</vt:i4>
      </vt:variant>
      <vt:variant>
        <vt:lpwstr>http://www.nevo.co.il/case/6243627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458763</vt:i4>
      </vt:variant>
      <vt:variant>
        <vt:i4>99</vt:i4>
      </vt:variant>
      <vt:variant>
        <vt:i4>0</vt:i4>
      </vt:variant>
      <vt:variant>
        <vt:i4>5</vt:i4>
      </vt:variant>
      <vt:variant>
        <vt:lpwstr>http://www.nevo.co.il/law/70301/40jb</vt:lpwstr>
      </vt:variant>
      <vt:variant>
        <vt:lpwstr/>
      </vt:variant>
      <vt:variant>
        <vt:i4>4915202</vt:i4>
      </vt:variant>
      <vt:variant>
        <vt:i4>96</vt:i4>
      </vt:variant>
      <vt:variant>
        <vt:i4>0</vt:i4>
      </vt:variant>
      <vt:variant>
        <vt:i4>5</vt:i4>
      </vt:variant>
      <vt:variant>
        <vt:lpwstr>http://www.nevo.co.il/law/70301/40c.a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http://www.nevo.co.il/law/70301/40i</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http://www.nevo.co.il/law/70301/40b</vt:lpwstr>
      </vt:variant>
      <vt:variant>
        <vt:lpwstr/>
      </vt:variant>
      <vt:variant>
        <vt:i4>3670128</vt:i4>
      </vt:variant>
      <vt:variant>
        <vt:i4>81</vt:i4>
      </vt:variant>
      <vt:variant>
        <vt:i4>0</vt:i4>
      </vt:variant>
      <vt:variant>
        <vt:i4>5</vt:i4>
      </vt:variant>
      <vt:variant>
        <vt:lpwstr>http://www.nevo.co.il/case/17939098</vt:lpwstr>
      </vt:variant>
      <vt:variant>
        <vt:lpwstr/>
      </vt:variant>
      <vt:variant>
        <vt:i4>3407997</vt:i4>
      </vt:variant>
      <vt:variant>
        <vt:i4>78</vt:i4>
      </vt:variant>
      <vt:variant>
        <vt:i4>0</vt:i4>
      </vt:variant>
      <vt:variant>
        <vt:i4>5</vt:i4>
      </vt:variant>
      <vt:variant>
        <vt:lpwstr>http://www.nevo.co.il/case/5815848</vt:lpwstr>
      </vt:variant>
      <vt:variant>
        <vt:lpwstr/>
      </vt:variant>
      <vt:variant>
        <vt:i4>3801211</vt:i4>
      </vt:variant>
      <vt:variant>
        <vt:i4>75</vt:i4>
      </vt:variant>
      <vt:variant>
        <vt:i4>0</vt:i4>
      </vt:variant>
      <vt:variant>
        <vt:i4>5</vt:i4>
      </vt:variant>
      <vt:variant>
        <vt:lpwstr>http://www.nevo.co.il/case/5982047</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7077945</vt:i4>
      </vt:variant>
      <vt:variant>
        <vt:i4>69</vt:i4>
      </vt:variant>
      <vt:variant>
        <vt:i4>0</vt:i4>
      </vt:variant>
      <vt:variant>
        <vt:i4>5</vt:i4>
      </vt:variant>
      <vt:variant>
        <vt:lpwstr>http://www.nevo.co.il/law/70301/499.a.1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86</vt:i4>
      </vt:variant>
      <vt:variant>
        <vt:i4>57</vt:i4>
      </vt:variant>
      <vt:variant>
        <vt:i4>0</vt:i4>
      </vt:variant>
      <vt:variant>
        <vt:i4>5</vt:i4>
      </vt:variant>
      <vt:variant>
        <vt:lpwstr>http://www.nevo.co.il/law/70301/340a</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65609</vt:i4>
      </vt:variant>
      <vt:variant>
        <vt:i4>48</vt:i4>
      </vt:variant>
      <vt:variant>
        <vt:i4>0</vt:i4>
      </vt:variant>
      <vt:variant>
        <vt:i4>5</vt:i4>
      </vt:variant>
      <vt:variant>
        <vt:lpwstr>http://www.nevo.co.il/law/70302/16.b1</vt:lpwstr>
      </vt:variant>
      <vt:variant>
        <vt:lpwstr/>
      </vt:variant>
      <vt:variant>
        <vt:i4>7995492</vt:i4>
      </vt:variant>
      <vt:variant>
        <vt:i4>45</vt:i4>
      </vt:variant>
      <vt:variant>
        <vt:i4>0</vt:i4>
      </vt:variant>
      <vt:variant>
        <vt:i4>5</vt:i4>
      </vt:variant>
      <vt:variant>
        <vt:lpwstr>http://www.nevo.co.il/law/70302</vt:lpwstr>
      </vt:variant>
      <vt:variant>
        <vt:lpwstr/>
      </vt:variant>
      <vt:variant>
        <vt:i4>7864420</vt:i4>
      </vt:variant>
      <vt:variant>
        <vt:i4>42</vt:i4>
      </vt:variant>
      <vt:variant>
        <vt:i4>0</vt:i4>
      </vt:variant>
      <vt:variant>
        <vt:i4>5</vt:i4>
      </vt:variant>
      <vt:variant>
        <vt:lpwstr>http://www.nevo.co.il/law/70320</vt:lpwstr>
      </vt:variant>
      <vt:variant>
        <vt:lpwstr/>
      </vt:variant>
      <vt:variant>
        <vt:i4>7929953</vt:i4>
      </vt:variant>
      <vt:variant>
        <vt:i4>39</vt:i4>
      </vt:variant>
      <vt:variant>
        <vt:i4>0</vt:i4>
      </vt:variant>
      <vt:variant>
        <vt:i4>5</vt:i4>
      </vt:variant>
      <vt:variant>
        <vt:lpwstr>http://www.nevo.co.il/law/73606</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458763</vt:i4>
      </vt:variant>
      <vt:variant>
        <vt:i4>33</vt:i4>
      </vt:variant>
      <vt:variant>
        <vt:i4>0</vt:i4>
      </vt:variant>
      <vt:variant>
        <vt:i4>5</vt:i4>
      </vt:variant>
      <vt:variant>
        <vt:lpwstr>http://www.nevo.co.il/law/70301/40jb</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86</vt:i4>
      </vt:variant>
      <vt:variant>
        <vt:i4>27</vt:i4>
      </vt:variant>
      <vt:variant>
        <vt:i4>0</vt:i4>
      </vt:variant>
      <vt:variant>
        <vt:i4>5</vt:i4>
      </vt:variant>
      <vt:variant>
        <vt:lpwstr>http://www.nevo.co.il/law/70301/340a</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7602229</vt:i4>
      </vt:variant>
      <vt:variant>
        <vt:i4>0</vt:i4>
      </vt:variant>
      <vt:variant>
        <vt:i4>0</vt:i4>
      </vt:variant>
      <vt:variant>
        <vt:i4>5</vt:i4>
      </vt:variant>
      <vt:variant>
        <vt:lpwstr>http://www.nevo.co.il/safrut/book/3366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5007</vt:lpwstr>
  </property>
  <property fmtid="{D5CDD505-2E9C-101B-9397-08002B2CF9AE}" pid="6" name="NEWPARTC">
    <vt:lpwstr>12</vt:lpwstr>
  </property>
  <property fmtid="{D5CDD505-2E9C-101B-9397-08002B2CF9AE}" pid="7" name="PROCNUM">
    <vt:lpwstr>5007</vt:lpwstr>
  </property>
  <property fmtid="{D5CDD505-2E9C-101B-9397-08002B2CF9AE}" pid="8" name="PROCYEAR">
    <vt:lpwstr>12</vt:lpwstr>
  </property>
  <property fmtid="{D5CDD505-2E9C-101B-9397-08002B2CF9AE}" pid="9" name="APPELLANT">
    <vt:lpwstr>מדינת ישראל</vt:lpwstr>
  </property>
  <property fmtid="{D5CDD505-2E9C-101B-9397-08002B2CF9AE}" pid="10" name="APPELLEE">
    <vt:lpwstr>עלי זבידאת</vt:lpwstr>
  </property>
  <property fmtid="{D5CDD505-2E9C-101B-9397-08002B2CF9AE}" pid="11" name="JUDGE">
    <vt:lpwstr>דיאנה סלע</vt:lpwstr>
  </property>
  <property fmtid="{D5CDD505-2E9C-101B-9397-08002B2CF9AE}" pid="12" name="CITY">
    <vt:lpwstr>חי'</vt:lpwstr>
  </property>
  <property fmtid="{D5CDD505-2E9C-101B-9397-08002B2CF9AE}" pid="13" name="DATE">
    <vt:lpwstr>20130617</vt:lpwstr>
  </property>
  <property fmtid="{D5CDD505-2E9C-101B-9397-08002B2CF9AE}" pid="14" name="TYPE_N_DATE">
    <vt:lpwstr>39020130617</vt:lpwstr>
  </property>
  <property fmtid="{D5CDD505-2E9C-101B-9397-08002B2CF9AE}" pid="15" name="WORDNUMPAGES">
    <vt:lpwstr>13</vt:lpwstr>
  </property>
  <property fmtid="{D5CDD505-2E9C-101B-9397-08002B2CF9AE}" pid="16" name="TYPE_ABS_DATE">
    <vt:lpwstr>390020130617</vt:lpwstr>
  </property>
  <property fmtid="{D5CDD505-2E9C-101B-9397-08002B2CF9AE}" pid="17" name="ISABSTRACT">
    <vt:lpwstr>Y</vt:lpwstr>
  </property>
  <property fmtid="{D5CDD505-2E9C-101B-9397-08002B2CF9AE}" pid="18" name="BOOKLISTTMP">
    <vt:lpwstr>3366:2</vt:lpwstr>
  </property>
  <property fmtid="{D5CDD505-2E9C-101B-9397-08002B2CF9AE}" pid="19" name="CASESLISTTMP1">
    <vt:lpwstr>5982047;5815848;17939098:2;6243627;17940865;5762686;6169310;5736455;5696442;6068562;6151556;5772355;5957403;5859902;5060474;5614477;4484743;6170256;6096035:2;5712035:2;17920803;6123319;5714901;6137776;5954809;6114126</vt:lpwstr>
  </property>
  <property fmtid="{D5CDD505-2E9C-101B-9397-08002B2CF9AE}" pid="20" name="LAWLISTTMP1">
    <vt:lpwstr>70301/144.b;340a;029:3;192;499.a.1;040b:2;040i;040c.a;40jb;40ja;040f</vt:lpwstr>
  </property>
  <property fmtid="{D5CDD505-2E9C-101B-9397-08002B2CF9AE}" pid="21" name="LAWLISTTMP2">
    <vt:lpwstr>73606</vt:lpwstr>
  </property>
  <property fmtid="{D5CDD505-2E9C-101B-9397-08002B2CF9AE}" pid="22" name="LAWLISTTMP3">
    <vt:lpwstr>70320</vt:lpwstr>
  </property>
  <property fmtid="{D5CDD505-2E9C-101B-9397-08002B2CF9AE}" pid="23" name="LAWLISTTMP4">
    <vt:lpwstr>70302/016.b1</vt:lpwstr>
  </property>
</Properties>
</file>