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D62B03" w:rsidRPr="00A23CBB" w14:paraId="3BBB8224" w14:textId="77777777">
        <w:trPr>
          <w:trHeight w:hRule="exact" w:val="418"/>
          <w:jc w:val="center"/>
        </w:trPr>
        <w:tc>
          <w:tcPr>
            <w:tcW w:w="8721" w:type="dxa"/>
            <w:gridSpan w:val="2"/>
          </w:tcPr>
          <w:p w14:paraId="48428A2B" w14:textId="77777777" w:rsidR="00D62B03" w:rsidRPr="00A23CBB" w:rsidRDefault="00A23CBB">
            <w:pPr>
              <w:pStyle w:val="a3"/>
              <w:jc w:val="center"/>
              <w:rPr>
                <w:rFonts w:ascii="Tahoma" w:hAnsi="Tahoma" w:cs="Tahoma"/>
                <w:color w:val="000080"/>
                <w:rtl/>
              </w:rPr>
            </w:pPr>
            <w:bookmarkStart w:id="0" w:name="LastJudge"/>
            <w:r w:rsidRPr="00A23CBB">
              <w:rPr>
                <w:rFonts w:ascii="Tahoma" w:hAnsi="Tahoma" w:cs="Tahoma"/>
                <w:b/>
                <w:bCs/>
                <w:color w:val="000080"/>
                <w:rtl/>
              </w:rPr>
              <w:t>בית המשפט המחוזי בחיפה</w:t>
            </w:r>
          </w:p>
        </w:tc>
      </w:tr>
      <w:tr w:rsidR="00D62B03" w:rsidRPr="00A23CBB" w14:paraId="6C8B57E0" w14:textId="77777777">
        <w:trPr>
          <w:trHeight w:val="337"/>
          <w:jc w:val="center"/>
        </w:trPr>
        <w:tc>
          <w:tcPr>
            <w:tcW w:w="5054" w:type="dxa"/>
          </w:tcPr>
          <w:p w14:paraId="237C75D9" w14:textId="77777777" w:rsidR="00D62B03" w:rsidRPr="00A23CBB" w:rsidRDefault="00A23CBB">
            <w:pPr>
              <w:rPr>
                <w:rFonts w:cs="FrankRuehl"/>
                <w:sz w:val="28"/>
                <w:szCs w:val="28"/>
                <w:rtl/>
              </w:rPr>
            </w:pPr>
            <w:r w:rsidRPr="00A23CBB">
              <w:rPr>
                <w:rFonts w:cs="FrankRuehl"/>
                <w:sz w:val="28"/>
                <w:szCs w:val="28"/>
                <w:rtl/>
              </w:rPr>
              <w:t>ת"פ</w:t>
            </w:r>
            <w:r w:rsidRPr="00A23CBB">
              <w:rPr>
                <w:rFonts w:cs="FrankRuehl" w:hint="cs"/>
                <w:sz w:val="28"/>
                <w:szCs w:val="28"/>
                <w:rtl/>
              </w:rPr>
              <w:t xml:space="preserve"> </w:t>
            </w:r>
            <w:r w:rsidRPr="00A23CBB">
              <w:rPr>
                <w:rFonts w:cs="FrankRuehl"/>
                <w:sz w:val="28"/>
                <w:szCs w:val="28"/>
                <w:rtl/>
              </w:rPr>
              <w:t>5013-12</w:t>
            </w:r>
            <w:r w:rsidRPr="00A23CBB">
              <w:rPr>
                <w:rFonts w:cs="FrankRuehl" w:hint="cs"/>
                <w:sz w:val="28"/>
                <w:szCs w:val="28"/>
                <w:rtl/>
              </w:rPr>
              <w:t xml:space="preserve"> </w:t>
            </w:r>
            <w:r w:rsidRPr="00A23CBB">
              <w:rPr>
                <w:rFonts w:cs="FrankRuehl"/>
                <w:sz w:val="28"/>
                <w:szCs w:val="28"/>
                <w:rtl/>
              </w:rPr>
              <w:t>מדינת ישראל נ' פיטייב</w:t>
            </w:r>
          </w:p>
          <w:p w14:paraId="78C1C658" w14:textId="77777777" w:rsidR="00D62B03" w:rsidRPr="00A23CBB" w:rsidRDefault="00D62B03">
            <w:pPr>
              <w:pStyle w:val="a3"/>
              <w:rPr>
                <w:rFonts w:cs="FrankRuehl"/>
                <w:sz w:val="28"/>
                <w:szCs w:val="28"/>
                <w:rtl/>
              </w:rPr>
            </w:pPr>
          </w:p>
        </w:tc>
        <w:tc>
          <w:tcPr>
            <w:tcW w:w="3667" w:type="dxa"/>
          </w:tcPr>
          <w:p w14:paraId="3CE306DE" w14:textId="77777777" w:rsidR="00D62B03" w:rsidRPr="00A23CBB" w:rsidRDefault="00D62B03">
            <w:pPr>
              <w:pStyle w:val="a3"/>
              <w:jc w:val="right"/>
              <w:rPr>
                <w:rFonts w:cs="FrankRuehl"/>
                <w:sz w:val="28"/>
                <w:szCs w:val="28"/>
                <w:rtl/>
              </w:rPr>
            </w:pPr>
          </w:p>
        </w:tc>
      </w:tr>
    </w:tbl>
    <w:p w14:paraId="38B7156D" w14:textId="77777777" w:rsidR="00D62B03" w:rsidRPr="00A23CBB" w:rsidRDefault="00A23CBB">
      <w:pPr>
        <w:pStyle w:val="a3"/>
        <w:rPr>
          <w:rtl/>
        </w:rPr>
      </w:pPr>
      <w:r w:rsidRPr="00A23CBB">
        <w:rPr>
          <w:rFonts w:hint="cs"/>
          <w:rtl/>
        </w:rPr>
        <w:t xml:space="preserve"> </w:t>
      </w:r>
    </w:p>
    <w:p w14:paraId="62BDC38C" w14:textId="77777777" w:rsidR="00D62B03" w:rsidRPr="00A23CBB" w:rsidRDefault="00D62B03">
      <w:pPr>
        <w:rPr>
          <w:rtl/>
        </w:rPr>
      </w:pPr>
    </w:p>
    <w:tbl>
      <w:tblPr>
        <w:bidiVisual/>
        <w:tblW w:w="8848" w:type="dxa"/>
        <w:tblInd w:w="-28" w:type="dxa"/>
        <w:tblLook w:val="01E0" w:firstRow="1" w:lastRow="1" w:firstColumn="1" w:lastColumn="1" w:noHBand="0" w:noVBand="0"/>
      </w:tblPr>
      <w:tblGrid>
        <w:gridCol w:w="28"/>
        <w:gridCol w:w="2852"/>
        <w:gridCol w:w="5839"/>
        <w:gridCol w:w="83"/>
        <w:gridCol w:w="46"/>
      </w:tblGrid>
      <w:tr w:rsidR="00D62B03" w:rsidRPr="00A23CBB" w14:paraId="1C00BF9F" w14:textId="77777777">
        <w:trPr>
          <w:gridAfter w:val="2"/>
          <w:wAfter w:w="129" w:type="dxa"/>
        </w:trPr>
        <w:tc>
          <w:tcPr>
            <w:tcW w:w="8719" w:type="dxa"/>
            <w:gridSpan w:val="3"/>
          </w:tcPr>
          <w:p w14:paraId="2503C09B" w14:textId="77777777" w:rsidR="00D62B03" w:rsidRPr="00A23CBB" w:rsidRDefault="00A23CBB">
            <w:pPr>
              <w:spacing w:line="360" w:lineRule="auto"/>
              <w:jc w:val="both"/>
              <w:rPr>
                <w:b/>
                <w:bCs/>
                <w:sz w:val="26"/>
                <w:szCs w:val="26"/>
              </w:rPr>
            </w:pPr>
            <w:r w:rsidRPr="00A23CBB">
              <w:rPr>
                <w:rFonts w:hint="cs"/>
                <w:b/>
                <w:bCs/>
                <w:sz w:val="26"/>
                <w:szCs w:val="26"/>
                <w:rtl/>
              </w:rPr>
              <w:t>בפני כב' ה</w:t>
            </w:r>
            <w:r w:rsidRPr="00A23CBB">
              <w:rPr>
                <w:rFonts w:hint="cs"/>
                <w:rtl/>
              </w:rPr>
              <w:t>שופטת דיאנה סלע</w:t>
            </w:r>
            <w:r w:rsidRPr="00A23CBB">
              <w:rPr>
                <w:rStyle w:val="TimesNewRomanTimesNewRoman"/>
                <w:rFonts w:hint="cs"/>
                <w:rtl/>
              </w:rPr>
              <w:t xml:space="preserve"> </w:t>
            </w:r>
          </w:p>
        </w:tc>
      </w:tr>
      <w:tr w:rsidR="00D62B03" w:rsidRPr="00A23CBB" w14:paraId="239338C9" w14:textId="77777777">
        <w:trPr>
          <w:gridAfter w:val="1"/>
          <w:wAfter w:w="46" w:type="dxa"/>
        </w:trPr>
        <w:tc>
          <w:tcPr>
            <w:tcW w:w="2880" w:type="dxa"/>
            <w:gridSpan w:val="2"/>
          </w:tcPr>
          <w:p w14:paraId="63C3EAE9" w14:textId="77777777" w:rsidR="00D62B03" w:rsidRPr="00A23CBB" w:rsidRDefault="00A23CBB">
            <w:pPr>
              <w:ind w:left="26"/>
              <w:rPr>
                <w:b/>
                <w:bCs/>
                <w:sz w:val="26"/>
                <w:szCs w:val="26"/>
              </w:rPr>
            </w:pPr>
            <w:bookmarkStart w:id="1" w:name="FirstAppellant"/>
            <w:r w:rsidRPr="00A23CBB">
              <w:rPr>
                <w:rFonts w:hint="cs"/>
                <w:b/>
                <w:bCs/>
                <w:sz w:val="26"/>
                <w:szCs w:val="26"/>
                <w:rtl/>
              </w:rPr>
              <w:t>ה</w:t>
            </w:r>
            <w:r w:rsidRPr="00A23CBB">
              <w:rPr>
                <w:rFonts w:hint="cs"/>
                <w:rtl/>
              </w:rPr>
              <w:t xml:space="preserve">מאשימה  </w:t>
            </w:r>
          </w:p>
        </w:tc>
        <w:tc>
          <w:tcPr>
            <w:tcW w:w="5922" w:type="dxa"/>
            <w:gridSpan w:val="2"/>
          </w:tcPr>
          <w:p w14:paraId="6E17D6AA" w14:textId="77777777" w:rsidR="00D62B03" w:rsidRPr="00A23CBB" w:rsidRDefault="00A23CBB">
            <w:pPr>
              <w:rPr>
                <w:b/>
                <w:bCs/>
                <w:sz w:val="26"/>
                <w:szCs w:val="26"/>
              </w:rPr>
            </w:pPr>
            <w:r w:rsidRPr="00A23CBB">
              <w:rPr>
                <w:rFonts w:hint="cs"/>
                <w:rtl/>
              </w:rPr>
              <w:t>מדינת ישראל</w:t>
            </w:r>
          </w:p>
        </w:tc>
      </w:tr>
      <w:bookmarkEnd w:id="1"/>
      <w:tr w:rsidR="00D62B03" w:rsidRPr="00A23CBB" w14:paraId="404ADA00" w14:textId="77777777">
        <w:trPr>
          <w:gridAfter w:val="1"/>
          <w:wAfter w:w="46" w:type="dxa"/>
        </w:trPr>
        <w:tc>
          <w:tcPr>
            <w:tcW w:w="8802" w:type="dxa"/>
            <w:gridSpan w:val="4"/>
          </w:tcPr>
          <w:p w14:paraId="61F648C4" w14:textId="77777777" w:rsidR="00D62B03" w:rsidRPr="00A23CBB" w:rsidRDefault="00D62B03">
            <w:pPr>
              <w:jc w:val="both"/>
              <w:rPr>
                <w:rFonts w:ascii="Arial" w:hAnsi="Arial"/>
                <w:b/>
                <w:bCs/>
                <w:sz w:val="26"/>
                <w:szCs w:val="26"/>
                <w:rtl/>
              </w:rPr>
            </w:pPr>
          </w:p>
          <w:p w14:paraId="40526790" w14:textId="77777777" w:rsidR="00D62B03" w:rsidRPr="00A23CBB" w:rsidRDefault="00A23CBB">
            <w:pPr>
              <w:jc w:val="center"/>
              <w:rPr>
                <w:rFonts w:ascii="Arial" w:hAnsi="Arial"/>
                <w:b/>
                <w:bCs/>
                <w:sz w:val="26"/>
                <w:szCs w:val="26"/>
                <w:rtl/>
              </w:rPr>
            </w:pPr>
            <w:r w:rsidRPr="00A23CBB">
              <w:rPr>
                <w:rFonts w:ascii="Arial" w:hAnsi="Arial" w:hint="cs"/>
                <w:b/>
                <w:bCs/>
                <w:sz w:val="26"/>
                <w:szCs w:val="26"/>
                <w:rtl/>
              </w:rPr>
              <w:t>נגד</w:t>
            </w:r>
          </w:p>
          <w:p w14:paraId="345BC96B" w14:textId="77777777" w:rsidR="00D62B03" w:rsidRPr="00A23CBB" w:rsidRDefault="00D62B03">
            <w:pPr>
              <w:jc w:val="center"/>
              <w:rPr>
                <w:rFonts w:ascii="Arial" w:hAnsi="Arial"/>
                <w:b/>
                <w:bCs/>
                <w:sz w:val="26"/>
                <w:szCs w:val="26"/>
              </w:rPr>
            </w:pPr>
          </w:p>
        </w:tc>
      </w:tr>
      <w:tr w:rsidR="00D62B03" w:rsidRPr="00A23CBB" w14:paraId="441E9D0C" w14:textId="77777777">
        <w:trPr>
          <w:gridAfter w:val="1"/>
          <w:wAfter w:w="46" w:type="dxa"/>
        </w:trPr>
        <w:tc>
          <w:tcPr>
            <w:tcW w:w="2880" w:type="dxa"/>
            <w:gridSpan w:val="2"/>
          </w:tcPr>
          <w:p w14:paraId="1299FA75" w14:textId="77777777" w:rsidR="00D62B03" w:rsidRPr="00A23CBB" w:rsidRDefault="00A23CBB">
            <w:pPr>
              <w:ind w:left="26"/>
              <w:rPr>
                <w:b/>
                <w:bCs/>
                <w:sz w:val="26"/>
                <w:szCs w:val="26"/>
              </w:rPr>
            </w:pPr>
            <w:r w:rsidRPr="00A23CBB">
              <w:rPr>
                <w:rFonts w:hint="cs"/>
                <w:b/>
                <w:bCs/>
                <w:sz w:val="26"/>
                <w:szCs w:val="26"/>
                <w:rtl/>
              </w:rPr>
              <w:t>ה</w:t>
            </w:r>
            <w:r w:rsidRPr="00A23CBB">
              <w:rPr>
                <w:rFonts w:hint="cs"/>
                <w:rtl/>
              </w:rPr>
              <w:t xml:space="preserve">נאשם </w:t>
            </w:r>
          </w:p>
        </w:tc>
        <w:tc>
          <w:tcPr>
            <w:tcW w:w="5922" w:type="dxa"/>
            <w:gridSpan w:val="2"/>
          </w:tcPr>
          <w:p w14:paraId="382A26C8" w14:textId="77777777" w:rsidR="00D62B03" w:rsidRPr="00A23CBB" w:rsidRDefault="00A23CBB">
            <w:pPr>
              <w:rPr>
                <w:b/>
                <w:bCs/>
                <w:sz w:val="26"/>
                <w:szCs w:val="26"/>
              </w:rPr>
            </w:pPr>
            <w:r w:rsidRPr="00A23CBB">
              <w:rPr>
                <w:rFonts w:hint="cs"/>
                <w:rtl/>
              </w:rPr>
              <w:t>אלכסנדר פיטייב, ת"ז 317235398</w:t>
            </w:r>
          </w:p>
        </w:tc>
      </w:tr>
      <w:tr w:rsidR="00D62B03" w14:paraId="7096A501" w14:textId="77777777">
        <w:tblPrEx>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28" w:type="dxa"/>
          <w:trHeight w:val="355"/>
          <w:jc w:val="center"/>
        </w:trPr>
        <w:tc>
          <w:tcPr>
            <w:tcW w:w="8820" w:type="dxa"/>
            <w:gridSpan w:val="4"/>
            <w:tcBorders>
              <w:top w:val="nil"/>
              <w:left w:val="nil"/>
              <w:bottom w:val="nil"/>
              <w:right w:val="nil"/>
            </w:tcBorders>
          </w:tcPr>
          <w:p w14:paraId="657BBFC1" w14:textId="77777777" w:rsidR="00CF1EF2" w:rsidRDefault="00CF1EF2" w:rsidP="00A23CBB">
            <w:pPr>
              <w:jc w:val="center"/>
              <w:rPr>
                <w:rFonts w:ascii="Arial" w:hAnsi="Arial" w:cs="FrankRuehl"/>
                <w:sz w:val="32"/>
                <w:szCs w:val="32"/>
                <w:rtl/>
              </w:rPr>
            </w:pPr>
            <w:bookmarkStart w:id="2" w:name="PsakDin" w:colFirst="0" w:colLast="0"/>
            <w:bookmarkStart w:id="3" w:name="LawTable"/>
            <w:bookmarkEnd w:id="0"/>
            <w:bookmarkEnd w:id="3"/>
          </w:p>
          <w:p w14:paraId="57784C9E" w14:textId="77777777" w:rsidR="00CF1EF2" w:rsidRPr="00CF1EF2" w:rsidRDefault="00CF1EF2" w:rsidP="00CF1EF2">
            <w:pPr>
              <w:spacing w:after="120" w:line="240" w:lineRule="exact"/>
              <w:ind w:left="283" w:hanging="283"/>
              <w:jc w:val="both"/>
              <w:rPr>
                <w:rFonts w:ascii="FrankRuehl" w:hAnsi="FrankRuehl" w:cs="FrankRuehl"/>
                <w:rtl/>
              </w:rPr>
            </w:pPr>
          </w:p>
          <w:p w14:paraId="3D202CC1" w14:textId="77777777" w:rsidR="00CF1EF2" w:rsidRPr="00CF1EF2" w:rsidRDefault="00CF1EF2" w:rsidP="00CF1EF2">
            <w:pPr>
              <w:spacing w:after="120" w:line="240" w:lineRule="exact"/>
              <w:ind w:left="283" w:hanging="283"/>
              <w:jc w:val="both"/>
              <w:rPr>
                <w:rFonts w:ascii="FrankRuehl" w:hAnsi="FrankRuehl" w:cs="FrankRuehl"/>
                <w:rtl/>
              </w:rPr>
            </w:pPr>
            <w:r w:rsidRPr="00CF1EF2">
              <w:rPr>
                <w:rFonts w:ascii="FrankRuehl" w:hAnsi="FrankRuehl" w:cs="FrankRuehl"/>
                <w:rtl/>
              </w:rPr>
              <w:t xml:space="preserve">חקיקה שאוזכרה: </w:t>
            </w:r>
          </w:p>
          <w:p w14:paraId="1661BC69" w14:textId="77777777" w:rsidR="00CF1EF2" w:rsidRPr="00CF1EF2" w:rsidRDefault="00CF1EF2" w:rsidP="00CF1EF2">
            <w:pPr>
              <w:spacing w:after="120" w:line="240" w:lineRule="exact"/>
              <w:ind w:left="283" w:hanging="283"/>
              <w:jc w:val="both"/>
              <w:rPr>
                <w:rFonts w:ascii="FrankRuehl" w:hAnsi="FrankRuehl" w:cs="FrankRuehl"/>
                <w:color w:val="0000FF"/>
                <w:u w:val="single"/>
                <w:rtl/>
              </w:rPr>
            </w:pPr>
            <w:hyperlink r:id="rId6" w:history="1">
              <w:r w:rsidRPr="00CF1EF2">
                <w:rPr>
                  <w:rStyle w:val="Hyperlink"/>
                  <w:rFonts w:ascii="FrankRuehl" w:hAnsi="FrankRuehl" w:cs="FrankRuehl"/>
                  <w:rtl/>
                </w:rPr>
                <w:t>חוק העונשין, תשל"ז-1977</w:t>
              </w:r>
            </w:hyperlink>
            <w:r w:rsidRPr="00CF1EF2">
              <w:rPr>
                <w:rFonts w:ascii="FrankRuehl" w:hAnsi="FrankRuehl" w:cs="FrankRuehl"/>
                <w:color w:val="0000FF"/>
                <w:u w:val="single"/>
                <w:rtl/>
              </w:rPr>
              <w:t xml:space="preserve">: סע'  </w:t>
            </w:r>
            <w:hyperlink r:id="rId7" w:history="1">
              <w:r w:rsidRPr="00CF1EF2">
                <w:rPr>
                  <w:rStyle w:val="Hyperlink"/>
                  <w:rFonts w:ascii="FrankRuehl" w:hAnsi="FrankRuehl" w:cs="FrankRuehl"/>
                </w:rPr>
                <w:t>29</w:t>
              </w:r>
            </w:hyperlink>
            <w:r w:rsidRPr="00CF1EF2">
              <w:rPr>
                <w:rFonts w:ascii="FrankRuehl" w:hAnsi="FrankRuehl" w:cs="FrankRuehl"/>
                <w:color w:val="0000FF"/>
                <w:u w:val="single"/>
                <w:rtl/>
              </w:rPr>
              <w:t xml:space="preserve">, </w:t>
            </w:r>
            <w:hyperlink r:id="rId8" w:history="1">
              <w:r w:rsidRPr="00CF1EF2">
                <w:rPr>
                  <w:rStyle w:val="Hyperlink"/>
                  <w:rFonts w:ascii="FrankRuehl" w:hAnsi="FrankRuehl" w:cs="FrankRuehl"/>
                </w:rPr>
                <w:t>40</w:t>
              </w:r>
              <w:r w:rsidRPr="00CF1EF2">
                <w:rPr>
                  <w:rStyle w:val="Hyperlink"/>
                  <w:rFonts w:ascii="FrankRuehl" w:hAnsi="FrankRuehl" w:cs="FrankRuehl"/>
                  <w:rtl/>
                </w:rPr>
                <w:t>ב</w:t>
              </w:r>
            </w:hyperlink>
            <w:r w:rsidRPr="00CF1EF2">
              <w:rPr>
                <w:rFonts w:ascii="FrankRuehl" w:hAnsi="FrankRuehl" w:cs="FrankRuehl"/>
                <w:color w:val="0000FF"/>
                <w:u w:val="single"/>
                <w:rtl/>
              </w:rPr>
              <w:t xml:space="preserve">, </w:t>
            </w:r>
            <w:hyperlink r:id="rId9" w:history="1">
              <w:r w:rsidRPr="00CF1EF2">
                <w:rPr>
                  <w:rStyle w:val="Hyperlink"/>
                  <w:rFonts w:ascii="FrankRuehl" w:hAnsi="FrankRuehl" w:cs="FrankRuehl"/>
                </w:rPr>
                <w:t>40</w:t>
              </w:r>
              <w:r w:rsidRPr="00CF1EF2">
                <w:rPr>
                  <w:rStyle w:val="Hyperlink"/>
                  <w:rFonts w:ascii="FrankRuehl" w:hAnsi="FrankRuehl" w:cs="FrankRuehl"/>
                  <w:rtl/>
                </w:rPr>
                <w:t>ג (א)</w:t>
              </w:r>
            </w:hyperlink>
            <w:r w:rsidRPr="00CF1EF2">
              <w:rPr>
                <w:rFonts w:ascii="FrankRuehl" w:hAnsi="FrankRuehl" w:cs="FrankRuehl"/>
                <w:color w:val="0000FF"/>
                <w:u w:val="single"/>
                <w:rtl/>
              </w:rPr>
              <w:t xml:space="preserve">, </w:t>
            </w:r>
            <w:hyperlink r:id="rId10" w:history="1">
              <w:r w:rsidRPr="00CF1EF2">
                <w:rPr>
                  <w:rStyle w:val="Hyperlink"/>
                  <w:rFonts w:ascii="FrankRuehl" w:hAnsi="FrankRuehl" w:cs="FrankRuehl"/>
                </w:rPr>
                <w:t>144(</w:t>
              </w:r>
              <w:r w:rsidRPr="00CF1EF2">
                <w:rPr>
                  <w:rStyle w:val="Hyperlink"/>
                  <w:rFonts w:ascii="FrankRuehl" w:hAnsi="FrankRuehl" w:cs="FrankRuehl"/>
                  <w:rtl/>
                </w:rPr>
                <w:t>א</w:t>
              </w:r>
              <w:r w:rsidRPr="00CF1EF2">
                <w:rPr>
                  <w:rStyle w:val="Hyperlink"/>
                  <w:rFonts w:ascii="FrankRuehl" w:hAnsi="FrankRuehl" w:cs="FrankRuehl"/>
                </w:rPr>
                <w:t>)</w:t>
              </w:r>
            </w:hyperlink>
            <w:r w:rsidRPr="00CF1EF2">
              <w:rPr>
                <w:rFonts w:ascii="FrankRuehl" w:hAnsi="FrankRuehl" w:cs="FrankRuehl"/>
                <w:color w:val="0000FF"/>
                <w:u w:val="single"/>
                <w:rtl/>
              </w:rPr>
              <w:t xml:space="preserve">, </w:t>
            </w:r>
            <w:hyperlink r:id="rId11" w:history="1">
              <w:r w:rsidRPr="00CF1EF2">
                <w:rPr>
                  <w:rStyle w:val="Hyperlink"/>
                  <w:rFonts w:ascii="FrankRuehl" w:hAnsi="FrankRuehl" w:cs="FrankRuehl"/>
                </w:rPr>
                <w:t>144(</w:t>
              </w:r>
              <w:r w:rsidRPr="00CF1EF2">
                <w:rPr>
                  <w:rStyle w:val="Hyperlink"/>
                  <w:rFonts w:ascii="FrankRuehl" w:hAnsi="FrankRuehl" w:cs="FrankRuehl"/>
                  <w:rtl/>
                </w:rPr>
                <w:t>ב</w:t>
              </w:r>
              <w:r w:rsidRPr="00CF1EF2">
                <w:rPr>
                  <w:rStyle w:val="Hyperlink"/>
                  <w:rFonts w:ascii="FrankRuehl" w:hAnsi="FrankRuehl" w:cs="FrankRuehl"/>
                </w:rPr>
                <w:t>)</w:t>
              </w:r>
            </w:hyperlink>
            <w:r w:rsidRPr="00CF1EF2">
              <w:rPr>
                <w:rFonts w:ascii="FrankRuehl" w:hAnsi="FrankRuehl" w:cs="FrankRuehl"/>
                <w:color w:val="0000FF"/>
                <w:u w:val="single"/>
                <w:rtl/>
              </w:rPr>
              <w:t xml:space="preserve">, </w:t>
            </w:r>
            <w:hyperlink r:id="rId12" w:history="1">
              <w:r w:rsidRPr="00CF1EF2">
                <w:rPr>
                  <w:rStyle w:val="Hyperlink"/>
                  <w:rFonts w:ascii="FrankRuehl" w:hAnsi="FrankRuehl" w:cs="FrankRuehl"/>
                </w:rPr>
                <w:t>144(</w:t>
              </w:r>
              <w:r w:rsidRPr="00CF1EF2">
                <w:rPr>
                  <w:rStyle w:val="Hyperlink"/>
                  <w:rFonts w:ascii="FrankRuehl" w:hAnsi="FrankRuehl" w:cs="FrankRuehl"/>
                  <w:rtl/>
                </w:rPr>
                <w:t>ב2</w:t>
              </w:r>
              <w:r w:rsidRPr="00CF1EF2">
                <w:rPr>
                  <w:rStyle w:val="Hyperlink"/>
                  <w:rFonts w:ascii="FrankRuehl" w:hAnsi="FrankRuehl" w:cs="FrankRuehl"/>
                </w:rPr>
                <w:t>)</w:t>
              </w:r>
            </w:hyperlink>
            <w:r w:rsidRPr="00CF1EF2">
              <w:rPr>
                <w:rFonts w:ascii="FrankRuehl" w:hAnsi="FrankRuehl" w:cs="FrankRuehl"/>
                <w:color w:val="0000FF"/>
                <w:u w:val="single"/>
                <w:rtl/>
              </w:rPr>
              <w:t xml:space="preserve">, </w:t>
            </w:r>
            <w:hyperlink r:id="rId13" w:history="1">
              <w:r w:rsidRPr="00CF1EF2">
                <w:rPr>
                  <w:rStyle w:val="Hyperlink"/>
                  <w:rFonts w:ascii="FrankRuehl" w:hAnsi="FrankRuehl" w:cs="FrankRuehl"/>
                </w:rPr>
                <w:t>329</w:t>
              </w:r>
              <w:r w:rsidRPr="00CF1EF2">
                <w:rPr>
                  <w:rStyle w:val="Hyperlink"/>
                  <w:rFonts w:ascii="FrankRuehl" w:hAnsi="FrankRuehl" w:cs="FrankRuehl"/>
                  <w:rtl/>
                </w:rPr>
                <w:t>(א)</w:t>
              </w:r>
              <w:r w:rsidRPr="00CF1EF2">
                <w:rPr>
                  <w:rStyle w:val="Hyperlink"/>
                  <w:rFonts w:ascii="FrankRuehl" w:hAnsi="FrankRuehl" w:cs="FrankRuehl"/>
                </w:rPr>
                <w:t>(2)</w:t>
              </w:r>
            </w:hyperlink>
            <w:r w:rsidRPr="00CF1EF2">
              <w:rPr>
                <w:rFonts w:ascii="FrankRuehl" w:hAnsi="FrankRuehl" w:cs="FrankRuehl"/>
                <w:color w:val="0000FF"/>
                <w:u w:val="single"/>
                <w:rtl/>
              </w:rPr>
              <w:t xml:space="preserve">, </w:t>
            </w:r>
            <w:hyperlink r:id="rId14" w:history="1">
              <w:r w:rsidRPr="00CF1EF2">
                <w:rPr>
                  <w:rStyle w:val="Hyperlink"/>
                  <w:rFonts w:ascii="FrankRuehl" w:hAnsi="FrankRuehl" w:cs="FrankRuehl"/>
                </w:rPr>
                <w:t>(6)</w:t>
              </w:r>
            </w:hyperlink>
            <w:r w:rsidRPr="00CF1EF2">
              <w:rPr>
                <w:rFonts w:ascii="FrankRuehl" w:hAnsi="FrankRuehl" w:cs="FrankRuehl"/>
                <w:color w:val="0000FF"/>
                <w:u w:val="single"/>
                <w:rtl/>
              </w:rPr>
              <w:t xml:space="preserve">, </w:t>
            </w:r>
            <w:hyperlink r:id="rId15" w:history="1">
              <w:r w:rsidRPr="00CF1EF2">
                <w:rPr>
                  <w:rStyle w:val="Hyperlink"/>
                  <w:rFonts w:ascii="FrankRuehl" w:hAnsi="FrankRuehl" w:cs="FrankRuehl"/>
                </w:rPr>
                <w:t xml:space="preserve">40 </w:t>
              </w:r>
              <w:r w:rsidRPr="00CF1EF2">
                <w:rPr>
                  <w:rStyle w:val="Hyperlink"/>
                  <w:rFonts w:ascii="FrankRuehl" w:hAnsi="FrankRuehl" w:cs="FrankRuehl"/>
                  <w:rtl/>
                </w:rPr>
                <w:t>יב</w:t>
              </w:r>
            </w:hyperlink>
            <w:r w:rsidRPr="00CF1EF2">
              <w:rPr>
                <w:rFonts w:ascii="FrankRuehl" w:hAnsi="FrankRuehl" w:cs="FrankRuehl"/>
                <w:color w:val="0000FF"/>
                <w:u w:val="single"/>
                <w:rtl/>
              </w:rPr>
              <w:t xml:space="preserve">, </w:t>
            </w:r>
            <w:hyperlink r:id="rId16" w:history="1">
              <w:r w:rsidRPr="00CF1EF2">
                <w:rPr>
                  <w:rStyle w:val="Hyperlink"/>
                  <w:rFonts w:ascii="FrankRuehl" w:hAnsi="FrankRuehl" w:cs="FrankRuehl"/>
                </w:rPr>
                <w:t xml:space="preserve">499 </w:t>
              </w:r>
              <w:r w:rsidRPr="00CF1EF2">
                <w:rPr>
                  <w:rStyle w:val="Hyperlink"/>
                  <w:rFonts w:ascii="FrankRuehl" w:hAnsi="FrankRuehl" w:cs="FrankRuehl"/>
                  <w:rtl/>
                </w:rPr>
                <w:t>(א)</w:t>
              </w:r>
              <w:r w:rsidRPr="00CF1EF2">
                <w:rPr>
                  <w:rStyle w:val="Hyperlink"/>
                  <w:rFonts w:ascii="FrankRuehl" w:hAnsi="FrankRuehl" w:cs="FrankRuehl"/>
                </w:rPr>
                <w:t>(1)</w:t>
              </w:r>
            </w:hyperlink>
          </w:p>
          <w:p w14:paraId="3E85C8E2" w14:textId="77777777" w:rsidR="00CF1EF2" w:rsidRPr="00CF1EF2" w:rsidRDefault="00CF1EF2" w:rsidP="00CF1EF2">
            <w:pPr>
              <w:spacing w:after="120" w:line="240" w:lineRule="exact"/>
              <w:ind w:left="283" w:hanging="283"/>
              <w:jc w:val="both"/>
              <w:rPr>
                <w:rFonts w:ascii="FrankRuehl" w:hAnsi="FrankRuehl" w:cs="FrankRuehl"/>
                <w:color w:val="0000FF"/>
                <w:u w:val="single"/>
                <w:rtl/>
              </w:rPr>
            </w:pPr>
            <w:hyperlink r:id="rId17" w:history="1">
              <w:r w:rsidRPr="00CF1EF2">
                <w:rPr>
                  <w:rStyle w:val="Hyperlink"/>
                  <w:rFonts w:ascii="FrankRuehl" w:hAnsi="FrankRuehl" w:cs="FrankRuehl"/>
                  <w:rtl/>
                </w:rPr>
                <w:t>חוק הממשלה, תשס"א-2001</w:t>
              </w:r>
            </w:hyperlink>
          </w:p>
          <w:p w14:paraId="2D785D8B" w14:textId="77777777" w:rsidR="00CF1EF2" w:rsidRPr="00CF1EF2" w:rsidRDefault="00CF1EF2" w:rsidP="00CF1EF2">
            <w:pPr>
              <w:spacing w:after="120" w:line="240" w:lineRule="exact"/>
              <w:ind w:left="283" w:hanging="283"/>
              <w:jc w:val="both"/>
              <w:rPr>
                <w:rFonts w:ascii="FrankRuehl" w:hAnsi="FrankRuehl" w:cs="FrankRuehl"/>
                <w:color w:val="0000FF"/>
                <w:u w:val="single"/>
                <w:rtl/>
              </w:rPr>
            </w:pPr>
            <w:hyperlink r:id="rId18" w:history="1">
              <w:r w:rsidRPr="00CF1EF2">
                <w:rPr>
                  <w:rStyle w:val="Hyperlink"/>
                  <w:rFonts w:ascii="FrankRuehl" w:hAnsi="FrankRuehl" w:cs="FrankRuehl"/>
                  <w:rtl/>
                </w:rPr>
                <w:t>חוק-יסוד: כבוד האדם וחירותו</w:t>
              </w:r>
            </w:hyperlink>
          </w:p>
          <w:p w14:paraId="7DA9765C" w14:textId="77777777" w:rsidR="00CF1EF2" w:rsidRPr="00CF1EF2" w:rsidRDefault="00CF1EF2" w:rsidP="00CF1EF2">
            <w:pPr>
              <w:spacing w:after="120" w:line="240" w:lineRule="exact"/>
              <w:ind w:left="283" w:hanging="283"/>
              <w:jc w:val="both"/>
              <w:rPr>
                <w:rFonts w:ascii="FrankRuehl" w:hAnsi="FrankRuehl" w:cs="FrankRuehl"/>
                <w:rtl/>
              </w:rPr>
            </w:pPr>
          </w:p>
          <w:p w14:paraId="692E9198" w14:textId="77777777" w:rsidR="00CF1EF2" w:rsidRPr="00CF1EF2" w:rsidRDefault="00CF1EF2" w:rsidP="00A23CBB">
            <w:pPr>
              <w:jc w:val="center"/>
              <w:rPr>
                <w:rFonts w:ascii="Arial" w:hAnsi="Arial" w:cs="FrankRuehl"/>
                <w:sz w:val="32"/>
                <w:szCs w:val="32"/>
                <w:rtl/>
              </w:rPr>
            </w:pPr>
            <w:bookmarkStart w:id="4" w:name="LawTable_End"/>
            <w:bookmarkEnd w:id="4"/>
          </w:p>
          <w:p w14:paraId="3A945CE5" w14:textId="77777777" w:rsidR="00BA68B4" w:rsidRPr="00BA68B4" w:rsidRDefault="00BA68B4" w:rsidP="00A23CBB">
            <w:pPr>
              <w:jc w:val="center"/>
              <w:rPr>
                <w:rFonts w:ascii="Arial" w:hAnsi="Arial" w:cs="FrankRuehl"/>
                <w:sz w:val="32"/>
                <w:szCs w:val="32"/>
                <w:rtl/>
              </w:rPr>
            </w:pPr>
          </w:p>
          <w:p w14:paraId="68BC8D83" w14:textId="77777777" w:rsidR="007A7C35" w:rsidRPr="007A7C35" w:rsidRDefault="007A7C35" w:rsidP="00A23CBB">
            <w:pPr>
              <w:jc w:val="center"/>
              <w:rPr>
                <w:rFonts w:ascii="Arial" w:hAnsi="Arial" w:cs="FrankRuehl"/>
                <w:sz w:val="32"/>
                <w:szCs w:val="32"/>
                <w:rtl/>
              </w:rPr>
            </w:pPr>
          </w:p>
          <w:p w14:paraId="248DD001" w14:textId="77777777" w:rsidR="00A23CBB" w:rsidRPr="00A23CBB" w:rsidRDefault="00A23CBB" w:rsidP="00A23CBB">
            <w:pPr>
              <w:jc w:val="center"/>
              <w:rPr>
                <w:rFonts w:ascii="Arial" w:hAnsi="Arial" w:cs="FrankRuehl"/>
                <w:b/>
                <w:bCs/>
                <w:sz w:val="32"/>
                <w:szCs w:val="32"/>
                <w:u w:val="single"/>
                <w:rtl/>
              </w:rPr>
            </w:pPr>
            <w:r w:rsidRPr="00A23CBB">
              <w:rPr>
                <w:rFonts w:ascii="Arial" w:hAnsi="Arial" w:cs="FrankRuehl"/>
                <w:b/>
                <w:bCs/>
                <w:sz w:val="32"/>
                <w:szCs w:val="32"/>
                <w:u w:val="single"/>
                <w:rtl/>
              </w:rPr>
              <w:t>גזר דין</w:t>
            </w:r>
          </w:p>
          <w:p w14:paraId="6F71820A" w14:textId="77777777" w:rsidR="00D62B03" w:rsidRPr="00A23CBB" w:rsidRDefault="00D62B03" w:rsidP="00A23CBB">
            <w:pPr>
              <w:jc w:val="center"/>
              <w:rPr>
                <w:rFonts w:ascii="Arial" w:hAnsi="Arial" w:cs="FrankRuehl"/>
                <w:bCs/>
                <w:sz w:val="32"/>
                <w:szCs w:val="32"/>
                <w:u w:val="single"/>
                <w:rtl/>
              </w:rPr>
            </w:pPr>
          </w:p>
        </w:tc>
      </w:tr>
      <w:bookmarkEnd w:id="2"/>
    </w:tbl>
    <w:p w14:paraId="5E44FC71" w14:textId="77777777" w:rsidR="00D62B03" w:rsidRDefault="00D62B03">
      <w:pPr>
        <w:rPr>
          <w:rFonts w:ascii="Arial" w:hAnsi="Arial"/>
          <w:rtl/>
        </w:rPr>
      </w:pPr>
    </w:p>
    <w:p w14:paraId="1795563E" w14:textId="77777777" w:rsidR="00D62B03" w:rsidRDefault="00D62B03">
      <w:pPr>
        <w:rPr>
          <w:rtl/>
        </w:rPr>
      </w:pPr>
    </w:p>
    <w:p w14:paraId="571A3E2C" w14:textId="77777777" w:rsidR="00D62B03" w:rsidRDefault="00A23CBB">
      <w:pPr>
        <w:spacing w:line="360" w:lineRule="auto"/>
        <w:jc w:val="both"/>
        <w:rPr>
          <w:rtl/>
        </w:rPr>
      </w:pPr>
      <w:r>
        <w:rPr>
          <w:rtl/>
        </w:rPr>
        <w:t>גזר הדין מהווה חלק בלתי נפרד מהחלטה שניתנה ביום 15/10/13 ותצוטט במלואה:</w:t>
      </w:r>
    </w:p>
    <w:p w14:paraId="24CFF9EC" w14:textId="77777777" w:rsidR="00D62B03" w:rsidRDefault="00D62B03">
      <w:pPr>
        <w:spacing w:line="360" w:lineRule="auto"/>
        <w:jc w:val="both"/>
        <w:rPr>
          <w:rtl/>
        </w:rPr>
      </w:pPr>
    </w:p>
    <w:p w14:paraId="59B3A7B4" w14:textId="77777777" w:rsidR="00D62B03" w:rsidRDefault="00A23CBB">
      <w:pPr>
        <w:spacing w:line="360" w:lineRule="auto"/>
        <w:jc w:val="both"/>
        <w:rPr>
          <w:rtl/>
        </w:rPr>
      </w:pPr>
      <w:bookmarkStart w:id="5" w:name="ABSTRACT_START"/>
      <w:bookmarkEnd w:id="5"/>
      <w:r>
        <w:rPr>
          <w:rFonts w:hint="cs"/>
          <w:rtl/>
        </w:rPr>
        <w:t xml:space="preserve">"הנאשם, יליד 93', הודה בעובדות כתב אישום שתוקן במסגרת הסדר טיעון והורשע על פי הודייתו בעבירות דלקמן: </w:t>
      </w:r>
    </w:p>
    <w:p w14:paraId="5C357D7B" w14:textId="77777777" w:rsidR="00D62B03" w:rsidRDefault="00A23CBB">
      <w:pPr>
        <w:spacing w:line="360" w:lineRule="auto"/>
        <w:jc w:val="both"/>
      </w:pPr>
      <w:r>
        <w:rPr>
          <w:rFonts w:hint="cs"/>
          <w:rtl/>
        </w:rPr>
        <w:t xml:space="preserve">קשר לפשע – לפי </w:t>
      </w:r>
      <w:hyperlink r:id="rId19" w:history="1">
        <w:r w:rsidR="00BA68B4" w:rsidRPr="00BA68B4">
          <w:rPr>
            <w:rStyle w:val="Hyperlink"/>
            <w:rtl/>
          </w:rPr>
          <w:t>סעיף 499 (א)(1)</w:t>
        </w:r>
      </w:hyperlink>
      <w:r>
        <w:rPr>
          <w:rFonts w:hint="cs"/>
          <w:rtl/>
        </w:rPr>
        <w:t xml:space="preserve"> ל</w:t>
      </w:r>
      <w:hyperlink r:id="rId20" w:history="1">
        <w:r w:rsidR="007A7C35" w:rsidRPr="007A7C35">
          <w:rPr>
            <w:rStyle w:val="Hyperlink"/>
            <w:rtl/>
          </w:rPr>
          <w:t>חוק העונשין</w:t>
        </w:r>
      </w:hyperlink>
      <w:r>
        <w:rPr>
          <w:rFonts w:hint="cs"/>
          <w:rtl/>
        </w:rPr>
        <w:t xml:space="preserve">, התשל"ז-1977 (להלן: חוק העונשין); חבלה בכוונה מחמירה – לפי </w:t>
      </w:r>
      <w:hyperlink r:id="rId21" w:history="1">
        <w:r w:rsidR="00BA68B4" w:rsidRPr="00BA68B4">
          <w:rPr>
            <w:rStyle w:val="Hyperlink"/>
            <w:rtl/>
          </w:rPr>
          <w:t>סעיף 329(א)(2)</w:t>
        </w:r>
      </w:hyperlink>
      <w:r>
        <w:rPr>
          <w:rFonts w:hint="cs"/>
          <w:rtl/>
        </w:rPr>
        <w:t xml:space="preserve"> ו-</w:t>
      </w:r>
      <w:hyperlink r:id="rId22" w:history="1">
        <w:r w:rsidR="00BA68B4" w:rsidRPr="00BA68B4">
          <w:rPr>
            <w:rStyle w:val="Hyperlink"/>
            <w:rtl/>
          </w:rPr>
          <w:t>(6)</w:t>
        </w:r>
      </w:hyperlink>
      <w:r>
        <w:rPr>
          <w:rFonts w:hint="cs"/>
          <w:rtl/>
        </w:rPr>
        <w:t xml:space="preserve"> + </w:t>
      </w:r>
      <w:hyperlink r:id="rId23" w:history="1">
        <w:r w:rsidR="00BA68B4" w:rsidRPr="00BA68B4">
          <w:rPr>
            <w:rStyle w:val="Hyperlink"/>
            <w:rtl/>
          </w:rPr>
          <w:t>29</w:t>
        </w:r>
      </w:hyperlink>
      <w:r>
        <w:rPr>
          <w:rFonts w:hint="cs"/>
          <w:rtl/>
        </w:rPr>
        <w:t xml:space="preserve"> לחוק העונשין; יצור נשק – לפי </w:t>
      </w:r>
      <w:hyperlink r:id="rId24" w:history="1">
        <w:r w:rsidR="00BA68B4" w:rsidRPr="00BA68B4">
          <w:rPr>
            <w:rStyle w:val="Hyperlink"/>
            <w:rtl/>
          </w:rPr>
          <w:t>סעיף 144(ב2)</w:t>
        </w:r>
      </w:hyperlink>
      <w:r>
        <w:rPr>
          <w:rFonts w:hint="cs"/>
          <w:rtl/>
        </w:rPr>
        <w:t xml:space="preserve"> + </w:t>
      </w:r>
      <w:hyperlink r:id="rId25" w:history="1">
        <w:r w:rsidR="00BA68B4" w:rsidRPr="00BA68B4">
          <w:rPr>
            <w:rStyle w:val="Hyperlink"/>
            <w:rtl/>
          </w:rPr>
          <w:t>29</w:t>
        </w:r>
      </w:hyperlink>
      <w:r>
        <w:rPr>
          <w:rFonts w:hint="cs"/>
          <w:rtl/>
        </w:rPr>
        <w:t xml:space="preserve"> לחוק העונשין; החזקת נשק – לפי </w:t>
      </w:r>
      <w:hyperlink r:id="rId26" w:history="1">
        <w:r w:rsidR="00BA68B4" w:rsidRPr="00BA68B4">
          <w:rPr>
            <w:rStyle w:val="Hyperlink"/>
            <w:rtl/>
          </w:rPr>
          <w:t>סעיף 144(א)</w:t>
        </w:r>
      </w:hyperlink>
      <w:r>
        <w:rPr>
          <w:rFonts w:hint="cs"/>
          <w:rtl/>
        </w:rPr>
        <w:t xml:space="preserve"> רישא + </w:t>
      </w:r>
      <w:hyperlink r:id="rId27" w:history="1">
        <w:r w:rsidR="00BA68B4" w:rsidRPr="00BA68B4">
          <w:rPr>
            <w:rStyle w:val="Hyperlink"/>
            <w:rtl/>
          </w:rPr>
          <w:t>29</w:t>
        </w:r>
      </w:hyperlink>
      <w:r>
        <w:rPr>
          <w:rFonts w:hint="cs"/>
          <w:rtl/>
        </w:rPr>
        <w:t xml:space="preserve"> לחוק העונשין, ונשיאת נשק – לפי </w:t>
      </w:r>
      <w:hyperlink r:id="rId28" w:history="1">
        <w:r w:rsidR="00BA68B4" w:rsidRPr="00BA68B4">
          <w:rPr>
            <w:rStyle w:val="Hyperlink"/>
            <w:rtl/>
          </w:rPr>
          <w:t>סעיף 144(ב)</w:t>
        </w:r>
      </w:hyperlink>
      <w:r>
        <w:rPr>
          <w:rFonts w:hint="cs"/>
          <w:rtl/>
        </w:rPr>
        <w:t xml:space="preserve"> רישא + </w:t>
      </w:r>
      <w:hyperlink r:id="rId29" w:history="1">
        <w:r w:rsidR="00BA68B4" w:rsidRPr="00BA68B4">
          <w:rPr>
            <w:rStyle w:val="Hyperlink"/>
            <w:rtl/>
          </w:rPr>
          <w:t>29</w:t>
        </w:r>
      </w:hyperlink>
      <w:r>
        <w:rPr>
          <w:rFonts w:hint="cs"/>
          <w:rtl/>
        </w:rPr>
        <w:t xml:space="preserve"> לחוק העונשין, </w:t>
      </w:r>
    </w:p>
    <w:p w14:paraId="0B1BB067" w14:textId="77777777" w:rsidR="00D62B03" w:rsidRDefault="00D62B03">
      <w:pPr>
        <w:jc w:val="both"/>
        <w:rPr>
          <w:rtl/>
        </w:rPr>
      </w:pPr>
      <w:bookmarkStart w:id="6" w:name="ABSTRACT_END"/>
      <w:bookmarkEnd w:id="6"/>
    </w:p>
    <w:p w14:paraId="404B154B" w14:textId="77777777" w:rsidR="00D62B03" w:rsidRDefault="00A23CBB">
      <w:pPr>
        <w:spacing w:line="360" w:lineRule="auto"/>
        <w:jc w:val="both"/>
        <w:rPr>
          <w:b/>
          <w:bCs/>
          <w:u w:val="single"/>
        </w:rPr>
      </w:pPr>
      <w:r>
        <w:rPr>
          <w:rFonts w:hint="cs"/>
          <w:b/>
          <w:bCs/>
          <w:rtl/>
        </w:rPr>
        <w:t xml:space="preserve">1. </w:t>
      </w:r>
      <w:r>
        <w:rPr>
          <w:rFonts w:hint="cs"/>
          <w:b/>
          <w:bCs/>
          <w:rtl/>
        </w:rPr>
        <w:tab/>
      </w:r>
      <w:r>
        <w:rPr>
          <w:rFonts w:hint="cs"/>
          <w:b/>
          <w:bCs/>
          <w:u w:val="single"/>
          <w:rtl/>
        </w:rPr>
        <w:t xml:space="preserve">תמצית העובדות המפורטות בכתב האישום המתוקן </w:t>
      </w:r>
    </w:p>
    <w:p w14:paraId="1B7CA8BA" w14:textId="77777777" w:rsidR="00D62B03" w:rsidRDefault="00A23CBB">
      <w:pPr>
        <w:spacing w:line="360" w:lineRule="auto"/>
        <w:ind w:left="720"/>
        <w:jc w:val="both"/>
        <w:rPr>
          <w:rtl/>
        </w:rPr>
      </w:pPr>
      <w:r>
        <w:rPr>
          <w:rFonts w:hint="cs"/>
          <w:rtl/>
        </w:rPr>
        <w:t>בתאריך 8/8/12 לפנות בוקר, שהה הנאשם בחניון אגם מונפורט (להלן: האגם), ביחד עם חבריו א.ל, שהיה קטין באותו מועד (להלן: א'), רוברט תומס (להלן: רוברט) ופאר גרידיש (להלן: פאר; כל אלה ביחד ייקראו להלן: חברי הנאשם). כן שהו במקום ד.ס., נ.א. ו-י.צ. (להלן: המתלוננים), במסגרת טיול, ביחד עם קבוצה של עשרות מחבריהם (להלן ביחד: הקבוצה). במהלך השהות באגם התפתחו דין ודברים בין הנאשם, פאר ורוברט לבין חלק מחברי הקבוצה, שלאחריו עזבו הנאשם וחבריו את המקום.</w:t>
      </w:r>
    </w:p>
    <w:p w14:paraId="1861B02E" w14:textId="77777777" w:rsidR="00D62B03" w:rsidRDefault="00D62B03">
      <w:pPr>
        <w:spacing w:line="360" w:lineRule="auto"/>
        <w:ind w:left="720"/>
        <w:jc w:val="both"/>
        <w:rPr>
          <w:rtl/>
        </w:rPr>
      </w:pPr>
    </w:p>
    <w:p w14:paraId="76B0888F" w14:textId="77777777" w:rsidR="00D62B03" w:rsidRDefault="00A23CBB">
      <w:pPr>
        <w:spacing w:line="360" w:lineRule="auto"/>
        <w:ind w:left="720"/>
        <w:jc w:val="both"/>
        <w:rPr>
          <w:rtl/>
        </w:rPr>
      </w:pPr>
      <w:r>
        <w:rPr>
          <w:rFonts w:hint="cs"/>
          <w:rtl/>
        </w:rPr>
        <w:lastRenderedPageBreak/>
        <w:t xml:space="preserve">סמוך לאחר מכן, בשעה 03:00 לערך, קשרו הנאשם וחבריו קשר לייצר בקבוקי תבערה וליידותם לעבר חברי הקבוצה, בכוונה להטיל בהם נכות ומום ולגרום להם חבלה חמורה. </w:t>
      </w:r>
    </w:p>
    <w:p w14:paraId="6D73CA76" w14:textId="77777777" w:rsidR="00D62B03" w:rsidRDefault="00A23CBB">
      <w:pPr>
        <w:spacing w:line="360" w:lineRule="auto"/>
        <w:ind w:left="720"/>
        <w:jc w:val="both"/>
        <w:rPr>
          <w:rtl/>
        </w:rPr>
      </w:pPr>
      <w:r>
        <w:rPr>
          <w:rFonts w:hint="cs"/>
          <w:rtl/>
        </w:rPr>
        <w:t xml:space="preserve">במסגרת הקשר וקידומו, נסעו הנאשם וחבריו ברכב שמספרו 33-182-02, השייך לפאר (להלן: הרכב), לתחנת דלק פז במעלות, רכשו דלק והצטיידו בבקבוקי זכוכית ובסמרטוטים. משם, נסעו למקום סמוך, מילאו את בקבוקי הזכוכית בדלק והכניסו לתוך כל אחד מהם חתיכת בד, המשמש כפתיל השהייה (להלן: בקבוקי התבערה). כך יצרו בקבוקי תבערה, שהנם כלים שסוגלו לפלוט חומר הנועד להזיק לאדם. </w:t>
      </w:r>
    </w:p>
    <w:p w14:paraId="0E2AFC18" w14:textId="77777777" w:rsidR="00D62B03" w:rsidRDefault="00D62B03">
      <w:pPr>
        <w:spacing w:line="360" w:lineRule="auto"/>
        <w:ind w:left="720"/>
        <w:jc w:val="both"/>
        <w:rPr>
          <w:rtl/>
        </w:rPr>
      </w:pPr>
    </w:p>
    <w:p w14:paraId="2215D580" w14:textId="77777777" w:rsidR="00D62B03" w:rsidRDefault="00A23CBB">
      <w:pPr>
        <w:spacing w:line="360" w:lineRule="auto"/>
        <w:ind w:left="720"/>
        <w:jc w:val="both"/>
        <w:rPr>
          <w:rtl/>
        </w:rPr>
      </w:pPr>
      <w:r>
        <w:rPr>
          <w:rFonts w:hint="cs"/>
          <w:rtl/>
        </w:rPr>
        <w:t xml:space="preserve">במסגרת הקשר וקידומו, בשעה 04:00 לערך, נשאו הנאשם וחבריו את בקבוקי התבערה בלא רשות על פי דין ממקום ההכנה לצומת הכניסה לאגם, כשהם מכסים את פניהם בחולצותיהם, על מנת שלא יזוהו. בהמשך, הדליקו הנאשם וחבריו בצוותא את פתילי ההשהייה בבקבוקי התבערה, יידו שני בקבוקי תבערה לעבר חברי הקבוצה, וכן יידו לעברם אבנים. כל זאת, בכוונה להטיל בהם נכות ומום ולגרום להם חבלה חמורה. אחד מהבקבוקים התנפץ והתלקח סמוך למקום בו עמדו חברי הקבוצה. </w:t>
      </w:r>
    </w:p>
    <w:p w14:paraId="3AAC4C7E" w14:textId="77777777" w:rsidR="00D62B03" w:rsidRDefault="00D62B03">
      <w:pPr>
        <w:spacing w:line="360" w:lineRule="auto"/>
        <w:ind w:left="720"/>
        <w:jc w:val="both"/>
        <w:rPr>
          <w:rtl/>
        </w:rPr>
      </w:pPr>
    </w:p>
    <w:p w14:paraId="7EFF5210" w14:textId="77777777" w:rsidR="00D62B03" w:rsidRDefault="00A23CBB">
      <w:pPr>
        <w:spacing w:line="360" w:lineRule="auto"/>
        <w:ind w:left="720"/>
        <w:jc w:val="both"/>
        <w:rPr>
          <w:rtl/>
        </w:rPr>
      </w:pPr>
      <w:r>
        <w:rPr>
          <w:rFonts w:hint="cs"/>
          <w:rtl/>
        </w:rPr>
        <w:t xml:space="preserve">במעשיו המתוארים לעיל קשר הנאשם עם אחרים קשר לייצר נשק, לפגוע באדם בנשק מסוכן ופוגעני, ולזרוק על אדם חומר נפיץ, בכוונה להטיל בו נכות ומום לגרום לו חבלה חמורה; ייצר בצוותא כלי נשק, החזיק ונשא אותם בלא רשות על פי דין להחזקתם או לנשיאתם; כן ניסה לפגוע בצוותא באדם בנשק מסוכן ופוגעני, וזרק על אדם חומר נפיץ, הכל בכוונה להטיל בו נכות ומום וכדי לגרום לו חבלה חמורה. </w:t>
      </w:r>
    </w:p>
    <w:p w14:paraId="23FC3D47" w14:textId="77777777" w:rsidR="00D62B03" w:rsidRDefault="00D62B03">
      <w:pPr>
        <w:spacing w:line="360" w:lineRule="auto"/>
        <w:jc w:val="both"/>
        <w:rPr>
          <w:b/>
          <w:bCs/>
          <w:rtl/>
        </w:rPr>
      </w:pPr>
    </w:p>
    <w:p w14:paraId="1EC7A43D" w14:textId="77777777" w:rsidR="00D62B03" w:rsidRDefault="00A23CBB">
      <w:pPr>
        <w:spacing w:line="360" w:lineRule="auto"/>
        <w:ind w:left="720" w:hanging="720"/>
        <w:jc w:val="both"/>
        <w:rPr>
          <w:rtl/>
        </w:rPr>
      </w:pPr>
      <w:r>
        <w:rPr>
          <w:rFonts w:hint="cs"/>
          <w:b/>
          <w:bCs/>
          <w:rtl/>
        </w:rPr>
        <w:t>2.</w:t>
      </w:r>
      <w:r>
        <w:rPr>
          <w:rFonts w:hint="cs"/>
          <w:b/>
          <w:bCs/>
          <w:rtl/>
        </w:rPr>
        <w:tab/>
      </w:r>
      <w:r>
        <w:rPr>
          <w:rFonts w:hint="cs"/>
          <w:rtl/>
        </w:rPr>
        <w:t>הצדדים הסכימו כי הטיעון לעונש יהיה חופשי, אך</w:t>
      </w:r>
      <w:r>
        <w:rPr>
          <w:rFonts w:hint="cs"/>
          <w:b/>
          <w:bCs/>
          <w:rtl/>
        </w:rPr>
        <w:t xml:space="preserve"> </w:t>
      </w:r>
      <w:r>
        <w:rPr>
          <w:rFonts w:hint="cs"/>
          <w:rtl/>
        </w:rPr>
        <w:t xml:space="preserve">בהיותו של הנאשם בן 19 עת בוצעה העבירה, התקיים לאחר שנתקבל  תסקיר של שירות המבחן בעניינו.  </w:t>
      </w:r>
    </w:p>
    <w:p w14:paraId="6BF46AA9" w14:textId="77777777" w:rsidR="00D62B03" w:rsidRDefault="00D62B03">
      <w:pPr>
        <w:spacing w:line="360" w:lineRule="auto"/>
        <w:ind w:left="720"/>
        <w:jc w:val="both"/>
        <w:rPr>
          <w:rtl/>
        </w:rPr>
      </w:pPr>
    </w:p>
    <w:p w14:paraId="1AACBF92" w14:textId="77777777" w:rsidR="00D62B03" w:rsidRDefault="00A23CBB">
      <w:pPr>
        <w:spacing w:line="360" w:lineRule="auto"/>
        <w:ind w:firstLine="720"/>
        <w:jc w:val="both"/>
        <w:rPr>
          <w:b/>
          <w:bCs/>
          <w:rtl/>
        </w:rPr>
      </w:pPr>
      <w:r>
        <w:rPr>
          <w:rFonts w:hint="cs"/>
          <w:b/>
          <w:bCs/>
          <w:rtl/>
        </w:rPr>
        <w:t xml:space="preserve">ראיות לעונש </w:t>
      </w:r>
    </w:p>
    <w:p w14:paraId="703E0659" w14:textId="77777777" w:rsidR="00D62B03" w:rsidRDefault="00A23CBB">
      <w:pPr>
        <w:spacing w:line="360" w:lineRule="auto"/>
        <w:jc w:val="both"/>
        <w:rPr>
          <w:b/>
          <w:bCs/>
          <w:u w:val="single"/>
          <w:rtl/>
        </w:rPr>
      </w:pPr>
      <w:r>
        <w:rPr>
          <w:rFonts w:hint="cs"/>
          <w:b/>
          <w:bCs/>
          <w:rtl/>
        </w:rPr>
        <w:t>3.</w:t>
      </w:r>
      <w:r>
        <w:rPr>
          <w:rFonts w:hint="cs"/>
          <w:b/>
          <w:bCs/>
          <w:rtl/>
        </w:rPr>
        <w:tab/>
      </w:r>
      <w:r>
        <w:rPr>
          <w:rFonts w:hint="cs"/>
          <w:b/>
          <w:bCs/>
          <w:u w:val="single"/>
          <w:rtl/>
        </w:rPr>
        <w:t xml:space="preserve">תסקיר שירות המבחן </w:t>
      </w:r>
    </w:p>
    <w:p w14:paraId="16867B05" w14:textId="77777777" w:rsidR="00D62B03" w:rsidRDefault="00A23CBB">
      <w:pPr>
        <w:spacing w:line="360" w:lineRule="auto"/>
        <w:ind w:left="720"/>
        <w:jc w:val="both"/>
        <w:rPr>
          <w:rtl/>
        </w:rPr>
      </w:pPr>
      <w:r>
        <w:rPr>
          <w:rFonts w:hint="cs"/>
          <w:rtl/>
        </w:rPr>
        <w:t>שירות המבחן המליץ להטיל על הנאשם מאסר שיבוצע בעבודות שירות, נוכח העובדה כי מדובר בצעיר נעדר עבר פלילי, אשר מאסר בין כותלי הכלא עלול להשליך על המשך שירותו הצבאי.</w:t>
      </w:r>
    </w:p>
    <w:p w14:paraId="402A3DDE" w14:textId="77777777" w:rsidR="00D62B03" w:rsidRDefault="00D62B03">
      <w:pPr>
        <w:spacing w:line="360" w:lineRule="auto"/>
        <w:ind w:left="720" w:firstLine="60"/>
        <w:jc w:val="both"/>
        <w:rPr>
          <w:rtl/>
        </w:rPr>
      </w:pPr>
    </w:p>
    <w:p w14:paraId="2F943954" w14:textId="77777777" w:rsidR="00D62B03" w:rsidRDefault="00A23CBB">
      <w:pPr>
        <w:spacing w:line="360" w:lineRule="auto"/>
        <w:ind w:left="720"/>
        <w:jc w:val="both"/>
        <w:rPr>
          <w:rtl/>
        </w:rPr>
      </w:pPr>
      <w:r>
        <w:rPr>
          <w:rFonts w:hint="cs"/>
          <w:b/>
          <w:bCs/>
          <w:rtl/>
        </w:rPr>
        <w:t>א</w:t>
      </w:r>
      <w:r>
        <w:rPr>
          <w:rFonts w:hint="cs"/>
          <w:rtl/>
        </w:rPr>
        <w:t>. קצינת המבחן סקרה את נסיבותיו האישיות של הנאשם, בן 20 כיום, בן להורים גרושים, המתגורר אצל סבתו במעלות. הנאשם עלה ארצה מרוסיה בשנת 96', ולאחר גירושי הוריו, נישאה אימו בשנית, ובשלב מסויים היגרה עם בעלה ובנה הצעיר מנישואיה אלה לקנדה. הנאשם אינו בקשר עם אביו. הנאשם החליט להישאר בארץ, חרף בקשת משפחתו כי יצטרף אליה, עקב תחושת מחויבותו להתגייס לצבא. טרם מעצרו שירת כחייל קרבי בחטיבת כפיר הצטייר כחייל ממושמע, ונמנע מהתנהגות אלימה. טרם גיוסו לצבא, השתתף במרכז לנערים במעלות, שם הצטייר באור חיובי.</w:t>
      </w:r>
    </w:p>
    <w:p w14:paraId="64681086" w14:textId="77777777" w:rsidR="00D62B03" w:rsidRDefault="00D62B03">
      <w:pPr>
        <w:spacing w:line="360" w:lineRule="auto"/>
        <w:ind w:left="720"/>
        <w:jc w:val="both"/>
        <w:rPr>
          <w:rtl/>
        </w:rPr>
      </w:pPr>
    </w:p>
    <w:p w14:paraId="074EC9B0" w14:textId="77777777" w:rsidR="00D62B03" w:rsidRDefault="00A23CBB">
      <w:pPr>
        <w:spacing w:line="360" w:lineRule="auto"/>
        <w:ind w:left="720"/>
        <w:jc w:val="both"/>
        <w:rPr>
          <w:rtl/>
        </w:rPr>
      </w:pPr>
      <w:r>
        <w:rPr>
          <w:rFonts w:hint="cs"/>
          <w:b/>
          <w:bCs/>
          <w:rtl/>
        </w:rPr>
        <w:lastRenderedPageBreak/>
        <w:t>ב</w:t>
      </w:r>
      <w:r>
        <w:rPr>
          <w:rFonts w:hint="cs"/>
          <w:rtl/>
        </w:rPr>
        <w:t>. הנאשם לקח אחריות על העובדות המתוארות בכתב האישום המתוקן. לדבריו בילה עם חבריו ושתה אלכוהול. לאחר ויכוח בין הנאשם וחבריו לבין המתלוננים, ניסו האחרונים לתקוף אותו ואת חבריו, ומשהצליחו לברוח, הציע אחד מחבריו שיכינו בקבוקי תבערה על מנת להפחיד באמצעותם את המתלוננים. לדבריו, לא היה בכוונתו לפגוע פגיעה ממשית במתלוננים, והיותו תחת השפעת אלכוהול השפיעה על יכולתו להפעיל שיקול דעת בוגר ואחראי באשר למתרחש. עוד הדגיש הנאשם כי אינו נוהג לצרוך אלכוהול באופן מופרז ושלל מעורבות טיפולית בהקשר זה.</w:t>
      </w:r>
    </w:p>
    <w:p w14:paraId="749C12B7" w14:textId="77777777" w:rsidR="00D62B03" w:rsidRDefault="00D62B03">
      <w:pPr>
        <w:spacing w:line="360" w:lineRule="auto"/>
        <w:ind w:left="720"/>
        <w:jc w:val="both"/>
        <w:rPr>
          <w:rtl/>
        </w:rPr>
      </w:pPr>
    </w:p>
    <w:p w14:paraId="2286F603" w14:textId="77777777" w:rsidR="00D62B03" w:rsidRDefault="00A23CBB">
      <w:pPr>
        <w:spacing w:line="360" w:lineRule="auto"/>
        <w:ind w:left="720"/>
        <w:jc w:val="both"/>
        <w:rPr>
          <w:rtl/>
        </w:rPr>
      </w:pPr>
      <w:r>
        <w:rPr>
          <w:rFonts w:hint="cs"/>
          <w:b/>
          <w:bCs/>
          <w:rtl/>
        </w:rPr>
        <w:t>ג</w:t>
      </w:r>
      <w:r>
        <w:rPr>
          <w:rFonts w:hint="cs"/>
          <w:rtl/>
        </w:rPr>
        <w:t>. קצינת המבחן התרשמה כי לנאשם יש נטייה מסויימת להשליך את האחריות לעבירה על גורמים חיצוניים, ולצמצם את רמת אחריותו האישית, וכי הוא מתקשה לבחון לעומק את הנסיבות אשר עמדו בבסיס התנהגותו הפלילית. לצד זאת העריכה כי קיימת אצלו רמת מודעות גבוהה למשמעות העבירה ותוצאותיה. הוא ביטא צער וחרטה ואף הביע חשש מההשלכות האפשרויות של ההליך המשפטי על חייו, ובמיוחד מאפשרות של פגיעה בהמשך שירותו. לדעתה, מדובר בבחור בעל תפקוד חיובי ותקין, המשדר בגרות ואחריות, ועל כן בלט הפער בין התנהגותו לאורך השנים להתנהגותו העולה מכתב האישום המתוקן.</w:t>
      </w:r>
    </w:p>
    <w:p w14:paraId="2E988A90" w14:textId="77777777" w:rsidR="00D62B03" w:rsidRDefault="00D62B03">
      <w:pPr>
        <w:spacing w:line="360" w:lineRule="auto"/>
        <w:ind w:left="720"/>
        <w:jc w:val="both"/>
        <w:rPr>
          <w:rtl/>
        </w:rPr>
      </w:pPr>
    </w:p>
    <w:p w14:paraId="2D087601" w14:textId="77777777" w:rsidR="00D62B03" w:rsidRDefault="00A23CBB">
      <w:pPr>
        <w:spacing w:line="360" w:lineRule="auto"/>
        <w:ind w:left="720"/>
        <w:jc w:val="both"/>
        <w:rPr>
          <w:rtl/>
        </w:rPr>
      </w:pPr>
      <w:r>
        <w:rPr>
          <w:rFonts w:hint="cs"/>
          <w:rtl/>
        </w:rPr>
        <w:t xml:space="preserve">להערכתה, עצם פתיחת ההליך המשפטי כנגדו הינו גורם מרתיע שיש בו בכדי לסייע לנאשם להציב לעצמו גבולות בעתיד, ורמת סיכון להישנות התנהגות אלימה בעתיד היא נמוכה.  </w:t>
      </w:r>
    </w:p>
    <w:p w14:paraId="38A3C6FA" w14:textId="77777777" w:rsidR="00D62B03" w:rsidRDefault="00D62B03">
      <w:pPr>
        <w:spacing w:line="360" w:lineRule="auto"/>
        <w:ind w:left="720"/>
        <w:jc w:val="both"/>
        <w:rPr>
          <w:rtl/>
        </w:rPr>
      </w:pPr>
    </w:p>
    <w:p w14:paraId="7E152AA6" w14:textId="77777777" w:rsidR="00D62B03" w:rsidRDefault="00A23CBB">
      <w:pPr>
        <w:spacing w:line="360" w:lineRule="auto"/>
        <w:jc w:val="both"/>
        <w:rPr>
          <w:b/>
          <w:bCs/>
          <w:u w:val="single"/>
          <w:rtl/>
        </w:rPr>
      </w:pPr>
      <w:r>
        <w:rPr>
          <w:rFonts w:hint="cs"/>
          <w:b/>
          <w:bCs/>
          <w:rtl/>
        </w:rPr>
        <w:t>4.</w:t>
      </w:r>
      <w:r>
        <w:rPr>
          <w:rFonts w:hint="cs"/>
          <w:b/>
          <w:bCs/>
          <w:rtl/>
        </w:rPr>
        <w:tab/>
      </w:r>
      <w:r>
        <w:rPr>
          <w:rFonts w:hint="cs"/>
          <w:b/>
          <w:bCs/>
          <w:u w:val="single"/>
          <w:rtl/>
        </w:rPr>
        <w:t xml:space="preserve">עדי אופי </w:t>
      </w:r>
    </w:p>
    <w:p w14:paraId="0D122D9A" w14:textId="77777777" w:rsidR="00D62B03" w:rsidRDefault="00A23CBB">
      <w:pPr>
        <w:spacing w:line="360" w:lineRule="auto"/>
        <w:ind w:left="720"/>
        <w:jc w:val="both"/>
        <w:rPr>
          <w:rtl/>
        </w:rPr>
      </w:pPr>
      <w:r>
        <w:rPr>
          <w:rFonts w:hint="cs"/>
          <w:b/>
          <w:bCs/>
          <w:rtl/>
        </w:rPr>
        <w:t>א. סמ"ר איליה גומון,</w:t>
      </w:r>
      <w:r>
        <w:rPr>
          <w:rFonts w:hint="cs"/>
          <w:rtl/>
        </w:rPr>
        <w:t xml:space="preserve"> שכן וחבר ילדות של הנאשם, ומי שערב לשחרורו, העיד על הנאשם כאדם טוב,  אחראי, נכון לעזור לחבריו ויודע לקחת אחריות. לדבריו הנאשם לא לקח את האירוע בקלות, אלא באופן רציני, לקח אחריות והתחרט על מעשיו.</w:t>
      </w:r>
    </w:p>
    <w:p w14:paraId="0D6C13D6" w14:textId="77777777" w:rsidR="00D62B03" w:rsidRDefault="00D62B03">
      <w:pPr>
        <w:spacing w:line="360" w:lineRule="auto"/>
        <w:jc w:val="both"/>
        <w:rPr>
          <w:rtl/>
        </w:rPr>
      </w:pPr>
    </w:p>
    <w:p w14:paraId="0641B6A3" w14:textId="77777777" w:rsidR="00D62B03" w:rsidRDefault="00A23CBB">
      <w:pPr>
        <w:spacing w:line="360" w:lineRule="auto"/>
        <w:ind w:left="720"/>
        <w:jc w:val="both"/>
        <w:rPr>
          <w:rtl/>
        </w:rPr>
      </w:pPr>
      <w:r>
        <w:rPr>
          <w:rFonts w:hint="cs"/>
          <w:b/>
          <w:bCs/>
          <w:rtl/>
        </w:rPr>
        <w:t xml:space="preserve">ב. רב"ט בוגדן פוליושקין, </w:t>
      </w:r>
      <w:r>
        <w:rPr>
          <w:rFonts w:hint="cs"/>
          <w:rtl/>
        </w:rPr>
        <w:t>חבר ילדות של הנאשם, ומי ששירת איתו ביחד בשירות הצבאי, מעיד כי הנאשם הינו אדם רגיל, חייכן ועוזר. הוא החליט להישאר בארץ כדי לתרום ולהתגייס ליחידה קרבית, למרות שמשפחתו רצתה שיעזוב איתם את הארץ, הוא הודה, התחרט, וחלומו להמשיך ולשרת נשבר.</w:t>
      </w:r>
    </w:p>
    <w:p w14:paraId="2208400B" w14:textId="77777777" w:rsidR="00D62B03" w:rsidRDefault="00D62B03">
      <w:pPr>
        <w:spacing w:line="360" w:lineRule="auto"/>
        <w:jc w:val="both"/>
        <w:rPr>
          <w:rtl/>
        </w:rPr>
      </w:pPr>
    </w:p>
    <w:p w14:paraId="318D9BA5" w14:textId="77777777" w:rsidR="00D62B03" w:rsidRDefault="00A23CBB">
      <w:pPr>
        <w:spacing w:line="360" w:lineRule="auto"/>
        <w:ind w:left="720"/>
        <w:jc w:val="both"/>
      </w:pPr>
      <w:r>
        <w:rPr>
          <w:rFonts w:hint="cs"/>
          <w:b/>
          <w:bCs/>
          <w:rtl/>
        </w:rPr>
        <w:t>ג.</w:t>
      </w:r>
      <w:r>
        <w:rPr>
          <w:rFonts w:hint="cs"/>
          <w:rtl/>
        </w:rPr>
        <w:t xml:space="preserve"> סבתו של הנאשם ביקשה (ברוסית), כי בית משפט יתחשב בנאשם ויעזור לו לחזור לדרך הישר. כן העידה, כי הנאשם לקח את מעצר הבית באחריות, לא הפר אותו, עזר בבית ותמך בה אישית. כל הזמן הזה השאיר את המדים תלויים והתעדכן לגבי מצב חבריו בצבא.</w:t>
      </w:r>
    </w:p>
    <w:p w14:paraId="2098E4E1" w14:textId="77777777" w:rsidR="00D62B03" w:rsidRDefault="00D62B03">
      <w:pPr>
        <w:spacing w:line="360" w:lineRule="auto"/>
        <w:jc w:val="both"/>
        <w:rPr>
          <w:b/>
          <w:bCs/>
          <w:rtl/>
        </w:rPr>
      </w:pPr>
    </w:p>
    <w:p w14:paraId="249160B5" w14:textId="77777777" w:rsidR="00D62B03" w:rsidRDefault="00A23CBB">
      <w:pPr>
        <w:spacing w:line="360" w:lineRule="auto"/>
        <w:jc w:val="both"/>
        <w:rPr>
          <w:b/>
          <w:bCs/>
          <w:u w:val="single"/>
          <w:rtl/>
        </w:rPr>
      </w:pPr>
      <w:r>
        <w:rPr>
          <w:rFonts w:hint="cs"/>
          <w:b/>
          <w:bCs/>
          <w:rtl/>
        </w:rPr>
        <w:t xml:space="preserve">5. </w:t>
      </w:r>
      <w:r>
        <w:rPr>
          <w:rFonts w:hint="cs"/>
          <w:b/>
          <w:bCs/>
          <w:rtl/>
        </w:rPr>
        <w:tab/>
      </w:r>
      <w:r>
        <w:rPr>
          <w:rFonts w:hint="cs"/>
          <w:b/>
          <w:bCs/>
          <w:u w:val="single"/>
          <w:rtl/>
        </w:rPr>
        <w:t xml:space="preserve">טיעוני המאשימה </w:t>
      </w:r>
    </w:p>
    <w:p w14:paraId="7837D8D7" w14:textId="77777777" w:rsidR="00D62B03" w:rsidRDefault="00A23CBB">
      <w:pPr>
        <w:spacing w:line="360" w:lineRule="auto"/>
        <w:ind w:left="720"/>
        <w:jc w:val="both"/>
        <w:rPr>
          <w:rtl/>
        </w:rPr>
      </w:pPr>
      <w:r>
        <w:rPr>
          <w:rFonts w:hint="cs"/>
          <w:rtl/>
        </w:rPr>
        <w:t>ב"כ המאשימה ביקש להטיל על הנאשם מאסר בפועל, כמו כן ביקש להטיל עליו מאסר מותנה וקנס.</w:t>
      </w:r>
    </w:p>
    <w:p w14:paraId="1186AF30" w14:textId="77777777" w:rsidR="00D62B03" w:rsidRDefault="00D62B03">
      <w:pPr>
        <w:spacing w:line="360" w:lineRule="auto"/>
        <w:jc w:val="both"/>
        <w:rPr>
          <w:rtl/>
        </w:rPr>
      </w:pPr>
    </w:p>
    <w:p w14:paraId="76FB7A4F" w14:textId="77777777" w:rsidR="00D62B03" w:rsidRDefault="00A23CBB">
      <w:pPr>
        <w:spacing w:line="360" w:lineRule="auto"/>
        <w:ind w:left="720"/>
        <w:jc w:val="both"/>
        <w:rPr>
          <w:rtl/>
        </w:rPr>
      </w:pPr>
      <w:r>
        <w:rPr>
          <w:rFonts w:hint="cs"/>
          <w:b/>
          <w:bCs/>
          <w:rtl/>
        </w:rPr>
        <w:t>א</w:t>
      </w:r>
      <w:r>
        <w:rPr>
          <w:rFonts w:hint="cs"/>
          <w:rtl/>
        </w:rPr>
        <w:t>. ב"כ המאשימה הדגיש את חומרת העבירות, בטענו כי בשל סכסוך של מה בכך התארגנו הנאשם ושותפיו כדי לפגוע במתלוננים וחברי בקבוצה, הצטיידו בבקבוקי תבערה, שהם נשק לכל דבר, והשליכו שני בקבוקי תבערה לעברם, בכוונה לפגוע בהם ולגרום להם לחבלה חמורה. לדבריו, הפכה האלימות ל'מכת מדינה', ובתי המשפט עמדו על הסכנה בכך שאנשים מבקשים לפתור חילוקי דעות או סכסוכים עם הזולת בדרך של שימוש בנשק. חברה מתוקנת המבקשת להגן על עצמה מהתנהגות כזו מחייבת לנקוט ענישה של מאסר בפועל ממושך מאחורי סורג ובריח.</w:t>
      </w:r>
    </w:p>
    <w:p w14:paraId="2890198B" w14:textId="77777777" w:rsidR="00D62B03" w:rsidRDefault="00D62B03">
      <w:pPr>
        <w:spacing w:line="360" w:lineRule="auto"/>
        <w:jc w:val="both"/>
        <w:rPr>
          <w:rtl/>
        </w:rPr>
      </w:pPr>
    </w:p>
    <w:p w14:paraId="3B30B241" w14:textId="77777777" w:rsidR="00D62B03" w:rsidRDefault="00A23CBB">
      <w:pPr>
        <w:spacing w:line="360" w:lineRule="auto"/>
        <w:ind w:left="720"/>
        <w:jc w:val="both"/>
        <w:rPr>
          <w:rtl/>
        </w:rPr>
      </w:pPr>
      <w:r>
        <w:rPr>
          <w:rFonts w:hint="cs"/>
          <w:b/>
          <w:bCs/>
          <w:rtl/>
        </w:rPr>
        <w:t>ב</w:t>
      </w:r>
      <w:r>
        <w:rPr>
          <w:rFonts w:hint="cs"/>
          <w:rtl/>
        </w:rPr>
        <w:t>. ב"כ המאשימה טען כי מתחם הענישה בעבירות חמורות אלה בנסיבותיהן עומד על מאסר בפועל בין ארבע לשבע שנים. מדובר בעבירות בנשק שהינן חמורות, וטומנות בחובן סכנה רבה. הנאשם ושותפיו נשאו והובילו בצוותא נשק חם, עבירה אשר העונש העומד בצידה הוא מאסר של עשר שנים, עשו בו שימוש, ואחד מבקבוקי התבערה אף התפוצץ והתלקח בסמוך למקום בו עמדו המתלוננים ושאר חברי הקבוצה. כך למעשה הוציאו את הסיכון הפוטנציאלי הטמון בהחזקת נשק ונשיאתו אל הפועל. לטענתו, אין בכך שהאירוע הסתיים ללא נפגעים, כדי להקהות מחומרת המעשים, וזאת במיוחד נוכח כוונת הנאשמים לפגוע במתלוננים וביתר חברי הקבוצה, ונוכח העובדה כי חדשות לבקרים מסתיימים אירועים כאלה בפגיעות בנפש. עוד הדגיש כי בתי המשפט על כל ערכאותיהם התייחסו לא אחת לחומרת בעבירות בנשק, ציינו את הסיכון הטמון בהן,  הפוטנציאל להסלמת האלימות והעבריינות, והצורך בענישה מרתיעה שתבטא את הצורך בהגנה על הציבור.</w:t>
      </w:r>
    </w:p>
    <w:p w14:paraId="56332966" w14:textId="77777777" w:rsidR="00D62B03" w:rsidRDefault="00D62B03">
      <w:pPr>
        <w:spacing w:line="360" w:lineRule="auto"/>
        <w:ind w:left="720"/>
        <w:jc w:val="both"/>
        <w:rPr>
          <w:rtl/>
        </w:rPr>
      </w:pPr>
    </w:p>
    <w:p w14:paraId="03C81A54" w14:textId="77777777" w:rsidR="00D62B03" w:rsidRDefault="00A23CBB">
      <w:pPr>
        <w:spacing w:line="360" w:lineRule="auto"/>
        <w:ind w:left="720"/>
        <w:jc w:val="both"/>
      </w:pPr>
      <w:r>
        <w:rPr>
          <w:rFonts w:hint="cs"/>
          <w:b/>
          <w:bCs/>
          <w:rtl/>
        </w:rPr>
        <w:t>ג</w:t>
      </w:r>
      <w:r>
        <w:rPr>
          <w:rFonts w:hint="cs"/>
          <w:rtl/>
        </w:rPr>
        <w:t>. כן התייחס לערכים  החברתיים שנפגעו, שלום הציבור וביטחונו, והערך של חיי האדם ושלמות גופו.</w:t>
      </w:r>
    </w:p>
    <w:p w14:paraId="2EA6CE0D" w14:textId="77777777" w:rsidR="00D62B03" w:rsidRDefault="00D62B03">
      <w:pPr>
        <w:spacing w:line="360" w:lineRule="auto"/>
        <w:jc w:val="both"/>
        <w:rPr>
          <w:rtl/>
        </w:rPr>
      </w:pPr>
    </w:p>
    <w:p w14:paraId="503B91C7" w14:textId="77777777" w:rsidR="00D62B03" w:rsidRDefault="00A23CBB">
      <w:pPr>
        <w:spacing w:line="360" w:lineRule="auto"/>
        <w:ind w:left="720"/>
        <w:jc w:val="both"/>
        <w:rPr>
          <w:rtl/>
        </w:rPr>
      </w:pPr>
      <w:r>
        <w:rPr>
          <w:rFonts w:hint="cs"/>
          <w:b/>
          <w:bCs/>
          <w:rtl/>
        </w:rPr>
        <w:t>ד</w:t>
      </w:r>
      <w:r>
        <w:rPr>
          <w:rFonts w:hint="cs"/>
          <w:rtl/>
        </w:rPr>
        <w:t xml:space="preserve">. אשר לנסיבות הקשורות בביצוע העבירה, טען כי יש לקחת בחשבון שהאירוע לא היה ספונטני, אלא בוצע לאחר חלוף זמן ותכנון ממשי. חלקו היחסי של הנאשם בביצוע העבירה היה משמעותי, לאחר שקשר עם שותפיו קשר לבצעה, הוביל את הנשק בלא רשות על פי דין והשליך את בקבוקי התבערה לעבר המתלוננים, במטרה לפגוע בהם לגרום להם נכות ו/או מום, כמו כן, לדבריו, קל לשער את הנזק שהיה צפוי להיגרם מביצוע עבירה מעין זו, לו פגעו הבקבוקים במתלוננים והתלקחו. </w:t>
      </w:r>
    </w:p>
    <w:p w14:paraId="18545CF5" w14:textId="77777777" w:rsidR="00D62B03" w:rsidRDefault="00D62B03">
      <w:pPr>
        <w:spacing w:line="360" w:lineRule="auto"/>
        <w:jc w:val="both"/>
        <w:rPr>
          <w:rtl/>
        </w:rPr>
      </w:pPr>
    </w:p>
    <w:p w14:paraId="777ED86D" w14:textId="77777777" w:rsidR="00D62B03" w:rsidRDefault="00A23CBB">
      <w:pPr>
        <w:spacing w:line="360" w:lineRule="auto"/>
        <w:ind w:left="720"/>
        <w:jc w:val="both"/>
      </w:pPr>
      <w:r>
        <w:rPr>
          <w:rFonts w:hint="cs"/>
          <w:b/>
          <w:bCs/>
          <w:rtl/>
        </w:rPr>
        <w:t>ה</w:t>
      </w:r>
      <w:r>
        <w:rPr>
          <w:rFonts w:hint="cs"/>
          <w:rtl/>
        </w:rPr>
        <w:t xml:space="preserve">. ב"כ המאשימה ביקש שלא לאמץ את התסקיר של שירות המבחן, בטענו כי אינו מחליף את  שיקול הדעת השיפוטי. </w:t>
      </w:r>
    </w:p>
    <w:p w14:paraId="5841BAFE" w14:textId="77777777" w:rsidR="00D62B03" w:rsidRDefault="00D62B03">
      <w:pPr>
        <w:spacing w:line="360" w:lineRule="auto"/>
        <w:ind w:left="26"/>
        <w:jc w:val="both"/>
        <w:rPr>
          <w:rtl/>
        </w:rPr>
      </w:pPr>
    </w:p>
    <w:p w14:paraId="6CAF839A" w14:textId="77777777" w:rsidR="00D62B03" w:rsidRDefault="00A23CBB">
      <w:pPr>
        <w:spacing w:line="360" w:lineRule="auto"/>
        <w:ind w:left="26" w:firstLine="694"/>
        <w:jc w:val="both"/>
        <w:rPr>
          <w:rtl/>
        </w:rPr>
      </w:pPr>
      <w:r>
        <w:rPr>
          <w:rFonts w:hint="cs"/>
          <w:rtl/>
        </w:rPr>
        <w:t xml:space="preserve">נוכח כל האמור לעיל, ביקש להחמיר בעונשו של הנאשם. </w:t>
      </w:r>
    </w:p>
    <w:p w14:paraId="2458A947" w14:textId="77777777" w:rsidR="00D62B03" w:rsidRDefault="00D62B03">
      <w:pPr>
        <w:spacing w:line="360" w:lineRule="auto"/>
        <w:jc w:val="both"/>
        <w:rPr>
          <w:rtl/>
        </w:rPr>
      </w:pPr>
    </w:p>
    <w:p w14:paraId="7862C5DB" w14:textId="77777777" w:rsidR="00D62B03" w:rsidRDefault="00A23CBB">
      <w:pPr>
        <w:spacing w:line="360" w:lineRule="auto"/>
        <w:jc w:val="both"/>
        <w:rPr>
          <w:b/>
          <w:bCs/>
          <w:u w:val="single"/>
          <w:rtl/>
        </w:rPr>
      </w:pPr>
      <w:r>
        <w:rPr>
          <w:rFonts w:hint="cs"/>
          <w:b/>
          <w:bCs/>
          <w:rtl/>
        </w:rPr>
        <w:t xml:space="preserve">6. </w:t>
      </w:r>
      <w:r>
        <w:rPr>
          <w:rFonts w:hint="cs"/>
          <w:b/>
          <w:bCs/>
          <w:rtl/>
        </w:rPr>
        <w:tab/>
      </w:r>
      <w:r>
        <w:rPr>
          <w:rFonts w:hint="cs"/>
          <w:b/>
          <w:bCs/>
          <w:u w:val="single"/>
          <w:rtl/>
        </w:rPr>
        <w:t xml:space="preserve">טיעוני ההגנה </w:t>
      </w:r>
    </w:p>
    <w:p w14:paraId="004D6430" w14:textId="77777777" w:rsidR="00D62B03" w:rsidRDefault="00A23CBB">
      <w:pPr>
        <w:spacing w:line="360" w:lineRule="auto"/>
        <w:ind w:left="720"/>
        <w:jc w:val="both"/>
        <w:rPr>
          <w:b/>
          <w:bCs/>
          <w:rtl/>
        </w:rPr>
      </w:pPr>
      <w:r>
        <w:rPr>
          <w:rFonts w:hint="cs"/>
          <w:rtl/>
        </w:rPr>
        <w:t xml:space="preserve">הסניגור ביקש להקל עם הנאשם, ולקבוע מתחם ענישה שנע בין מאסר שירוצה בעבודות שירות לבין עד שנת מאסר בפועל. לחילופין, אף אם יקבע מתחם ענישה גבוה מכך, ביקש להעדיף את שיקולי השיקום בעניינו של הנאשם. </w:t>
      </w:r>
    </w:p>
    <w:p w14:paraId="34094235" w14:textId="77777777" w:rsidR="00D62B03" w:rsidRDefault="00D62B03">
      <w:pPr>
        <w:spacing w:line="360" w:lineRule="auto"/>
        <w:jc w:val="both"/>
        <w:rPr>
          <w:b/>
          <w:bCs/>
          <w:rtl/>
        </w:rPr>
      </w:pPr>
    </w:p>
    <w:p w14:paraId="623DAAA5" w14:textId="77777777" w:rsidR="00D62B03" w:rsidRDefault="00A23CBB">
      <w:pPr>
        <w:spacing w:line="360" w:lineRule="auto"/>
        <w:ind w:left="720"/>
        <w:jc w:val="both"/>
        <w:rPr>
          <w:rtl/>
        </w:rPr>
      </w:pPr>
      <w:r>
        <w:rPr>
          <w:rFonts w:hint="cs"/>
          <w:b/>
          <w:bCs/>
          <w:rtl/>
        </w:rPr>
        <w:t>א</w:t>
      </w:r>
      <w:r>
        <w:rPr>
          <w:rFonts w:hint="cs"/>
          <w:rtl/>
        </w:rPr>
        <w:t xml:space="preserve">. הסניגור ביקש להתחשב בנסיבותיו האישיות של הנאשם, בן ה-19 בעת ביצוע העבירה,  בחוזרו על האמור בתסקיר שפורט לעיל. הוא הדגיש מחויבותו של הנאשם לשרת את המדינה בשירותו הצבאי, אשר בגינה לא הצטרף לאמו ולמשפחתו לפני שנתיים, בירידתם מן הארץ לקנדה. לדבריו, עד לביצוע העבירה, הספיק הנאשם לשרת עשרה חודשים ביחידה הקרבית כפיר, והצטייר כחייל אחראי, ממושמע, השומר על הכללים ועל קשרים תקינים ביחידה, ונמנע מהתנהגות אלימה. כן כי היה נתון במעצר מיום 9/8/12 עד ליום 24/9/12. </w:t>
      </w:r>
    </w:p>
    <w:p w14:paraId="72C8576D" w14:textId="77777777" w:rsidR="00D62B03" w:rsidRDefault="00D62B03">
      <w:pPr>
        <w:spacing w:line="360" w:lineRule="auto"/>
        <w:jc w:val="both"/>
        <w:rPr>
          <w:rtl/>
        </w:rPr>
      </w:pPr>
    </w:p>
    <w:p w14:paraId="0ACEE87D" w14:textId="77777777" w:rsidR="00D62B03" w:rsidRDefault="00A23CBB">
      <w:pPr>
        <w:spacing w:line="360" w:lineRule="auto"/>
        <w:ind w:left="720"/>
        <w:jc w:val="both"/>
        <w:rPr>
          <w:rtl/>
        </w:rPr>
      </w:pPr>
      <w:r>
        <w:rPr>
          <w:rFonts w:hint="cs"/>
          <w:b/>
          <w:bCs/>
          <w:rtl/>
        </w:rPr>
        <w:t>ב</w:t>
      </w:r>
      <w:r>
        <w:rPr>
          <w:rFonts w:hint="cs"/>
          <w:rtl/>
        </w:rPr>
        <w:t>. כך הסביר הסניגור כי למרות שהוא לא ממעיט מחומרת האירוע, הרי שבסופו של יום לא נגרם כל נזק. יש לתת משקל לכך שמדובר בילדים ששתו אלכוהול, כאשר הנאשם מודע לסיכון הטמון באירוע, ולהשלכות האפשריות של העבירה. עוד התייחס לכך כי הנאשם, בניגוד לשאר המעורבים באירוע, הודה בעובדות כתב האישום המתוקן, לקח אחריות על מעשיו, וביטא תחושה של צער וחרטה בגין התנהגותו. קצינת המבחן התרשמה מכנות דבריו, ולדידו של הסנגור, ניתן לראות את כי הנאשם התבייש במעשיו, מכך שנמנע מלספר לאימו אודות הסתבכותו בעבירה דנן.</w:t>
      </w:r>
    </w:p>
    <w:p w14:paraId="3EB9A880" w14:textId="77777777" w:rsidR="00D62B03" w:rsidRDefault="00D62B03">
      <w:pPr>
        <w:spacing w:line="360" w:lineRule="auto"/>
        <w:jc w:val="both"/>
        <w:rPr>
          <w:rtl/>
        </w:rPr>
      </w:pPr>
    </w:p>
    <w:p w14:paraId="73820CF7" w14:textId="77777777" w:rsidR="00D62B03" w:rsidRDefault="00A23CBB">
      <w:pPr>
        <w:spacing w:line="360" w:lineRule="auto"/>
        <w:ind w:left="720"/>
        <w:jc w:val="both"/>
        <w:rPr>
          <w:rtl/>
        </w:rPr>
      </w:pPr>
      <w:r>
        <w:rPr>
          <w:rFonts w:hint="cs"/>
          <w:b/>
          <w:bCs/>
          <w:rtl/>
        </w:rPr>
        <w:t>ג</w:t>
      </w:r>
      <w:r>
        <w:rPr>
          <w:rFonts w:hint="cs"/>
          <w:rtl/>
        </w:rPr>
        <w:t xml:space="preserve">. הסניגור התייחס להתרשמותה החיובית של קצינת המבחן מהנאשם, אשר לא זקוק לדעתה להליך טיפולי, כאשר עצם פתיחת ההליך המשפטי נגדו היוותה  אקט מרתיע. עובדה זו מחזקת את הרושם שענייננו באדם שהיה מעורב במעידה חד פעמית. כמו כן, אין מדובר באדם מניפולטיבי בדבריו לקצינת המבחן, אלא על מי שמצוי במעצר בית משך שנה שלמה, שמתוכו הוקצו לו רק שעתיים להתאווררות, ולא הפר תנאי שחררו. עובדה זאת מחזקת את הטענה שמדובר באדם אמין שהבין את משמעות מעשיו, ועל כן אף הותר לו לצאת לעיתים ולהשתתף באירועים חברתיים ומשפחתיים. </w:t>
      </w:r>
    </w:p>
    <w:p w14:paraId="5F385118" w14:textId="77777777" w:rsidR="00D62B03" w:rsidRDefault="00D62B03">
      <w:pPr>
        <w:spacing w:line="360" w:lineRule="auto"/>
        <w:jc w:val="both"/>
        <w:rPr>
          <w:rtl/>
        </w:rPr>
      </w:pPr>
    </w:p>
    <w:p w14:paraId="0E8BFF2E" w14:textId="77777777" w:rsidR="00D62B03" w:rsidRDefault="00A23CBB">
      <w:pPr>
        <w:spacing w:line="360" w:lineRule="auto"/>
        <w:ind w:left="720"/>
        <w:jc w:val="both"/>
        <w:rPr>
          <w:rtl/>
        </w:rPr>
      </w:pPr>
      <w:r>
        <w:rPr>
          <w:rFonts w:hint="cs"/>
          <w:b/>
          <w:bCs/>
          <w:rtl/>
        </w:rPr>
        <w:t>ד</w:t>
      </w:r>
      <w:r>
        <w:rPr>
          <w:rFonts w:hint="cs"/>
          <w:rtl/>
        </w:rPr>
        <w:t>. לטענת הסניגור, מבקשת המאשימה במרבית תיקיה להשית על הנאשם ענישה ממושכת ומרתיעה, ללא פסיקה התומכת בעמדתה, כאשר התנהלות זאת אינה נכונה. גם בית המשפט העליון ציין  לא פעם את הפגיעה ההרסנית של בית הסוהר באנשים, במיוחד חבר'ה צעירים, ששליחתם לכלא עלולה לגרום לרגרסיה בשיקומם, כמו במקרה זה. לפי התרשמותם של קצינת המבחן, חברי הנאשם, משפחתו ואף הנאשם עצמו, הנאשם אינו מתאים לכלא. לתמיכת דבריו הפנה הסניגור ל</w:t>
      </w:r>
      <w:hyperlink r:id="rId30" w:history="1">
        <w:r w:rsidR="007A7C35" w:rsidRPr="007A7C35">
          <w:rPr>
            <w:rStyle w:val="Hyperlink"/>
            <w:rtl/>
          </w:rPr>
          <w:t>ע"פ 7781/12</w:t>
        </w:r>
      </w:hyperlink>
      <w:r>
        <w:rPr>
          <w:rFonts w:hint="cs"/>
          <w:rtl/>
        </w:rPr>
        <w:t xml:space="preserve"> </w:t>
      </w:r>
      <w:r>
        <w:rPr>
          <w:rFonts w:hint="cs"/>
          <w:b/>
          <w:bCs/>
          <w:rtl/>
        </w:rPr>
        <w:t>פלוני נ' מ"י</w:t>
      </w:r>
      <w:r>
        <w:rPr>
          <w:rFonts w:hint="cs"/>
          <w:rtl/>
        </w:rPr>
        <w:t xml:space="preserve"> (3/6/13) מפי כב' הש' ג'ובראן, עמית ושהם, לגבי הבגירים הצעירים והשלכות המאסר על שיקומם.  </w:t>
      </w:r>
    </w:p>
    <w:p w14:paraId="2BC94C0C" w14:textId="77777777" w:rsidR="00D62B03" w:rsidRDefault="00D62B03">
      <w:pPr>
        <w:spacing w:line="360" w:lineRule="auto"/>
        <w:jc w:val="both"/>
        <w:rPr>
          <w:rtl/>
        </w:rPr>
      </w:pPr>
    </w:p>
    <w:p w14:paraId="64773502" w14:textId="77777777" w:rsidR="00D62B03" w:rsidRDefault="00A23CBB">
      <w:pPr>
        <w:spacing w:line="360" w:lineRule="auto"/>
        <w:jc w:val="both"/>
        <w:rPr>
          <w:b/>
          <w:bCs/>
          <w:u w:val="single"/>
          <w:rtl/>
        </w:rPr>
      </w:pPr>
      <w:r>
        <w:rPr>
          <w:rFonts w:hint="cs"/>
          <w:b/>
          <w:bCs/>
          <w:rtl/>
        </w:rPr>
        <w:t xml:space="preserve">7. </w:t>
      </w:r>
      <w:r>
        <w:rPr>
          <w:rFonts w:hint="cs"/>
          <w:b/>
          <w:bCs/>
          <w:rtl/>
        </w:rPr>
        <w:tab/>
      </w:r>
      <w:r>
        <w:rPr>
          <w:rFonts w:hint="cs"/>
          <w:b/>
          <w:bCs/>
          <w:u w:val="single"/>
          <w:rtl/>
        </w:rPr>
        <w:t xml:space="preserve">דברי הנאשם </w:t>
      </w:r>
    </w:p>
    <w:p w14:paraId="4C3986F6" w14:textId="77777777" w:rsidR="00D62B03" w:rsidRDefault="00A23CBB">
      <w:pPr>
        <w:spacing w:line="360" w:lineRule="auto"/>
        <w:ind w:left="720"/>
        <w:jc w:val="both"/>
        <w:rPr>
          <w:rtl/>
        </w:rPr>
      </w:pPr>
      <w:r>
        <w:rPr>
          <w:rFonts w:hint="cs"/>
          <w:rtl/>
        </w:rPr>
        <w:t>"קודם כל אני חושב שלא יודע מה אני אשפוט את עצמי... אני חושב שכל מה שאני אגיד אני אגיד על עצמי לטובה. אני חושב שאני למדתי את הלקח שלי במשך השנה הזו במעצר בית. הבנתי מה זה להיות מוגבל, לא רק בבית, גם כשהיינו במעצר, הבנתי מה זה להיות מוגבל בזמנים, להבדיל מהצבא שאתה יכול.. שכן עוזרים לך וכן יש לך חופשות ואת המרחב שלך, והחברים שלך, ואתה נמצא במקום שאתה אוהב להיות בו, ונמצא בו מבחירה ולא מטעות של... לא יודע". (עמ' 24 ש' 30-32 ועמ' 25 ש' 1-2).</w:t>
      </w:r>
    </w:p>
    <w:p w14:paraId="55FB6129" w14:textId="77777777" w:rsidR="00D62B03" w:rsidRDefault="00D62B03">
      <w:pPr>
        <w:jc w:val="both"/>
        <w:rPr>
          <w:rtl/>
        </w:rPr>
      </w:pPr>
    </w:p>
    <w:p w14:paraId="27CB3AE9" w14:textId="77777777" w:rsidR="00D62B03" w:rsidRDefault="00A23CBB">
      <w:pPr>
        <w:spacing w:line="360" w:lineRule="auto"/>
        <w:ind w:left="720"/>
        <w:jc w:val="both"/>
        <w:rPr>
          <w:rtl/>
        </w:rPr>
      </w:pPr>
      <w:r>
        <w:rPr>
          <w:rFonts w:hint="cs"/>
          <w:rtl/>
        </w:rPr>
        <w:t xml:space="preserve">לשאלת בית המשפט איך עלה בדעתי ללכת למלא בקבוקים בדלק ולזרוק אותם על אנשים – אני קולט את החומרה ואני יודע מה זה ועברתי את זה בצבא. אני יודע בדיוק איזה נזק זה יכול לגרום. טעות של רגע. אין לי משהו אחר להגיד על זה. </w:t>
      </w:r>
    </w:p>
    <w:p w14:paraId="3A9FCE64" w14:textId="77777777" w:rsidR="00D62B03" w:rsidRDefault="00D62B03">
      <w:pPr>
        <w:jc w:val="both"/>
        <w:rPr>
          <w:rtl/>
        </w:rPr>
      </w:pPr>
    </w:p>
    <w:p w14:paraId="1FBDB2B0" w14:textId="77777777" w:rsidR="00D62B03" w:rsidRDefault="00A23CBB">
      <w:pPr>
        <w:spacing w:line="360" w:lineRule="auto"/>
        <w:ind w:left="720"/>
        <w:jc w:val="both"/>
        <w:rPr>
          <w:rtl/>
        </w:rPr>
      </w:pPr>
      <w:r>
        <w:rPr>
          <w:rFonts w:hint="cs"/>
          <w:rtl/>
        </w:rPr>
        <w:t xml:space="preserve">לשאלת בית המשפט - אמא שלי עזבה את הארץ לפני שנתיים – 3/7/11. נשארתי פה עוד ארבעה חודשים, טסתי איתם לקנדה לעזור להם להסתדר בבית. חזרתי לפה, טסתי לשם לשבועיים, חזרתי, ובגלל שטסתי דחו לי את הגיוס לנובמבר. באתי לגור עם סבתא שלי, עבדתי ועזרתי לה". </w:t>
      </w:r>
    </w:p>
    <w:p w14:paraId="4B7CD40B" w14:textId="77777777" w:rsidR="00D62B03" w:rsidRDefault="00D62B03">
      <w:pPr>
        <w:spacing w:line="360" w:lineRule="auto"/>
        <w:jc w:val="both"/>
        <w:rPr>
          <w:rtl/>
        </w:rPr>
      </w:pPr>
    </w:p>
    <w:p w14:paraId="0EDF7620" w14:textId="77777777" w:rsidR="00D62B03" w:rsidRDefault="00A23CBB">
      <w:pPr>
        <w:spacing w:line="360" w:lineRule="auto"/>
        <w:ind w:left="720" w:hanging="720"/>
        <w:jc w:val="both"/>
        <w:rPr>
          <w:rtl/>
        </w:rPr>
      </w:pPr>
      <w:r>
        <w:rPr>
          <w:rFonts w:hint="cs"/>
          <w:b/>
          <w:bCs/>
          <w:rtl/>
        </w:rPr>
        <w:t>8</w:t>
      </w:r>
      <w:r>
        <w:rPr>
          <w:rFonts w:hint="cs"/>
          <w:rtl/>
        </w:rPr>
        <w:t>.</w:t>
      </w:r>
      <w:r>
        <w:rPr>
          <w:rFonts w:hint="cs"/>
          <w:rtl/>
        </w:rPr>
        <w:tab/>
        <w:t>באי כח הצדדים הגישו פסיקה התומכת בעמדותיהם, זה בכה וזה בכה, כאשר הסניגור ביקש לאבחן את פסקי הדין שהוגשו על ידי המאשימה.</w:t>
      </w:r>
    </w:p>
    <w:p w14:paraId="2DC37215" w14:textId="77777777" w:rsidR="00D62B03" w:rsidRDefault="00D62B03">
      <w:pPr>
        <w:spacing w:line="360" w:lineRule="auto"/>
        <w:ind w:left="720" w:hanging="720"/>
        <w:jc w:val="both"/>
        <w:rPr>
          <w:rtl/>
        </w:rPr>
      </w:pPr>
    </w:p>
    <w:p w14:paraId="3DFC5BE8" w14:textId="77777777" w:rsidR="00D62B03" w:rsidRDefault="00A23CBB">
      <w:pPr>
        <w:spacing w:line="360" w:lineRule="auto"/>
        <w:ind w:left="720"/>
        <w:jc w:val="both"/>
        <w:rPr>
          <w:rtl/>
        </w:rPr>
      </w:pPr>
      <w:r>
        <w:rPr>
          <w:rFonts w:hint="cs"/>
          <w:rtl/>
        </w:rPr>
        <w:t xml:space="preserve">עובר למתן גזר הדין בעניינו של הנאשם, הוגש לעיוני גזר דינם של שותפיו של הנאשם, שניתן ע"י כב' השופט כמאל סעב בבית המשפט המחוזי בחיפה מיום 9/10/13. התברר כי  א.ל, שהיה קטין בעת ביצוע העבירה נידון למאסר על תנאי ולקנס, ואילו רוברט ופאר שהיו בני 19 ו- 21, נידונו למאסר בן ארבעה חודשים לריצוי בעבודות שירות, בכפוף לחוות דעת חיובית של הממונה על עבודות השירות ולקנס. </w:t>
      </w:r>
    </w:p>
    <w:p w14:paraId="155EA9AD" w14:textId="77777777" w:rsidR="00D62B03" w:rsidRDefault="00D62B03">
      <w:pPr>
        <w:spacing w:line="360" w:lineRule="auto"/>
        <w:ind w:left="720"/>
        <w:jc w:val="both"/>
        <w:rPr>
          <w:rtl/>
        </w:rPr>
      </w:pPr>
    </w:p>
    <w:p w14:paraId="6BA015E1" w14:textId="77777777" w:rsidR="00D62B03" w:rsidRDefault="00A23CBB">
      <w:pPr>
        <w:spacing w:line="360" w:lineRule="auto"/>
        <w:ind w:left="720"/>
        <w:jc w:val="both"/>
        <w:rPr>
          <w:rtl/>
        </w:rPr>
      </w:pPr>
      <w:r>
        <w:rPr>
          <w:rFonts w:hint="cs"/>
          <w:rtl/>
        </w:rPr>
        <w:t xml:space="preserve">המאשימה טרם החליטה אם בכוונתה לערער על גזר דינם, אך ציינה כי עסקינן בגזר דין מקל. </w:t>
      </w:r>
    </w:p>
    <w:p w14:paraId="7774563D" w14:textId="77777777" w:rsidR="00D62B03" w:rsidRDefault="00A23CBB">
      <w:pPr>
        <w:tabs>
          <w:tab w:val="left" w:pos="800"/>
        </w:tabs>
        <w:overflowPunct w:val="0"/>
        <w:autoSpaceDE w:val="0"/>
        <w:autoSpaceDN w:val="0"/>
        <w:adjustRightInd w:val="0"/>
        <w:ind w:left="720"/>
        <w:jc w:val="both"/>
        <w:rPr>
          <w:rFonts w:ascii="Arial TUR" w:hAnsi="Arial TUR" w:cs="FrankRuehl"/>
          <w:spacing w:val="10"/>
          <w:sz w:val="20"/>
          <w:szCs w:val="28"/>
          <w:rtl/>
        </w:rPr>
      </w:pPr>
      <w:r>
        <w:rPr>
          <w:rFonts w:ascii="Arial TUR" w:hAnsi="Arial TUR" w:cs="FrankRuehl" w:hint="cs"/>
          <w:spacing w:val="10"/>
          <w:rtl/>
        </w:rPr>
        <w:tab/>
      </w:r>
      <w:r>
        <w:rPr>
          <w:rFonts w:ascii="Arial TUR" w:hAnsi="Arial TUR" w:cs="FrankRuehl" w:hint="cs"/>
          <w:spacing w:val="10"/>
          <w:sz w:val="20"/>
          <w:szCs w:val="28"/>
          <w:rtl/>
        </w:rPr>
        <w:t xml:space="preserve"> </w:t>
      </w:r>
    </w:p>
    <w:p w14:paraId="451D6BF4" w14:textId="77777777" w:rsidR="00D62B03" w:rsidRDefault="00A23CBB">
      <w:pPr>
        <w:spacing w:line="360" w:lineRule="auto"/>
        <w:jc w:val="both"/>
        <w:rPr>
          <w:u w:val="single"/>
          <w:rtl/>
        </w:rPr>
      </w:pPr>
      <w:r>
        <w:rPr>
          <w:rFonts w:hint="cs"/>
          <w:b/>
          <w:bCs/>
          <w:rtl/>
        </w:rPr>
        <w:t>9</w:t>
      </w:r>
      <w:r>
        <w:rPr>
          <w:rFonts w:hint="cs"/>
          <w:rtl/>
        </w:rPr>
        <w:t xml:space="preserve">. </w:t>
      </w:r>
      <w:r>
        <w:rPr>
          <w:rFonts w:hint="cs"/>
          <w:rtl/>
        </w:rPr>
        <w:tab/>
      </w:r>
      <w:r>
        <w:rPr>
          <w:rFonts w:hint="cs"/>
          <w:b/>
          <w:bCs/>
          <w:u w:val="single"/>
          <w:rtl/>
        </w:rPr>
        <w:t>דיון</w:t>
      </w:r>
      <w:r>
        <w:rPr>
          <w:rFonts w:hint="cs"/>
          <w:b/>
          <w:bCs/>
          <w:rtl/>
        </w:rPr>
        <w:t xml:space="preserve"> </w:t>
      </w:r>
    </w:p>
    <w:p w14:paraId="14C34AFB" w14:textId="77777777" w:rsidR="00D62B03" w:rsidRDefault="00A23CBB">
      <w:pPr>
        <w:spacing w:line="360" w:lineRule="auto"/>
        <w:ind w:left="720"/>
        <w:jc w:val="both"/>
        <w:rPr>
          <w:rFonts w:ascii="Arial" w:hAnsi="Arial"/>
          <w:rtl/>
          <w:lang w:eastAsia="he-IL"/>
        </w:rPr>
      </w:pPr>
      <w:r>
        <w:rPr>
          <w:rFonts w:ascii="Arial" w:hAnsi="Arial" w:hint="cs"/>
          <w:rtl/>
          <w:lang w:eastAsia="he-IL"/>
        </w:rPr>
        <w:t>גזירת הדין היא מן הקשות במטלות השיפוטיות, בעיקר כאשר עסקינן באנשים צעירים, נורמטיביים, נעדרי עבר פלילי, שכל עולמם לפניהם, אשר ביצעו עבירות חמורות ביותר</w:t>
      </w:r>
      <w:r>
        <w:rPr>
          <w:rFonts w:ascii="Arial" w:hAnsi="Arial" w:hint="cs"/>
          <w:b/>
          <w:bCs/>
          <w:rtl/>
          <w:lang w:eastAsia="he-IL"/>
        </w:rPr>
        <w:t xml:space="preserve">. </w:t>
      </w:r>
      <w:r>
        <w:rPr>
          <w:rFonts w:hint="cs"/>
          <w:rtl/>
        </w:rPr>
        <w:t>(</w:t>
      </w:r>
      <w:r>
        <w:rPr>
          <w:rFonts w:ascii="Arial" w:hAnsi="Arial" w:hint="cs"/>
          <w:rtl/>
          <w:lang w:eastAsia="he-IL"/>
        </w:rPr>
        <w:t xml:space="preserve">לעניין זה ראו </w:t>
      </w:r>
      <w:hyperlink r:id="rId31" w:history="1">
        <w:r w:rsidR="007A7C35" w:rsidRPr="007A7C35">
          <w:rPr>
            <w:rStyle w:val="Hyperlink"/>
            <w:rFonts w:ascii="Arial" w:hAnsi="Arial"/>
            <w:rtl/>
          </w:rPr>
          <w:t>ע"פ 344/81 מ"י נ' סגל, פ"ד לה</w:t>
        </w:r>
      </w:hyperlink>
      <w:r>
        <w:rPr>
          <w:rFonts w:ascii="Arial" w:hAnsi="Arial" w:hint="cs"/>
          <w:rtl/>
          <w:lang w:eastAsia="he-IL"/>
        </w:rPr>
        <w:t xml:space="preserve"> (4), 313, מפי כב' הנשיא שמגר; </w:t>
      </w:r>
      <w:hyperlink r:id="rId32" w:history="1">
        <w:r w:rsidR="007A7C35" w:rsidRPr="007A7C35">
          <w:rPr>
            <w:rStyle w:val="Hyperlink"/>
            <w:rFonts w:ascii="Arial" w:hAnsi="Arial"/>
            <w:rtl/>
            <w:lang w:eastAsia="he-IL"/>
          </w:rPr>
          <w:t>ע"פ 2163/05</w:t>
        </w:r>
      </w:hyperlink>
      <w:r>
        <w:rPr>
          <w:rFonts w:hint="cs"/>
          <w:rtl/>
          <w:lang w:eastAsia="he-IL"/>
        </w:rPr>
        <w:t xml:space="preserve"> </w:t>
      </w:r>
      <w:r>
        <w:rPr>
          <w:rFonts w:ascii="Arial" w:hAnsi="Arial" w:hint="cs"/>
          <w:b/>
          <w:bCs/>
          <w:rtl/>
          <w:lang w:eastAsia="he-IL"/>
        </w:rPr>
        <w:t>דג'מיל אלייב נ' מ"י</w:t>
      </w:r>
      <w:r>
        <w:rPr>
          <w:rFonts w:ascii="Arial" w:hAnsi="Arial" w:hint="cs"/>
          <w:rtl/>
          <w:lang w:eastAsia="he-IL"/>
        </w:rPr>
        <w:t xml:space="preserve">, (12/12/05), מפי כב' הש' רובינשטיין, ג'ובראן ופרוקצ'יה). הענישה מושפעת בכללותה משיקולי גמול והרתעה (אם כי קרנה של ההרתעה ירדה לאחרונה), מנסיבות ביצוע העבירות וחומרתן, נפיצותן ותדירות ביצוען, השפעתן על כלל הציבור וההשלכות היכולות להיגרם מהן, כגון הפגיעה בביטחון הציבור ומידתה, והחשש והפחד שמעשים אלה נוטעים בלב אדם מן הישוב; עוד היא מושפעת מהנסיבות האישיות של מבצעי העבירות, גילם, עברם הפלילי, שיקולי שיקום וכיוצא בזה. בכל מקרה ומקרה מוטלת על בית המשפט החובה לערוך את האיזון בין האינטרסים השונים. (ראו גם </w:t>
      </w:r>
      <w:hyperlink r:id="rId33" w:history="1">
        <w:r w:rsidR="007A7C35" w:rsidRPr="007A7C35">
          <w:rPr>
            <w:rStyle w:val="Hyperlink"/>
            <w:rFonts w:ascii="Arial" w:hAnsi="Arial"/>
            <w:rtl/>
          </w:rPr>
          <w:t>ע"פ 4890/01 מ"י נ' פלוני, פ"ד נו</w:t>
        </w:r>
      </w:hyperlink>
      <w:r>
        <w:rPr>
          <w:rFonts w:ascii="Arial" w:hAnsi="Arial" w:hint="cs"/>
          <w:rtl/>
          <w:lang w:eastAsia="he-IL"/>
        </w:rPr>
        <w:t xml:space="preserve"> (1), 594, מפי כב' הש' ביניש). </w:t>
      </w:r>
    </w:p>
    <w:p w14:paraId="232042C5" w14:textId="77777777" w:rsidR="00D62B03" w:rsidRDefault="00D62B03">
      <w:pPr>
        <w:spacing w:line="360" w:lineRule="auto"/>
        <w:ind w:left="720"/>
        <w:jc w:val="both"/>
        <w:rPr>
          <w:rFonts w:ascii="Arial" w:hAnsi="Arial" w:cs="Times New Roman"/>
          <w:rtl/>
          <w:lang w:eastAsia="he-IL"/>
        </w:rPr>
      </w:pPr>
    </w:p>
    <w:p w14:paraId="27AE5343" w14:textId="77777777" w:rsidR="00D62B03" w:rsidRDefault="00A23CBB">
      <w:pPr>
        <w:spacing w:line="360" w:lineRule="auto"/>
        <w:ind w:left="720"/>
        <w:jc w:val="both"/>
        <w:rPr>
          <w:rtl/>
          <w:lang w:eastAsia="he-IL"/>
        </w:rPr>
      </w:pPr>
      <w:r>
        <w:rPr>
          <w:rFonts w:hint="cs"/>
          <w:rtl/>
          <w:lang w:eastAsia="he-IL"/>
        </w:rPr>
        <w:t>העיקרון המנחה בגזירת עונשו של הנאשם הוא קיומו של יחס הולם בין חומרת מעשה העבירה בנסיבותיו ומידת אשמו של הנאשם ובין סוג ומידת העונש המוטל עליו (</w:t>
      </w:r>
      <w:hyperlink r:id="rId34" w:history="1">
        <w:r w:rsidR="00BA68B4" w:rsidRPr="00BA68B4">
          <w:rPr>
            <w:rStyle w:val="Hyperlink"/>
            <w:rtl/>
            <w:lang w:eastAsia="he-IL"/>
          </w:rPr>
          <w:t>סעיף 40ב</w:t>
        </w:r>
      </w:hyperlink>
      <w:r>
        <w:rPr>
          <w:rFonts w:hint="cs"/>
          <w:rtl/>
          <w:lang w:eastAsia="he-IL"/>
        </w:rPr>
        <w:t xml:space="preserve"> ל</w:t>
      </w:r>
      <w:hyperlink r:id="rId35" w:history="1">
        <w:r w:rsidR="007A7C35" w:rsidRPr="007A7C35">
          <w:rPr>
            <w:rStyle w:val="Hyperlink"/>
            <w:rtl/>
            <w:lang w:eastAsia="he-IL"/>
          </w:rPr>
          <w:t>חוק העונשין</w:t>
        </w:r>
      </w:hyperlink>
      <w:r>
        <w:rPr>
          <w:rFonts w:hint="cs"/>
          <w:rtl/>
          <w:lang w:eastAsia="he-IL"/>
        </w:rPr>
        <w:t>). השיקולים לבחינת מתחם העונש ההולם למעשה העבירה הם הערך החברתי שנפגע מביצוע העבירה ומידת הפגיעה בו, מדיניות הענישה הנהוגה, ונסיבות הקשורות בביצוע העבירה (</w:t>
      </w:r>
      <w:hyperlink r:id="rId36" w:history="1">
        <w:r w:rsidR="00BA68B4" w:rsidRPr="00BA68B4">
          <w:rPr>
            <w:rStyle w:val="Hyperlink"/>
            <w:rtl/>
            <w:lang w:eastAsia="he-IL"/>
          </w:rPr>
          <w:t>סעיף 40ג (א)</w:t>
        </w:r>
      </w:hyperlink>
      <w:r>
        <w:rPr>
          <w:rFonts w:hint="cs"/>
          <w:rtl/>
          <w:lang w:eastAsia="he-IL"/>
        </w:rPr>
        <w:t xml:space="preserve"> ל</w:t>
      </w:r>
      <w:hyperlink r:id="rId37" w:history="1">
        <w:r w:rsidR="007A7C35" w:rsidRPr="007A7C35">
          <w:rPr>
            <w:rStyle w:val="Hyperlink"/>
            <w:rtl/>
            <w:lang w:eastAsia="he-IL"/>
          </w:rPr>
          <w:t>חוק העונשין</w:t>
        </w:r>
      </w:hyperlink>
      <w:r>
        <w:rPr>
          <w:rFonts w:hint="cs"/>
          <w:rtl/>
          <w:lang w:eastAsia="he-IL"/>
        </w:rPr>
        <w:t>).</w:t>
      </w:r>
    </w:p>
    <w:p w14:paraId="65BD070E" w14:textId="77777777" w:rsidR="00D62B03" w:rsidRDefault="00D62B03">
      <w:pPr>
        <w:spacing w:line="360" w:lineRule="auto"/>
        <w:ind w:left="720"/>
        <w:jc w:val="both"/>
        <w:rPr>
          <w:rtl/>
          <w:lang w:eastAsia="he-IL"/>
        </w:rPr>
      </w:pPr>
    </w:p>
    <w:p w14:paraId="1FC49C7F" w14:textId="77777777" w:rsidR="00D62B03" w:rsidRDefault="00A23CBB">
      <w:pPr>
        <w:spacing w:line="360" w:lineRule="auto"/>
        <w:ind w:left="720"/>
        <w:jc w:val="both"/>
        <w:rPr>
          <w:rFonts w:ascii="Arial" w:hAnsi="Arial"/>
          <w:rtl/>
        </w:rPr>
      </w:pPr>
      <w:r>
        <w:rPr>
          <w:rFonts w:hint="cs"/>
          <w:rtl/>
        </w:rPr>
        <w:t xml:space="preserve">הפסיקה פירשה את עקרון ההלימה, כיחס הולם בין חומרת מעשה העבירה ואשם הנאשם לבין חומרת העונש שיושת עליו - כמבטא את "עקרון הגמול". </w:t>
      </w:r>
      <w:r>
        <w:rPr>
          <w:rFonts w:ascii="Arial" w:hAnsi="Arial" w:hint="cs"/>
          <w:rtl/>
        </w:rPr>
        <w:t>(ראו לענין זה דברי כב' הש' רובינשטיין ב</w:t>
      </w:r>
      <w:hyperlink r:id="rId38" w:history="1">
        <w:r w:rsidR="007A7C35" w:rsidRPr="007A7C35">
          <w:rPr>
            <w:rStyle w:val="Hyperlink"/>
            <w:rFonts w:ascii="Arial" w:hAnsi="Arial"/>
            <w:rtl/>
          </w:rPr>
          <w:t>ע"פ 1523/10</w:t>
        </w:r>
      </w:hyperlink>
      <w:r>
        <w:rPr>
          <w:rFonts w:ascii="Arial" w:hAnsi="Arial" w:hint="cs"/>
          <w:rtl/>
        </w:rPr>
        <w:t xml:space="preserve"> </w:t>
      </w:r>
      <w:r>
        <w:rPr>
          <w:rFonts w:ascii="Arial" w:hAnsi="Arial" w:hint="cs"/>
          <w:b/>
          <w:bCs/>
          <w:rtl/>
        </w:rPr>
        <w:t>פלונית נ' מ"י</w:t>
      </w:r>
      <w:r>
        <w:rPr>
          <w:rFonts w:ascii="Arial" w:hAnsi="Arial" w:hint="cs"/>
          <w:rtl/>
        </w:rPr>
        <w:t xml:space="preserve"> (18/4/12): </w:t>
      </w:r>
    </w:p>
    <w:p w14:paraId="54B48A01" w14:textId="77777777" w:rsidR="00D62B03" w:rsidRDefault="00D62B03">
      <w:pPr>
        <w:ind w:left="1440"/>
        <w:jc w:val="both"/>
        <w:rPr>
          <w:sz w:val="28"/>
          <w:szCs w:val="28"/>
          <w:rtl/>
        </w:rPr>
      </w:pPr>
    </w:p>
    <w:p w14:paraId="2D1F2859" w14:textId="77777777" w:rsidR="00D62B03" w:rsidRDefault="00A23CBB">
      <w:pPr>
        <w:spacing w:line="360" w:lineRule="auto"/>
        <w:ind w:left="1440"/>
        <w:jc w:val="both"/>
        <w:rPr>
          <w:rtl/>
        </w:rPr>
      </w:pPr>
      <w:r>
        <w:rPr>
          <w:rFonts w:hint="cs"/>
          <w:rtl/>
        </w:rPr>
        <w:t>"</w:t>
      </w:r>
      <w:r>
        <w:rPr>
          <w:rFonts w:cs="Miriam" w:hint="cs"/>
          <w:rtl/>
        </w:rPr>
        <w:t xml:space="preserve">מלשון התיקון ברי (ראו גם דברי ההסבר הצעות </w:t>
      </w:r>
      <w:hyperlink r:id="rId39" w:history="1">
        <w:r w:rsidR="007A7C35" w:rsidRPr="007A7C35">
          <w:rPr>
            <w:rStyle w:val="Hyperlink"/>
            <w:rFonts w:cs="Miriam"/>
            <w:rtl/>
          </w:rPr>
          <w:t>חוק הממשלה</w:t>
        </w:r>
      </w:hyperlink>
      <w:r>
        <w:rPr>
          <w:rFonts w:cs="Miriam" w:hint="cs"/>
          <w:rtl/>
        </w:rPr>
        <w:t xml:space="preserve"> תשס"ו, 448-446), כי בגדרי עקרונות הענישה "גמול, הרתעה אישית או כללית, הגנת שלום הציבור ושיקום" ניתנה כאן בכורה לעקרון ההלימות. בדברי ההסבר נאמר, כי: "עקרון-העל, המוצע בסעיף 40ב, הוא עקרון ההלימות, ולפיו נדרש יחס הולם בין חומרת מעשה העבירה ואשם הנאשם לבין חומרת העונש שיושת עליו. יחס זה מבטא את עקרון הגמול".</w:t>
      </w:r>
      <w:r>
        <w:rPr>
          <w:rFonts w:hint="cs"/>
          <w:rtl/>
        </w:rPr>
        <w:t xml:space="preserve"> (ראו גם </w:t>
      </w:r>
      <w:hyperlink r:id="rId40" w:history="1">
        <w:r w:rsidR="00944EF4" w:rsidRPr="00944EF4">
          <w:rPr>
            <w:rStyle w:val="Hyperlink"/>
            <w:rtl/>
          </w:rPr>
          <w:t>156/80</w:t>
        </w:r>
      </w:hyperlink>
      <w:r>
        <w:rPr>
          <w:rFonts w:hint="cs"/>
          <w:rtl/>
        </w:rPr>
        <w:t xml:space="preserve"> </w:t>
      </w:r>
      <w:r>
        <w:rPr>
          <w:rFonts w:hint="cs"/>
          <w:b/>
          <w:bCs/>
          <w:rtl/>
        </w:rPr>
        <w:t>כוכבי בנימין נ' מ"י</w:t>
      </w:r>
      <w:r>
        <w:rPr>
          <w:rFonts w:hint="cs"/>
          <w:rtl/>
        </w:rPr>
        <w:t xml:space="preserve">, פ"ד לה(4) 744, מפי כב' הש' אלון). </w:t>
      </w:r>
    </w:p>
    <w:p w14:paraId="1F5BABF6" w14:textId="77777777" w:rsidR="00D62B03" w:rsidRDefault="00D62B03">
      <w:pPr>
        <w:jc w:val="both"/>
        <w:rPr>
          <w:b/>
          <w:bCs/>
          <w:rtl/>
        </w:rPr>
      </w:pPr>
    </w:p>
    <w:p w14:paraId="1AE0B6BD" w14:textId="77777777" w:rsidR="00D62B03" w:rsidRDefault="00A23CBB">
      <w:pPr>
        <w:spacing w:line="360" w:lineRule="auto"/>
        <w:ind w:left="720"/>
        <w:jc w:val="both"/>
        <w:rPr>
          <w:rFonts w:cs="Times New Roman"/>
          <w:rtl/>
        </w:rPr>
      </w:pPr>
      <w:r>
        <w:rPr>
          <w:rFonts w:hint="cs"/>
          <w:b/>
          <w:bCs/>
          <w:rtl/>
          <w:lang w:eastAsia="he-IL"/>
        </w:rPr>
        <w:t>א.</w:t>
      </w:r>
      <w:r>
        <w:rPr>
          <w:rFonts w:hint="cs"/>
          <w:rtl/>
          <w:lang w:eastAsia="he-IL"/>
        </w:rPr>
        <w:t xml:space="preserve"> אין צורך להכביר מילים על חומרת העבירות בהן הורשע הנאשם, אשר תכנן, הכין וזרק, ביחד עם חבריו, בקבוקי תבערה על חברי קבוצה שבילו גם הם באגם מונפורט, וזאת מתוך יצר נקם, בגין אירוע של מה בכך. </w:t>
      </w:r>
    </w:p>
    <w:p w14:paraId="39CF373E" w14:textId="77777777" w:rsidR="00D62B03" w:rsidRDefault="00D62B03">
      <w:pPr>
        <w:ind w:left="720"/>
        <w:jc w:val="both"/>
        <w:rPr>
          <w:rFonts w:cs="Times New Roman"/>
          <w:rtl/>
        </w:rPr>
      </w:pPr>
    </w:p>
    <w:p w14:paraId="5D872368" w14:textId="77777777" w:rsidR="00D62B03" w:rsidRDefault="00A23CBB">
      <w:pPr>
        <w:spacing w:line="360" w:lineRule="auto"/>
        <w:ind w:left="720"/>
        <w:jc w:val="both"/>
        <w:rPr>
          <w:rFonts w:ascii="Arial Unicode MS" w:eastAsia="Arial Unicode MS" w:hAnsi="Arial Unicode MS"/>
          <w:rtl/>
          <w:lang w:eastAsia="he-IL"/>
        </w:rPr>
      </w:pPr>
      <w:r>
        <w:rPr>
          <w:rFonts w:ascii="Arial Unicode MS" w:eastAsia="Arial Unicode MS" w:hAnsi="Arial Unicode MS" w:hint="cs"/>
          <w:rtl/>
          <w:lang w:eastAsia="he-IL"/>
        </w:rPr>
        <w:t xml:space="preserve">לאחר קיומו של וויכוח בין הנאשם וחלק מחבריו לבין חברי הקבוצה השניה, עזבו הראשונים  את המקום, ולאחר מכן, בשעה שלוש בלילה, קשרו קשר לייצר בקבוקי תבערה וליידותם לעבר חברי הקבוצה,  במטרה להטיל בהם נכות או מום ולגרום להם חבלות חמורות. על מנת להוציא את התכנון אל הפועל, נסעו הנאשם וחבריו לחנות במעלות, הצטיידו בבקבוקי זכוכית וסמרטוטים, הכינו מהם בקבוקי תבערה, וחזרו כעבור כשעה לצומת הכניסה לאגם בנסיעה, כשהם נושאים את בקבוקי התבערה ברכב, ופניהם מכוסים בחולצתם על מנת שלא יזוהו. בהמשך הדליקו את פתילי ההשהיה בבקבוקי התבערה ויידו שניים מהם וכן אבנים לעבר חברי הקבוצה, כאשר אחד מבקבוקי התבערה התנפץ והתלקח סמוך למקום בו עמדו האחרונים, כל זאת ובכוונה לגרום להם חבלה חמורה. </w:t>
      </w:r>
    </w:p>
    <w:p w14:paraId="24663D7A" w14:textId="77777777" w:rsidR="00D62B03" w:rsidRDefault="00A23CBB">
      <w:pPr>
        <w:spacing w:before="240" w:after="120" w:line="360" w:lineRule="auto"/>
        <w:ind w:left="720"/>
        <w:jc w:val="both"/>
        <w:rPr>
          <w:rtl/>
        </w:rPr>
      </w:pPr>
      <w:r>
        <w:rPr>
          <w:rFonts w:hint="cs"/>
          <w:rtl/>
        </w:rPr>
        <w:t xml:space="preserve">למותר לציין כי אין בוויכוח הפעוט שקדם לאירוע, או בשאלת היותם של הנאשם וחבריו שתויים, שמץ של הצדקה לעבירת האלימות החמורה שביצעו, או נסיבה להקלה בעונשו של הנאשם. ההפך הוא הנכון. מדובר בעבירה חמורה שבוצעה על ידי הנאשם וחבריו, לאחר תכנון, מחשבה, הכנה והצטיידות בבקבוקי תבערה. עצם העובדה כי עברה יותר משעה מאז הויכוח בין הקבוצות, עד אשר יידו הנאשם וחבריו אבנים ובקבוקי תבערה לכיוון הקבוצה, מראה כי אין מדובר על מעשה ספונטני שנעשה מתוך להט רגעי, שגם לו אין הצדקה, אלא כי הנאשם וחבריו נתנו דרור למזימתם בעלת הפוטנציאל הקטלני, קשרו קשר לביצוע העבירה, עמלו והשקיעו בביצוע תוכניתם, ועשו פעולות רבות לצורך ביצועה, כמפורט לעיל. </w:t>
      </w:r>
    </w:p>
    <w:p w14:paraId="01512BFE" w14:textId="77777777" w:rsidR="00D62B03" w:rsidRDefault="00A23CBB">
      <w:pPr>
        <w:spacing w:before="240" w:after="120" w:line="360" w:lineRule="auto"/>
        <w:ind w:left="720"/>
        <w:jc w:val="both"/>
        <w:rPr>
          <w:rtl/>
        </w:rPr>
      </w:pPr>
      <w:r>
        <w:rPr>
          <w:rFonts w:hint="cs"/>
          <w:rtl/>
        </w:rPr>
        <w:t>בעצם ייצורם של בקבוקי התבערה קיים פוטנציאל לנזק רב, שכן המרחק בין ייצורם לבין השימוש הממשי בו הוא קטן. דברים אלה נכונים ביתר שאת בענייננו, עת נעשה שימוש מיידי בנשק זה. התנהלותם הנאשם וחבריו, לרבות העובדה כי באו רעולי פנים, מלמדת כי לא התכוונו להפחיד בלבד, אלא לגרום לנזק ממשי לחברי הקבוצה. רק בנס הסתיים האירוע ללא פגיעה בגוף ובנפש למי מהמעורבים ובאסון של ממש.</w:t>
      </w:r>
      <w:r>
        <w:rPr>
          <w:rFonts w:cs="Times New Roman" w:hint="cs"/>
          <w:rtl/>
        </w:rPr>
        <w:t xml:space="preserve"> </w:t>
      </w:r>
      <w:r>
        <w:rPr>
          <w:rFonts w:hint="cs"/>
          <w:rtl/>
        </w:rPr>
        <w:t xml:space="preserve">סיומו של האירוע באופן זה, אינו מובן מאליו, ואין לזקוף זאת לטובת הנאשם וחבריו (לעניין זה ראו: </w:t>
      </w:r>
      <w:hyperlink r:id="rId41" w:history="1">
        <w:r w:rsidR="00CF1EF2" w:rsidRPr="00CF1EF2">
          <w:rPr>
            <w:rStyle w:val="Hyperlink"/>
            <w:rtl/>
          </w:rPr>
          <w:t>5873/09</w:t>
        </w:r>
      </w:hyperlink>
      <w:r>
        <w:rPr>
          <w:rFonts w:hint="cs"/>
          <w:rtl/>
        </w:rPr>
        <w:t xml:space="preserve"> </w:t>
      </w:r>
      <w:r>
        <w:rPr>
          <w:rFonts w:hint="cs"/>
          <w:b/>
          <w:bCs/>
          <w:rtl/>
        </w:rPr>
        <w:t>ביומי נ' מ"י</w:t>
      </w:r>
      <w:r>
        <w:rPr>
          <w:rFonts w:hint="cs"/>
          <w:rtl/>
        </w:rPr>
        <w:t xml:space="preserve"> (28/12/10) מפי כב' הש' נאור, רובינשטיין וחיות). </w:t>
      </w:r>
    </w:p>
    <w:p w14:paraId="22116B5E" w14:textId="77777777" w:rsidR="00D62B03" w:rsidRDefault="00A23CBB">
      <w:pPr>
        <w:spacing w:before="240" w:after="120" w:line="360" w:lineRule="auto"/>
        <w:ind w:left="720"/>
        <w:jc w:val="both"/>
        <w:rPr>
          <w:rFonts w:cs="Times New Roman"/>
          <w:rtl/>
        </w:rPr>
      </w:pPr>
      <w:r>
        <w:rPr>
          <w:rFonts w:hint="cs"/>
          <w:rtl/>
        </w:rPr>
        <w:t>אין צורך בדמיון רב כדי לשער בנפשנו את תחושת הפחד, האימה וחוסר האונים שאחזו בחברי הקבוצה, עת הושלכו אליהם, ללא כל התראה, בשעת לילה מאוחרת, בקבוקי התבערה והאבנים, והפחד הגדול אותו חשו עת ממש לידם התפוצץ והתלקח אחד מבקבוקי התבערה.</w:t>
      </w:r>
    </w:p>
    <w:p w14:paraId="1150C28E" w14:textId="77777777" w:rsidR="00D62B03" w:rsidRDefault="00A23CBB">
      <w:pPr>
        <w:spacing w:before="240" w:after="120" w:line="360" w:lineRule="auto"/>
        <w:ind w:left="720"/>
        <w:jc w:val="both"/>
        <w:rPr>
          <w:rtl/>
        </w:rPr>
      </w:pPr>
      <w:r>
        <w:rPr>
          <w:rFonts w:hint="cs"/>
          <w:b/>
          <w:bCs/>
          <w:rtl/>
        </w:rPr>
        <w:t>ב.</w:t>
      </w:r>
      <w:r>
        <w:rPr>
          <w:rFonts w:hint="cs"/>
          <w:rtl/>
        </w:rPr>
        <w:t xml:space="preserve"> הערכים החברתיים שנפגעו או הועמדו בסכנה ממשית כתוצאה מביצוע העבירות דידן הם ביטחונם האישי, שלמות גופם ושלומם והנפשי של המתלוננים ושאר חברי הקבוצה, וכן כבודם כבני אדם. לא בכדי העניק המחוקק לערכים אלה מעמד מיוחד ב</w:t>
      </w:r>
      <w:hyperlink r:id="rId42" w:history="1">
        <w:r w:rsidR="00BA68B4" w:rsidRPr="00BA68B4">
          <w:rPr>
            <w:rStyle w:val="Hyperlink"/>
            <w:rFonts w:hint="eastAsia"/>
            <w:rtl/>
          </w:rPr>
          <w:t>חוק</w:t>
        </w:r>
        <w:r w:rsidR="00BA68B4" w:rsidRPr="00BA68B4">
          <w:rPr>
            <w:rStyle w:val="Hyperlink"/>
            <w:rtl/>
          </w:rPr>
          <w:t xml:space="preserve"> יסוד כבוד האדם וחירותו</w:t>
        </w:r>
      </w:hyperlink>
      <w:r>
        <w:rPr>
          <w:rFonts w:hint="cs"/>
          <w:rtl/>
        </w:rPr>
        <w:t xml:space="preserve">. </w:t>
      </w:r>
    </w:p>
    <w:p w14:paraId="6244728D" w14:textId="77777777" w:rsidR="00D62B03" w:rsidRDefault="00D62B03">
      <w:pPr>
        <w:jc w:val="both"/>
        <w:rPr>
          <w:rFonts w:cs="Times New Roman"/>
          <w:sz w:val="10"/>
          <w:szCs w:val="10"/>
          <w:rtl/>
        </w:rPr>
      </w:pPr>
    </w:p>
    <w:p w14:paraId="76EB6CD0" w14:textId="77777777" w:rsidR="00D62B03" w:rsidRDefault="00A23CBB">
      <w:pPr>
        <w:spacing w:line="360" w:lineRule="auto"/>
        <w:rPr>
          <w:b/>
          <w:bCs/>
          <w:rtl/>
          <w:lang w:eastAsia="he-IL"/>
        </w:rPr>
      </w:pPr>
      <w:r>
        <w:rPr>
          <w:rFonts w:hint="cs"/>
          <w:b/>
          <w:bCs/>
          <w:rtl/>
          <w:lang w:eastAsia="he-IL"/>
        </w:rPr>
        <w:t>10.</w:t>
      </w:r>
      <w:r>
        <w:rPr>
          <w:rFonts w:hint="cs"/>
          <w:b/>
          <w:bCs/>
          <w:rtl/>
          <w:lang w:eastAsia="he-IL"/>
        </w:rPr>
        <w:tab/>
      </w:r>
      <w:r>
        <w:rPr>
          <w:rFonts w:hint="cs"/>
          <w:b/>
          <w:bCs/>
          <w:u w:val="single"/>
          <w:rtl/>
          <w:lang w:eastAsia="he-IL"/>
        </w:rPr>
        <w:t>מתחם הענישה</w:t>
      </w:r>
    </w:p>
    <w:p w14:paraId="40BA6B23" w14:textId="77777777" w:rsidR="00D62B03" w:rsidRDefault="00A23CBB">
      <w:pPr>
        <w:spacing w:line="360" w:lineRule="auto"/>
        <w:ind w:left="720"/>
        <w:jc w:val="both"/>
        <w:rPr>
          <w:rtl/>
          <w:lang w:eastAsia="he-IL"/>
        </w:rPr>
      </w:pPr>
      <w:r>
        <w:rPr>
          <w:rFonts w:hint="cs"/>
          <w:rtl/>
          <w:lang w:eastAsia="he-IL"/>
        </w:rPr>
        <w:t xml:space="preserve">בתי המשפט שבו והדגישו את הצורך להחמיר בדינם של נאשמים בעבירות מסוג זה היוצרים סיכון מידי וממשי לחייהם של אנשים אחרים, ומראים זלזול בחיי בני אדם בגלל הקלות בה הם מסוגלים ליטול אותם, וזאת לאחר התגרות קטנה אם בכלל. נפסק לא אחת כי עבירות מסוג זה הינן חמורות המצריכות ענישה חמורה ומרתיעה (ראו: </w:t>
      </w:r>
      <w:hyperlink r:id="rId43" w:history="1">
        <w:r w:rsidR="007A7C35" w:rsidRPr="007A7C35">
          <w:rPr>
            <w:rStyle w:val="Hyperlink"/>
            <w:rFonts w:ascii="Arial" w:hAnsi="Arial"/>
            <w:rtl/>
          </w:rPr>
          <w:t>ע"פ 7734/05</w:t>
        </w:r>
      </w:hyperlink>
      <w:r>
        <w:rPr>
          <w:rFonts w:ascii="Arial" w:hAnsi="Arial" w:hint="cs"/>
          <w:color w:val="000000"/>
          <w:rtl/>
        </w:rPr>
        <w:t xml:space="preserve"> </w:t>
      </w:r>
      <w:r>
        <w:rPr>
          <w:rFonts w:ascii="Arial" w:hAnsi="Arial" w:hint="cs"/>
          <w:b/>
          <w:bCs/>
          <w:color w:val="000000"/>
          <w:rtl/>
        </w:rPr>
        <w:t>היטם עאטף נגד מ"י</w:t>
      </w:r>
      <w:r>
        <w:rPr>
          <w:rFonts w:ascii="Arial" w:hAnsi="Arial" w:hint="cs"/>
          <w:color w:val="000000"/>
          <w:rtl/>
        </w:rPr>
        <w:t xml:space="preserve"> (15/5/06), מפי כב' הש' ג'ובראן; </w:t>
      </w:r>
      <w:hyperlink r:id="rId44" w:history="1">
        <w:r w:rsidR="007A7C35" w:rsidRPr="007A7C35">
          <w:rPr>
            <w:rStyle w:val="Hyperlink"/>
            <w:rFonts w:ascii="Arial" w:hAnsi="Arial" w:hint="eastAsia"/>
            <w:rtl/>
          </w:rPr>
          <w:t>ע</w:t>
        </w:r>
        <w:r w:rsidR="007A7C35" w:rsidRPr="007A7C35">
          <w:rPr>
            <w:rStyle w:val="Hyperlink"/>
            <w:rFonts w:ascii="Arial" w:hAnsi="Arial"/>
            <w:rtl/>
          </w:rPr>
          <w:t>"פ 327/05</w:t>
        </w:r>
      </w:hyperlink>
      <w:r>
        <w:rPr>
          <w:rFonts w:ascii="Arial" w:hAnsi="Arial" w:hint="cs"/>
          <w:color w:val="000000"/>
          <w:rtl/>
        </w:rPr>
        <w:t xml:space="preserve"> </w:t>
      </w:r>
      <w:r>
        <w:rPr>
          <w:rFonts w:ascii="Arial" w:hAnsi="Arial" w:hint="cs"/>
          <w:b/>
          <w:bCs/>
          <w:color w:val="000000"/>
          <w:rtl/>
        </w:rPr>
        <w:t>נביל ג'אבר נגד מ"י</w:t>
      </w:r>
      <w:r>
        <w:rPr>
          <w:rFonts w:ascii="Arial" w:hAnsi="Arial" w:hint="cs"/>
          <w:color w:val="000000"/>
          <w:rtl/>
        </w:rPr>
        <w:t xml:space="preserve"> (1/12/05) מפי כב' הש' </w:t>
      </w:r>
      <w:r>
        <w:rPr>
          <w:rFonts w:hint="cs"/>
          <w:rtl/>
          <w:lang w:eastAsia="he-IL"/>
        </w:rPr>
        <w:t>פרוקצ'י</w:t>
      </w:r>
      <w:r>
        <w:rPr>
          <w:rFonts w:hint="cs"/>
          <w:rtl/>
        </w:rPr>
        <w:t>ה</w:t>
      </w:r>
      <w:r>
        <w:rPr>
          <w:rFonts w:ascii="Arial" w:hAnsi="Arial" w:hint="cs"/>
          <w:color w:val="000000"/>
          <w:rtl/>
        </w:rPr>
        <w:t xml:space="preserve">; </w:t>
      </w:r>
      <w:hyperlink r:id="rId45" w:history="1">
        <w:r w:rsidR="007A7C35" w:rsidRPr="007A7C35">
          <w:rPr>
            <w:rStyle w:val="Hyperlink"/>
            <w:rFonts w:ascii="Arial" w:hAnsi="Arial"/>
            <w:rtl/>
          </w:rPr>
          <w:t>ע"פ 6398/07</w:t>
        </w:r>
      </w:hyperlink>
      <w:r>
        <w:rPr>
          <w:rFonts w:ascii="Arial" w:hAnsi="Arial" w:hint="cs"/>
          <w:color w:val="000000"/>
          <w:rtl/>
        </w:rPr>
        <w:t xml:space="preserve"> </w:t>
      </w:r>
      <w:r>
        <w:rPr>
          <w:rFonts w:ascii="Arial" w:hAnsi="Arial" w:hint="cs"/>
          <w:b/>
          <w:bCs/>
          <w:color w:val="000000"/>
          <w:rtl/>
        </w:rPr>
        <w:t>אבולקיען נ' מ"י</w:t>
      </w:r>
      <w:r>
        <w:rPr>
          <w:rFonts w:ascii="Arial" w:hAnsi="Arial" w:hint="cs"/>
          <w:color w:val="000000"/>
          <w:rtl/>
        </w:rPr>
        <w:t>, (20.2.08) מפי כב' הש' אלון; ו</w:t>
      </w:r>
      <w:hyperlink r:id="rId46" w:history="1">
        <w:r w:rsidR="007A7C35" w:rsidRPr="007A7C35">
          <w:rPr>
            <w:rStyle w:val="Hyperlink"/>
            <w:rFonts w:ascii="Arial" w:hAnsi="Arial"/>
            <w:rtl/>
          </w:rPr>
          <w:t>ע"פ 4882/06</w:t>
        </w:r>
      </w:hyperlink>
      <w:r>
        <w:rPr>
          <w:rFonts w:ascii="Arial" w:hAnsi="Arial" w:hint="cs"/>
          <w:color w:val="000000"/>
          <w:rtl/>
        </w:rPr>
        <w:t xml:space="preserve"> </w:t>
      </w:r>
      <w:r>
        <w:rPr>
          <w:rFonts w:ascii="Arial" w:hAnsi="Arial" w:hint="cs"/>
          <w:b/>
          <w:bCs/>
          <w:color w:val="000000"/>
          <w:rtl/>
        </w:rPr>
        <w:t>טרטורה נ' מ"י</w:t>
      </w:r>
      <w:r>
        <w:rPr>
          <w:rFonts w:ascii="Arial" w:hAnsi="Arial" w:hint="cs"/>
          <w:color w:val="000000"/>
          <w:rtl/>
        </w:rPr>
        <w:t>, (24/5/07)</w:t>
      </w:r>
      <w:r>
        <w:rPr>
          <w:rFonts w:hint="cs"/>
          <w:rtl/>
          <w:lang w:eastAsia="he-IL"/>
        </w:rPr>
        <w:t xml:space="preserve"> מפי כב' הש' אלון.</w:t>
      </w:r>
    </w:p>
    <w:p w14:paraId="4AACF60E" w14:textId="77777777" w:rsidR="00D62B03" w:rsidRDefault="00D62B03">
      <w:pPr>
        <w:spacing w:line="360" w:lineRule="auto"/>
        <w:ind w:left="720"/>
        <w:jc w:val="both"/>
        <w:rPr>
          <w:rtl/>
          <w:lang w:eastAsia="he-IL"/>
        </w:rPr>
      </w:pPr>
    </w:p>
    <w:p w14:paraId="686856D8" w14:textId="77777777" w:rsidR="00D62B03" w:rsidRDefault="00A23CBB">
      <w:pPr>
        <w:spacing w:line="360" w:lineRule="auto"/>
        <w:ind w:left="720"/>
        <w:jc w:val="both"/>
        <w:rPr>
          <w:rFonts w:ascii="Arial Unicode MS" w:eastAsia="Arial Unicode MS" w:hAnsi="Arial Unicode MS"/>
          <w:rtl/>
          <w:lang w:eastAsia="he-IL"/>
        </w:rPr>
      </w:pPr>
      <w:r>
        <w:rPr>
          <w:rFonts w:hint="cs"/>
          <w:rtl/>
        </w:rPr>
        <w:t>תופעת האלימות הפכה, למרבה הצער, חזון נפרץ במקומותינו. קיים אינטרס ציבורי מובהק וחד משמעי לשרש את התופעה של נקיטת כוח ואלימות לשם יישוב מחלוקות, גמירת חשבונות וסכסוכים תוך שימוש בנשק קר, בין  אם זה סכין או כל כלי משחית אחר, בדרך של הטלת עונשי מאסר ממושכים. (</w:t>
      </w:r>
      <w:hyperlink r:id="rId47" w:history="1">
        <w:r w:rsidR="007A7C35" w:rsidRPr="007A7C35">
          <w:rPr>
            <w:rStyle w:val="Hyperlink"/>
            <w:rtl/>
          </w:rPr>
          <w:t>ע"פ 2292/98</w:t>
        </w:r>
      </w:hyperlink>
      <w:r>
        <w:rPr>
          <w:rFonts w:hint="cs"/>
          <w:rtl/>
        </w:rPr>
        <w:t xml:space="preserve"> </w:t>
      </w:r>
      <w:r>
        <w:rPr>
          <w:rFonts w:hint="cs"/>
          <w:b/>
          <w:bCs/>
          <w:rtl/>
        </w:rPr>
        <w:t xml:space="preserve">מ"י נ' הייב </w:t>
      </w:r>
      <w:r>
        <w:rPr>
          <w:rFonts w:hint="cs"/>
          <w:rtl/>
        </w:rPr>
        <w:t xml:space="preserve">(22/6/98), מפי כב' הש' מצא; </w:t>
      </w:r>
      <w:hyperlink r:id="rId48" w:history="1">
        <w:r w:rsidR="007A7C35" w:rsidRPr="007A7C35">
          <w:rPr>
            <w:rStyle w:val="Hyperlink"/>
            <w:rtl/>
            <w:lang w:eastAsia="he-IL"/>
          </w:rPr>
          <w:t>ע"פ 10866/03</w:t>
        </w:r>
      </w:hyperlink>
      <w:r>
        <w:rPr>
          <w:rFonts w:ascii="Arial Unicode MS" w:eastAsia="Arial Unicode MS" w:hAnsi="Arial Unicode MS" w:hint="cs"/>
          <w:rtl/>
          <w:lang w:eastAsia="he-IL"/>
        </w:rPr>
        <w:t xml:space="preserve"> </w:t>
      </w:r>
      <w:r>
        <w:rPr>
          <w:rFonts w:ascii="Arial Unicode MS" w:eastAsia="Arial Unicode MS" w:hAnsi="Arial Unicode MS" w:hint="cs"/>
          <w:b/>
          <w:bCs/>
          <w:rtl/>
          <w:lang w:eastAsia="he-IL"/>
        </w:rPr>
        <w:t>מ"י נ' סלאימה</w:t>
      </w:r>
      <w:r>
        <w:rPr>
          <w:rFonts w:ascii="Arial Unicode MS" w:eastAsia="Arial Unicode MS" w:hAnsi="Arial Unicode MS" w:hint="cs"/>
          <w:rtl/>
          <w:lang w:eastAsia="he-IL"/>
        </w:rPr>
        <w:t xml:space="preserve"> (5/7/04) מפי כב' הש' ג'ובראן; </w:t>
      </w:r>
      <w:hyperlink r:id="rId49" w:history="1">
        <w:r w:rsidR="007A7C35" w:rsidRPr="007A7C35">
          <w:rPr>
            <w:rStyle w:val="Hyperlink"/>
            <w:rtl/>
            <w:lang w:eastAsia="he-IL"/>
          </w:rPr>
          <w:t>ע"פ 6720/04</w:t>
        </w:r>
      </w:hyperlink>
      <w:r>
        <w:rPr>
          <w:rFonts w:ascii="Arial Unicode MS" w:eastAsia="Arial Unicode MS" w:hAnsi="Arial Unicode MS" w:hint="cs"/>
          <w:rtl/>
          <w:lang w:eastAsia="he-IL"/>
        </w:rPr>
        <w:t xml:space="preserve"> </w:t>
      </w:r>
      <w:r>
        <w:rPr>
          <w:rFonts w:ascii="Arial Unicode MS" w:eastAsia="Arial Unicode MS" w:hAnsi="Arial Unicode MS" w:hint="cs"/>
          <w:b/>
          <w:bCs/>
          <w:rtl/>
          <w:lang w:eastAsia="he-IL"/>
        </w:rPr>
        <w:t>מ"י זחאיקה</w:t>
      </w:r>
      <w:r>
        <w:rPr>
          <w:rFonts w:ascii="Arial Unicode MS" w:eastAsia="Arial Unicode MS" w:hAnsi="Arial Unicode MS" w:hint="cs"/>
          <w:rtl/>
          <w:lang w:eastAsia="he-IL"/>
        </w:rPr>
        <w:t xml:space="preserve"> (3/11/04), מפי הש' חשין; </w:t>
      </w:r>
      <w:hyperlink r:id="rId50" w:history="1">
        <w:r w:rsidR="007A7C35" w:rsidRPr="007A7C35">
          <w:rPr>
            <w:rStyle w:val="Hyperlink"/>
            <w:rtl/>
            <w:lang w:eastAsia="he-IL"/>
          </w:rPr>
          <w:t>ע"פ 4173/07</w:t>
        </w:r>
      </w:hyperlink>
      <w:r>
        <w:rPr>
          <w:rFonts w:ascii="Arial Unicode MS" w:eastAsia="Arial Unicode MS" w:hAnsi="Arial Unicode MS" w:hint="cs"/>
          <w:rtl/>
          <w:lang w:eastAsia="he-IL"/>
        </w:rPr>
        <w:t xml:space="preserve"> </w:t>
      </w:r>
      <w:r>
        <w:rPr>
          <w:rFonts w:ascii="Arial Unicode MS" w:eastAsia="Arial Unicode MS" w:hAnsi="Arial Unicode MS" w:hint="cs"/>
          <w:b/>
          <w:bCs/>
          <w:rtl/>
          <w:lang w:eastAsia="he-IL"/>
        </w:rPr>
        <w:t>פלוני נ' מ"י</w:t>
      </w:r>
      <w:r>
        <w:rPr>
          <w:rFonts w:ascii="Arial Unicode MS" w:eastAsia="Arial Unicode MS" w:hAnsi="Arial Unicode MS" w:hint="cs"/>
          <w:rtl/>
          <w:lang w:eastAsia="he-IL"/>
        </w:rPr>
        <w:t xml:space="preserve"> (16/8/07) מפי כב' הש' ארבל; </w:t>
      </w:r>
      <w:hyperlink r:id="rId51" w:history="1">
        <w:r w:rsidR="007A7C35" w:rsidRPr="007A7C35">
          <w:rPr>
            <w:rStyle w:val="Hyperlink"/>
            <w:rtl/>
            <w:lang w:eastAsia="he-IL"/>
          </w:rPr>
          <w:t>ע"פ 4257/07</w:t>
        </w:r>
      </w:hyperlink>
      <w:r>
        <w:rPr>
          <w:rFonts w:ascii="Arial Unicode MS" w:eastAsia="Arial Unicode MS" w:hAnsi="Arial Unicode MS" w:hint="cs"/>
          <w:rtl/>
          <w:lang w:eastAsia="he-IL"/>
        </w:rPr>
        <w:t xml:space="preserve"> </w:t>
      </w:r>
      <w:r>
        <w:rPr>
          <w:rFonts w:ascii="Arial Unicode MS" w:eastAsia="Arial Unicode MS" w:hAnsi="Arial Unicode MS" w:hint="cs"/>
          <w:b/>
          <w:bCs/>
          <w:rtl/>
          <w:lang w:eastAsia="he-IL"/>
        </w:rPr>
        <w:t>פלוני נ' מ"י</w:t>
      </w:r>
      <w:r>
        <w:rPr>
          <w:rFonts w:ascii="Arial Unicode MS" w:eastAsia="Arial Unicode MS" w:hAnsi="Arial Unicode MS" w:hint="cs"/>
          <w:rtl/>
          <w:lang w:eastAsia="he-IL"/>
        </w:rPr>
        <w:t xml:space="preserve"> (5/3/08) מפי כב' הש' מלצר; </w:t>
      </w:r>
      <w:hyperlink r:id="rId52" w:history="1">
        <w:r w:rsidR="007A7C35" w:rsidRPr="007A7C35">
          <w:rPr>
            <w:rStyle w:val="Hyperlink"/>
            <w:rtl/>
            <w:lang w:eastAsia="he-IL"/>
          </w:rPr>
          <w:t>ע"פ 3863/09</w:t>
        </w:r>
      </w:hyperlink>
      <w:r>
        <w:rPr>
          <w:rFonts w:ascii="Arial Unicode MS" w:eastAsia="Arial Unicode MS" w:hAnsi="Arial Unicode MS" w:hint="cs"/>
          <w:rtl/>
          <w:lang w:eastAsia="he-IL"/>
        </w:rPr>
        <w:t xml:space="preserve"> </w:t>
      </w:r>
      <w:r>
        <w:rPr>
          <w:rFonts w:ascii="Arial Unicode MS" w:eastAsia="Arial Unicode MS" w:hAnsi="Arial Unicode MS" w:hint="cs"/>
          <w:b/>
          <w:bCs/>
          <w:rtl/>
          <w:lang w:eastAsia="he-IL"/>
        </w:rPr>
        <w:t>מ"י נ' חסן</w:t>
      </w:r>
      <w:r>
        <w:rPr>
          <w:rFonts w:ascii="Arial Unicode MS" w:eastAsia="Arial Unicode MS" w:hAnsi="Arial Unicode MS" w:hint="cs"/>
          <w:rtl/>
          <w:lang w:eastAsia="he-IL"/>
        </w:rPr>
        <w:t xml:space="preserve"> (10/11/09) מפי כב' הש' דנציגר).</w:t>
      </w:r>
    </w:p>
    <w:p w14:paraId="05D87B8E" w14:textId="77777777" w:rsidR="00D62B03" w:rsidRDefault="00A23CBB">
      <w:pPr>
        <w:spacing w:line="360" w:lineRule="auto"/>
        <w:jc w:val="both"/>
        <w:rPr>
          <w:rFonts w:ascii="Arial Unicode MS" w:eastAsia="Arial Unicode MS" w:hAnsi="Arial Unicode MS"/>
          <w:rtl/>
          <w:lang w:eastAsia="he-IL"/>
        </w:rPr>
      </w:pPr>
      <w:r>
        <w:rPr>
          <w:rFonts w:ascii="Arial Unicode MS" w:eastAsia="Arial Unicode MS" w:hAnsi="Arial Unicode MS" w:hint="cs"/>
          <w:rtl/>
          <w:lang w:eastAsia="he-IL"/>
        </w:rPr>
        <w:tab/>
      </w:r>
    </w:p>
    <w:p w14:paraId="5D08BD51" w14:textId="77777777" w:rsidR="00D62B03" w:rsidRDefault="00A23CBB">
      <w:pPr>
        <w:spacing w:line="360" w:lineRule="auto"/>
        <w:ind w:left="720"/>
        <w:jc w:val="both"/>
        <w:rPr>
          <w:rFonts w:ascii="Arial Unicode MS" w:eastAsia="Arial Unicode MS" w:hAnsi="Arial Unicode MS"/>
          <w:rtl/>
          <w:lang w:eastAsia="he-IL"/>
        </w:rPr>
      </w:pPr>
      <w:r>
        <w:rPr>
          <w:rFonts w:ascii="Arial Unicode MS" w:eastAsia="Arial Unicode MS" w:hAnsi="Arial Unicode MS" w:hint="cs"/>
          <w:rtl/>
          <w:lang w:eastAsia="he-IL"/>
        </w:rPr>
        <w:t xml:space="preserve">רבות נכתב אודות פוטנציאל הסיכון הגלום בעבירות בנשק, ועל הצורך בהחמרת הענישה בעבירות של אחזקה, נשיאה ושימוש בנשק חם מסוגים שונים. בית המשפט העליון חזר וציין את זמינותו של הנשק החם, הקלות הבלתי נסבלת בה נעשה בו שימוש, אפילו בעקבות סכסוכים קלי ערך ("סכסוכי זוטא"), ואת חובתו של בית המשפט לתרום חלקו להרתעה ומניעה של תופעה נלוזה זאת. </w:t>
      </w:r>
    </w:p>
    <w:p w14:paraId="3353B840" w14:textId="77777777" w:rsidR="00D62B03" w:rsidRDefault="00D62B03">
      <w:pPr>
        <w:spacing w:line="360" w:lineRule="auto"/>
        <w:ind w:left="720"/>
        <w:jc w:val="both"/>
        <w:rPr>
          <w:rFonts w:ascii="Arial Unicode MS" w:eastAsia="Arial Unicode MS" w:hAnsi="Arial Unicode MS"/>
          <w:rtl/>
          <w:lang w:eastAsia="he-IL"/>
        </w:rPr>
      </w:pPr>
    </w:p>
    <w:p w14:paraId="2DD03157" w14:textId="77777777" w:rsidR="00D62B03" w:rsidRDefault="00A23CBB">
      <w:pPr>
        <w:spacing w:line="360" w:lineRule="auto"/>
        <w:ind w:left="720"/>
        <w:jc w:val="both"/>
        <w:rPr>
          <w:rFonts w:ascii="Arial" w:hAnsi="Arial"/>
          <w:color w:val="000000"/>
          <w:rtl/>
        </w:rPr>
      </w:pPr>
      <w:r>
        <w:rPr>
          <w:rFonts w:ascii="Arial Unicode MS" w:eastAsia="Arial Unicode MS" w:hAnsi="Arial Unicode MS" w:hint="cs"/>
          <w:rtl/>
          <w:lang w:eastAsia="he-IL"/>
        </w:rPr>
        <w:t xml:space="preserve">יפים לענייננו דבריו של כב' הש' </w:t>
      </w:r>
      <w:r>
        <w:rPr>
          <w:rFonts w:ascii="Arial" w:hAnsi="Arial" w:hint="cs"/>
          <w:color w:val="000000"/>
          <w:rtl/>
        </w:rPr>
        <w:t>רובינשטיין ב</w:t>
      </w:r>
      <w:hyperlink r:id="rId53" w:history="1">
        <w:r w:rsidR="007A7C35" w:rsidRPr="007A7C35">
          <w:rPr>
            <w:rStyle w:val="Hyperlink"/>
            <w:rFonts w:ascii="Arial" w:hAnsi="Arial"/>
            <w:rtl/>
          </w:rPr>
          <w:t>ע"פ 262/06</w:t>
        </w:r>
      </w:hyperlink>
      <w:r>
        <w:rPr>
          <w:rFonts w:ascii="Arial" w:hAnsi="Arial" w:hint="cs"/>
          <w:color w:val="000000"/>
          <w:rtl/>
        </w:rPr>
        <w:t xml:space="preserve"> </w:t>
      </w:r>
      <w:r>
        <w:rPr>
          <w:rFonts w:ascii="Arial" w:hAnsi="Arial" w:hint="cs"/>
          <w:b/>
          <w:bCs/>
          <w:color w:val="000000"/>
          <w:rtl/>
        </w:rPr>
        <w:t>פלוני נ' מ"י</w:t>
      </w:r>
      <w:r>
        <w:rPr>
          <w:rFonts w:ascii="Arial" w:hAnsi="Arial" w:hint="cs"/>
          <w:color w:val="000000"/>
          <w:rtl/>
        </w:rPr>
        <w:t>, (6/7/06):</w:t>
      </w:r>
    </w:p>
    <w:p w14:paraId="27019207" w14:textId="77777777" w:rsidR="00D62B03" w:rsidRDefault="00D62B03">
      <w:pPr>
        <w:spacing w:line="360" w:lineRule="auto"/>
        <w:ind w:left="720" w:hanging="720"/>
        <w:jc w:val="both"/>
        <w:rPr>
          <w:rFonts w:cs="Miriam"/>
          <w:rtl/>
        </w:rPr>
      </w:pPr>
    </w:p>
    <w:p w14:paraId="024BCB99" w14:textId="77777777" w:rsidR="00D62B03" w:rsidRDefault="00A23CBB">
      <w:pPr>
        <w:spacing w:line="360" w:lineRule="auto"/>
        <w:ind w:left="1440"/>
        <w:jc w:val="both"/>
        <w:rPr>
          <w:rFonts w:cs="Miriam"/>
          <w:rtl/>
        </w:rPr>
      </w:pPr>
      <w:r>
        <w:rPr>
          <w:rFonts w:cs="Miriam" w:hint="cs"/>
          <w:rtl/>
        </w:rPr>
        <w:t>"סוג עבירות זה, שעניינן בקבוקי תבערה, מחייב ענישה מחמירה. תוצאותיו של בקבוק תבערה, וכבר היו דברים מעולם, עלולות להיות קשות ביותר וראוי איפה כי יצא הקול שהענישה בכגון דא לא תהא קלה. בטחון הציבור אינו יכול להיות הפקר ונתון לאימה, בכביש, בבית החולים, באוניברסיטה, בתחנת הדלק, ואלה המקומות אליהם כיוונו המערער וחבריו את מעשיהם..."</w:t>
      </w:r>
    </w:p>
    <w:p w14:paraId="30CE50C6" w14:textId="77777777" w:rsidR="00D62B03" w:rsidRDefault="00D62B03">
      <w:pPr>
        <w:spacing w:line="360" w:lineRule="auto"/>
        <w:ind w:left="720"/>
        <w:jc w:val="both"/>
        <w:rPr>
          <w:rFonts w:ascii="Arial Unicode MS" w:eastAsia="Arial Unicode MS" w:hAnsi="Arial Unicode MS"/>
          <w:rtl/>
          <w:lang w:eastAsia="he-IL"/>
        </w:rPr>
      </w:pPr>
    </w:p>
    <w:p w14:paraId="75FD8B81" w14:textId="77777777" w:rsidR="00D62B03" w:rsidRDefault="00A23CBB">
      <w:pPr>
        <w:spacing w:line="360" w:lineRule="auto"/>
        <w:ind w:left="720"/>
        <w:jc w:val="both"/>
        <w:rPr>
          <w:rFonts w:ascii="Arial Unicode MS" w:eastAsia="Arial Unicode MS" w:hAnsi="Arial Unicode MS"/>
          <w:rtl/>
          <w:lang w:eastAsia="he-IL"/>
        </w:rPr>
      </w:pPr>
      <w:r>
        <w:rPr>
          <w:rFonts w:ascii="Arial Unicode MS" w:eastAsia="Arial Unicode MS" w:hAnsi="Arial Unicode MS" w:hint="cs"/>
          <w:rtl/>
          <w:lang w:eastAsia="he-IL"/>
        </w:rPr>
        <w:t xml:space="preserve">וכן,  </w:t>
      </w:r>
    </w:p>
    <w:p w14:paraId="1ADDC0F6" w14:textId="77777777" w:rsidR="00D62B03" w:rsidRDefault="00A23CBB">
      <w:pPr>
        <w:spacing w:line="360" w:lineRule="auto"/>
        <w:ind w:left="1440"/>
        <w:jc w:val="both"/>
        <w:rPr>
          <w:rtl/>
        </w:rPr>
      </w:pPr>
      <w:r>
        <w:rPr>
          <w:rFonts w:cs="Miriam" w:hint="cs"/>
          <w:rtl/>
        </w:rPr>
        <w:t>"בית המשפט המחוזי עמד על הסיכון הנשקף לביטחון הציבור מאירועים שכאלה ואת ההכרח בענישה מחמירה. ידוי בקבוקי תבערה כמוהו כשימוש בנשק חם אשר יכול לגרום לפגיעות חמורות בגוף וברכוש". (</w:t>
      </w:r>
      <w:hyperlink r:id="rId54" w:history="1">
        <w:r w:rsidR="007A7C35" w:rsidRPr="007A7C35">
          <w:rPr>
            <w:rStyle w:val="Hyperlink"/>
            <w:rFonts w:ascii="Arial" w:hAnsi="Arial"/>
            <w:rtl/>
          </w:rPr>
          <w:t>ע"פ 3063/12</w:t>
        </w:r>
      </w:hyperlink>
      <w:r>
        <w:rPr>
          <w:rFonts w:ascii="Arial" w:hAnsi="Arial" w:hint="cs"/>
          <w:color w:val="000000"/>
          <w:rtl/>
        </w:rPr>
        <w:t xml:space="preserve">  </w:t>
      </w:r>
      <w:r>
        <w:rPr>
          <w:rFonts w:ascii="Arial" w:hAnsi="Arial" w:hint="cs"/>
          <w:b/>
          <w:bCs/>
          <w:color w:val="000000"/>
          <w:rtl/>
        </w:rPr>
        <w:t>מ"י נ' עודה</w:t>
      </w:r>
      <w:r>
        <w:rPr>
          <w:rFonts w:ascii="Arial" w:hAnsi="Arial" w:hint="cs"/>
          <w:color w:val="000000"/>
          <w:rtl/>
        </w:rPr>
        <w:t xml:space="preserve"> (28/5/12), מפי כב' הש' עמית, נאור וסולברג).</w:t>
      </w:r>
    </w:p>
    <w:p w14:paraId="484062D3" w14:textId="77777777" w:rsidR="00D62B03" w:rsidRDefault="00D62B03">
      <w:pPr>
        <w:spacing w:line="360" w:lineRule="auto"/>
        <w:ind w:left="720"/>
        <w:jc w:val="both"/>
        <w:rPr>
          <w:rFonts w:cs="Miriam"/>
          <w:rtl/>
        </w:rPr>
      </w:pPr>
    </w:p>
    <w:p w14:paraId="691C211A" w14:textId="77777777" w:rsidR="00D62B03" w:rsidRDefault="00A23CBB">
      <w:pPr>
        <w:spacing w:line="360" w:lineRule="auto"/>
        <w:ind w:left="720"/>
        <w:jc w:val="both"/>
        <w:rPr>
          <w:rtl/>
          <w:lang w:eastAsia="he-IL"/>
        </w:rPr>
      </w:pPr>
      <w:r>
        <w:rPr>
          <w:rFonts w:hint="cs"/>
          <w:rtl/>
          <w:lang w:eastAsia="he-IL"/>
        </w:rPr>
        <w:t xml:space="preserve">לסיכום, על בית המשפט לשרש תופעות אלימות אלה מן השורש, ולהטיל על מבצעיהן עונשים חמורים, אשר יהלמו את חומרת המעשים, על פוטנציאל הסיכון הנגרם מהם. </w:t>
      </w:r>
    </w:p>
    <w:p w14:paraId="772EC439" w14:textId="77777777" w:rsidR="00D62B03" w:rsidRDefault="00D62B03">
      <w:pPr>
        <w:ind w:left="720"/>
        <w:jc w:val="both"/>
        <w:rPr>
          <w:rFonts w:cs="Times New Roman"/>
          <w:rtl/>
          <w:lang w:eastAsia="he-IL"/>
        </w:rPr>
      </w:pPr>
    </w:p>
    <w:p w14:paraId="582AC07B" w14:textId="77777777" w:rsidR="00D62B03" w:rsidRDefault="00A23CBB">
      <w:pPr>
        <w:spacing w:line="360" w:lineRule="auto"/>
        <w:ind w:left="720"/>
        <w:jc w:val="both"/>
        <w:rPr>
          <w:rtl/>
          <w:lang w:eastAsia="he-IL"/>
        </w:rPr>
      </w:pPr>
      <w:r>
        <w:rPr>
          <w:rFonts w:ascii="Arial" w:hAnsi="Arial" w:hint="cs"/>
          <w:rtl/>
        </w:rPr>
        <w:t xml:space="preserve">שני הצדדים הביאו בפניי פסיקה ענפה בעבירות דומות, ובה קשת רחבה של עונשים, זה בכה וזה בכה. </w:t>
      </w:r>
      <w:r>
        <w:rPr>
          <w:rFonts w:hint="cs"/>
          <w:rtl/>
          <w:lang w:eastAsia="he-IL"/>
        </w:rPr>
        <w:t xml:space="preserve">המאשימה הפנתה בין השאר לפסיקה בעבירות דומות אך לא זהות, שם נגזרו עונשי מאסר בפועל בטווח של בין 30 חודשי מאסר ל-66 חודשי מאסר בפועל. (ראו: </w:t>
      </w:r>
      <w:hyperlink r:id="rId55" w:history="1">
        <w:r w:rsidR="007A7C35" w:rsidRPr="007A7C35">
          <w:rPr>
            <w:rStyle w:val="Hyperlink"/>
            <w:rtl/>
            <w:lang w:eastAsia="he-IL"/>
          </w:rPr>
          <w:t>ע"פ 2957/10</w:t>
        </w:r>
      </w:hyperlink>
      <w:r>
        <w:rPr>
          <w:rFonts w:hint="cs"/>
          <w:rtl/>
          <w:lang w:eastAsia="he-IL"/>
        </w:rPr>
        <w:t xml:space="preserve"> </w:t>
      </w:r>
      <w:r>
        <w:rPr>
          <w:rFonts w:hint="cs"/>
          <w:b/>
          <w:bCs/>
          <w:rtl/>
          <w:lang w:eastAsia="he-IL"/>
        </w:rPr>
        <w:t>אלאטרש נ' מ"י</w:t>
      </w:r>
      <w:r>
        <w:rPr>
          <w:rFonts w:hint="cs"/>
          <w:rtl/>
          <w:lang w:eastAsia="he-IL"/>
        </w:rPr>
        <w:t xml:space="preserve"> (19/12/12) מפי כב' הש' פוגלמן; </w:t>
      </w:r>
      <w:hyperlink r:id="rId56" w:history="1">
        <w:r w:rsidR="007A7C35" w:rsidRPr="007A7C35">
          <w:rPr>
            <w:rStyle w:val="Hyperlink"/>
            <w:rtl/>
            <w:lang w:eastAsia="he-IL"/>
          </w:rPr>
          <w:t>ע"פ 6022/10</w:t>
        </w:r>
      </w:hyperlink>
      <w:r>
        <w:rPr>
          <w:rFonts w:hint="cs"/>
          <w:rtl/>
          <w:lang w:eastAsia="he-IL"/>
        </w:rPr>
        <w:t xml:space="preserve"> </w:t>
      </w:r>
      <w:r>
        <w:rPr>
          <w:rFonts w:hint="cs"/>
          <w:b/>
          <w:bCs/>
          <w:rtl/>
          <w:lang w:eastAsia="he-IL"/>
        </w:rPr>
        <w:t>שלעאטה נ' מ"י</w:t>
      </w:r>
      <w:r>
        <w:rPr>
          <w:rFonts w:hint="cs"/>
          <w:rtl/>
          <w:lang w:eastAsia="he-IL"/>
        </w:rPr>
        <w:t xml:space="preserve"> (28/12/11) מפי כב' הש' עמית; </w:t>
      </w:r>
      <w:hyperlink r:id="rId57" w:history="1">
        <w:r w:rsidR="00CF1EF2" w:rsidRPr="00CF1EF2">
          <w:rPr>
            <w:rStyle w:val="Hyperlink"/>
            <w:rtl/>
            <w:lang w:eastAsia="he-IL"/>
          </w:rPr>
          <w:t xml:space="preserve">ת"פ 58599/05/12 </w:t>
        </w:r>
      </w:hyperlink>
      <w:r>
        <w:rPr>
          <w:rFonts w:hint="cs"/>
          <w:rtl/>
          <w:lang w:eastAsia="he-IL"/>
        </w:rPr>
        <w:t xml:space="preserve"> מ"י משעל (19/12/12) מפי כב' הש' פיש; </w:t>
      </w:r>
      <w:hyperlink r:id="rId58" w:history="1">
        <w:r w:rsidR="00CF1EF2" w:rsidRPr="00CF1EF2">
          <w:rPr>
            <w:rStyle w:val="Hyperlink"/>
            <w:rtl/>
            <w:lang w:eastAsia="he-IL"/>
          </w:rPr>
          <w:t xml:space="preserve">ת"פ 19737/06/12 </w:t>
        </w:r>
      </w:hyperlink>
      <w:r>
        <w:rPr>
          <w:rFonts w:hint="cs"/>
          <w:rtl/>
          <w:lang w:eastAsia="he-IL"/>
        </w:rPr>
        <w:t xml:space="preserve"> מ"י נ' אטיאס (24/10/12) מפי כב' הש' שיף; </w:t>
      </w:r>
      <w:hyperlink r:id="rId59" w:history="1">
        <w:r w:rsidR="00CF1EF2" w:rsidRPr="00CF1EF2">
          <w:rPr>
            <w:rStyle w:val="Hyperlink"/>
            <w:rtl/>
            <w:lang w:eastAsia="he-IL"/>
          </w:rPr>
          <w:t xml:space="preserve">ת"פ 28097/11/10 </w:t>
        </w:r>
      </w:hyperlink>
      <w:r>
        <w:rPr>
          <w:rFonts w:hint="cs"/>
          <w:rtl/>
          <w:lang w:eastAsia="he-IL"/>
        </w:rPr>
        <w:t xml:space="preserve"> מ"י נ' חלבי (31/5/11) מפי כב' הש' שיף; </w:t>
      </w:r>
      <w:r w:rsidRPr="00090326">
        <w:rPr>
          <w:color w:val="000000"/>
          <w:rtl/>
          <w:lang w:eastAsia="he-IL"/>
        </w:rPr>
        <w:t>ת"פ 8594/06/09</w:t>
      </w:r>
      <w:r>
        <w:rPr>
          <w:rFonts w:hint="cs"/>
          <w:rtl/>
          <w:lang w:eastAsia="he-IL"/>
        </w:rPr>
        <w:t xml:space="preserve"> (6/5/10) מבית משפט זה; </w:t>
      </w:r>
      <w:hyperlink r:id="rId60" w:history="1">
        <w:r w:rsidR="007A7C35" w:rsidRPr="007A7C35">
          <w:rPr>
            <w:rStyle w:val="Hyperlink"/>
            <w:rtl/>
            <w:lang w:eastAsia="he-IL"/>
          </w:rPr>
          <w:t>ת"פ 40242/08</w:t>
        </w:r>
      </w:hyperlink>
      <w:r>
        <w:rPr>
          <w:rFonts w:hint="cs"/>
          <w:rtl/>
          <w:lang w:eastAsia="he-IL"/>
        </w:rPr>
        <w:t xml:space="preserve"> </w:t>
      </w:r>
      <w:r>
        <w:rPr>
          <w:rFonts w:hint="cs"/>
          <w:b/>
          <w:bCs/>
          <w:rtl/>
          <w:lang w:eastAsia="he-IL"/>
        </w:rPr>
        <w:t>מ"י נ' אהרוני</w:t>
      </w:r>
      <w:r>
        <w:rPr>
          <w:rFonts w:hint="cs"/>
          <w:rtl/>
          <w:lang w:eastAsia="he-IL"/>
        </w:rPr>
        <w:t xml:space="preserve"> (10/5/10) מפי כב' הש' מודריק; </w:t>
      </w:r>
      <w:r w:rsidRPr="00090326">
        <w:rPr>
          <w:color w:val="000000"/>
          <w:rtl/>
          <w:lang w:eastAsia="he-IL"/>
        </w:rPr>
        <w:t>ת"פ 7086/09</w:t>
      </w:r>
      <w:r>
        <w:rPr>
          <w:rFonts w:hint="cs"/>
          <w:rtl/>
          <w:lang w:eastAsia="he-IL"/>
        </w:rPr>
        <w:t xml:space="preserve"> </w:t>
      </w:r>
      <w:r>
        <w:rPr>
          <w:rFonts w:hint="cs"/>
          <w:b/>
          <w:bCs/>
          <w:rtl/>
          <w:lang w:eastAsia="he-IL"/>
        </w:rPr>
        <w:t>מ"י נ' הייתם</w:t>
      </w:r>
      <w:r>
        <w:rPr>
          <w:rFonts w:hint="cs"/>
          <w:rtl/>
          <w:lang w:eastAsia="he-IL"/>
        </w:rPr>
        <w:t xml:space="preserve"> (19/1/09) מפי כב' הש' רניאל.</w:t>
      </w:r>
    </w:p>
    <w:p w14:paraId="7B271F99" w14:textId="77777777" w:rsidR="00D62B03" w:rsidRDefault="00D62B03">
      <w:pPr>
        <w:ind w:left="720"/>
        <w:jc w:val="both"/>
        <w:rPr>
          <w:rtl/>
          <w:lang w:eastAsia="he-IL"/>
        </w:rPr>
      </w:pPr>
    </w:p>
    <w:p w14:paraId="26F42685" w14:textId="77777777" w:rsidR="00D62B03" w:rsidRDefault="00A23CBB">
      <w:pPr>
        <w:spacing w:line="360" w:lineRule="auto"/>
        <w:ind w:left="720"/>
        <w:jc w:val="both"/>
        <w:rPr>
          <w:rFonts w:ascii="Arial" w:hAnsi="Arial"/>
          <w:rtl/>
        </w:rPr>
      </w:pPr>
      <w:r>
        <w:rPr>
          <w:rFonts w:ascii="Arial" w:hAnsi="Arial" w:hint="cs"/>
          <w:rtl/>
        </w:rPr>
        <w:t>סנגורו של נאשם הפנה לפסקי דין בהם נגזרו בגין על נאשמים בעבירות דומות אך לא זהות, בין 4 ל-6 חודשי מאסר, עם אפשרות שירוצו בעבודות שירות. (</w:t>
      </w:r>
      <w:hyperlink r:id="rId61" w:history="1">
        <w:r w:rsidR="00CF1EF2" w:rsidRPr="00CF1EF2">
          <w:rPr>
            <w:rStyle w:val="Hyperlink"/>
            <w:rFonts w:ascii="Arial" w:hAnsi="Arial"/>
            <w:rtl/>
          </w:rPr>
          <w:t>ת"פ 12794/06/10</w:t>
        </w:r>
      </w:hyperlink>
      <w:r>
        <w:rPr>
          <w:rFonts w:ascii="Arial" w:hAnsi="Arial" w:hint="cs"/>
          <w:rtl/>
        </w:rPr>
        <w:t xml:space="preserve"> </w:t>
      </w:r>
      <w:r>
        <w:rPr>
          <w:rFonts w:ascii="Arial" w:hAnsi="Arial" w:hint="cs"/>
          <w:b/>
          <w:bCs/>
          <w:rtl/>
        </w:rPr>
        <w:t>מ"י נ' ג'עאפרה</w:t>
      </w:r>
      <w:r>
        <w:rPr>
          <w:rFonts w:ascii="Arial" w:hAnsi="Arial" w:hint="cs"/>
          <w:rtl/>
        </w:rPr>
        <w:t xml:space="preserve"> ואח' (16/5/11) מפי כב' הש' כרמל; </w:t>
      </w:r>
      <w:hyperlink r:id="rId62" w:history="1">
        <w:r w:rsidR="007A7C35" w:rsidRPr="007A7C35">
          <w:rPr>
            <w:rStyle w:val="Hyperlink"/>
            <w:rFonts w:ascii="Arial" w:hAnsi="Arial"/>
            <w:rtl/>
          </w:rPr>
          <w:t>ת"פ 8366/05</w:t>
        </w:r>
      </w:hyperlink>
      <w:r>
        <w:rPr>
          <w:rFonts w:ascii="Arial" w:hAnsi="Arial" w:hint="cs"/>
          <w:rtl/>
        </w:rPr>
        <w:t xml:space="preserve"> </w:t>
      </w:r>
      <w:r>
        <w:rPr>
          <w:rFonts w:ascii="Arial" w:hAnsi="Arial" w:hint="cs"/>
          <w:b/>
          <w:bCs/>
          <w:rtl/>
        </w:rPr>
        <w:t>מ"י נ' אבולקיעאן</w:t>
      </w:r>
      <w:r>
        <w:rPr>
          <w:rFonts w:ascii="Arial" w:hAnsi="Arial" w:hint="cs"/>
          <w:rtl/>
        </w:rPr>
        <w:t xml:space="preserve"> (16/4/08) מפי כב' הש' אבידע; </w:t>
      </w:r>
      <w:hyperlink r:id="rId63" w:history="1">
        <w:r w:rsidR="00CF1EF2" w:rsidRPr="00CF1EF2">
          <w:rPr>
            <w:rStyle w:val="Hyperlink"/>
            <w:rFonts w:ascii="Arial" w:hAnsi="Arial"/>
            <w:rtl/>
          </w:rPr>
          <w:t>ת"פ 31215/08/11</w:t>
        </w:r>
      </w:hyperlink>
      <w:r>
        <w:rPr>
          <w:rFonts w:ascii="Arial" w:hAnsi="Arial" w:hint="cs"/>
          <w:rtl/>
        </w:rPr>
        <w:t xml:space="preserve"> </w:t>
      </w:r>
      <w:r>
        <w:rPr>
          <w:rFonts w:ascii="Arial" w:hAnsi="Arial" w:hint="cs"/>
          <w:b/>
          <w:bCs/>
          <w:rtl/>
        </w:rPr>
        <w:t>מ"י נ' גורביץ</w:t>
      </w:r>
      <w:r>
        <w:rPr>
          <w:rFonts w:ascii="Arial" w:hAnsi="Arial" w:hint="cs"/>
          <w:rtl/>
        </w:rPr>
        <w:t xml:space="preserve"> (16/1/13) מבית משפט זה.</w:t>
      </w:r>
    </w:p>
    <w:p w14:paraId="7F76928E" w14:textId="77777777" w:rsidR="00D62B03" w:rsidRDefault="00D62B03">
      <w:pPr>
        <w:spacing w:line="360" w:lineRule="auto"/>
        <w:ind w:left="720"/>
        <w:jc w:val="both"/>
        <w:rPr>
          <w:rFonts w:ascii="Arial" w:hAnsi="Arial"/>
          <w:rtl/>
        </w:rPr>
      </w:pPr>
    </w:p>
    <w:p w14:paraId="02E1546A" w14:textId="77777777" w:rsidR="00D62B03" w:rsidRDefault="00A23CBB">
      <w:pPr>
        <w:spacing w:line="360" w:lineRule="auto"/>
        <w:ind w:left="720"/>
        <w:jc w:val="both"/>
        <w:rPr>
          <w:rFonts w:ascii="Arial" w:hAnsi="Arial"/>
          <w:rtl/>
        </w:rPr>
      </w:pPr>
      <w:r>
        <w:rPr>
          <w:rFonts w:ascii="Arial" w:hAnsi="Arial" w:hint="cs"/>
          <w:rtl/>
        </w:rPr>
        <w:t>לענין האופן בו יקבע מתחם הענישה, נקבע כי "אין לטעות ולזהות בין מתחם העונש ההולם לבין טווח הענישה הנהגו. מדובר ב"יצורים שונים". (</w:t>
      </w:r>
      <w:hyperlink r:id="rId64" w:history="1">
        <w:r w:rsidR="007A7C35" w:rsidRPr="007A7C35">
          <w:rPr>
            <w:rStyle w:val="Hyperlink"/>
            <w:rFonts w:ascii="Arial" w:hAnsi="Arial"/>
            <w:rtl/>
          </w:rPr>
          <w:t>ע"פ 1323/13</w:t>
        </w:r>
      </w:hyperlink>
      <w:r>
        <w:rPr>
          <w:rFonts w:ascii="Arial" w:hAnsi="Arial" w:hint="cs"/>
          <w:rtl/>
        </w:rPr>
        <w:t xml:space="preserve"> </w:t>
      </w:r>
      <w:r>
        <w:rPr>
          <w:rFonts w:ascii="Arial" w:hAnsi="Arial" w:hint="cs"/>
          <w:b/>
          <w:bCs/>
          <w:rtl/>
        </w:rPr>
        <w:t xml:space="preserve">רד חסן נ' מ"י </w:t>
      </w:r>
      <w:r>
        <w:rPr>
          <w:rFonts w:ascii="Arial" w:hAnsi="Arial" w:hint="cs"/>
          <w:rtl/>
        </w:rPr>
        <w:t xml:space="preserve">(5/6/13, מפי כב' הש' ארבל). </w:t>
      </w:r>
    </w:p>
    <w:p w14:paraId="19701FAE" w14:textId="77777777" w:rsidR="00D62B03" w:rsidRDefault="00D62B03">
      <w:pPr>
        <w:tabs>
          <w:tab w:val="left" w:pos="800"/>
        </w:tabs>
        <w:overflowPunct w:val="0"/>
        <w:autoSpaceDE w:val="0"/>
        <w:autoSpaceDN w:val="0"/>
        <w:adjustRightInd w:val="0"/>
        <w:spacing w:line="360" w:lineRule="auto"/>
        <w:ind w:left="720"/>
        <w:jc w:val="both"/>
        <w:rPr>
          <w:rFonts w:ascii="Arial TUR" w:hAnsi="Arial TUR"/>
          <w:spacing w:val="10"/>
          <w:rtl/>
        </w:rPr>
      </w:pPr>
    </w:p>
    <w:p w14:paraId="7D7C2064" w14:textId="77777777" w:rsidR="00D62B03" w:rsidRDefault="00A23CBB">
      <w:pPr>
        <w:spacing w:line="360" w:lineRule="auto"/>
        <w:ind w:left="720"/>
        <w:jc w:val="both"/>
        <w:rPr>
          <w:rtl/>
        </w:rPr>
      </w:pPr>
      <w:r>
        <w:rPr>
          <w:rFonts w:hint="cs"/>
          <w:rtl/>
        </w:rPr>
        <w:t>הנאשם עבר עבירות של ייצור נשק, החזקת נשק, נשיאת נשק וחבלה בכוונה מחמירה, אשר רק על עבירה זאת העונש הקבוע ב</w:t>
      </w:r>
      <w:hyperlink r:id="rId65" w:history="1">
        <w:r w:rsidR="007A7C35" w:rsidRPr="007A7C35">
          <w:rPr>
            <w:rStyle w:val="Hyperlink"/>
            <w:rtl/>
          </w:rPr>
          <w:t>חוק העונשין</w:t>
        </w:r>
      </w:hyperlink>
      <w:r>
        <w:rPr>
          <w:rFonts w:hint="cs"/>
          <w:rtl/>
        </w:rPr>
        <w:t xml:space="preserve"> הנו עשרים שנה. לענין רף הענישה בעבירות חבלה בכוונה מחמירה, מדובר בשנות מאסר ממושכות. </w:t>
      </w:r>
    </w:p>
    <w:p w14:paraId="1DF3866E" w14:textId="77777777" w:rsidR="00D62B03" w:rsidRDefault="00D62B03">
      <w:pPr>
        <w:spacing w:line="360" w:lineRule="auto"/>
        <w:ind w:left="1646"/>
        <w:jc w:val="both"/>
        <w:rPr>
          <w:rFonts w:cs="Miriam"/>
          <w:rtl/>
        </w:rPr>
      </w:pPr>
    </w:p>
    <w:p w14:paraId="2278E53B" w14:textId="77777777" w:rsidR="00D62B03" w:rsidRDefault="00A23CBB">
      <w:pPr>
        <w:spacing w:line="360" w:lineRule="auto"/>
        <w:ind w:left="720"/>
        <w:jc w:val="both"/>
        <w:rPr>
          <w:rtl/>
        </w:rPr>
      </w:pPr>
      <w:r>
        <w:rPr>
          <w:rFonts w:hint="cs"/>
          <w:rtl/>
        </w:rPr>
        <w:t xml:space="preserve">בנסיבות העניין נוכח חומרת העבירה של זריקת בקבוקי תבערה לכיוון קבוצת אנשים, עבירה אשר הצריכה תכנון מקדים, נסיעה, רכישת חומרים ליצירת בקבוקי התבערה, ייצור בקבוקי התבערה ושימושם מחד גיסא, והעובדה כי למרבה המזל לא נגרם כל נזק לאיש,  אני רואה להעמיד את מתחם הענישה בין שלוש לשש שנות מאסר.  </w:t>
      </w:r>
    </w:p>
    <w:p w14:paraId="12FED5EA" w14:textId="77777777" w:rsidR="00D62B03" w:rsidRDefault="00D62B03">
      <w:pPr>
        <w:spacing w:line="360" w:lineRule="auto"/>
        <w:ind w:left="746"/>
        <w:jc w:val="both"/>
        <w:rPr>
          <w:rtl/>
        </w:rPr>
      </w:pPr>
    </w:p>
    <w:p w14:paraId="55611E70" w14:textId="77777777" w:rsidR="00D62B03" w:rsidRDefault="00A23CBB">
      <w:pPr>
        <w:spacing w:line="360" w:lineRule="auto"/>
        <w:ind w:left="720" w:hanging="720"/>
        <w:jc w:val="both"/>
        <w:rPr>
          <w:rFonts w:ascii="Arial" w:hAnsi="Arial"/>
          <w:color w:val="000000"/>
        </w:rPr>
      </w:pPr>
      <w:r>
        <w:rPr>
          <w:rFonts w:hint="cs"/>
          <w:b/>
          <w:bCs/>
          <w:rtl/>
          <w:lang w:eastAsia="he-IL"/>
        </w:rPr>
        <w:t>11</w:t>
      </w:r>
      <w:r>
        <w:rPr>
          <w:rFonts w:hint="cs"/>
          <w:rtl/>
          <w:lang w:eastAsia="he-IL"/>
        </w:rPr>
        <w:t>.</w:t>
      </w:r>
      <w:r>
        <w:rPr>
          <w:rFonts w:hint="cs"/>
          <w:rtl/>
          <w:lang w:eastAsia="he-IL"/>
        </w:rPr>
        <w:tab/>
      </w:r>
      <w:r>
        <w:rPr>
          <w:rFonts w:hint="cs"/>
          <w:rtl/>
        </w:rPr>
        <w:t xml:space="preserve">ועוד, לעקרון ההלימה נקבעו שני חריגים, לקולא ולחומרא. </w:t>
      </w:r>
      <w:r>
        <w:rPr>
          <w:rFonts w:ascii="Arial" w:hAnsi="Arial" w:hint="cs"/>
          <w:color w:val="000000"/>
          <w:rtl/>
        </w:rPr>
        <w:t xml:space="preserve">החריג לקולא נוגע לשיקום הנאשם, כאשר לדעת בית המשפט הוא  בעל פוטנציאל שקומי. חריג זה יינתן, בין היתר, תוך התחשבות בנסיבותיו האישיות של הנאשם שאינן קשורות בביצוע העבירה,  ובפגיעה של העונש בנאשם, לרבות בשל גילו, כגון בענין ה"בגירים הצעירים". החריג לחומרא ניתן לצורך הגנה על שלום הציבור ובטחונו מפני נאשמים לגביהם נקבע כי הם מסוכנים לזולת.  </w:t>
      </w:r>
    </w:p>
    <w:p w14:paraId="09D9A3E1" w14:textId="77777777" w:rsidR="00D62B03" w:rsidRDefault="00D62B03">
      <w:pPr>
        <w:spacing w:line="360" w:lineRule="auto"/>
        <w:ind w:left="720" w:hanging="720"/>
        <w:jc w:val="both"/>
        <w:rPr>
          <w:rtl/>
          <w:lang w:eastAsia="he-IL"/>
        </w:rPr>
      </w:pPr>
    </w:p>
    <w:p w14:paraId="7D70A582" w14:textId="77777777" w:rsidR="00D62B03" w:rsidRDefault="00A23CBB">
      <w:pPr>
        <w:spacing w:line="360" w:lineRule="auto"/>
        <w:ind w:left="720" w:hanging="720"/>
        <w:jc w:val="both"/>
        <w:rPr>
          <w:rtl/>
          <w:lang w:eastAsia="he-IL"/>
        </w:rPr>
      </w:pPr>
      <w:r>
        <w:rPr>
          <w:rFonts w:hint="cs"/>
          <w:b/>
          <w:bCs/>
          <w:rtl/>
          <w:lang w:eastAsia="he-IL"/>
        </w:rPr>
        <w:t>12</w:t>
      </w:r>
      <w:r>
        <w:rPr>
          <w:rFonts w:hint="cs"/>
          <w:rtl/>
          <w:lang w:eastAsia="he-IL"/>
        </w:rPr>
        <w:t>.</w:t>
      </w:r>
      <w:r>
        <w:rPr>
          <w:rFonts w:hint="cs"/>
          <w:rtl/>
          <w:lang w:eastAsia="he-IL"/>
        </w:rPr>
        <w:tab/>
        <w:t xml:space="preserve">הענישה היא לעולם אינדיבידואלית, ובית המשפט ישקול גם שיקולים הנוגעים לנסיבותיו האישיות של הנאשם, גילו, עברו, לקיחת אחריות על ידו, חרטתו, וכן השפעת הענישה על שיקומו. (ראו </w:t>
      </w:r>
      <w:hyperlink r:id="rId66" w:history="1">
        <w:r w:rsidR="007A7C35" w:rsidRPr="007A7C35">
          <w:rPr>
            <w:rStyle w:val="Hyperlink"/>
            <w:rtl/>
            <w:lang w:eastAsia="he-IL"/>
          </w:rPr>
          <w:t>ע"פ 10444/06</w:t>
        </w:r>
      </w:hyperlink>
      <w:r>
        <w:rPr>
          <w:rFonts w:hint="cs"/>
          <w:rtl/>
          <w:lang w:eastAsia="he-IL"/>
        </w:rPr>
        <w:t xml:space="preserve"> </w:t>
      </w:r>
      <w:r>
        <w:rPr>
          <w:rFonts w:hint="cs"/>
          <w:b/>
          <w:bCs/>
          <w:rtl/>
          <w:lang w:eastAsia="he-IL"/>
        </w:rPr>
        <w:t xml:space="preserve">עייני נ' מ"י </w:t>
      </w:r>
      <w:r>
        <w:rPr>
          <w:rFonts w:hint="cs"/>
          <w:rtl/>
          <w:lang w:eastAsia="he-IL"/>
        </w:rPr>
        <w:t>(25/4/07) מפי כב' הש' ארבל).</w:t>
      </w:r>
    </w:p>
    <w:p w14:paraId="658A63F6" w14:textId="77777777" w:rsidR="00D62B03" w:rsidRDefault="00D62B03">
      <w:pPr>
        <w:spacing w:line="360" w:lineRule="auto"/>
        <w:ind w:left="720" w:hanging="720"/>
        <w:jc w:val="both"/>
        <w:rPr>
          <w:rtl/>
          <w:lang w:eastAsia="he-IL"/>
        </w:rPr>
      </w:pPr>
    </w:p>
    <w:p w14:paraId="0929B866" w14:textId="77777777" w:rsidR="00D62B03" w:rsidRDefault="00A23CBB">
      <w:pPr>
        <w:spacing w:line="360" w:lineRule="auto"/>
        <w:ind w:left="720"/>
        <w:jc w:val="both"/>
        <w:rPr>
          <w:rtl/>
          <w:lang w:eastAsia="he-IL"/>
        </w:rPr>
      </w:pPr>
      <w:r>
        <w:rPr>
          <w:rFonts w:hint="cs"/>
          <w:b/>
          <w:bCs/>
          <w:rtl/>
          <w:lang w:eastAsia="he-IL"/>
        </w:rPr>
        <w:t>א</w:t>
      </w:r>
      <w:r>
        <w:rPr>
          <w:rFonts w:hint="cs"/>
          <w:rtl/>
          <w:lang w:eastAsia="he-IL"/>
        </w:rPr>
        <w:t xml:space="preserve">. לקולא אני רואה לקחת בחשבון את נסיבותיו האישיות של הנאשם, שעלה מרוסיה בהיותו פעוט, שביצע את העבירה בהיותו חייל בודד וצעיר, בן להורים גרושים, אשר אמו, בעלה השני ואחיו הצעיר היגרו לקנדה, וחרף בקשותיהם בחר להישאר בארץ על מנת לשרת שירות צבאי קרבי ומשמעותי, ולהתגורר אצל סבתו. </w:t>
      </w:r>
    </w:p>
    <w:p w14:paraId="2093E757" w14:textId="77777777" w:rsidR="00D62B03" w:rsidRDefault="00D62B03">
      <w:pPr>
        <w:spacing w:line="360" w:lineRule="auto"/>
        <w:ind w:left="720"/>
        <w:jc w:val="both"/>
        <w:rPr>
          <w:rtl/>
          <w:lang w:eastAsia="he-IL"/>
        </w:rPr>
      </w:pPr>
    </w:p>
    <w:p w14:paraId="651EB69E" w14:textId="77777777" w:rsidR="00D62B03" w:rsidRDefault="00A23CBB">
      <w:pPr>
        <w:spacing w:line="360" w:lineRule="auto"/>
        <w:ind w:left="720"/>
        <w:jc w:val="both"/>
        <w:rPr>
          <w:rFonts w:ascii="Arial" w:hAnsi="Arial"/>
          <w:color w:val="000000"/>
          <w:rtl/>
        </w:rPr>
      </w:pPr>
      <w:r>
        <w:rPr>
          <w:rFonts w:hint="cs"/>
          <w:b/>
          <w:bCs/>
          <w:rtl/>
          <w:lang w:eastAsia="he-IL"/>
        </w:rPr>
        <w:t>ב</w:t>
      </w:r>
      <w:r>
        <w:rPr>
          <w:rFonts w:hint="cs"/>
          <w:rtl/>
          <w:lang w:eastAsia="he-IL"/>
        </w:rPr>
        <w:t>. מדובר בבחור צעיר, שהיה בן 19 בעת ביצוע העבירות נשוא תיק זה, ללא כל הרשעות קודמות. כאשר במקרה של בגירים צעירים, יש לתת משמעות גבוהה יותר לאינטרס השיקום שלהם. (</w:t>
      </w:r>
      <w:r>
        <w:rPr>
          <w:rFonts w:hint="cs"/>
          <w:rtl/>
        </w:rPr>
        <w:t xml:space="preserve">ראו: </w:t>
      </w:r>
      <w:hyperlink r:id="rId67" w:history="1">
        <w:r w:rsidR="007A7C35" w:rsidRPr="007A7C35">
          <w:rPr>
            <w:rStyle w:val="Hyperlink"/>
            <w:rtl/>
          </w:rPr>
          <w:t>ע"פ 7781/12</w:t>
        </w:r>
      </w:hyperlink>
      <w:r>
        <w:rPr>
          <w:rFonts w:hint="cs"/>
          <w:rtl/>
        </w:rPr>
        <w:t xml:space="preserve"> </w:t>
      </w:r>
      <w:r>
        <w:rPr>
          <w:rFonts w:hint="cs"/>
          <w:b/>
          <w:bCs/>
          <w:rtl/>
        </w:rPr>
        <w:t>פלוני נ' מ"י</w:t>
      </w:r>
      <w:r>
        <w:rPr>
          <w:rFonts w:hint="cs"/>
          <w:rtl/>
        </w:rPr>
        <w:t xml:space="preserve"> (3/6/13) מפי כב' הש' ג'ובראן, עמית ושהם; </w:t>
      </w:r>
      <w:r>
        <w:rPr>
          <w:rFonts w:hint="cs"/>
          <w:rtl/>
          <w:lang w:eastAsia="he-IL"/>
        </w:rPr>
        <w:t xml:space="preserve">ראו גם </w:t>
      </w:r>
      <w:hyperlink r:id="rId68" w:history="1">
        <w:r w:rsidR="007A7C35" w:rsidRPr="007A7C35">
          <w:rPr>
            <w:rStyle w:val="Hyperlink"/>
            <w:rtl/>
            <w:lang w:eastAsia="he-IL"/>
          </w:rPr>
          <w:t>ע"פ 6902/12</w:t>
        </w:r>
      </w:hyperlink>
      <w:r>
        <w:rPr>
          <w:rFonts w:hint="cs"/>
          <w:rtl/>
          <w:lang w:eastAsia="he-IL"/>
        </w:rPr>
        <w:t xml:space="preserve"> </w:t>
      </w:r>
      <w:r>
        <w:rPr>
          <w:rFonts w:hint="cs"/>
          <w:b/>
          <w:bCs/>
          <w:rtl/>
          <w:lang w:eastAsia="he-IL"/>
        </w:rPr>
        <w:t>פלוני נ' מ"י</w:t>
      </w:r>
      <w:r>
        <w:rPr>
          <w:rFonts w:hint="cs"/>
          <w:rtl/>
          <w:lang w:eastAsia="he-IL"/>
        </w:rPr>
        <w:t xml:space="preserve"> (18/3/13) מפי כב' הש' זילברטל; </w:t>
      </w:r>
      <w:hyperlink r:id="rId69" w:history="1">
        <w:r w:rsidR="007A7C35" w:rsidRPr="007A7C35">
          <w:rPr>
            <w:rStyle w:val="Hyperlink"/>
            <w:rFonts w:ascii="Arial" w:hAnsi="Arial"/>
            <w:rtl/>
          </w:rPr>
          <w:t>ע"פ 8480/12</w:t>
        </w:r>
      </w:hyperlink>
      <w:r>
        <w:rPr>
          <w:rFonts w:ascii="Arial" w:hAnsi="Arial" w:hint="cs"/>
          <w:color w:val="000000"/>
          <w:rtl/>
        </w:rPr>
        <w:t xml:space="preserve"> </w:t>
      </w:r>
      <w:r>
        <w:rPr>
          <w:rFonts w:ascii="Arial" w:hAnsi="Arial" w:hint="cs"/>
          <w:b/>
          <w:bCs/>
          <w:color w:val="000000"/>
          <w:rtl/>
        </w:rPr>
        <w:t>בלצאו נ' מ"י</w:t>
      </w:r>
      <w:r>
        <w:rPr>
          <w:rFonts w:ascii="Arial" w:hAnsi="Arial" w:hint="cs"/>
          <w:color w:val="000000"/>
          <w:rtl/>
        </w:rPr>
        <w:t xml:space="preserve"> (23/1/13) מפי כב' הש' ג'ובראן, ו</w:t>
      </w:r>
      <w:hyperlink r:id="rId70" w:history="1">
        <w:r w:rsidR="007A7C35" w:rsidRPr="007A7C35">
          <w:rPr>
            <w:rStyle w:val="Hyperlink"/>
            <w:rFonts w:ascii="Arial" w:hAnsi="Arial"/>
            <w:rtl/>
          </w:rPr>
          <w:t>ע"פ 7515/08</w:t>
        </w:r>
      </w:hyperlink>
      <w:r>
        <w:rPr>
          <w:rFonts w:ascii="Arial" w:hAnsi="Arial" w:hint="cs"/>
          <w:color w:val="000000"/>
          <w:rtl/>
        </w:rPr>
        <w:t xml:space="preserve"> </w:t>
      </w:r>
      <w:r>
        <w:rPr>
          <w:rFonts w:ascii="Arial" w:hAnsi="Arial" w:hint="cs"/>
          <w:b/>
          <w:bCs/>
          <w:color w:val="000000"/>
          <w:rtl/>
        </w:rPr>
        <w:t>מ"י נ' גורין</w:t>
      </w:r>
      <w:r>
        <w:rPr>
          <w:rFonts w:ascii="Arial" w:hAnsi="Arial" w:hint="cs"/>
          <w:color w:val="000000"/>
          <w:rtl/>
        </w:rPr>
        <w:t xml:space="preserve"> (5/1/09) מפי כב' הש' רובינשטיין).</w:t>
      </w:r>
    </w:p>
    <w:p w14:paraId="6650A636" w14:textId="77777777" w:rsidR="00D62B03" w:rsidRDefault="00D62B03">
      <w:pPr>
        <w:spacing w:line="360" w:lineRule="auto"/>
        <w:ind w:left="720"/>
        <w:jc w:val="both"/>
        <w:rPr>
          <w:rtl/>
          <w:lang w:eastAsia="he-IL"/>
        </w:rPr>
      </w:pPr>
    </w:p>
    <w:p w14:paraId="3F054527" w14:textId="77777777" w:rsidR="00D62B03" w:rsidRDefault="00A23CBB">
      <w:pPr>
        <w:spacing w:line="360" w:lineRule="auto"/>
        <w:ind w:left="720"/>
        <w:jc w:val="both"/>
        <w:rPr>
          <w:rtl/>
          <w:lang w:eastAsia="he-IL"/>
        </w:rPr>
      </w:pPr>
      <w:r>
        <w:rPr>
          <w:rFonts w:hint="cs"/>
          <w:rtl/>
          <w:lang w:eastAsia="he-IL"/>
        </w:rPr>
        <w:t>הנאשם היה עצור למעלה מחודש, לראשונה בחייו, מעצר שהיווה עבורו גורם מרתיע ואף טראומטי, שיש בו כדי לסייע לו להציב לעצמו גבולות בעתיד.</w:t>
      </w:r>
    </w:p>
    <w:p w14:paraId="483AB359" w14:textId="77777777" w:rsidR="00D62B03" w:rsidRDefault="00D62B03">
      <w:pPr>
        <w:spacing w:line="360" w:lineRule="auto"/>
        <w:ind w:left="720"/>
        <w:jc w:val="both"/>
        <w:rPr>
          <w:rtl/>
          <w:lang w:eastAsia="he-IL"/>
        </w:rPr>
      </w:pPr>
    </w:p>
    <w:p w14:paraId="0EFF306E" w14:textId="77777777" w:rsidR="00D62B03" w:rsidRDefault="00A23CBB">
      <w:pPr>
        <w:spacing w:line="360" w:lineRule="auto"/>
        <w:ind w:left="720"/>
        <w:jc w:val="both"/>
        <w:rPr>
          <w:rtl/>
          <w:lang w:eastAsia="he-IL"/>
        </w:rPr>
      </w:pPr>
      <w:r>
        <w:rPr>
          <w:rFonts w:hint="cs"/>
          <w:b/>
          <w:bCs/>
          <w:rtl/>
          <w:lang w:eastAsia="he-IL"/>
        </w:rPr>
        <w:t>ג</w:t>
      </w:r>
      <w:r>
        <w:rPr>
          <w:rFonts w:hint="cs"/>
          <w:rtl/>
          <w:lang w:eastAsia="he-IL"/>
        </w:rPr>
        <w:t xml:space="preserve">. כמו כן, נתתי את הדעת להודייתו של הנאשם, בחור נורמטיבי שזו לו מעידתו הראשונה, הודייה אשר חסכה את המשך ניהלו של ההליך נגדו וכן את חרטתו הכנה. </w:t>
      </w:r>
    </w:p>
    <w:p w14:paraId="6EF1B04B" w14:textId="77777777" w:rsidR="00D62B03" w:rsidRDefault="00D62B03">
      <w:pPr>
        <w:spacing w:line="360" w:lineRule="auto"/>
        <w:ind w:left="720"/>
        <w:jc w:val="both"/>
        <w:rPr>
          <w:rtl/>
          <w:lang w:eastAsia="he-IL"/>
        </w:rPr>
      </w:pPr>
    </w:p>
    <w:p w14:paraId="49052043" w14:textId="77777777" w:rsidR="00D62B03" w:rsidRDefault="00A23CBB">
      <w:pPr>
        <w:spacing w:line="360" w:lineRule="auto"/>
        <w:ind w:left="720"/>
        <w:jc w:val="both"/>
        <w:rPr>
          <w:rtl/>
          <w:lang w:eastAsia="he-IL"/>
        </w:rPr>
      </w:pPr>
      <w:r>
        <w:rPr>
          <w:rFonts w:hint="cs"/>
          <w:b/>
          <w:bCs/>
          <w:rtl/>
          <w:lang w:eastAsia="he-IL"/>
        </w:rPr>
        <w:t>ד</w:t>
      </w:r>
      <w:r>
        <w:rPr>
          <w:rFonts w:hint="cs"/>
          <w:rtl/>
          <w:lang w:eastAsia="he-IL"/>
        </w:rPr>
        <w:t xml:space="preserve">. עוד ראוי לציין את התרשמותה החיובית של קצינת המבחן מהנאשם, לפיה מדובר בבחור חיובי, התורם לחברה, הלוקח אחריות על מעשיו, הפנים את חומרתם, ושהסיכוי להישנות עבירה שכזאת בעתיד היא נמוכה. (לא למותר לציין כי תיאוריה של קצינת המבחן דומים לאלה של חבריו של הנאשם שהעידו כעדי אופי, אם כי לא נעלם מעיני כי הם חבריו והעידו מטעמו). מכל מקום, שירות המבחן המליץ לא למצות את הדין עם הנאשם, ולהטיל עליו מאסר שירוצה בעבודות שירות. </w:t>
      </w:r>
      <w:r>
        <w:rPr>
          <w:rFonts w:ascii="Arial" w:hAnsi="Arial" w:hint="cs"/>
          <w:color w:val="000000"/>
          <w:rtl/>
        </w:rPr>
        <w:t>לא למותר לציין כי הנאשם מוטרד בעיקר מהעובדה שמאסר בין כתלי הכלא עלול להשליך על המשך שירותו הצבאי.</w:t>
      </w:r>
    </w:p>
    <w:p w14:paraId="64B37D49" w14:textId="77777777" w:rsidR="00D62B03" w:rsidRDefault="00D62B03">
      <w:pPr>
        <w:spacing w:line="360" w:lineRule="auto"/>
        <w:ind w:left="720"/>
        <w:jc w:val="both"/>
        <w:rPr>
          <w:rtl/>
          <w:lang w:eastAsia="he-IL"/>
        </w:rPr>
      </w:pPr>
    </w:p>
    <w:p w14:paraId="54DA3648" w14:textId="77777777" w:rsidR="00D62B03" w:rsidRDefault="00A23CBB">
      <w:pPr>
        <w:spacing w:line="360" w:lineRule="auto"/>
        <w:ind w:left="720"/>
        <w:jc w:val="both"/>
        <w:rPr>
          <w:rtl/>
          <w:lang w:eastAsia="he-IL"/>
        </w:rPr>
      </w:pPr>
      <w:r>
        <w:rPr>
          <w:rFonts w:hint="cs"/>
          <w:b/>
          <w:bCs/>
          <w:rtl/>
          <w:lang w:eastAsia="he-IL"/>
        </w:rPr>
        <w:t>ה</w:t>
      </w:r>
      <w:r>
        <w:rPr>
          <w:rFonts w:hint="cs"/>
          <w:rtl/>
          <w:lang w:eastAsia="he-IL"/>
        </w:rPr>
        <w:t xml:space="preserve">. על אף האמור לעיל, ההלכה היא כי מקום שעסקינן בעבירות חמורות מעין אלה, יגבר האינטרס הציבורי למגר את תופעות האלימות והבריונות ולשרשן, ויש להעדיפו על פני נסיבותיו האישיות של הנאשם, גם אם בצעיר נורמטיבי עסקינן. דהיינו הכלל הוא כי יש לשלוח את מבצעיהן אל מאחורי סורג ובריח. </w:t>
      </w:r>
      <w:r>
        <w:rPr>
          <w:rFonts w:hint="cs"/>
          <w:rtl/>
        </w:rPr>
        <w:t xml:space="preserve">(לעניין זה ראו: </w:t>
      </w:r>
      <w:hyperlink r:id="rId71" w:history="1">
        <w:r w:rsidR="007A7C35" w:rsidRPr="007A7C35">
          <w:rPr>
            <w:rStyle w:val="Hyperlink"/>
            <w:rtl/>
          </w:rPr>
          <w:t>ע"פ 6260/05</w:t>
        </w:r>
      </w:hyperlink>
      <w:r>
        <w:rPr>
          <w:rFonts w:hint="cs"/>
          <w:rtl/>
        </w:rPr>
        <w:t xml:space="preserve"> </w:t>
      </w:r>
      <w:r>
        <w:rPr>
          <w:rFonts w:hint="cs"/>
          <w:b/>
          <w:bCs/>
          <w:rtl/>
        </w:rPr>
        <w:t xml:space="preserve">מאלק חדרה נ' מ"י </w:t>
      </w:r>
      <w:r>
        <w:rPr>
          <w:rFonts w:hint="cs"/>
          <w:rtl/>
        </w:rPr>
        <w:t xml:space="preserve">(23/2/06), מפי כב' הש' (כתוארו אז) גרוניס; </w:t>
      </w:r>
      <w:hyperlink r:id="rId72" w:history="1">
        <w:r w:rsidR="007A7C35" w:rsidRPr="007A7C35">
          <w:rPr>
            <w:rStyle w:val="Hyperlink"/>
            <w:rtl/>
          </w:rPr>
          <w:t>ע"פ 523/05</w:t>
        </w:r>
      </w:hyperlink>
      <w:r>
        <w:rPr>
          <w:rFonts w:hint="cs"/>
          <w:rtl/>
        </w:rPr>
        <w:t xml:space="preserve"> </w:t>
      </w:r>
      <w:r>
        <w:rPr>
          <w:rFonts w:hint="cs"/>
          <w:b/>
          <w:bCs/>
          <w:rtl/>
        </w:rPr>
        <w:t>סלמה נ' מ"י</w:t>
      </w:r>
      <w:r>
        <w:rPr>
          <w:rFonts w:hint="cs"/>
          <w:rtl/>
        </w:rPr>
        <w:t xml:space="preserve"> (28/12/05), מפי כב' הש' ג'ובראן; </w:t>
      </w:r>
      <w:hyperlink r:id="rId73" w:history="1">
        <w:r w:rsidR="007A7C35" w:rsidRPr="007A7C35">
          <w:rPr>
            <w:rStyle w:val="Hyperlink"/>
            <w:rtl/>
          </w:rPr>
          <w:t>ע"פ 8393/04</w:t>
        </w:r>
      </w:hyperlink>
      <w:r>
        <w:rPr>
          <w:rFonts w:hint="cs"/>
          <w:b/>
          <w:bCs/>
          <w:rtl/>
        </w:rPr>
        <w:t xml:space="preserve">  פלוני נ' מ"י </w:t>
      </w:r>
      <w:r>
        <w:rPr>
          <w:rFonts w:hint="cs"/>
          <w:rtl/>
        </w:rPr>
        <w:t xml:space="preserve">(24/1/05) מפי הש' (כתוארה אז) ביניש;  </w:t>
      </w:r>
      <w:hyperlink r:id="rId74" w:history="1">
        <w:r w:rsidR="007A7C35" w:rsidRPr="007A7C35">
          <w:rPr>
            <w:rStyle w:val="Hyperlink"/>
            <w:rtl/>
          </w:rPr>
          <w:t>רע"פ 10313/03</w:t>
        </w:r>
      </w:hyperlink>
      <w:r>
        <w:rPr>
          <w:rFonts w:hint="cs"/>
          <w:rtl/>
        </w:rPr>
        <w:t xml:space="preserve"> </w:t>
      </w:r>
      <w:r>
        <w:rPr>
          <w:rFonts w:hint="cs"/>
          <w:b/>
          <w:bCs/>
          <w:rtl/>
        </w:rPr>
        <w:t>טמזרתי נ' מ"י</w:t>
      </w:r>
      <w:r>
        <w:rPr>
          <w:rFonts w:hint="cs"/>
          <w:rtl/>
        </w:rPr>
        <w:t xml:space="preserve"> (23/11/03), מפי כב' הש' (כתוארו אז) גרוניס).  </w:t>
      </w:r>
    </w:p>
    <w:p w14:paraId="52613D0D" w14:textId="77777777" w:rsidR="00D62B03" w:rsidRDefault="00D62B03">
      <w:pPr>
        <w:spacing w:line="360" w:lineRule="auto"/>
        <w:ind w:left="720"/>
        <w:jc w:val="both"/>
        <w:rPr>
          <w:rtl/>
          <w:lang w:eastAsia="he-IL"/>
        </w:rPr>
      </w:pPr>
    </w:p>
    <w:p w14:paraId="776FEDD7" w14:textId="77777777" w:rsidR="00D62B03" w:rsidRDefault="00A23CBB">
      <w:pPr>
        <w:spacing w:line="360" w:lineRule="auto"/>
        <w:jc w:val="both"/>
        <w:rPr>
          <w:rtl/>
        </w:rPr>
      </w:pPr>
      <w:r>
        <w:rPr>
          <w:rFonts w:hint="cs"/>
          <w:b/>
          <w:bCs/>
          <w:rtl/>
        </w:rPr>
        <w:t>13</w:t>
      </w:r>
      <w:r>
        <w:rPr>
          <w:rFonts w:hint="cs"/>
          <w:rtl/>
        </w:rPr>
        <w:t xml:space="preserve">. </w:t>
      </w:r>
      <w:r>
        <w:rPr>
          <w:rFonts w:hint="cs"/>
          <w:rtl/>
        </w:rPr>
        <w:tab/>
      </w:r>
      <w:r>
        <w:rPr>
          <w:rFonts w:hint="cs"/>
          <w:b/>
          <w:bCs/>
          <w:u w:val="single"/>
          <w:rtl/>
        </w:rPr>
        <w:t>אחידות הענישה</w:t>
      </w:r>
      <w:r>
        <w:rPr>
          <w:rFonts w:hint="cs"/>
          <w:rtl/>
        </w:rPr>
        <w:t xml:space="preserve"> </w:t>
      </w:r>
    </w:p>
    <w:p w14:paraId="1C04544F" w14:textId="77777777" w:rsidR="00D62B03" w:rsidRDefault="00A23CBB">
      <w:pPr>
        <w:spacing w:line="360" w:lineRule="auto"/>
        <w:ind w:left="720"/>
        <w:jc w:val="both"/>
        <w:rPr>
          <w:rtl/>
          <w:lang w:eastAsia="he-IL"/>
        </w:rPr>
      </w:pPr>
      <w:r>
        <w:rPr>
          <w:rFonts w:hint="cs"/>
          <w:rtl/>
          <w:lang w:eastAsia="he-IL"/>
        </w:rPr>
        <w:t xml:space="preserve">יחד עם זאת, בעניינו של הנאשם דידן, שומה על בית המשפט להתחשב בעונשם של שותפיו לעבירה, אשר נידונו על ידי כב' השופט סעב לעונשים מתונים, ואיש מהם לא נשלח לריצוי מאסר בין כתלי הכלא. </w:t>
      </w:r>
    </w:p>
    <w:p w14:paraId="6D231045" w14:textId="77777777" w:rsidR="00D62B03" w:rsidRDefault="00A23CBB">
      <w:pPr>
        <w:shd w:val="clear" w:color="auto" w:fill="FFFFFF"/>
        <w:spacing w:before="100" w:beforeAutospacing="1" w:after="100" w:afterAutospacing="1" w:line="360" w:lineRule="auto"/>
        <w:ind w:left="720"/>
        <w:jc w:val="both"/>
        <w:rPr>
          <w:rtl/>
        </w:rPr>
      </w:pPr>
      <w:r>
        <w:rPr>
          <w:rFonts w:hint="cs"/>
          <w:rtl/>
        </w:rPr>
        <w:t>עקרון אחידות הענישה הוא עקרון יסוד במערכת המשפט הפלילי הואיל ו"הוא משקף את ערכי השוויון, ההגינות והצדק, ואף את האינטרס לשמור על אמון הציבור בהליך הפלילי ובמערכת המשפט" (</w:t>
      </w:r>
      <w:hyperlink r:id="rId75" w:history="1">
        <w:r w:rsidR="007A7C35" w:rsidRPr="007A7C35">
          <w:rPr>
            <w:rStyle w:val="Hyperlink"/>
            <w:rtl/>
          </w:rPr>
          <w:t>ע"פ 5195/11</w:t>
        </w:r>
      </w:hyperlink>
      <w:r>
        <w:rPr>
          <w:rFonts w:hint="cs"/>
          <w:rtl/>
        </w:rPr>
        <w:t xml:space="preserve"> </w:t>
      </w:r>
      <w:r>
        <w:rPr>
          <w:rFonts w:hint="cs"/>
          <w:b/>
          <w:bCs/>
          <w:rtl/>
        </w:rPr>
        <w:t>קריניאן נ' מ"י</w:t>
      </w:r>
      <w:r>
        <w:rPr>
          <w:rFonts w:hint="cs"/>
          <w:rtl/>
        </w:rPr>
        <w:t xml:space="preserve">, (28.3.12) מפי כב' הש' הנדל). יחד עם זאת, אחידות אין פירושה זהות. העובדה כי מדובר בפרשה אחת מחייבת קנה מידה אחיד לבחינת ענישת המשתתפים השונים, אולם אין לגזור מכך כי על השורה התחתונה להיות זהה. על התוצאה לשקף את נסיבותיו הייחודיות של כל משתתף ואת חלקו ומשקלו בפרשה. לסוגים דומים של נסיבות צריך להינתן משקל זהה אולם התוצאה תלויה בתוכן הנסיבות ולא רק בקיומן. (ראו גם </w:t>
      </w:r>
      <w:hyperlink r:id="rId76" w:history="1">
        <w:r w:rsidR="007A7C35" w:rsidRPr="007A7C35">
          <w:rPr>
            <w:rStyle w:val="Hyperlink"/>
            <w:rtl/>
          </w:rPr>
          <w:t>ע"פ 5640/97 רייך נ' מ"י, פ"ד נג</w:t>
        </w:r>
      </w:hyperlink>
      <w:r>
        <w:rPr>
          <w:rFonts w:hint="cs"/>
          <w:rtl/>
        </w:rPr>
        <w:t>(2) 433, 470</w:t>
      </w:r>
      <w:r>
        <w:rPr>
          <w:rFonts w:hint="cs"/>
        </w:rPr>
        <w:t xml:space="preserve"> </w:t>
      </w:r>
      <w:r>
        <w:rPr>
          <w:rFonts w:hint="cs"/>
          <w:rtl/>
        </w:rPr>
        <w:t>מפי כב' הש' אילן;</w:t>
      </w:r>
      <w:r>
        <w:rPr>
          <w:rtl/>
        </w:rPr>
        <w:t xml:space="preserve"> </w:t>
      </w:r>
      <w:r>
        <w:rPr>
          <w:rFonts w:hint="cs"/>
          <w:rtl/>
        </w:rPr>
        <w:t xml:space="preserve"> </w:t>
      </w:r>
      <w:hyperlink r:id="rId77" w:history="1">
        <w:r w:rsidR="007A7C35" w:rsidRPr="007A7C35">
          <w:rPr>
            <w:rStyle w:val="Hyperlink"/>
            <w:rtl/>
          </w:rPr>
          <w:t>רע"פ 3173/09</w:t>
        </w:r>
      </w:hyperlink>
      <w:r>
        <w:rPr>
          <w:rtl/>
        </w:rPr>
        <w:t xml:space="preserve"> </w:t>
      </w:r>
      <w:r>
        <w:rPr>
          <w:rFonts w:hint="cs"/>
          <w:b/>
          <w:bCs/>
          <w:rtl/>
        </w:rPr>
        <w:t>פראגין נ' מ"י</w:t>
      </w:r>
      <w:r>
        <w:rPr>
          <w:rFonts w:hint="cs"/>
          <w:rtl/>
        </w:rPr>
        <w:t>, פסקה 6</w:t>
      </w:r>
      <w:r>
        <w:rPr>
          <w:rtl/>
        </w:rPr>
        <w:t xml:space="preserve"> </w:t>
      </w:r>
      <w:r>
        <w:rPr>
          <w:rFonts w:hint="cs"/>
          <w:rtl/>
        </w:rPr>
        <w:t>(5.5.09) מפי כב' הש' רובינשטיין).</w:t>
      </w:r>
    </w:p>
    <w:p w14:paraId="75342265" w14:textId="77777777" w:rsidR="00D62B03" w:rsidRDefault="00A23CBB">
      <w:pPr>
        <w:spacing w:line="360" w:lineRule="auto"/>
        <w:ind w:left="720"/>
        <w:jc w:val="both"/>
        <w:rPr>
          <w:rtl/>
        </w:rPr>
      </w:pPr>
      <w:r>
        <w:rPr>
          <w:rFonts w:hint="cs"/>
          <w:rtl/>
        </w:rPr>
        <w:t>שותפיו של הנאשם, אשר כפרו בביצוע העבירות דידן והורשעו לאחר שמיעת ראיות, לא נשלחו לרצות מאסר בפועל. והשאלה הנשאלת היא מה דינו של הנאשם, אשר הודה בביצוע העבירות, הביע חרטה ושירות המבחן המליץ שלא לגזור עליו מאסר בין סורג ובריח. ניהול ההליך אינו עילה להחמרה בעונש, אולם יש נטייה להקל עם המודה. לעניין זה ראו דבריה של כב' הש' נאור ב</w:t>
      </w:r>
      <w:hyperlink r:id="rId78" w:history="1">
        <w:r w:rsidR="007A7C35" w:rsidRPr="007A7C35">
          <w:rPr>
            <w:rStyle w:val="Hyperlink"/>
            <w:rtl/>
          </w:rPr>
          <w:t>ע"פ 7964/11</w:t>
        </w:r>
      </w:hyperlink>
      <w:r>
        <w:rPr>
          <w:rFonts w:hint="cs"/>
          <w:rtl/>
        </w:rPr>
        <w:t xml:space="preserve"> </w:t>
      </w:r>
      <w:r>
        <w:rPr>
          <w:rFonts w:hint="cs"/>
          <w:b/>
          <w:bCs/>
          <w:rtl/>
        </w:rPr>
        <w:t>חלאילה נ' מ"י</w:t>
      </w:r>
      <w:r>
        <w:rPr>
          <w:rFonts w:hint="cs"/>
          <w:rtl/>
        </w:rPr>
        <w:t xml:space="preserve"> (31/10/12):</w:t>
      </w:r>
    </w:p>
    <w:p w14:paraId="6C187C4B" w14:textId="77777777" w:rsidR="00D62B03" w:rsidRDefault="00A23CBB">
      <w:pPr>
        <w:tabs>
          <w:tab w:val="left" w:pos="800"/>
        </w:tabs>
        <w:overflowPunct w:val="0"/>
        <w:autoSpaceDE w:val="0"/>
        <w:autoSpaceDN w:val="0"/>
        <w:adjustRightInd w:val="0"/>
        <w:spacing w:line="360" w:lineRule="auto"/>
        <w:ind w:left="720"/>
        <w:jc w:val="both"/>
        <w:rPr>
          <w:rtl/>
        </w:rPr>
      </w:pPr>
      <w:r>
        <w:rPr>
          <w:rFonts w:hint="cs"/>
          <w:rtl/>
        </w:rPr>
        <w:t xml:space="preserve"> </w:t>
      </w:r>
    </w:p>
    <w:p w14:paraId="02652FFA" w14:textId="77777777" w:rsidR="00D62B03" w:rsidRDefault="00A23CBB">
      <w:pPr>
        <w:spacing w:line="360" w:lineRule="auto"/>
        <w:ind w:left="1440"/>
        <w:jc w:val="both"/>
        <w:rPr>
          <w:rtl/>
        </w:rPr>
      </w:pPr>
      <w:r>
        <w:rPr>
          <w:rFonts w:cs="Miriam" w:hint="cs"/>
          <w:rtl/>
        </w:rPr>
        <w:t xml:space="preserve">"לדידנו די בכך שהמערער בחר לנהל הליך הוכחות כדי להצדיק את הפער בעונש בין המערער לבין שותפו. נחזור ונזכיר את הידוע: ניהול הוכחות אינו עילה להחמרה בעונש, אולם מותר להקל עם המודה". </w:t>
      </w:r>
    </w:p>
    <w:p w14:paraId="7EEE3E7E" w14:textId="77777777" w:rsidR="00D62B03" w:rsidRDefault="00D62B03">
      <w:pPr>
        <w:tabs>
          <w:tab w:val="left" w:pos="800"/>
        </w:tabs>
        <w:overflowPunct w:val="0"/>
        <w:autoSpaceDE w:val="0"/>
        <w:autoSpaceDN w:val="0"/>
        <w:adjustRightInd w:val="0"/>
        <w:spacing w:line="360" w:lineRule="auto"/>
        <w:ind w:left="1466"/>
        <w:jc w:val="both"/>
        <w:rPr>
          <w:rFonts w:ascii="Arial TUR" w:hAnsi="Arial TUR" w:cs="Miriam"/>
          <w:spacing w:val="10"/>
          <w:rtl/>
        </w:rPr>
      </w:pPr>
    </w:p>
    <w:p w14:paraId="14E05C38" w14:textId="77777777" w:rsidR="00D62B03" w:rsidRDefault="00A23CBB">
      <w:pPr>
        <w:tabs>
          <w:tab w:val="left" w:pos="800"/>
        </w:tabs>
        <w:overflowPunct w:val="0"/>
        <w:autoSpaceDE w:val="0"/>
        <w:autoSpaceDN w:val="0"/>
        <w:adjustRightInd w:val="0"/>
        <w:spacing w:line="360" w:lineRule="auto"/>
        <w:ind w:left="720"/>
        <w:jc w:val="both"/>
        <w:rPr>
          <w:rtl/>
        </w:rPr>
      </w:pPr>
      <w:r>
        <w:rPr>
          <w:rFonts w:hint="cs"/>
          <w:rtl/>
        </w:rPr>
        <w:t>עקרון אחידות הענישה אינו נכלל במפורש בתיקון 113 ל</w:t>
      </w:r>
      <w:hyperlink r:id="rId79" w:history="1">
        <w:r w:rsidR="007A7C35" w:rsidRPr="007A7C35">
          <w:rPr>
            <w:rStyle w:val="Hyperlink"/>
            <w:rtl/>
          </w:rPr>
          <w:t>חוק העונשין</w:t>
        </w:r>
      </w:hyperlink>
      <w:r>
        <w:rPr>
          <w:rFonts w:hint="cs"/>
          <w:rtl/>
        </w:rPr>
        <w:t xml:space="preserve">, אך על פי סמכותו של בית המשפט לפי </w:t>
      </w:r>
      <w:hyperlink r:id="rId80" w:history="1">
        <w:r w:rsidR="00BA68B4" w:rsidRPr="00BA68B4">
          <w:rPr>
            <w:rStyle w:val="Hyperlink"/>
            <w:rtl/>
          </w:rPr>
          <w:t>סעיף 40 יב</w:t>
        </w:r>
      </w:hyperlink>
      <w:r>
        <w:rPr>
          <w:rFonts w:hint="cs"/>
          <w:rtl/>
        </w:rPr>
        <w:t>. ל</w:t>
      </w:r>
      <w:hyperlink r:id="rId81" w:history="1">
        <w:r w:rsidR="007A7C35" w:rsidRPr="007A7C35">
          <w:rPr>
            <w:rStyle w:val="Hyperlink"/>
            <w:rtl/>
          </w:rPr>
          <w:t>חוק העונשין</w:t>
        </w:r>
      </w:hyperlink>
      <w:r>
        <w:rPr>
          <w:rFonts w:hint="cs"/>
          <w:rtl/>
        </w:rPr>
        <w:t>, רשאי בית המשפט לשקול נסיבות נוספות הקשורות בביצוע העבירה. על חשיבותו של עיקרון אחידות הענישה, עמד כב' הש' ג'ובראן בין היתר ב</w:t>
      </w:r>
      <w:hyperlink r:id="rId82" w:history="1">
        <w:r w:rsidR="007A7C35" w:rsidRPr="007A7C35">
          <w:rPr>
            <w:rStyle w:val="Hyperlink"/>
            <w:rtl/>
          </w:rPr>
          <w:t>ע"פ 9545/09</w:t>
        </w:r>
      </w:hyperlink>
      <w:r>
        <w:rPr>
          <w:rFonts w:hint="cs"/>
          <w:rtl/>
        </w:rPr>
        <w:t xml:space="preserve"> אלדין נ' מ"י, פס' 11 לפסק הדין (24.3.2010) כדלקמן:</w:t>
      </w:r>
    </w:p>
    <w:p w14:paraId="7E3E7EDF" w14:textId="77777777" w:rsidR="00D62B03" w:rsidRDefault="00D62B0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3E96297F" w14:textId="77777777" w:rsidR="00D62B03" w:rsidRDefault="00A23CBB">
      <w:pPr>
        <w:tabs>
          <w:tab w:val="left" w:pos="800"/>
        </w:tabs>
        <w:overflowPunct w:val="0"/>
        <w:autoSpaceDE w:val="0"/>
        <w:autoSpaceDN w:val="0"/>
        <w:adjustRightInd w:val="0"/>
        <w:spacing w:line="360" w:lineRule="auto"/>
        <w:ind w:left="1466"/>
        <w:jc w:val="both"/>
        <w:rPr>
          <w:rFonts w:ascii="Arial TUR" w:hAnsi="Arial TUR" w:cs="Miriam"/>
          <w:spacing w:val="10"/>
          <w:rtl/>
        </w:rPr>
      </w:pPr>
      <w:r>
        <w:rPr>
          <w:rFonts w:ascii="Arial TUR" w:hAnsi="Arial TUR" w:cs="Miriam" w:hint="cs"/>
          <w:spacing w:val="10"/>
          <w:rtl/>
        </w:rPr>
        <w:t>עקרון זה נגזר מעקרון שיוויון הנאשמים בפני החוק, ומורה כי על מצבים דומים מבחינת אופי העבירות והנסיבות האישיות של הנאשמים ראוי להחיל, במידת האפשר, שיקולי ענישה דומים (</w:t>
      </w:r>
      <w:hyperlink r:id="rId83" w:history="1">
        <w:r w:rsidR="007A7C35" w:rsidRPr="007A7C35">
          <w:rPr>
            <w:rStyle w:val="Hyperlink"/>
            <w:rFonts w:ascii="Arial TUR" w:hAnsi="Arial TUR" w:cs="Miriam"/>
            <w:spacing w:val="10"/>
            <w:rtl/>
          </w:rPr>
          <w:t>ע"פ 2287/09</w:t>
        </w:r>
      </w:hyperlink>
      <w:r>
        <w:rPr>
          <w:rFonts w:ascii="Arial TUR" w:hAnsi="Arial TUR" w:cs="Miriam" w:hint="cs"/>
          <w:spacing w:val="10"/>
          <w:rtl/>
        </w:rPr>
        <w:t xml:space="preserve"> </w:t>
      </w:r>
      <w:r>
        <w:rPr>
          <w:rFonts w:ascii="Arial TUR" w:hAnsi="Arial TUR" w:cs="Miriam" w:hint="cs"/>
          <w:b/>
          <w:bCs/>
          <w:spacing w:val="10"/>
          <w:rtl/>
        </w:rPr>
        <w:t>והבה נ' מדינת ישראל</w:t>
      </w:r>
      <w:r>
        <w:rPr>
          <w:rFonts w:ascii="Arial TUR" w:hAnsi="Arial TUR" w:cs="Miriam" w:hint="cs"/>
          <w:spacing w:val="10"/>
          <w:rtl/>
        </w:rPr>
        <w:t xml:space="preserve"> (</w:t>
      </w:r>
      <w:r>
        <w:rPr>
          <w:rFonts w:cs="Miriam" w:hint="cs"/>
          <w:rtl/>
        </w:rPr>
        <w:t xml:space="preserve">[פורסם בנבו], </w:t>
      </w:r>
      <w:r>
        <w:rPr>
          <w:rFonts w:ascii="Arial TUR" w:hAnsi="Arial TUR" w:cs="Miriam" w:hint="cs"/>
          <w:spacing w:val="10"/>
          <w:rtl/>
        </w:rPr>
        <w:t>25.1.2010)). "עקרון אחידות הענישה הוא כלל חשוב הבא למנוע קיום הפלייה בין שווים או דומים, למען עשיית צדק עם נאשמים, ולצורך שמירת אימון הציבור בהליך הפלילי" (</w:t>
      </w:r>
      <w:hyperlink r:id="rId84" w:history="1">
        <w:r w:rsidR="007A7C35" w:rsidRPr="007A7C35">
          <w:rPr>
            <w:rStyle w:val="Hyperlink"/>
            <w:rFonts w:ascii="Arial TUR" w:hAnsi="Arial TUR" w:cs="Miriam"/>
            <w:spacing w:val="10"/>
            <w:rtl/>
          </w:rPr>
          <w:t>ע"פ 9792/06</w:t>
        </w:r>
      </w:hyperlink>
      <w:r>
        <w:rPr>
          <w:rFonts w:cs="Miriam" w:hint="cs"/>
          <w:spacing w:val="10"/>
          <w:rtl/>
        </w:rPr>
        <w:t xml:space="preserve"> </w:t>
      </w:r>
      <w:r>
        <w:rPr>
          <w:rFonts w:cs="Miriam" w:hint="cs"/>
          <w:b/>
          <w:bCs/>
          <w:rtl/>
        </w:rPr>
        <w:t>חמוד נ' מדינת ישראל</w:t>
      </w:r>
      <w:r>
        <w:rPr>
          <w:rFonts w:cs="Miriam" w:hint="cs"/>
          <w:spacing w:val="10"/>
          <w:rtl/>
        </w:rPr>
        <w:t>, בפיסקה 15 (</w:t>
      </w:r>
      <w:r>
        <w:rPr>
          <w:rFonts w:cs="Miriam" w:hint="cs"/>
          <w:rtl/>
        </w:rPr>
        <w:t xml:space="preserve">[פורסם בנבו], </w:t>
      </w:r>
      <w:r>
        <w:rPr>
          <w:rFonts w:cs="Miriam" w:hint="cs"/>
          <w:spacing w:val="10"/>
          <w:rtl/>
        </w:rPr>
        <w:t>1.4.2007)).</w:t>
      </w:r>
      <w:r>
        <w:rPr>
          <w:rFonts w:ascii="Arial TUR" w:hAnsi="Arial TUR" w:cs="Miriam" w:hint="cs"/>
          <w:spacing w:val="10"/>
          <w:rtl/>
        </w:rPr>
        <w:t xml:space="preserve"> </w:t>
      </w:r>
      <w:r>
        <w:rPr>
          <w:rFonts w:cs="Miriam" w:hint="cs"/>
          <w:rtl/>
        </w:rPr>
        <w:t xml:space="preserve">משמעות הכלל היא שמקום בו מורשעים מספר נאשמים באותה פרשה, ומעשיהם דומים, אחריותם המשותפת תבוא בעיקרון לידי ביטוי בעונש דומה שיוטל עליהם  </w:t>
      </w:r>
      <w:r>
        <w:rPr>
          <w:rFonts w:ascii="Arial TUR" w:hAnsi="Arial TUR" w:cs="Miriam" w:hint="cs"/>
          <w:spacing w:val="10"/>
          <w:rtl/>
        </w:rPr>
        <w:t>(</w:t>
      </w:r>
      <w:hyperlink r:id="rId85" w:history="1">
        <w:r w:rsidR="007A7C35" w:rsidRPr="007A7C35">
          <w:rPr>
            <w:rStyle w:val="Hyperlink"/>
            <w:rFonts w:cs="Miriam"/>
            <w:spacing w:val="10"/>
            <w:rtl/>
          </w:rPr>
          <w:t>ע"פ 9937/01 חורב נ' מדינת ישראל, פ"ד נח</w:t>
        </w:r>
      </w:hyperlink>
      <w:r>
        <w:rPr>
          <w:rFonts w:ascii="Arial TUR" w:hAnsi="Arial TUR" w:cs="Miriam" w:hint="cs"/>
          <w:spacing w:val="10"/>
          <w:rtl/>
        </w:rPr>
        <w:t>(6), 738, 752 (2004))</w:t>
      </w:r>
    </w:p>
    <w:p w14:paraId="21C2C9FA" w14:textId="77777777" w:rsidR="00D62B03" w:rsidRDefault="00D62B03">
      <w:pPr>
        <w:tabs>
          <w:tab w:val="left" w:pos="800"/>
        </w:tabs>
        <w:overflowPunct w:val="0"/>
        <w:autoSpaceDE w:val="0"/>
        <w:autoSpaceDN w:val="0"/>
        <w:adjustRightInd w:val="0"/>
        <w:spacing w:line="360" w:lineRule="auto"/>
        <w:jc w:val="both"/>
        <w:rPr>
          <w:rFonts w:ascii="Arial TUR" w:hAnsi="Arial TUR" w:cs="Miriam"/>
          <w:spacing w:val="10"/>
          <w:rtl/>
        </w:rPr>
      </w:pPr>
    </w:p>
    <w:p w14:paraId="48CB3152" w14:textId="77777777" w:rsidR="00D62B03" w:rsidRDefault="00A23CBB">
      <w:pPr>
        <w:spacing w:line="360" w:lineRule="auto"/>
        <w:ind w:left="720" w:hanging="720"/>
        <w:jc w:val="both"/>
        <w:rPr>
          <w:rtl/>
        </w:rPr>
      </w:pPr>
      <w:r>
        <w:rPr>
          <w:rFonts w:hint="cs"/>
          <w:b/>
          <w:bCs/>
          <w:rtl/>
        </w:rPr>
        <w:t>14</w:t>
      </w:r>
      <w:r>
        <w:rPr>
          <w:rFonts w:hint="cs"/>
          <w:rtl/>
        </w:rPr>
        <w:t xml:space="preserve">. </w:t>
      </w:r>
      <w:r>
        <w:rPr>
          <w:rFonts w:hint="cs"/>
          <w:rtl/>
        </w:rPr>
        <w:tab/>
      </w:r>
      <w:r>
        <w:rPr>
          <w:rFonts w:ascii="Arial" w:hAnsi="Arial" w:hint="cs"/>
          <w:color w:val="000000"/>
          <w:rtl/>
        </w:rPr>
        <w:t xml:space="preserve">בנסיבות המיוחדות של הענין, לא בלי התלבטויות, בעיקר לאור העקרון של אחידות בענישה החל בענייננו, בשל היות הנאשם וחבריו שותפים לביצוע העבירות נשוא תיק זה, אני רואה לשקול, מבלי שתהא בכך עילה להסתמכות של הנאשם, בחינה של ריצוי מאסר בעבודות שירות. זאת, גם נוכח המלצתו של שירות המבחן, אשר המליץ להמנע משליחתו לכלא, לאחר שפירט את נסיבותיו האישיות, גילו הצעיר, הודייתו, חרטתו, מעצרו והטראומה שנגרמה לנאשם בגינו, והתרשם כי רמת הסיכון להישנות מעשים כגון אלה נמוכה. </w:t>
      </w:r>
      <w:r>
        <w:rPr>
          <w:rFonts w:hint="cs"/>
          <w:rtl/>
        </w:rPr>
        <w:t xml:space="preserve">כל אלה מלמדים על סיכוי משמעותי לשיקום, משהותיר הצבא את הנאשם בשירות סדיר, ואף קידם אותו בדרגות.  </w:t>
      </w:r>
    </w:p>
    <w:p w14:paraId="362FE4CA" w14:textId="77777777" w:rsidR="00D62B03" w:rsidRDefault="00D62B03">
      <w:pPr>
        <w:spacing w:line="360" w:lineRule="auto"/>
        <w:ind w:left="720" w:hanging="720"/>
        <w:jc w:val="both"/>
        <w:rPr>
          <w:rtl/>
        </w:rPr>
      </w:pPr>
    </w:p>
    <w:p w14:paraId="6668F697" w14:textId="77777777" w:rsidR="00D62B03" w:rsidRDefault="00A23CBB">
      <w:pPr>
        <w:spacing w:line="360" w:lineRule="auto"/>
        <w:ind w:left="720" w:hanging="720"/>
        <w:jc w:val="both"/>
        <w:rPr>
          <w:rtl/>
        </w:rPr>
      </w:pPr>
      <w:r>
        <w:rPr>
          <w:rFonts w:hint="cs"/>
          <w:b/>
          <w:bCs/>
          <w:rtl/>
        </w:rPr>
        <w:t>15</w:t>
      </w:r>
      <w:r>
        <w:rPr>
          <w:rFonts w:hint="cs"/>
          <w:rtl/>
        </w:rPr>
        <w:t>.</w:t>
      </w:r>
      <w:r>
        <w:rPr>
          <w:rFonts w:hint="cs"/>
          <w:rtl/>
        </w:rPr>
        <w:tab/>
        <w:t>הממונה על עבודות השירות מתבקשת לחוות דעתה אם הנאשם מסוגל לרצות ששה חודשי מאסר בעבודות שירות, עד יום 11/11/13."</w:t>
      </w:r>
    </w:p>
    <w:p w14:paraId="63C8FD8F" w14:textId="77777777" w:rsidR="00D62B03" w:rsidRDefault="00A23CBB">
      <w:pPr>
        <w:pStyle w:val="normal-p-p"/>
        <w:bidi/>
        <w:spacing w:line="360" w:lineRule="auto"/>
        <w:ind w:left="720" w:hanging="720"/>
        <w:jc w:val="both"/>
        <w:rPr>
          <w:rStyle w:val="aa-h1-h1-h1"/>
          <w:rFonts w:cs="David"/>
          <w:b w:val="0"/>
          <w:bCs w:val="0"/>
          <w:sz w:val="24"/>
          <w:szCs w:val="24"/>
          <w:rtl/>
        </w:rPr>
      </w:pPr>
      <w:r>
        <w:rPr>
          <w:rFonts w:cs="David" w:hint="cs"/>
          <w:b/>
          <w:bCs/>
          <w:sz w:val="24"/>
          <w:szCs w:val="24"/>
          <w:rtl/>
        </w:rPr>
        <w:t>16</w:t>
      </w:r>
      <w:r>
        <w:rPr>
          <w:rFonts w:cs="David" w:hint="cs"/>
          <w:sz w:val="24"/>
          <w:szCs w:val="24"/>
          <w:rtl/>
        </w:rPr>
        <w:t>.</w:t>
      </w:r>
      <w:r>
        <w:rPr>
          <w:rFonts w:cs="David" w:hint="cs"/>
          <w:sz w:val="24"/>
          <w:szCs w:val="24"/>
          <w:rtl/>
        </w:rPr>
        <w:tab/>
      </w:r>
      <w:r>
        <w:rPr>
          <w:rStyle w:val="aa-h1-h1-h1"/>
          <w:rFonts w:cs="David"/>
          <w:sz w:val="24"/>
          <w:szCs w:val="24"/>
          <w:rtl/>
        </w:rPr>
        <w:t>הממונה בדק</w:t>
      </w:r>
      <w:r>
        <w:rPr>
          <w:rStyle w:val="aa-h1-h1-h1"/>
          <w:rFonts w:cs="David" w:hint="cs"/>
          <w:sz w:val="24"/>
          <w:szCs w:val="24"/>
          <w:rtl/>
        </w:rPr>
        <w:t>ה</w:t>
      </w:r>
      <w:r>
        <w:rPr>
          <w:rStyle w:val="aa-h1-h1-h1"/>
          <w:rFonts w:cs="David"/>
          <w:sz w:val="24"/>
          <w:szCs w:val="24"/>
          <w:rtl/>
        </w:rPr>
        <w:t xml:space="preserve"> את הנאשם ומצא</w:t>
      </w:r>
      <w:r>
        <w:rPr>
          <w:rStyle w:val="aa-h1-h1-h1"/>
          <w:rFonts w:cs="David" w:hint="cs"/>
          <w:sz w:val="24"/>
          <w:szCs w:val="24"/>
          <w:rtl/>
        </w:rPr>
        <w:t>ה</w:t>
      </w:r>
      <w:r>
        <w:rPr>
          <w:rStyle w:val="aa-h1-h1-h1"/>
          <w:rFonts w:cs="David"/>
          <w:sz w:val="24"/>
          <w:szCs w:val="24"/>
          <w:rtl/>
        </w:rPr>
        <w:t xml:space="preserve"> אותו כשיר לריצוי מאסר בעבודות שירות. יחד עם זאת, משאישר הנאשם כי הוא </w:t>
      </w:r>
      <w:r>
        <w:rPr>
          <w:rStyle w:val="aa-h1-h1-h1"/>
          <w:rFonts w:cs="David" w:hint="cs"/>
          <w:sz w:val="24"/>
          <w:szCs w:val="24"/>
          <w:rtl/>
        </w:rPr>
        <w:t xml:space="preserve">צורך </w:t>
      </w:r>
      <w:r>
        <w:rPr>
          <w:rStyle w:val="aa-h1-h1-h1"/>
          <w:rFonts w:cs="David"/>
          <w:sz w:val="24"/>
          <w:szCs w:val="24"/>
          <w:rtl/>
        </w:rPr>
        <w:t>אלכוהול</w:t>
      </w:r>
      <w:r>
        <w:rPr>
          <w:rStyle w:val="aa-h1-h1-h1"/>
          <w:rFonts w:cs="David" w:hint="cs"/>
          <w:sz w:val="24"/>
          <w:szCs w:val="24"/>
          <w:rtl/>
        </w:rPr>
        <w:t xml:space="preserve"> </w:t>
      </w:r>
      <w:r>
        <w:rPr>
          <w:rStyle w:val="aa-h1-h1-h1"/>
          <w:rFonts w:cs="David"/>
          <w:sz w:val="24"/>
          <w:szCs w:val="24"/>
          <w:rtl/>
        </w:rPr>
        <w:t xml:space="preserve">לעתים, </w:t>
      </w:r>
      <w:r>
        <w:rPr>
          <w:rStyle w:val="aa-h1-h1-h1"/>
          <w:rFonts w:cs="David" w:hint="cs"/>
          <w:sz w:val="24"/>
          <w:szCs w:val="24"/>
          <w:rtl/>
        </w:rPr>
        <w:t xml:space="preserve">ביקשה </w:t>
      </w:r>
      <w:r>
        <w:rPr>
          <w:rStyle w:val="aa-h1-h1-h1"/>
          <w:rFonts w:cs="David"/>
          <w:sz w:val="24"/>
          <w:szCs w:val="24"/>
          <w:rtl/>
        </w:rPr>
        <w:t>להזהירו כי נאסר עליו לשתות אלכוהול במהלך העבודה</w:t>
      </w:r>
      <w:r>
        <w:rPr>
          <w:rStyle w:val="aa-h1-h1-h1"/>
          <w:rFonts w:cs="David" w:hint="cs"/>
          <w:sz w:val="24"/>
          <w:szCs w:val="24"/>
          <w:rtl/>
        </w:rPr>
        <w:t xml:space="preserve"> ו/או</w:t>
      </w:r>
      <w:r>
        <w:rPr>
          <w:rStyle w:val="aa-h1-h1-h1"/>
          <w:rFonts w:cs="David"/>
          <w:sz w:val="24"/>
          <w:szCs w:val="24"/>
          <w:rtl/>
        </w:rPr>
        <w:t xml:space="preserve"> להגיע לעבודה בגילופין, וכי התנהגות מסוג זה תהווה עילה להפסקה מנהלית של עבודות השירות וריצוי המאסר בפועל. כן ביקש</w:t>
      </w:r>
      <w:r>
        <w:rPr>
          <w:rStyle w:val="aa-h1-h1-h1"/>
          <w:rFonts w:cs="David" w:hint="cs"/>
          <w:sz w:val="24"/>
          <w:szCs w:val="24"/>
          <w:rtl/>
        </w:rPr>
        <w:t>ה</w:t>
      </w:r>
      <w:r>
        <w:rPr>
          <w:rStyle w:val="aa-h1-h1-h1"/>
          <w:rFonts w:cs="David"/>
          <w:sz w:val="24"/>
          <w:szCs w:val="24"/>
          <w:rtl/>
        </w:rPr>
        <w:t xml:space="preserve"> להבהיר לנאשם כי תנאי ההעסקה הם קפדניים, ו</w:t>
      </w:r>
      <w:r>
        <w:rPr>
          <w:rStyle w:val="aa-h1-h1-h1"/>
          <w:rFonts w:cs="David" w:hint="cs"/>
          <w:sz w:val="24"/>
          <w:szCs w:val="24"/>
          <w:rtl/>
        </w:rPr>
        <w:t>כי ב</w:t>
      </w:r>
      <w:r>
        <w:rPr>
          <w:rStyle w:val="aa-h1-h1-h1"/>
          <w:rFonts w:cs="David"/>
          <w:sz w:val="24"/>
          <w:szCs w:val="24"/>
          <w:rtl/>
        </w:rPr>
        <w:t xml:space="preserve">כל חריגה מהכללים </w:t>
      </w:r>
      <w:r>
        <w:rPr>
          <w:rStyle w:val="aa-h1-h1-h1"/>
          <w:rFonts w:cs="David" w:hint="cs"/>
          <w:sz w:val="24"/>
          <w:szCs w:val="24"/>
          <w:rtl/>
        </w:rPr>
        <w:t xml:space="preserve">יש כדי </w:t>
      </w:r>
      <w:r>
        <w:rPr>
          <w:rStyle w:val="aa-h1-h1-h1"/>
          <w:rFonts w:cs="David"/>
          <w:sz w:val="24"/>
          <w:szCs w:val="24"/>
          <w:rtl/>
        </w:rPr>
        <w:t>להפסיק את עבודות השירות ו</w:t>
      </w:r>
      <w:r>
        <w:rPr>
          <w:rStyle w:val="aa-h1-h1-h1"/>
          <w:rFonts w:cs="David" w:hint="cs"/>
          <w:sz w:val="24"/>
          <w:szCs w:val="24"/>
          <w:rtl/>
        </w:rPr>
        <w:t xml:space="preserve">להורות על </w:t>
      </w:r>
      <w:r>
        <w:rPr>
          <w:rStyle w:val="aa-h1-h1-h1"/>
          <w:rFonts w:cs="David"/>
          <w:sz w:val="24"/>
          <w:szCs w:val="24"/>
          <w:rtl/>
        </w:rPr>
        <w:t xml:space="preserve">ריצוי יתרת העונש במאסר בפועל. </w:t>
      </w:r>
    </w:p>
    <w:p w14:paraId="30B436B5" w14:textId="77777777" w:rsidR="00D62B03" w:rsidRDefault="00A23CBB">
      <w:pPr>
        <w:pStyle w:val="normal-p-p"/>
        <w:bidi/>
        <w:spacing w:line="360" w:lineRule="auto"/>
        <w:ind w:left="720" w:hanging="720"/>
        <w:jc w:val="both"/>
        <w:rPr>
          <w:rStyle w:val="aa-h1-h1-h1"/>
          <w:rFonts w:cs="David"/>
          <w:sz w:val="24"/>
          <w:szCs w:val="24"/>
          <w:rtl/>
        </w:rPr>
      </w:pPr>
      <w:r>
        <w:rPr>
          <w:rFonts w:cs="David" w:hint="cs"/>
          <w:b/>
          <w:bCs/>
          <w:sz w:val="24"/>
          <w:szCs w:val="24"/>
          <w:rtl/>
        </w:rPr>
        <w:tab/>
      </w:r>
      <w:r>
        <w:rPr>
          <w:rFonts w:cs="David" w:hint="cs"/>
          <w:sz w:val="24"/>
          <w:szCs w:val="24"/>
          <w:rtl/>
        </w:rPr>
        <w:t>הנאשם הוזהר והודיע כי הבין את מחויי</w:t>
      </w:r>
      <w:bookmarkStart w:id="7" w:name="_GoBack"/>
      <w:bookmarkEnd w:id="7"/>
      <w:r>
        <w:rPr>
          <w:rFonts w:cs="David" w:hint="cs"/>
          <w:sz w:val="24"/>
          <w:szCs w:val="24"/>
          <w:rtl/>
        </w:rPr>
        <w:t>בויותיו בביצוען של עבודות השירות</w:t>
      </w:r>
      <w:r>
        <w:rPr>
          <w:rStyle w:val="aa-h1-h1-h1"/>
          <w:rFonts w:cs="David" w:hint="cs"/>
          <w:sz w:val="24"/>
          <w:szCs w:val="24"/>
          <w:rtl/>
        </w:rPr>
        <w:t xml:space="preserve">. </w:t>
      </w:r>
    </w:p>
    <w:p w14:paraId="0CA39CD7" w14:textId="77777777" w:rsidR="00D62B03" w:rsidRDefault="00A23CBB">
      <w:pPr>
        <w:pStyle w:val="normal-p-p"/>
        <w:bidi/>
        <w:spacing w:line="360" w:lineRule="auto"/>
        <w:ind w:left="717" w:hanging="717"/>
        <w:jc w:val="both"/>
        <w:rPr>
          <w:rStyle w:val="aa-h1-h1-h1"/>
          <w:rFonts w:cs="David"/>
          <w:b w:val="0"/>
          <w:bCs w:val="0"/>
          <w:sz w:val="24"/>
          <w:szCs w:val="24"/>
          <w:rtl/>
        </w:rPr>
      </w:pPr>
      <w:r>
        <w:rPr>
          <w:rStyle w:val="aa-h1-h1-h1"/>
          <w:rFonts w:cs="David"/>
          <w:sz w:val="24"/>
          <w:szCs w:val="24"/>
          <w:rtl/>
        </w:rPr>
        <w:t>17.</w:t>
      </w:r>
      <w:r>
        <w:rPr>
          <w:rStyle w:val="aa-h1-h1-h1"/>
          <w:rFonts w:cs="David"/>
          <w:sz w:val="24"/>
          <w:szCs w:val="24"/>
          <w:rtl/>
        </w:rPr>
        <w:tab/>
      </w:r>
      <w:r>
        <w:rPr>
          <w:rStyle w:val="aa-h1-h1-h1"/>
          <w:rFonts w:cs="David" w:hint="cs"/>
          <w:sz w:val="24"/>
          <w:szCs w:val="24"/>
          <w:rtl/>
        </w:rPr>
        <w:t>נוכח</w:t>
      </w:r>
      <w:r>
        <w:rPr>
          <w:rStyle w:val="aa-h1-h1-h1"/>
          <w:rFonts w:cs="David"/>
          <w:sz w:val="24"/>
          <w:szCs w:val="24"/>
          <w:rtl/>
        </w:rPr>
        <w:t xml:space="preserve"> כל המקובץ, לאחר שאיזנתי בין מכלול השיקולים הנדרשים, תוך מתן משקל מכריע לעקרון של אחידות הענישה במקרה זה, </w:t>
      </w:r>
      <w:r>
        <w:rPr>
          <w:rStyle w:val="aa-h1-h1-h1"/>
          <w:rFonts w:cs="David" w:hint="cs"/>
          <w:sz w:val="24"/>
          <w:szCs w:val="24"/>
          <w:rtl/>
        </w:rPr>
        <w:t xml:space="preserve">ובהתחשב בכך שהנאשם היה עצור למשך חודשיים, </w:t>
      </w:r>
      <w:r>
        <w:rPr>
          <w:rStyle w:val="aa-h1-h1-h1"/>
          <w:rFonts w:cs="David"/>
          <w:sz w:val="24"/>
          <w:szCs w:val="24"/>
          <w:rtl/>
        </w:rPr>
        <w:t xml:space="preserve">אני גוזרת על הנאשם עונשים כדלקמן: </w:t>
      </w:r>
    </w:p>
    <w:p w14:paraId="7BC4AAD6" w14:textId="77777777" w:rsidR="00D62B03" w:rsidRDefault="00A23CBB">
      <w:pPr>
        <w:pStyle w:val="normal-p"/>
        <w:bidi/>
        <w:spacing w:line="360" w:lineRule="auto"/>
        <w:ind w:left="717"/>
        <w:jc w:val="both"/>
        <w:rPr>
          <w:rStyle w:val="normal-h-h"/>
          <w:rFonts w:cs="David"/>
          <w:rtl/>
        </w:rPr>
      </w:pPr>
      <w:r>
        <w:rPr>
          <w:rStyle w:val="normal-h-h"/>
          <w:rFonts w:cs="David"/>
          <w:b/>
          <w:bCs/>
          <w:rtl/>
        </w:rPr>
        <w:t>א</w:t>
      </w:r>
      <w:r>
        <w:rPr>
          <w:rStyle w:val="normal-h-h"/>
          <w:rFonts w:cs="David"/>
          <w:rtl/>
        </w:rPr>
        <w:t xml:space="preserve">. שישה חודשי מאסר לריצוי בעבודות שירות, בהתאם להמלצת הממונה על עבודות השירות  כמפורט לעיל. </w:t>
      </w:r>
    </w:p>
    <w:p w14:paraId="42DABF90" w14:textId="77777777" w:rsidR="00D62B03" w:rsidRDefault="00A23CBB">
      <w:pPr>
        <w:pStyle w:val="normal-p"/>
        <w:bidi/>
        <w:spacing w:line="360" w:lineRule="auto"/>
        <w:ind w:left="717"/>
        <w:jc w:val="both"/>
        <w:rPr>
          <w:rStyle w:val="normal-h-h"/>
          <w:rFonts w:cs="David"/>
          <w:rtl/>
        </w:rPr>
      </w:pPr>
      <w:r>
        <w:rPr>
          <w:rStyle w:val="normal-h-h"/>
          <w:rFonts w:cs="David"/>
          <w:b/>
          <w:bCs/>
          <w:rtl/>
        </w:rPr>
        <w:t>ב</w:t>
      </w:r>
      <w:r>
        <w:rPr>
          <w:rStyle w:val="normal-h-h"/>
          <w:rFonts w:cs="David"/>
          <w:rtl/>
        </w:rPr>
        <w:t>. מאסר על תנאי למשך 18 חודשים, שהנאשם לא ישא בו זולת אם יעבור בתוך 3 שנים עבירה בה הורשע בתיק זה, או כל עבירת אלימות שהיא פשע</w:t>
      </w:r>
      <w:r>
        <w:rPr>
          <w:rStyle w:val="normal-h-h"/>
          <w:rFonts w:cs="David" w:hint="cs"/>
          <w:rtl/>
        </w:rPr>
        <w:t xml:space="preserve">, </w:t>
      </w:r>
      <w:r>
        <w:rPr>
          <w:rStyle w:val="normal-h-h"/>
          <w:rFonts w:cs="David"/>
          <w:rtl/>
        </w:rPr>
        <w:t xml:space="preserve">ויורשע בה בתוך תקופת התנאי או לאחריה. </w:t>
      </w:r>
    </w:p>
    <w:p w14:paraId="5CF3DFD6" w14:textId="77777777" w:rsidR="00D62B03" w:rsidRDefault="00A23CBB">
      <w:pPr>
        <w:pStyle w:val="normal-p"/>
        <w:bidi/>
        <w:spacing w:line="360" w:lineRule="auto"/>
        <w:ind w:left="717"/>
        <w:jc w:val="both"/>
        <w:rPr>
          <w:rStyle w:val="normal-h-h"/>
          <w:rFonts w:cs="David"/>
          <w:rtl/>
        </w:rPr>
      </w:pPr>
      <w:r>
        <w:rPr>
          <w:rStyle w:val="normal-h-h"/>
          <w:rFonts w:cs="David"/>
          <w:b/>
          <w:bCs/>
          <w:rtl/>
        </w:rPr>
        <w:t>ג</w:t>
      </w:r>
      <w:r>
        <w:rPr>
          <w:rStyle w:val="normal-h-h"/>
          <w:rFonts w:cs="David"/>
          <w:rtl/>
        </w:rPr>
        <w:t>. קנס בסך 10,000 ₪ או מאסר תחתיו למשך 90 יום. הקנס ישולם ב- 10 תשלומים חודשיים, שווים ורצופים החל מיום 1/1/14.</w:t>
      </w:r>
    </w:p>
    <w:p w14:paraId="12DEFD7F" w14:textId="77777777" w:rsidR="00D62B03" w:rsidRDefault="00D62B03">
      <w:pPr>
        <w:pStyle w:val="normal-p"/>
        <w:bidi/>
        <w:spacing w:line="360" w:lineRule="auto"/>
        <w:jc w:val="both"/>
        <w:rPr>
          <w:rStyle w:val="normal-p-p-h1"/>
          <w:rFonts w:cs="David"/>
          <w:b/>
          <w:bCs/>
          <w:u w:val="single"/>
          <w:rtl/>
        </w:rPr>
      </w:pPr>
    </w:p>
    <w:p w14:paraId="0FAFA211" w14:textId="77777777" w:rsidR="00D62B03" w:rsidRDefault="00A23CBB">
      <w:pPr>
        <w:pStyle w:val="normal-p"/>
        <w:bidi/>
        <w:spacing w:line="360" w:lineRule="auto"/>
        <w:ind w:firstLine="717"/>
        <w:jc w:val="both"/>
        <w:rPr>
          <w:rFonts w:ascii="Times New Roman" w:hAnsi="Times New Roman" w:cs="David"/>
          <w:rtl/>
        </w:rPr>
      </w:pPr>
      <w:r>
        <w:rPr>
          <w:rStyle w:val="normal-p-p-h1"/>
          <w:rFonts w:cs="David"/>
          <w:b/>
          <w:bCs/>
          <w:u w:val="single"/>
          <w:rtl/>
        </w:rPr>
        <w:t xml:space="preserve">זכות ערעור לבית המשפט העליון בתוך 45 יום מהיום. </w:t>
      </w:r>
    </w:p>
    <w:p w14:paraId="5FE9311A" w14:textId="77777777" w:rsidR="00D62B03" w:rsidRDefault="00D62B03">
      <w:pPr>
        <w:rPr>
          <w:rtl/>
        </w:rPr>
      </w:pPr>
    </w:p>
    <w:p w14:paraId="100DA4DD" w14:textId="77777777" w:rsidR="00D62B03" w:rsidRPr="00A23CBB" w:rsidRDefault="00A23CBB">
      <w:pPr>
        <w:rPr>
          <w:color w:val="FFFFFF"/>
          <w:sz w:val="2"/>
          <w:szCs w:val="2"/>
          <w:rtl/>
        </w:rPr>
      </w:pPr>
      <w:r w:rsidRPr="00A23CBB">
        <w:rPr>
          <w:color w:val="FFFFFF"/>
          <w:sz w:val="2"/>
          <w:szCs w:val="2"/>
          <w:rtl/>
        </w:rPr>
        <w:t>5129371</w:t>
      </w:r>
    </w:p>
    <w:p w14:paraId="767A73C5" w14:textId="77777777" w:rsidR="00D62B03" w:rsidRDefault="00A23CBB">
      <w:pPr>
        <w:rPr>
          <w:rFonts w:cs="FrankRuehl"/>
          <w:sz w:val="28"/>
          <w:szCs w:val="28"/>
          <w:rtl/>
        </w:rPr>
      </w:pPr>
      <w:r w:rsidRPr="00A23CBB">
        <w:rPr>
          <w:rFonts w:ascii="Arial" w:hAnsi="Arial"/>
          <w:color w:val="FFFFFF"/>
          <w:sz w:val="2"/>
          <w:szCs w:val="2"/>
          <w:rtl/>
        </w:rPr>
        <w:t>54678313</w:t>
      </w:r>
      <w:r>
        <w:rPr>
          <w:rFonts w:ascii="Arial" w:hAnsi="Arial"/>
          <w:rtl/>
        </w:rPr>
        <w:t xml:space="preserve">ניתן היום,  ט"ו טבת תשע"ד, 18 דצמבר 2013, במעמד הצדדים. </w:t>
      </w:r>
    </w:p>
    <w:p w14:paraId="52B84354" w14:textId="77777777" w:rsidR="00D62B03" w:rsidRDefault="00A23CBB">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1FBC39D" w14:textId="77777777" w:rsidR="00D62B03" w:rsidRDefault="00D62B03">
      <w:pPr>
        <w:jc w:val="center"/>
        <w:rPr>
          <w:rFonts w:ascii="Arial" w:hAnsi="Arial" w:cs="FrankRuehl"/>
          <w:sz w:val="28"/>
          <w:szCs w:val="28"/>
          <w:rtl/>
        </w:rPr>
      </w:pPr>
    </w:p>
    <w:p w14:paraId="328C0633" w14:textId="77777777" w:rsidR="00D62B03" w:rsidRDefault="00D62B03">
      <w:pPr>
        <w:rPr>
          <w:rFonts w:cs="FrankRuehl"/>
          <w:sz w:val="28"/>
          <w:szCs w:val="28"/>
          <w:rtl/>
        </w:rPr>
      </w:pPr>
    </w:p>
    <w:p w14:paraId="40D693CB" w14:textId="77777777" w:rsidR="00D62B03" w:rsidRDefault="00D62B03">
      <w:pPr>
        <w:pStyle w:val="a3"/>
        <w:jc w:val="center"/>
        <w:rPr>
          <w:rtl/>
        </w:rPr>
      </w:pPr>
    </w:p>
    <w:p w14:paraId="02F0A53F" w14:textId="77777777" w:rsidR="00A23CBB" w:rsidRPr="00A23CBB" w:rsidRDefault="00A23CBB" w:rsidP="00A23CBB">
      <w:pPr>
        <w:keepNext/>
        <w:rPr>
          <w:rFonts w:ascii="David" w:hAnsi="David"/>
          <w:color w:val="000000"/>
          <w:sz w:val="22"/>
          <w:szCs w:val="22"/>
          <w:rtl/>
        </w:rPr>
      </w:pPr>
    </w:p>
    <w:p w14:paraId="650014D6" w14:textId="77777777" w:rsidR="00A23CBB" w:rsidRPr="00A23CBB" w:rsidRDefault="00A23CBB" w:rsidP="00A23CBB">
      <w:pPr>
        <w:keepNext/>
        <w:rPr>
          <w:rFonts w:ascii="David" w:hAnsi="David"/>
          <w:color w:val="000000"/>
          <w:sz w:val="22"/>
          <w:szCs w:val="22"/>
          <w:rtl/>
        </w:rPr>
      </w:pPr>
      <w:r w:rsidRPr="00A23CBB">
        <w:rPr>
          <w:rFonts w:ascii="David" w:hAnsi="David"/>
          <w:color w:val="000000"/>
          <w:sz w:val="22"/>
          <w:szCs w:val="22"/>
          <w:rtl/>
        </w:rPr>
        <w:t>דיאנה סלע 54678313</w:t>
      </w:r>
    </w:p>
    <w:p w14:paraId="4F2C435D" w14:textId="77777777" w:rsidR="00A23CBB" w:rsidRDefault="00A23CBB" w:rsidP="00A23CBB">
      <w:r w:rsidRPr="00A23CBB">
        <w:rPr>
          <w:color w:val="000000"/>
          <w:rtl/>
        </w:rPr>
        <w:t>נוסח מסמך זה כפוף לשינויי ניסוח ועריכה</w:t>
      </w:r>
    </w:p>
    <w:p w14:paraId="70212DA9" w14:textId="77777777" w:rsidR="00A23CBB" w:rsidRDefault="00A23CBB" w:rsidP="00A23CBB">
      <w:pPr>
        <w:rPr>
          <w:rtl/>
        </w:rPr>
      </w:pPr>
    </w:p>
    <w:p w14:paraId="43E1954B" w14:textId="77777777" w:rsidR="00A23CBB" w:rsidRDefault="00A23CBB" w:rsidP="00A23CBB">
      <w:pPr>
        <w:jc w:val="center"/>
        <w:rPr>
          <w:color w:val="0000FF"/>
          <w:u w:val="single"/>
        </w:rPr>
      </w:pPr>
      <w:r w:rsidRPr="00090326">
        <w:rPr>
          <w:color w:val="000000"/>
          <w:rtl/>
        </w:rPr>
        <w:t>בעניין עריכה ושינויים במסמכי פסיקה, חקיקה ועוד באתר נבו – הקש כאן</w:t>
      </w:r>
    </w:p>
    <w:p w14:paraId="40294379" w14:textId="77777777" w:rsidR="00D62B03" w:rsidRPr="00A23CBB" w:rsidRDefault="00D62B03" w:rsidP="00A23CBB">
      <w:pPr>
        <w:jc w:val="center"/>
        <w:rPr>
          <w:color w:val="0000FF"/>
          <w:u w:val="single"/>
        </w:rPr>
      </w:pPr>
    </w:p>
    <w:sectPr w:rsidR="00D62B03" w:rsidRPr="00A23CBB" w:rsidSect="00A23CBB">
      <w:headerReference w:type="even" r:id="rId86"/>
      <w:headerReference w:type="default" r:id="rId87"/>
      <w:footerReference w:type="even" r:id="rId88"/>
      <w:footerReference w:type="default" r:id="rId89"/>
      <w:pgSz w:w="11907" w:h="16840" w:code="9"/>
      <w:pgMar w:top="1701" w:right="1701" w:bottom="1276"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2B90E0" w14:textId="77777777" w:rsidR="002E3B12" w:rsidRPr="00335B92" w:rsidRDefault="002E3B12">
      <w:pPr>
        <w:rPr>
          <w:rFonts w:cs="Arial"/>
          <w:szCs w:val="20"/>
        </w:rPr>
      </w:pPr>
      <w:r>
        <w:separator/>
      </w:r>
    </w:p>
  </w:endnote>
  <w:endnote w:type="continuationSeparator" w:id="0">
    <w:p w14:paraId="6E8907F6" w14:textId="77777777" w:rsidR="002E3B12" w:rsidRPr="00335B92" w:rsidRDefault="002E3B12">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F3CA4" w14:textId="77777777" w:rsidR="004112F5" w:rsidRDefault="004112F5" w:rsidP="00A23CBB">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0060BCA" w14:textId="77777777" w:rsidR="004112F5" w:rsidRPr="00A23CBB" w:rsidRDefault="004112F5" w:rsidP="00A23CBB">
    <w:pPr>
      <w:pStyle w:val="a4"/>
      <w:pBdr>
        <w:top w:val="single" w:sz="4" w:space="1" w:color="auto"/>
        <w:between w:val="single" w:sz="4" w:space="0" w:color="auto"/>
      </w:pBdr>
      <w:spacing w:after="60"/>
      <w:jc w:val="center"/>
      <w:rPr>
        <w:rFonts w:ascii="FrankRuehl" w:hAnsi="FrankRuehl" w:cs="FrankRuehl"/>
        <w:color w:val="000000"/>
      </w:rPr>
    </w:pPr>
    <w:r w:rsidRPr="00A23CB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6EB979" w14:textId="77777777" w:rsidR="004112F5" w:rsidRDefault="004112F5" w:rsidP="00A23CBB">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A091F">
      <w:rPr>
        <w:rFonts w:ascii="FrankRuehl" w:hAnsi="FrankRuehl" w:cs="FrankRuehl"/>
        <w:noProof/>
        <w:rtl/>
      </w:rPr>
      <w:t>1</w:t>
    </w:r>
    <w:r>
      <w:rPr>
        <w:rFonts w:ascii="FrankRuehl" w:hAnsi="FrankRuehl" w:cs="FrankRuehl"/>
        <w:rtl/>
      </w:rPr>
      <w:fldChar w:fldCharType="end"/>
    </w:r>
  </w:p>
  <w:p w14:paraId="51CE2734" w14:textId="77777777" w:rsidR="004112F5" w:rsidRPr="00A23CBB" w:rsidRDefault="004112F5" w:rsidP="00A23CBB">
    <w:pPr>
      <w:pStyle w:val="a4"/>
      <w:pBdr>
        <w:top w:val="single" w:sz="4" w:space="1" w:color="auto"/>
        <w:between w:val="single" w:sz="4" w:space="0" w:color="auto"/>
      </w:pBdr>
      <w:spacing w:after="60"/>
      <w:jc w:val="center"/>
      <w:rPr>
        <w:rFonts w:ascii="FrankRuehl" w:hAnsi="FrankRuehl" w:cs="FrankRuehl"/>
        <w:color w:val="000000"/>
      </w:rPr>
    </w:pPr>
    <w:r w:rsidRPr="00A23CBB">
      <w:rPr>
        <w:rFonts w:ascii="FrankRuehl" w:hAnsi="FrankRuehl" w:cs="FrankRuehl"/>
        <w:color w:val="000000"/>
      </w:rPr>
      <w:pict w14:anchorId="274F75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D2B387" w14:textId="77777777" w:rsidR="002E3B12" w:rsidRPr="00335B92" w:rsidRDefault="002E3B12">
      <w:pPr>
        <w:rPr>
          <w:rFonts w:cs="Arial"/>
          <w:szCs w:val="20"/>
        </w:rPr>
      </w:pPr>
      <w:r>
        <w:separator/>
      </w:r>
    </w:p>
  </w:footnote>
  <w:footnote w:type="continuationSeparator" w:id="0">
    <w:p w14:paraId="24CBD2C0" w14:textId="77777777" w:rsidR="002E3B12" w:rsidRPr="00335B92" w:rsidRDefault="002E3B12">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3D0CE5" w14:textId="77777777" w:rsidR="004112F5" w:rsidRPr="00A23CBB" w:rsidRDefault="004112F5" w:rsidP="00A23CB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 xml:space="preserve"> (חי') 5013/12 תפ (חי') 5013-12</w:t>
    </w:r>
    <w:r>
      <w:rPr>
        <w:rFonts w:ascii="David" w:hAnsi="David"/>
        <w:color w:val="000000"/>
        <w:sz w:val="22"/>
        <w:szCs w:val="22"/>
        <w:rtl/>
      </w:rPr>
      <w:tab/>
      <w:t xml:space="preserve"> מדינת ישראל נ' אלכסנדר פיטייב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D0E3F5" w14:textId="77777777" w:rsidR="004112F5" w:rsidRPr="00A23CBB" w:rsidRDefault="004112F5" w:rsidP="00A23CB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 xml:space="preserve"> (חי') 5013/12 תפ (חי') 5013-12</w:t>
    </w:r>
    <w:r>
      <w:rPr>
        <w:rFonts w:ascii="David" w:hAnsi="David"/>
        <w:color w:val="000000"/>
        <w:sz w:val="22"/>
        <w:szCs w:val="22"/>
        <w:rtl/>
      </w:rPr>
      <w:tab/>
      <w:t xml:space="preserve"> מדינת ישראל נ' אלכסנדר פיטייב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62B03"/>
    <w:rsid w:val="00090326"/>
    <w:rsid w:val="002E3B12"/>
    <w:rsid w:val="004112F5"/>
    <w:rsid w:val="00612143"/>
    <w:rsid w:val="007A7C35"/>
    <w:rsid w:val="00865297"/>
    <w:rsid w:val="00940B26"/>
    <w:rsid w:val="00943D94"/>
    <w:rsid w:val="00944EF4"/>
    <w:rsid w:val="00A23CBB"/>
    <w:rsid w:val="00BA091F"/>
    <w:rsid w:val="00BA68B4"/>
    <w:rsid w:val="00C00B6B"/>
    <w:rsid w:val="00C070A9"/>
    <w:rsid w:val="00C11F75"/>
    <w:rsid w:val="00C660EF"/>
    <w:rsid w:val="00CF1EF2"/>
    <w:rsid w:val="00D62B03"/>
    <w:rsid w:val="00E7377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6E1E7BB"/>
  <w15:chartTrackingRefBased/>
  <w15:docId w15:val="{BCDCB739-14E9-4E4C-99A7-DA6FB8C6D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62B03"/>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D62B03"/>
    <w:pPr>
      <w:tabs>
        <w:tab w:val="center" w:pos="4153"/>
        <w:tab w:val="right" w:pos="8306"/>
      </w:tabs>
    </w:pPr>
  </w:style>
  <w:style w:type="paragraph" w:styleId="a4">
    <w:name w:val="footer"/>
    <w:basedOn w:val="a"/>
    <w:rsid w:val="00D62B03"/>
    <w:pPr>
      <w:tabs>
        <w:tab w:val="center" w:pos="4153"/>
        <w:tab w:val="right" w:pos="8306"/>
      </w:tabs>
    </w:pPr>
  </w:style>
  <w:style w:type="character" w:styleId="a5">
    <w:name w:val="page number"/>
    <w:basedOn w:val="a0"/>
    <w:rsid w:val="00D62B03"/>
  </w:style>
  <w:style w:type="character" w:customStyle="1" w:styleId="TimesNewRomanTimesNewRoman">
    <w:name w:val="סגנון (לטיני) Times New Roman (עברית ושפות אחרות) Times New Roman..."/>
    <w:rsid w:val="00D62B03"/>
    <w:rPr>
      <w:rFonts w:ascii="Times New Roman" w:hAnsi="Times New Roman" w:cs="David" w:hint="default"/>
      <w:b/>
      <w:bCs/>
      <w:sz w:val="26"/>
      <w:szCs w:val="26"/>
    </w:rPr>
  </w:style>
  <w:style w:type="paragraph" w:customStyle="1" w:styleId="normal-p">
    <w:name w:val="normal-p"/>
    <w:basedOn w:val="a"/>
    <w:rsid w:val="00D62B03"/>
    <w:pPr>
      <w:bidi w:val="0"/>
      <w:spacing w:before="100" w:beforeAutospacing="1" w:after="100" w:afterAutospacing="1"/>
    </w:pPr>
    <w:rPr>
      <w:rFonts w:ascii="Arial Unicode MS" w:eastAsia="Arial Unicode MS" w:hAnsi="Arial Unicode MS" w:cs="Arial Unicode MS"/>
      <w:lang w:eastAsia="he-IL"/>
    </w:rPr>
  </w:style>
  <w:style w:type="paragraph" w:customStyle="1" w:styleId="normal-p-p">
    <w:name w:val="normal-p-p"/>
    <w:basedOn w:val="a"/>
    <w:rsid w:val="00D62B03"/>
    <w:pPr>
      <w:bidi w:val="0"/>
      <w:spacing w:before="100" w:beforeAutospacing="1" w:after="100" w:afterAutospacing="1"/>
    </w:pPr>
    <w:rPr>
      <w:rFonts w:eastAsia="Arial Unicode MS" w:cs="Arial Unicode MS"/>
      <w:sz w:val="20"/>
      <w:szCs w:val="20"/>
      <w:lang w:eastAsia="he-IL"/>
    </w:rPr>
  </w:style>
  <w:style w:type="character" w:customStyle="1" w:styleId="normal-h-h">
    <w:name w:val="normal-h-h"/>
    <w:rsid w:val="00D62B03"/>
    <w:rPr>
      <w:rFonts w:ascii="Times New Roman" w:hAnsi="Times New Roman" w:cs="Times New Roman"/>
    </w:rPr>
  </w:style>
  <w:style w:type="character" w:customStyle="1" w:styleId="aa-h1-h1-h1">
    <w:name w:val="aa-h1-h1-h1"/>
    <w:rsid w:val="00D62B03"/>
    <w:rPr>
      <w:rFonts w:ascii="Times New Roman" w:hAnsi="Times New Roman" w:cs="Times New Roman"/>
      <w:b/>
      <w:bCs/>
      <w:sz w:val="20"/>
      <w:szCs w:val="20"/>
    </w:rPr>
  </w:style>
  <w:style w:type="character" w:customStyle="1" w:styleId="normal-p-p-h1">
    <w:name w:val="normal-p-p-h1"/>
    <w:rsid w:val="00D62B03"/>
    <w:rPr>
      <w:rFonts w:ascii="Times New Roman" w:hAnsi="Times New Roman" w:cs="Times New Roman"/>
      <w:sz w:val="20"/>
      <w:szCs w:val="20"/>
    </w:rPr>
  </w:style>
  <w:style w:type="character" w:styleId="Hyperlink">
    <w:name w:val="Hyperlink"/>
    <w:rsid w:val="00A23C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144.a" TargetMode="External"/><Relationship Id="rId21" Type="http://schemas.openxmlformats.org/officeDocument/2006/relationships/hyperlink" Target="http://www.nevo.co.il/law/70301/329.a.2" TargetMode="External"/><Relationship Id="rId42" Type="http://schemas.openxmlformats.org/officeDocument/2006/relationships/hyperlink" Target="http://www.nevo.co.il/law/70320" TargetMode="External"/><Relationship Id="rId47" Type="http://schemas.openxmlformats.org/officeDocument/2006/relationships/hyperlink" Target="http://www.nevo.co.il/case/5823924" TargetMode="External"/><Relationship Id="rId63" Type="http://schemas.openxmlformats.org/officeDocument/2006/relationships/hyperlink" Target="http://www.nevo.co.il/case/2841327" TargetMode="External"/><Relationship Id="rId68" Type="http://schemas.openxmlformats.org/officeDocument/2006/relationships/hyperlink" Target="http://www.nevo.co.il/case/6247448" TargetMode="External"/><Relationship Id="rId84" Type="http://schemas.openxmlformats.org/officeDocument/2006/relationships/hyperlink" Target="http://www.nevo.co.il/case/6159820" TargetMode="External"/><Relationship Id="rId89" Type="http://schemas.openxmlformats.org/officeDocument/2006/relationships/footer" Target="footer2.xml"/><Relationship Id="rId16" Type="http://schemas.openxmlformats.org/officeDocument/2006/relationships/hyperlink" Target="http://www.nevo.co.il/law/70301/499.a.1" TargetMode="External"/><Relationship Id="rId11" Type="http://schemas.openxmlformats.org/officeDocument/2006/relationships/hyperlink" Target="http://www.nevo.co.il/law/70301/144.b" TargetMode="External"/><Relationship Id="rId32" Type="http://schemas.openxmlformats.org/officeDocument/2006/relationships/hyperlink" Target="http://www.nevo.co.il/case/5815848" TargetMode="External"/><Relationship Id="rId37" Type="http://schemas.openxmlformats.org/officeDocument/2006/relationships/hyperlink" Target="http://www.nevo.co.il/law/70301" TargetMode="External"/><Relationship Id="rId53" Type="http://schemas.openxmlformats.org/officeDocument/2006/relationships/hyperlink" Target="http://www.nevo.co.il/case/6188919" TargetMode="External"/><Relationship Id="rId58" Type="http://schemas.openxmlformats.org/officeDocument/2006/relationships/hyperlink" Target="http://www.nevo.co.il/case/4803511" TargetMode="External"/><Relationship Id="rId74" Type="http://schemas.openxmlformats.org/officeDocument/2006/relationships/hyperlink" Target="http://www.nevo.co.il/case/6168237" TargetMode="External"/><Relationship Id="rId79" Type="http://schemas.openxmlformats.org/officeDocument/2006/relationships/hyperlink" Target="http://www.nevo.co.il/law/70301" TargetMode="External"/><Relationship Id="rId5" Type="http://schemas.openxmlformats.org/officeDocument/2006/relationships/endnotes" Target="endnotes.xml"/><Relationship Id="rId90" Type="http://schemas.openxmlformats.org/officeDocument/2006/relationships/fontTable" Target="fontTable.xml"/><Relationship Id="rId14" Type="http://schemas.openxmlformats.org/officeDocument/2006/relationships/hyperlink" Target="http://www.nevo.co.il/law/70301/329.a.6" TargetMode="External"/><Relationship Id="rId22" Type="http://schemas.openxmlformats.org/officeDocument/2006/relationships/hyperlink" Target="http://www.nevo.co.il/law/70301/329.a.6" TargetMode="External"/><Relationship Id="rId27" Type="http://schemas.openxmlformats.org/officeDocument/2006/relationships/hyperlink" Target="http://www.nevo.co.il/law/70301/29" TargetMode="External"/><Relationship Id="rId30" Type="http://schemas.openxmlformats.org/officeDocument/2006/relationships/hyperlink" Target="http://www.nevo.co.il/case/6248029" TargetMode="External"/><Relationship Id="rId35" Type="http://schemas.openxmlformats.org/officeDocument/2006/relationships/hyperlink" Target="http://www.nevo.co.il/law/70301" TargetMode="External"/><Relationship Id="rId43" Type="http://schemas.openxmlformats.org/officeDocument/2006/relationships/hyperlink" Target="http://www.nevo.co.il/case/6111581" TargetMode="External"/><Relationship Id="rId48" Type="http://schemas.openxmlformats.org/officeDocument/2006/relationships/hyperlink" Target="http://www.nevo.co.il/case/5701506" TargetMode="External"/><Relationship Id="rId56" Type="http://schemas.openxmlformats.org/officeDocument/2006/relationships/hyperlink" Target="http://www.nevo.co.il/case/6045465" TargetMode="External"/><Relationship Id="rId64" Type="http://schemas.openxmlformats.org/officeDocument/2006/relationships/hyperlink" Target="http://www.nevo.co.il/case/6473037" TargetMode="External"/><Relationship Id="rId69" Type="http://schemas.openxmlformats.org/officeDocument/2006/relationships/hyperlink" Target="http://www.nevo.co.il/case/5578662" TargetMode="External"/><Relationship Id="rId77" Type="http://schemas.openxmlformats.org/officeDocument/2006/relationships/hyperlink" Target="http://www.nevo.co.il/case/5880417" TargetMode="External"/><Relationship Id="rId8" Type="http://schemas.openxmlformats.org/officeDocument/2006/relationships/hyperlink" Target="http://www.nevo.co.il/law/70301/40b" TargetMode="External"/><Relationship Id="rId51" Type="http://schemas.openxmlformats.org/officeDocument/2006/relationships/hyperlink" Target="http://www.nevo.co.il/case/643964" TargetMode="External"/><Relationship Id="rId72" Type="http://schemas.openxmlformats.org/officeDocument/2006/relationships/hyperlink" Target="http://www.nevo.co.il/case/5707365" TargetMode="External"/><Relationship Id="rId80" Type="http://schemas.openxmlformats.org/officeDocument/2006/relationships/hyperlink" Target="http://www.nevo.co.il/law/70301/40jb" TargetMode="External"/><Relationship Id="rId85" Type="http://schemas.openxmlformats.org/officeDocument/2006/relationships/hyperlink" Target="http://www.nevo.co.il/case/5701742" TargetMode="External"/><Relationship Id="rId3" Type="http://schemas.openxmlformats.org/officeDocument/2006/relationships/webSettings" Target="webSettings.xml"/><Relationship Id="rId12" Type="http://schemas.openxmlformats.org/officeDocument/2006/relationships/hyperlink" Target="http://www.nevo.co.il/law/70301/144.b2" TargetMode="External"/><Relationship Id="rId17" Type="http://schemas.openxmlformats.org/officeDocument/2006/relationships/hyperlink" Target="http://www.nevo.co.il/law/73606" TargetMode="External"/><Relationship Id="rId25" Type="http://schemas.openxmlformats.org/officeDocument/2006/relationships/hyperlink" Target="http://www.nevo.co.il/law/70301/29" TargetMode="External"/><Relationship Id="rId33" Type="http://schemas.openxmlformats.org/officeDocument/2006/relationships/hyperlink" Target="http://www.nevo.co.il/case/5982047" TargetMode="External"/><Relationship Id="rId38" Type="http://schemas.openxmlformats.org/officeDocument/2006/relationships/hyperlink" Target="http://www.nevo.co.il/case/6243627" TargetMode="External"/><Relationship Id="rId46" Type="http://schemas.openxmlformats.org/officeDocument/2006/relationships/hyperlink" Target="http://www.nevo.co.il/case/5981850" TargetMode="External"/><Relationship Id="rId59" Type="http://schemas.openxmlformats.org/officeDocument/2006/relationships/hyperlink" Target="http://www.nevo.co.il/case/4669127" TargetMode="External"/><Relationship Id="rId67" Type="http://schemas.openxmlformats.org/officeDocument/2006/relationships/hyperlink" Target="http://www.nevo.co.il/case/6248029" TargetMode="External"/><Relationship Id="rId20" Type="http://schemas.openxmlformats.org/officeDocument/2006/relationships/hyperlink" Target="http://www.nevo.co.il/law/70301" TargetMode="External"/><Relationship Id="rId41" Type="http://schemas.openxmlformats.org/officeDocument/2006/relationships/hyperlink" Target="http://www.nevo.co.il/case/6010862" TargetMode="External"/><Relationship Id="rId54" Type="http://schemas.openxmlformats.org/officeDocument/2006/relationships/hyperlink" Target="http://www.nevo.co.il/case/5582859" TargetMode="External"/><Relationship Id="rId62" Type="http://schemas.openxmlformats.org/officeDocument/2006/relationships/hyperlink" Target="http://www.nevo.co.il/case/2242891" TargetMode="External"/><Relationship Id="rId70" Type="http://schemas.openxmlformats.org/officeDocument/2006/relationships/hyperlink" Target="http://www.nevo.co.il/case/6105853" TargetMode="External"/><Relationship Id="rId75" Type="http://schemas.openxmlformats.org/officeDocument/2006/relationships/hyperlink" Target="http://www.nevo.co.il/case/5933664" TargetMode="External"/><Relationship Id="rId83" Type="http://schemas.openxmlformats.org/officeDocument/2006/relationships/hyperlink" Target="http://www.nevo.co.il/case/5823754" TargetMode="External"/><Relationship Id="rId88" Type="http://schemas.openxmlformats.org/officeDocument/2006/relationships/footer" Target="footer1.xml"/><Relationship Id="rId9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40jb" TargetMode="External"/><Relationship Id="rId23" Type="http://schemas.openxmlformats.org/officeDocument/2006/relationships/hyperlink" Target="http://www.nevo.co.il/law/70301/29" TargetMode="External"/><Relationship Id="rId28" Type="http://schemas.openxmlformats.org/officeDocument/2006/relationships/hyperlink" Target="http://www.nevo.co.il/law/70301/144.b" TargetMode="External"/><Relationship Id="rId36" Type="http://schemas.openxmlformats.org/officeDocument/2006/relationships/hyperlink" Target="http://www.nevo.co.il/law/70301/40c.a" TargetMode="External"/><Relationship Id="rId49" Type="http://schemas.openxmlformats.org/officeDocument/2006/relationships/hyperlink" Target="http://www.nevo.co.il/case/6080576" TargetMode="External"/><Relationship Id="rId57" Type="http://schemas.openxmlformats.org/officeDocument/2006/relationships/hyperlink" Target="http://www.nevo.co.il/case/4176184" TargetMode="External"/><Relationship Id="rId10" Type="http://schemas.openxmlformats.org/officeDocument/2006/relationships/hyperlink" Target="http://www.nevo.co.il/law/70301/144.a" TargetMode="External"/><Relationship Id="rId31" Type="http://schemas.openxmlformats.org/officeDocument/2006/relationships/hyperlink" Target="http://www.nevo.co.il/case/17939098" TargetMode="External"/><Relationship Id="rId44" Type="http://schemas.openxmlformats.org/officeDocument/2006/relationships/hyperlink" Target="http://www.nevo.co.il/case/5693822" TargetMode="External"/><Relationship Id="rId52" Type="http://schemas.openxmlformats.org/officeDocument/2006/relationships/hyperlink" Target="http://www.nevo.co.il/case/5920165" TargetMode="External"/><Relationship Id="rId60" Type="http://schemas.openxmlformats.org/officeDocument/2006/relationships/hyperlink" Target="http://www.nevo.co.il/case/2520259" TargetMode="External"/><Relationship Id="rId65" Type="http://schemas.openxmlformats.org/officeDocument/2006/relationships/hyperlink" Target="http://www.nevo.co.il/law/70301" TargetMode="External"/><Relationship Id="rId73" Type="http://schemas.openxmlformats.org/officeDocument/2006/relationships/hyperlink" Target="http://www.nevo.co.il/case/6239271" TargetMode="External"/><Relationship Id="rId78" Type="http://schemas.openxmlformats.org/officeDocument/2006/relationships/hyperlink" Target="http://www.nevo.co.il/case/5604276" TargetMode="External"/><Relationship Id="rId81" Type="http://schemas.openxmlformats.org/officeDocument/2006/relationships/hyperlink" Target="http://www.nevo.co.il/law/70301" TargetMode="External"/><Relationship Id="rId86"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70301/40c.a" TargetMode="External"/><Relationship Id="rId13" Type="http://schemas.openxmlformats.org/officeDocument/2006/relationships/hyperlink" Target="http://www.nevo.co.il/law/70301/329.a.2" TargetMode="External"/><Relationship Id="rId18" Type="http://schemas.openxmlformats.org/officeDocument/2006/relationships/hyperlink" Target="http://www.nevo.co.il/law/70320" TargetMode="External"/><Relationship Id="rId39" Type="http://schemas.openxmlformats.org/officeDocument/2006/relationships/hyperlink" Target="http://www.nevo.co.il/law/73606" TargetMode="External"/><Relationship Id="rId34" Type="http://schemas.openxmlformats.org/officeDocument/2006/relationships/hyperlink" Target="http://www.nevo.co.il/law/70301/40b" TargetMode="External"/><Relationship Id="rId50" Type="http://schemas.openxmlformats.org/officeDocument/2006/relationships/hyperlink" Target="http://www.nevo.co.il/case/637380" TargetMode="External"/><Relationship Id="rId55" Type="http://schemas.openxmlformats.org/officeDocument/2006/relationships/hyperlink" Target="http://www.nevo.co.il/case/5866847" TargetMode="External"/><Relationship Id="rId76" Type="http://schemas.openxmlformats.org/officeDocument/2006/relationships/hyperlink" Target="http://www.nevo.co.il/case/5820942" TargetMode="External"/><Relationship Id="rId7" Type="http://schemas.openxmlformats.org/officeDocument/2006/relationships/hyperlink" Target="http://www.nevo.co.il/law/70301/29" TargetMode="External"/><Relationship Id="rId71" Type="http://schemas.openxmlformats.org/officeDocument/2006/relationships/hyperlink" Target="http://www.nevo.co.il/case/6056840" TargetMode="External"/><Relationship Id="rId2" Type="http://schemas.openxmlformats.org/officeDocument/2006/relationships/settings" Target="settings.xml"/><Relationship Id="rId29" Type="http://schemas.openxmlformats.org/officeDocument/2006/relationships/hyperlink" Target="http://www.nevo.co.il/law/70301/29" TargetMode="External"/><Relationship Id="rId24" Type="http://schemas.openxmlformats.org/officeDocument/2006/relationships/hyperlink" Target="http://www.nevo.co.il/law/70301/144.b2" TargetMode="External"/><Relationship Id="rId40" Type="http://schemas.openxmlformats.org/officeDocument/2006/relationships/hyperlink" Target="http://www.nevo.co.il/case/17940865" TargetMode="External"/><Relationship Id="rId45" Type="http://schemas.openxmlformats.org/officeDocument/2006/relationships/hyperlink" Target="http://www.nevo.co.il/case/6064136" TargetMode="External"/><Relationship Id="rId66" Type="http://schemas.openxmlformats.org/officeDocument/2006/relationships/hyperlink" Target="http://www.nevo.co.il/case/6170256" TargetMode="External"/><Relationship Id="rId87" Type="http://schemas.openxmlformats.org/officeDocument/2006/relationships/header" Target="header2.xml"/><Relationship Id="rId61" Type="http://schemas.openxmlformats.org/officeDocument/2006/relationships/hyperlink" Target="http://www.nevo.co.il/case/4716116" TargetMode="External"/><Relationship Id="rId82" Type="http://schemas.openxmlformats.org/officeDocument/2006/relationships/hyperlink" Target="http://www.nevo.co.il/case/6155180" TargetMode="External"/><Relationship Id="rId19" Type="http://schemas.openxmlformats.org/officeDocument/2006/relationships/hyperlink" Target="http://www.nevo.co.il/law/70301/499.a.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5074</Words>
  <Characters>25375</Characters>
  <Application>Microsoft Office Word</Application>
  <DocSecurity>0</DocSecurity>
  <Lines>211</Lines>
  <Paragraphs>60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30389</CharactersWithSpaces>
  <SharedDoc>false</SharedDoc>
  <HLinks>
    <vt:vector size="480" baseType="variant">
      <vt:variant>
        <vt:i4>3145846</vt:i4>
      </vt:variant>
      <vt:variant>
        <vt:i4>237</vt:i4>
      </vt:variant>
      <vt:variant>
        <vt:i4>0</vt:i4>
      </vt:variant>
      <vt:variant>
        <vt:i4>5</vt:i4>
      </vt:variant>
      <vt:variant>
        <vt:lpwstr>http://www.nevo.co.il/case/5701742</vt:lpwstr>
      </vt:variant>
      <vt:variant>
        <vt:lpwstr/>
      </vt:variant>
      <vt:variant>
        <vt:i4>3866750</vt:i4>
      </vt:variant>
      <vt:variant>
        <vt:i4>234</vt:i4>
      </vt:variant>
      <vt:variant>
        <vt:i4>0</vt:i4>
      </vt:variant>
      <vt:variant>
        <vt:i4>5</vt:i4>
      </vt:variant>
      <vt:variant>
        <vt:lpwstr>http://www.nevo.co.il/case/6159820</vt:lpwstr>
      </vt:variant>
      <vt:variant>
        <vt:lpwstr/>
      </vt:variant>
      <vt:variant>
        <vt:i4>3407994</vt:i4>
      </vt:variant>
      <vt:variant>
        <vt:i4>231</vt:i4>
      </vt:variant>
      <vt:variant>
        <vt:i4>0</vt:i4>
      </vt:variant>
      <vt:variant>
        <vt:i4>5</vt:i4>
      </vt:variant>
      <vt:variant>
        <vt:lpwstr>http://www.nevo.co.il/case/5823754</vt:lpwstr>
      </vt:variant>
      <vt:variant>
        <vt:lpwstr/>
      </vt:variant>
      <vt:variant>
        <vt:i4>3276920</vt:i4>
      </vt:variant>
      <vt:variant>
        <vt:i4>228</vt:i4>
      </vt:variant>
      <vt:variant>
        <vt:i4>0</vt:i4>
      </vt:variant>
      <vt:variant>
        <vt:i4>5</vt:i4>
      </vt:variant>
      <vt:variant>
        <vt:lpwstr>http://www.nevo.co.il/case/6155180</vt:lpwstr>
      </vt:variant>
      <vt:variant>
        <vt:lpwstr/>
      </vt:variant>
      <vt:variant>
        <vt:i4>7995492</vt:i4>
      </vt:variant>
      <vt:variant>
        <vt:i4>225</vt:i4>
      </vt:variant>
      <vt:variant>
        <vt:i4>0</vt:i4>
      </vt:variant>
      <vt:variant>
        <vt:i4>5</vt:i4>
      </vt:variant>
      <vt:variant>
        <vt:lpwstr>http://www.nevo.co.il/law/70301</vt:lpwstr>
      </vt:variant>
      <vt:variant>
        <vt:lpwstr/>
      </vt:variant>
      <vt:variant>
        <vt:i4>458763</vt:i4>
      </vt:variant>
      <vt:variant>
        <vt:i4>222</vt:i4>
      </vt:variant>
      <vt:variant>
        <vt:i4>0</vt:i4>
      </vt:variant>
      <vt:variant>
        <vt:i4>5</vt:i4>
      </vt:variant>
      <vt:variant>
        <vt:lpwstr>http://www.nevo.co.il/law/70301/40jb</vt:lpwstr>
      </vt:variant>
      <vt:variant>
        <vt:lpwstr/>
      </vt:variant>
      <vt:variant>
        <vt:i4>7995492</vt:i4>
      </vt:variant>
      <vt:variant>
        <vt:i4>219</vt:i4>
      </vt:variant>
      <vt:variant>
        <vt:i4>0</vt:i4>
      </vt:variant>
      <vt:variant>
        <vt:i4>5</vt:i4>
      </vt:variant>
      <vt:variant>
        <vt:lpwstr>http://www.nevo.co.il/law/70301</vt:lpwstr>
      </vt:variant>
      <vt:variant>
        <vt:lpwstr/>
      </vt:variant>
      <vt:variant>
        <vt:i4>3211377</vt:i4>
      </vt:variant>
      <vt:variant>
        <vt:i4>216</vt:i4>
      </vt:variant>
      <vt:variant>
        <vt:i4>0</vt:i4>
      </vt:variant>
      <vt:variant>
        <vt:i4>5</vt:i4>
      </vt:variant>
      <vt:variant>
        <vt:lpwstr>http://www.nevo.co.il/case/5604276</vt:lpwstr>
      </vt:variant>
      <vt:variant>
        <vt:lpwstr/>
      </vt:variant>
      <vt:variant>
        <vt:i4>4063357</vt:i4>
      </vt:variant>
      <vt:variant>
        <vt:i4>213</vt:i4>
      </vt:variant>
      <vt:variant>
        <vt:i4>0</vt:i4>
      </vt:variant>
      <vt:variant>
        <vt:i4>5</vt:i4>
      </vt:variant>
      <vt:variant>
        <vt:lpwstr>http://www.nevo.co.il/case/5880417</vt:lpwstr>
      </vt:variant>
      <vt:variant>
        <vt:lpwstr/>
      </vt:variant>
      <vt:variant>
        <vt:i4>3932280</vt:i4>
      </vt:variant>
      <vt:variant>
        <vt:i4>210</vt:i4>
      </vt:variant>
      <vt:variant>
        <vt:i4>0</vt:i4>
      </vt:variant>
      <vt:variant>
        <vt:i4>5</vt:i4>
      </vt:variant>
      <vt:variant>
        <vt:lpwstr>http://www.nevo.co.il/case/5820942</vt:lpwstr>
      </vt:variant>
      <vt:variant>
        <vt:lpwstr/>
      </vt:variant>
      <vt:variant>
        <vt:i4>3407992</vt:i4>
      </vt:variant>
      <vt:variant>
        <vt:i4>207</vt:i4>
      </vt:variant>
      <vt:variant>
        <vt:i4>0</vt:i4>
      </vt:variant>
      <vt:variant>
        <vt:i4>5</vt:i4>
      </vt:variant>
      <vt:variant>
        <vt:lpwstr>http://www.nevo.co.il/case/5933664</vt:lpwstr>
      </vt:variant>
      <vt:variant>
        <vt:lpwstr/>
      </vt:variant>
      <vt:variant>
        <vt:i4>3473534</vt:i4>
      </vt:variant>
      <vt:variant>
        <vt:i4>204</vt:i4>
      </vt:variant>
      <vt:variant>
        <vt:i4>0</vt:i4>
      </vt:variant>
      <vt:variant>
        <vt:i4>5</vt:i4>
      </vt:variant>
      <vt:variant>
        <vt:lpwstr>http://www.nevo.co.il/case/6168237</vt:lpwstr>
      </vt:variant>
      <vt:variant>
        <vt:lpwstr/>
      </vt:variant>
      <vt:variant>
        <vt:i4>3539064</vt:i4>
      </vt:variant>
      <vt:variant>
        <vt:i4>201</vt:i4>
      </vt:variant>
      <vt:variant>
        <vt:i4>0</vt:i4>
      </vt:variant>
      <vt:variant>
        <vt:i4>5</vt:i4>
      </vt:variant>
      <vt:variant>
        <vt:lpwstr>http://www.nevo.co.il/case/6239271</vt:lpwstr>
      </vt:variant>
      <vt:variant>
        <vt:lpwstr/>
      </vt:variant>
      <vt:variant>
        <vt:i4>3342450</vt:i4>
      </vt:variant>
      <vt:variant>
        <vt:i4>198</vt:i4>
      </vt:variant>
      <vt:variant>
        <vt:i4>0</vt:i4>
      </vt:variant>
      <vt:variant>
        <vt:i4>5</vt:i4>
      </vt:variant>
      <vt:variant>
        <vt:lpwstr>http://www.nevo.co.il/case/5707365</vt:lpwstr>
      </vt:variant>
      <vt:variant>
        <vt:lpwstr/>
      </vt:variant>
      <vt:variant>
        <vt:i4>3866742</vt:i4>
      </vt:variant>
      <vt:variant>
        <vt:i4>195</vt:i4>
      </vt:variant>
      <vt:variant>
        <vt:i4>0</vt:i4>
      </vt:variant>
      <vt:variant>
        <vt:i4>5</vt:i4>
      </vt:variant>
      <vt:variant>
        <vt:lpwstr>http://www.nevo.co.il/case/6056840</vt:lpwstr>
      </vt:variant>
      <vt:variant>
        <vt:lpwstr/>
      </vt:variant>
      <vt:variant>
        <vt:i4>3997813</vt:i4>
      </vt:variant>
      <vt:variant>
        <vt:i4>192</vt:i4>
      </vt:variant>
      <vt:variant>
        <vt:i4>0</vt:i4>
      </vt:variant>
      <vt:variant>
        <vt:i4>5</vt:i4>
      </vt:variant>
      <vt:variant>
        <vt:lpwstr>http://www.nevo.co.il/case/6105853</vt:lpwstr>
      </vt:variant>
      <vt:variant>
        <vt:lpwstr/>
      </vt:variant>
      <vt:variant>
        <vt:i4>3539071</vt:i4>
      </vt:variant>
      <vt:variant>
        <vt:i4>189</vt:i4>
      </vt:variant>
      <vt:variant>
        <vt:i4>0</vt:i4>
      </vt:variant>
      <vt:variant>
        <vt:i4>5</vt:i4>
      </vt:variant>
      <vt:variant>
        <vt:lpwstr>http://www.nevo.co.il/case/5578662</vt:lpwstr>
      </vt:variant>
      <vt:variant>
        <vt:lpwstr/>
      </vt:variant>
      <vt:variant>
        <vt:i4>4063349</vt:i4>
      </vt:variant>
      <vt:variant>
        <vt:i4>186</vt:i4>
      </vt:variant>
      <vt:variant>
        <vt:i4>0</vt:i4>
      </vt:variant>
      <vt:variant>
        <vt:i4>5</vt:i4>
      </vt:variant>
      <vt:variant>
        <vt:lpwstr>http://www.nevo.co.il/case/6247448</vt:lpwstr>
      </vt:variant>
      <vt:variant>
        <vt:lpwstr/>
      </vt:variant>
      <vt:variant>
        <vt:i4>3866748</vt:i4>
      </vt:variant>
      <vt:variant>
        <vt:i4>183</vt:i4>
      </vt:variant>
      <vt:variant>
        <vt:i4>0</vt:i4>
      </vt:variant>
      <vt:variant>
        <vt:i4>5</vt:i4>
      </vt:variant>
      <vt:variant>
        <vt:lpwstr>http://www.nevo.co.il/case/6248029</vt:lpwstr>
      </vt:variant>
      <vt:variant>
        <vt:lpwstr/>
      </vt:variant>
      <vt:variant>
        <vt:i4>3473520</vt:i4>
      </vt:variant>
      <vt:variant>
        <vt:i4>180</vt:i4>
      </vt:variant>
      <vt:variant>
        <vt:i4>0</vt:i4>
      </vt:variant>
      <vt:variant>
        <vt:i4>5</vt:i4>
      </vt:variant>
      <vt:variant>
        <vt:lpwstr>http://www.nevo.co.il/case/6170256</vt:lpwstr>
      </vt:variant>
      <vt:variant>
        <vt:lpwstr/>
      </vt:variant>
      <vt:variant>
        <vt:i4>7995492</vt:i4>
      </vt:variant>
      <vt:variant>
        <vt:i4>177</vt:i4>
      </vt:variant>
      <vt:variant>
        <vt:i4>0</vt:i4>
      </vt:variant>
      <vt:variant>
        <vt:i4>5</vt:i4>
      </vt:variant>
      <vt:variant>
        <vt:lpwstr>http://www.nevo.co.il/law/70301</vt:lpwstr>
      </vt:variant>
      <vt:variant>
        <vt:lpwstr/>
      </vt:variant>
      <vt:variant>
        <vt:i4>3539056</vt:i4>
      </vt:variant>
      <vt:variant>
        <vt:i4>174</vt:i4>
      </vt:variant>
      <vt:variant>
        <vt:i4>0</vt:i4>
      </vt:variant>
      <vt:variant>
        <vt:i4>5</vt:i4>
      </vt:variant>
      <vt:variant>
        <vt:lpwstr>http://www.nevo.co.il/case/6473037</vt:lpwstr>
      </vt:variant>
      <vt:variant>
        <vt:lpwstr/>
      </vt:variant>
      <vt:variant>
        <vt:i4>3276927</vt:i4>
      </vt:variant>
      <vt:variant>
        <vt:i4>171</vt:i4>
      </vt:variant>
      <vt:variant>
        <vt:i4>0</vt:i4>
      </vt:variant>
      <vt:variant>
        <vt:i4>5</vt:i4>
      </vt:variant>
      <vt:variant>
        <vt:lpwstr>http://www.nevo.co.il/case/2841327</vt:lpwstr>
      </vt:variant>
      <vt:variant>
        <vt:lpwstr/>
      </vt:variant>
      <vt:variant>
        <vt:i4>4128893</vt:i4>
      </vt:variant>
      <vt:variant>
        <vt:i4>168</vt:i4>
      </vt:variant>
      <vt:variant>
        <vt:i4>0</vt:i4>
      </vt:variant>
      <vt:variant>
        <vt:i4>5</vt:i4>
      </vt:variant>
      <vt:variant>
        <vt:lpwstr>http://www.nevo.co.il/case/2242891</vt:lpwstr>
      </vt:variant>
      <vt:variant>
        <vt:lpwstr/>
      </vt:variant>
      <vt:variant>
        <vt:i4>3276916</vt:i4>
      </vt:variant>
      <vt:variant>
        <vt:i4>165</vt:i4>
      </vt:variant>
      <vt:variant>
        <vt:i4>0</vt:i4>
      </vt:variant>
      <vt:variant>
        <vt:i4>5</vt:i4>
      </vt:variant>
      <vt:variant>
        <vt:lpwstr>http://www.nevo.co.il/case/4716116</vt:lpwstr>
      </vt:variant>
      <vt:variant>
        <vt:lpwstr/>
      </vt:variant>
      <vt:variant>
        <vt:i4>3866740</vt:i4>
      </vt:variant>
      <vt:variant>
        <vt:i4>162</vt:i4>
      </vt:variant>
      <vt:variant>
        <vt:i4>0</vt:i4>
      </vt:variant>
      <vt:variant>
        <vt:i4>5</vt:i4>
      </vt:variant>
      <vt:variant>
        <vt:lpwstr>http://www.nevo.co.il/case/2520259</vt:lpwstr>
      </vt:variant>
      <vt:variant>
        <vt:lpwstr/>
      </vt:variant>
      <vt:variant>
        <vt:i4>3407993</vt:i4>
      </vt:variant>
      <vt:variant>
        <vt:i4>159</vt:i4>
      </vt:variant>
      <vt:variant>
        <vt:i4>0</vt:i4>
      </vt:variant>
      <vt:variant>
        <vt:i4>5</vt:i4>
      </vt:variant>
      <vt:variant>
        <vt:lpwstr>http://www.nevo.co.il/case/4669127</vt:lpwstr>
      </vt:variant>
      <vt:variant>
        <vt:lpwstr/>
      </vt:variant>
      <vt:variant>
        <vt:i4>3145854</vt:i4>
      </vt:variant>
      <vt:variant>
        <vt:i4>156</vt:i4>
      </vt:variant>
      <vt:variant>
        <vt:i4>0</vt:i4>
      </vt:variant>
      <vt:variant>
        <vt:i4>5</vt:i4>
      </vt:variant>
      <vt:variant>
        <vt:lpwstr>http://www.nevo.co.il/case/4803511</vt:lpwstr>
      </vt:variant>
      <vt:variant>
        <vt:lpwstr/>
      </vt:variant>
      <vt:variant>
        <vt:i4>3539067</vt:i4>
      </vt:variant>
      <vt:variant>
        <vt:i4>153</vt:i4>
      </vt:variant>
      <vt:variant>
        <vt:i4>0</vt:i4>
      </vt:variant>
      <vt:variant>
        <vt:i4>5</vt:i4>
      </vt:variant>
      <vt:variant>
        <vt:lpwstr>http://www.nevo.co.il/case/4176184</vt:lpwstr>
      </vt:variant>
      <vt:variant>
        <vt:lpwstr/>
      </vt:variant>
      <vt:variant>
        <vt:i4>3342455</vt:i4>
      </vt:variant>
      <vt:variant>
        <vt:i4>150</vt:i4>
      </vt:variant>
      <vt:variant>
        <vt:i4>0</vt:i4>
      </vt:variant>
      <vt:variant>
        <vt:i4>5</vt:i4>
      </vt:variant>
      <vt:variant>
        <vt:lpwstr>http://www.nevo.co.il/case/6045465</vt:lpwstr>
      </vt:variant>
      <vt:variant>
        <vt:lpwstr/>
      </vt:variant>
      <vt:variant>
        <vt:i4>3932286</vt:i4>
      </vt:variant>
      <vt:variant>
        <vt:i4>147</vt:i4>
      </vt:variant>
      <vt:variant>
        <vt:i4>0</vt:i4>
      </vt:variant>
      <vt:variant>
        <vt:i4>5</vt:i4>
      </vt:variant>
      <vt:variant>
        <vt:lpwstr>http://www.nevo.co.il/case/5866847</vt:lpwstr>
      </vt:variant>
      <vt:variant>
        <vt:lpwstr/>
      </vt:variant>
      <vt:variant>
        <vt:i4>3932278</vt:i4>
      </vt:variant>
      <vt:variant>
        <vt:i4>144</vt:i4>
      </vt:variant>
      <vt:variant>
        <vt:i4>0</vt:i4>
      </vt:variant>
      <vt:variant>
        <vt:i4>5</vt:i4>
      </vt:variant>
      <vt:variant>
        <vt:lpwstr>http://www.nevo.co.il/case/5582859</vt:lpwstr>
      </vt:variant>
      <vt:variant>
        <vt:lpwstr/>
      </vt:variant>
      <vt:variant>
        <vt:i4>4063356</vt:i4>
      </vt:variant>
      <vt:variant>
        <vt:i4>141</vt:i4>
      </vt:variant>
      <vt:variant>
        <vt:i4>0</vt:i4>
      </vt:variant>
      <vt:variant>
        <vt:i4>5</vt:i4>
      </vt:variant>
      <vt:variant>
        <vt:lpwstr>http://www.nevo.co.il/case/6188919</vt:lpwstr>
      </vt:variant>
      <vt:variant>
        <vt:lpwstr/>
      </vt:variant>
      <vt:variant>
        <vt:i4>3342459</vt:i4>
      </vt:variant>
      <vt:variant>
        <vt:i4>138</vt:i4>
      </vt:variant>
      <vt:variant>
        <vt:i4>0</vt:i4>
      </vt:variant>
      <vt:variant>
        <vt:i4>5</vt:i4>
      </vt:variant>
      <vt:variant>
        <vt:lpwstr>http://www.nevo.co.il/case/5920165</vt:lpwstr>
      </vt:variant>
      <vt:variant>
        <vt:lpwstr/>
      </vt:variant>
      <vt:variant>
        <vt:i4>196681</vt:i4>
      </vt:variant>
      <vt:variant>
        <vt:i4>135</vt:i4>
      </vt:variant>
      <vt:variant>
        <vt:i4>0</vt:i4>
      </vt:variant>
      <vt:variant>
        <vt:i4>5</vt:i4>
      </vt:variant>
      <vt:variant>
        <vt:lpwstr>http://www.nevo.co.il/case/643964</vt:lpwstr>
      </vt:variant>
      <vt:variant>
        <vt:lpwstr/>
      </vt:variant>
      <vt:variant>
        <vt:i4>589892</vt:i4>
      </vt:variant>
      <vt:variant>
        <vt:i4>132</vt:i4>
      </vt:variant>
      <vt:variant>
        <vt:i4>0</vt:i4>
      </vt:variant>
      <vt:variant>
        <vt:i4>5</vt:i4>
      </vt:variant>
      <vt:variant>
        <vt:lpwstr>http://www.nevo.co.il/case/637380</vt:lpwstr>
      </vt:variant>
      <vt:variant>
        <vt:lpwstr/>
      </vt:variant>
      <vt:variant>
        <vt:i4>3997811</vt:i4>
      </vt:variant>
      <vt:variant>
        <vt:i4>129</vt:i4>
      </vt:variant>
      <vt:variant>
        <vt:i4>0</vt:i4>
      </vt:variant>
      <vt:variant>
        <vt:i4>5</vt:i4>
      </vt:variant>
      <vt:variant>
        <vt:lpwstr>http://www.nevo.co.il/case/6080576</vt:lpwstr>
      </vt:variant>
      <vt:variant>
        <vt:lpwstr/>
      </vt:variant>
      <vt:variant>
        <vt:i4>3539058</vt:i4>
      </vt:variant>
      <vt:variant>
        <vt:i4>126</vt:i4>
      </vt:variant>
      <vt:variant>
        <vt:i4>0</vt:i4>
      </vt:variant>
      <vt:variant>
        <vt:i4>5</vt:i4>
      </vt:variant>
      <vt:variant>
        <vt:lpwstr>http://www.nevo.co.il/case/5701506</vt:lpwstr>
      </vt:variant>
      <vt:variant>
        <vt:lpwstr/>
      </vt:variant>
      <vt:variant>
        <vt:i4>3801213</vt:i4>
      </vt:variant>
      <vt:variant>
        <vt:i4>123</vt:i4>
      </vt:variant>
      <vt:variant>
        <vt:i4>0</vt:i4>
      </vt:variant>
      <vt:variant>
        <vt:i4>5</vt:i4>
      </vt:variant>
      <vt:variant>
        <vt:lpwstr>http://www.nevo.co.il/case/5823924</vt:lpwstr>
      </vt:variant>
      <vt:variant>
        <vt:lpwstr/>
      </vt:variant>
      <vt:variant>
        <vt:i4>3473529</vt:i4>
      </vt:variant>
      <vt:variant>
        <vt:i4>120</vt:i4>
      </vt:variant>
      <vt:variant>
        <vt:i4>0</vt:i4>
      </vt:variant>
      <vt:variant>
        <vt:i4>5</vt:i4>
      </vt:variant>
      <vt:variant>
        <vt:lpwstr>http://www.nevo.co.il/case/5981850</vt:lpwstr>
      </vt:variant>
      <vt:variant>
        <vt:lpwstr/>
      </vt:variant>
      <vt:variant>
        <vt:i4>3604595</vt:i4>
      </vt:variant>
      <vt:variant>
        <vt:i4>117</vt:i4>
      </vt:variant>
      <vt:variant>
        <vt:i4>0</vt:i4>
      </vt:variant>
      <vt:variant>
        <vt:i4>5</vt:i4>
      </vt:variant>
      <vt:variant>
        <vt:lpwstr>http://www.nevo.co.il/case/6064136</vt:lpwstr>
      </vt:variant>
      <vt:variant>
        <vt:lpwstr/>
      </vt:variant>
      <vt:variant>
        <vt:i4>3539059</vt:i4>
      </vt:variant>
      <vt:variant>
        <vt:i4>114</vt:i4>
      </vt:variant>
      <vt:variant>
        <vt:i4>0</vt:i4>
      </vt:variant>
      <vt:variant>
        <vt:i4>5</vt:i4>
      </vt:variant>
      <vt:variant>
        <vt:lpwstr>http://www.nevo.co.il/case/5693822</vt:lpwstr>
      </vt:variant>
      <vt:variant>
        <vt:lpwstr/>
      </vt:variant>
      <vt:variant>
        <vt:i4>3342460</vt:i4>
      </vt:variant>
      <vt:variant>
        <vt:i4>111</vt:i4>
      </vt:variant>
      <vt:variant>
        <vt:i4>0</vt:i4>
      </vt:variant>
      <vt:variant>
        <vt:i4>5</vt:i4>
      </vt:variant>
      <vt:variant>
        <vt:lpwstr>http://www.nevo.co.il/case/6111581</vt:lpwstr>
      </vt:variant>
      <vt:variant>
        <vt:lpwstr/>
      </vt:variant>
      <vt:variant>
        <vt:i4>7864420</vt:i4>
      </vt:variant>
      <vt:variant>
        <vt:i4>108</vt:i4>
      </vt:variant>
      <vt:variant>
        <vt:i4>0</vt:i4>
      </vt:variant>
      <vt:variant>
        <vt:i4>5</vt:i4>
      </vt:variant>
      <vt:variant>
        <vt:lpwstr>http://www.nevo.co.il/law/70320</vt:lpwstr>
      </vt:variant>
      <vt:variant>
        <vt:lpwstr/>
      </vt:variant>
      <vt:variant>
        <vt:i4>3997810</vt:i4>
      </vt:variant>
      <vt:variant>
        <vt:i4>105</vt:i4>
      </vt:variant>
      <vt:variant>
        <vt:i4>0</vt:i4>
      </vt:variant>
      <vt:variant>
        <vt:i4>5</vt:i4>
      </vt:variant>
      <vt:variant>
        <vt:lpwstr>http://www.nevo.co.il/case/6010862</vt:lpwstr>
      </vt:variant>
      <vt:variant>
        <vt:lpwstr/>
      </vt:variant>
      <vt:variant>
        <vt:i4>4063359</vt:i4>
      </vt:variant>
      <vt:variant>
        <vt:i4>102</vt:i4>
      </vt:variant>
      <vt:variant>
        <vt:i4>0</vt:i4>
      </vt:variant>
      <vt:variant>
        <vt:i4>5</vt:i4>
      </vt:variant>
      <vt:variant>
        <vt:lpwstr>http://www.nevo.co.il/case/17940865</vt:lpwstr>
      </vt:variant>
      <vt:variant>
        <vt:lpwstr/>
      </vt:variant>
      <vt:variant>
        <vt:i4>7929953</vt:i4>
      </vt:variant>
      <vt:variant>
        <vt:i4>99</vt:i4>
      </vt:variant>
      <vt:variant>
        <vt:i4>0</vt:i4>
      </vt:variant>
      <vt:variant>
        <vt:i4>5</vt:i4>
      </vt:variant>
      <vt:variant>
        <vt:lpwstr>http://www.nevo.co.il/law/73606</vt:lpwstr>
      </vt:variant>
      <vt:variant>
        <vt:lpwstr/>
      </vt:variant>
      <vt:variant>
        <vt:i4>3342455</vt:i4>
      </vt:variant>
      <vt:variant>
        <vt:i4>96</vt:i4>
      </vt:variant>
      <vt:variant>
        <vt:i4>0</vt:i4>
      </vt:variant>
      <vt:variant>
        <vt:i4>5</vt:i4>
      </vt:variant>
      <vt:variant>
        <vt:lpwstr>http://www.nevo.co.il/case/6243627</vt:lpwstr>
      </vt:variant>
      <vt:variant>
        <vt:lpwstr/>
      </vt:variant>
      <vt:variant>
        <vt:i4>7995492</vt:i4>
      </vt:variant>
      <vt:variant>
        <vt:i4>93</vt:i4>
      </vt:variant>
      <vt:variant>
        <vt:i4>0</vt:i4>
      </vt:variant>
      <vt:variant>
        <vt:i4>5</vt:i4>
      </vt:variant>
      <vt:variant>
        <vt:lpwstr>http://www.nevo.co.il/law/70301</vt:lpwstr>
      </vt:variant>
      <vt:variant>
        <vt:lpwstr/>
      </vt:variant>
      <vt:variant>
        <vt:i4>4915202</vt:i4>
      </vt:variant>
      <vt:variant>
        <vt:i4>90</vt:i4>
      </vt:variant>
      <vt:variant>
        <vt:i4>0</vt:i4>
      </vt:variant>
      <vt:variant>
        <vt:i4>5</vt:i4>
      </vt:variant>
      <vt:variant>
        <vt:lpwstr>http://www.nevo.co.il/law/70301/40c.a</vt:lpwstr>
      </vt:variant>
      <vt:variant>
        <vt:lpwstr/>
      </vt:variant>
      <vt:variant>
        <vt:i4>7995492</vt:i4>
      </vt:variant>
      <vt:variant>
        <vt:i4>87</vt:i4>
      </vt:variant>
      <vt:variant>
        <vt:i4>0</vt:i4>
      </vt:variant>
      <vt:variant>
        <vt:i4>5</vt:i4>
      </vt:variant>
      <vt:variant>
        <vt:lpwstr>http://www.nevo.co.il/law/70301</vt:lpwstr>
      </vt:variant>
      <vt:variant>
        <vt:lpwstr/>
      </vt:variant>
      <vt:variant>
        <vt:i4>6619233</vt:i4>
      </vt:variant>
      <vt:variant>
        <vt:i4>84</vt:i4>
      </vt:variant>
      <vt:variant>
        <vt:i4>0</vt:i4>
      </vt:variant>
      <vt:variant>
        <vt:i4>5</vt:i4>
      </vt:variant>
      <vt:variant>
        <vt:lpwstr>http://www.nevo.co.il/law/70301/40b</vt:lpwstr>
      </vt:variant>
      <vt:variant>
        <vt:lpwstr/>
      </vt:variant>
      <vt:variant>
        <vt:i4>3801211</vt:i4>
      </vt:variant>
      <vt:variant>
        <vt:i4>81</vt:i4>
      </vt:variant>
      <vt:variant>
        <vt:i4>0</vt:i4>
      </vt:variant>
      <vt:variant>
        <vt:i4>5</vt:i4>
      </vt:variant>
      <vt:variant>
        <vt:lpwstr>http://www.nevo.co.il/case/5982047</vt:lpwstr>
      </vt:variant>
      <vt:variant>
        <vt:lpwstr/>
      </vt:variant>
      <vt:variant>
        <vt:i4>3407997</vt:i4>
      </vt:variant>
      <vt:variant>
        <vt:i4>78</vt:i4>
      </vt:variant>
      <vt:variant>
        <vt:i4>0</vt:i4>
      </vt:variant>
      <vt:variant>
        <vt:i4>5</vt:i4>
      </vt:variant>
      <vt:variant>
        <vt:lpwstr>http://www.nevo.co.il/case/5815848</vt:lpwstr>
      </vt:variant>
      <vt:variant>
        <vt:lpwstr/>
      </vt:variant>
      <vt:variant>
        <vt:i4>3670128</vt:i4>
      </vt:variant>
      <vt:variant>
        <vt:i4>75</vt:i4>
      </vt:variant>
      <vt:variant>
        <vt:i4>0</vt:i4>
      </vt:variant>
      <vt:variant>
        <vt:i4>5</vt:i4>
      </vt:variant>
      <vt:variant>
        <vt:lpwstr>http://www.nevo.co.il/case/17939098</vt:lpwstr>
      </vt:variant>
      <vt:variant>
        <vt:lpwstr/>
      </vt:variant>
      <vt:variant>
        <vt:i4>3866748</vt:i4>
      </vt:variant>
      <vt:variant>
        <vt:i4>72</vt:i4>
      </vt:variant>
      <vt:variant>
        <vt:i4>0</vt:i4>
      </vt:variant>
      <vt:variant>
        <vt:i4>5</vt:i4>
      </vt:variant>
      <vt:variant>
        <vt:lpwstr>http://www.nevo.co.il/case/6248029</vt:lpwstr>
      </vt:variant>
      <vt:variant>
        <vt:lpwstr/>
      </vt:variant>
      <vt:variant>
        <vt:i4>7077991</vt:i4>
      </vt:variant>
      <vt:variant>
        <vt:i4>69</vt:i4>
      </vt:variant>
      <vt:variant>
        <vt:i4>0</vt:i4>
      </vt:variant>
      <vt:variant>
        <vt:i4>5</vt:i4>
      </vt:variant>
      <vt:variant>
        <vt:lpwstr>http://www.nevo.co.il/law/70301/29</vt:lpwstr>
      </vt:variant>
      <vt:variant>
        <vt:lpwstr/>
      </vt:variant>
      <vt:variant>
        <vt:i4>5177424</vt:i4>
      </vt:variant>
      <vt:variant>
        <vt:i4>66</vt:i4>
      </vt:variant>
      <vt:variant>
        <vt:i4>0</vt:i4>
      </vt:variant>
      <vt:variant>
        <vt:i4>5</vt:i4>
      </vt:variant>
      <vt:variant>
        <vt:lpwstr>http://www.nevo.co.il/law/70301/144.b</vt:lpwstr>
      </vt:variant>
      <vt:variant>
        <vt:lpwstr/>
      </vt:variant>
      <vt:variant>
        <vt:i4>7077991</vt:i4>
      </vt:variant>
      <vt:variant>
        <vt:i4>63</vt:i4>
      </vt:variant>
      <vt:variant>
        <vt:i4>0</vt:i4>
      </vt:variant>
      <vt:variant>
        <vt:i4>5</vt:i4>
      </vt:variant>
      <vt:variant>
        <vt:lpwstr>http://www.nevo.co.il/law/70301/29</vt:lpwstr>
      </vt:variant>
      <vt:variant>
        <vt:lpwstr/>
      </vt:variant>
      <vt:variant>
        <vt:i4>5177424</vt:i4>
      </vt:variant>
      <vt:variant>
        <vt:i4>60</vt:i4>
      </vt:variant>
      <vt:variant>
        <vt:i4>0</vt:i4>
      </vt:variant>
      <vt:variant>
        <vt:i4>5</vt:i4>
      </vt:variant>
      <vt:variant>
        <vt:lpwstr>http://www.nevo.co.il/law/70301/144.a</vt:lpwstr>
      </vt:variant>
      <vt:variant>
        <vt:lpwstr/>
      </vt:variant>
      <vt:variant>
        <vt:i4>7077991</vt:i4>
      </vt:variant>
      <vt:variant>
        <vt:i4>57</vt:i4>
      </vt:variant>
      <vt:variant>
        <vt:i4>0</vt:i4>
      </vt:variant>
      <vt:variant>
        <vt:i4>5</vt:i4>
      </vt:variant>
      <vt:variant>
        <vt:lpwstr>http://www.nevo.co.il/law/70301/29</vt:lpwstr>
      </vt:variant>
      <vt:variant>
        <vt:lpwstr/>
      </vt:variant>
      <vt:variant>
        <vt:i4>8192050</vt:i4>
      </vt:variant>
      <vt:variant>
        <vt:i4>54</vt:i4>
      </vt:variant>
      <vt:variant>
        <vt:i4>0</vt:i4>
      </vt:variant>
      <vt:variant>
        <vt:i4>5</vt:i4>
      </vt:variant>
      <vt:variant>
        <vt:lpwstr>http://www.nevo.co.il/law/70301/144.b2</vt:lpwstr>
      </vt:variant>
      <vt:variant>
        <vt:lpwstr/>
      </vt:variant>
      <vt:variant>
        <vt:i4>7077991</vt:i4>
      </vt:variant>
      <vt:variant>
        <vt:i4>51</vt:i4>
      </vt:variant>
      <vt:variant>
        <vt:i4>0</vt:i4>
      </vt:variant>
      <vt:variant>
        <vt:i4>5</vt:i4>
      </vt:variant>
      <vt:variant>
        <vt:lpwstr>http://www.nevo.co.il/law/70301/29</vt:lpwstr>
      </vt:variant>
      <vt:variant>
        <vt:lpwstr/>
      </vt:variant>
      <vt:variant>
        <vt:i4>6750270</vt:i4>
      </vt:variant>
      <vt:variant>
        <vt:i4>48</vt:i4>
      </vt:variant>
      <vt:variant>
        <vt:i4>0</vt:i4>
      </vt:variant>
      <vt:variant>
        <vt:i4>5</vt:i4>
      </vt:variant>
      <vt:variant>
        <vt:lpwstr>http://www.nevo.co.il/law/70301/329.a.6</vt:lpwstr>
      </vt:variant>
      <vt:variant>
        <vt:lpwstr/>
      </vt:variant>
      <vt:variant>
        <vt:i4>6750270</vt:i4>
      </vt:variant>
      <vt:variant>
        <vt:i4>45</vt:i4>
      </vt:variant>
      <vt:variant>
        <vt:i4>0</vt:i4>
      </vt:variant>
      <vt:variant>
        <vt:i4>5</vt:i4>
      </vt:variant>
      <vt:variant>
        <vt:lpwstr>http://www.nevo.co.il/law/70301/329.a.2</vt:lpwstr>
      </vt:variant>
      <vt:variant>
        <vt:lpwstr/>
      </vt:variant>
      <vt:variant>
        <vt:i4>7995492</vt:i4>
      </vt:variant>
      <vt:variant>
        <vt:i4>42</vt:i4>
      </vt:variant>
      <vt:variant>
        <vt:i4>0</vt:i4>
      </vt:variant>
      <vt:variant>
        <vt:i4>5</vt:i4>
      </vt:variant>
      <vt:variant>
        <vt:lpwstr>http://www.nevo.co.il/law/70301</vt:lpwstr>
      </vt:variant>
      <vt:variant>
        <vt:lpwstr/>
      </vt:variant>
      <vt:variant>
        <vt:i4>7077945</vt:i4>
      </vt:variant>
      <vt:variant>
        <vt:i4>39</vt:i4>
      </vt:variant>
      <vt:variant>
        <vt:i4>0</vt:i4>
      </vt:variant>
      <vt:variant>
        <vt:i4>5</vt:i4>
      </vt:variant>
      <vt:variant>
        <vt:lpwstr>http://www.nevo.co.il/law/70301/499.a.1</vt:lpwstr>
      </vt:variant>
      <vt:variant>
        <vt:lpwstr/>
      </vt:variant>
      <vt:variant>
        <vt:i4>7864420</vt:i4>
      </vt:variant>
      <vt:variant>
        <vt:i4>36</vt:i4>
      </vt:variant>
      <vt:variant>
        <vt:i4>0</vt:i4>
      </vt:variant>
      <vt:variant>
        <vt:i4>5</vt:i4>
      </vt:variant>
      <vt:variant>
        <vt:lpwstr>http://www.nevo.co.il/law/70320</vt:lpwstr>
      </vt:variant>
      <vt:variant>
        <vt:lpwstr/>
      </vt:variant>
      <vt:variant>
        <vt:i4>7929953</vt:i4>
      </vt:variant>
      <vt:variant>
        <vt:i4>33</vt:i4>
      </vt:variant>
      <vt:variant>
        <vt:i4>0</vt:i4>
      </vt:variant>
      <vt:variant>
        <vt:i4>5</vt:i4>
      </vt:variant>
      <vt:variant>
        <vt:lpwstr>http://www.nevo.co.il/law/73606</vt:lpwstr>
      </vt:variant>
      <vt:variant>
        <vt:lpwstr/>
      </vt:variant>
      <vt:variant>
        <vt:i4>7077945</vt:i4>
      </vt:variant>
      <vt:variant>
        <vt:i4>30</vt:i4>
      </vt:variant>
      <vt:variant>
        <vt:i4>0</vt:i4>
      </vt:variant>
      <vt:variant>
        <vt:i4>5</vt:i4>
      </vt:variant>
      <vt:variant>
        <vt:lpwstr>http://www.nevo.co.il/law/70301/499.a.1</vt:lpwstr>
      </vt:variant>
      <vt:variant>
        <vt:lpwstr/>
      </vt:variant>
      <vt:variant>
        <vt:i4>458763</vt:i4>
      </vt:variant>
      <vt:variant>
        <vt:i4>27</vt:i4>
      </vt:variant>
      <vt:variant>
        <vt:i4>0</vt:i4>
      </vt:variant>
      <vt:variant>
        <vt:i4>5</vt:i4>
      </vt:variant>
      <vt:variant>
        <vt:lpwstr>http://www.nevo.co.il/law/70301/40jb</vt:lpwstr>
      </vt:variant>
      <vt:variant>
        <vt:lpwstr/>
      </vt:variant>
      <vt:variant>
        <vt:i4>6750270</vt:i4>
      </vt:variant>
      <vt:variant>
        <vt:i4>24</vt:i4>
      </vt:variant>
      <vt:variant>
        <vt:i4>0</vt:i4>
      </vt:variant>
      <vt:variant>
        <vt:i4>5</vt:i4>
      </vt:variant>
      <vt:variant>
        <vt:lpwstr>http://www.nevo.co.il/law/70301/329.a.6</vt:lpwstr>
      </vt:variant>
      <vt:variant>
        <vt:lpwstr/>
      </vt:variant>
      <vt:variant>
        <vt:i4>6750270</vt:i4>
      </vt:variant>
      <vt:variant>
        <vt:i4>21</vt:i4>
      </vt:variant>
      <vt:variant>
        <vt:i4>0</vt:i4>
      </vt:variant>
      <vt:variant>
        <vt:i4>5</vt:i4>
      </vt:variant>
      <vt:variant>
        <vt:lpwstr>http://www.nevo.co.il/law/70301/329.a.2</vt:lpwstr>
      </vt:variant>
      <vt:variant>
        <vt:lpwstr/>
      </vt:variant>
      <vt:variant>
        <vt:i4>8192050</vt:i4>
      </vt:variant>
      <vt:variant>
        <vt:i4>18</vt:i4>
      </vt:variant>
      <vt:variant>
        <vt:i4>0</vt:i4>
      </vt:variant>
      <vt:variant>
        <vt:i4>5</vt:i4>
      </vt:variant>
      <vt:variant>
        <vt:lpwstr>http://www.nevo.co.il/law/70301/144.b2</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4915202</vt:i4>
      </vt:variant>
      <vt:variant>
        <vt:i4>9</vt:i4>
      </vt:variant>
      <vt:variant>
        <vt:i4>0</vt:i4>
      </vt:variant>
      <vt:variant>
        <vt:i4>5</vt:i4>
      </vt:variant>
      <vt:variant>
        <vt:lpwstr>http://www.nevo.co.il/law/70301/40c.a</vt:lpwstr>
      </vt:variant>
      <vt:variant>
        <vt:lpwstr/>
      </vt:variant>
      <vt:variant>
        <vt:i4>6619233</vt:i4>
      </vt:variant>
      <vt:variant>
        <vt:i4>6</vt:i4>
      </vt:variant>
      <vt:variant>
        <vt:i4>0</vt:i4>
      </vt:variant>
      <vt:variant>
        <vt:i4>5</vt:i4>
      </vt:variant>
      <vt:variant>
        <vt:lpwstr>http://www.nevo.co.il/law/70301/40b</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2025-04-25T10:29:00Z</dcterms:created>
  <dcterms:modified xsi:type="dcterms:W3CDTF">2025-04-25T10:29:00Z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5013</vt:lpwstr>
  </property>
  <property fmtid="{D5CDD505-2E9C-101B-9397-08002B2CF9AE}" pid="6" name="NEWPARTB">
    <vt:lpwstr/>
  </property>
  <property fmtid="{D5CDD505-2E9C-101B-9397-08002B2CF9AE}" pid="7" name="NEWPARTC">
    <vt:lpwstr>12</vt:lpwstr>
  </property>
  <property fmtid="{D5CDD505-2E9C-101B-9397-08002B2CF9AE}" pid="8" name="PROCNUM">
    <vt:lpwstr>5013</vt:lpwstr>
  </property>
  <property fmtid="{D5CDD505-2E9C-101B-9397-08002B2CF9AE}" pid="9" name="PROCYEAR">
    <vt:lpwstr>12</vt:lpwstr>
  </property>
  <property fmtid="{D5CDD505-2E9C-101B-9397-08002B2CF9AE}" pid="10" name="APPELLANT">
    <vt:lpwstr>מדינת ישראל</vt:lpwstr>
  </property>
  <property fmtid="{D5CDD505-2E9C-101B-9397-08002B2CF9AE}" pid="11" name="APPELLEE">
    <vt:lpwstr>אלכסנדר פיטייב</vt:lpwstr>
  </property>
  <property fmtid="{D5CDD505-2E9C-101B-9397-08002B2CF9AE}" pid="12" name="JUDGE">
    <vt:lpwstr>דיאנה סלע</vt:lpwstr>
  </property>
  <property fmtid="{D5CDD505-2E9C-101B-9397-08002B2CF9AE}" pid="13" name="CITY">
    <vt:lpwstr>חי'</vt:lpwstr>
  </property>
  <property fmtid="{D5CDD505-2E9C-101B-9397-08002B2CF9AE}" pid="14" name="DATE">
    <vt:lpwstr>20131218</vt:lpwstr>
  </property>
  <property fmtid="{D5CDD505-2E9C-101B-9397-08002B2CF9AE}" pid="15" name="TYPE_N_DATE">
    <vt:lpwstr>39020131218</vt:lpwstr>
  </property>
  <property fmtid="{D5CDD505-2E9C-101B-9397-08002B2CF9AE}" pid="16" name="WORDNUMPAGES">
    <vt:lpwstr>13</vt:lpwstr>
  </property>
  <property fmtid="{D5CDD505-2E9C-101B-9397-08002B2CF9AE}" pid="17" name="TYPE_ABS_DATE">
    <vt:lpwstr>390020131218</vt:lpwstr>
  </property>
  <property fmtid="{D5CDD505-2E9C-101B-9397-08002B2CF9AE}" pid="18" name="ISABSTRACT">
    <vt:lpwstr>Y</vt:lpwstr>
  </property>
  <property fmtid="{D5CDD505-2E9C-101B-9397-08002B2CF9AE}" pid="19" name="LAWYER">
    <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6248029:2;17939098;5815848;5982047;6243627;17940865;6010862;6111581;5693822;6064136;5981850;5823924;5701506;6080576;637380;643964;5920165;6188919;5582859;5866847;6045465;4176184;4803511;4669127;2520259;4716116;2242891;2841327;6473037;6170256;6247448</vt:lpwstr>
  </property>
  <property fmtid="{D5CDD505-2E9C-101B-9397-08002B2CF9AE}" pid="36" name="CASESLISTTMP2">
    <vt:lpwstr>5578662;6105853;6056840;5707365;6239271;6168237;5933664;5820942;5880417;5604276;6155180;5823754;6159820;5701742</vt:lpwstr>
  </property>
  <property fmtid="{D5CDD505-2E9C-101B-9397-08002B2CF9AE}" pid="37" name="LAWLISTTMP1">
    <vt:lpwstr>70301/499.a.1;329.a.2;329.a.6;029:4;144.b2;144.a;144.b;040b;040c.a;40jb</vt:lpwstr>
  </property>
  <property fmtid="{D5CDD505-2E9C-101B-9397-08002B2CF9AE}" pid="38" name="LAWLISTTMP2">
    <vt:lpwstr>73606</vt:lpwstr>
  </property>
  <property fmtid="{D5CDD505-2E9C-101B-9397-08002B2CF9AE}" pid="39" name="LAWLISTTMP3">
    <vt:lpwstr>70320</vt:lpwstr>
  </property>
</Properties>
</file>