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8"/>
        <w:gridCol w:w="3673"/>
      </w:tblGrid>
      <w:tr w:rsidR="00313BB5" w:rsidRPr="00C95D44" w14:paraId="75EA52DE" w14:textId="77777777">
        <w:trPr>
          <w:trHeight w:hRule="exact" w:val="418"/>
          <w:jc w:val="center"/>
        </w:trPr>
        <w:tc>
          <w:tcPr>
            <w:tcW w:w="8721" w:type="dxa"/>
            <w:gridSpan w:val="2"/>
          </w:tcPr>
          <w:p w14:paraId="46F9BD92" w14:textId="77777777" w:rsidR="00313BB5" w:rsidRPr="00C95D44" w:rsidRDefault="00C95D44">
            <w:pPr>
              <w:pStyle w:val="a3"/>
              <w:jc w:val="center"/>
              <w:rPr>
                <w:rFonts w:ascii="Tahoma" w:hAnsi="Tahoma" w:cs="Tahoma"/>
                <w:color w:val="000080"/>
                <w:rtl/>
              </w:rPr>
            </w:pPr>
            <w:bookmarkStart w:id="0" w:name="LastJudge"/>
            <w:r w:rsidRPr="00C95D44">
              <w:rPr>
                <w:rFonts w:ascii="Tahoma" w:hAnsi="Tahoma" w:cs="Tahoma"/>
                <w:b/>
                <w:bCs/>
                <w:color w:val="000080"/>
                <w:rtl/>
              </w:rPr>
              <w:t>בית המשפט המחוזי בירושלים</w:t>
            </w:r>
          </w:p>
        </w:tc>
      </w:tr>
      <w:tr w:rsidR="00313BB5" w:rsidRPr="00C95D44" w14:paraId="7D40A4BE" w14:textId="77777777">
        <w:trPr>
          <w:trHeight w:val="337"/>
          <w:jc w:val="center"/>
        </w:trPr>
        <w:tc>
          <w:tcPr>
            <w:tcW w:w="5048" w:type="dxa"/>
          </w:tcPr>
          <w:p w14:paraId="3979FDC5" w14:textId="77777777" w:rsidR="00313BB5" w:rsidRPr="00C95D44" w:rsidRDefault="00C95D44">
            <w:pPr>
              <w:rPr>
                <w:b/>
                <w:bCs/>
                <w:sz w:val="28"/>
                <w:szCs w:val="28"/>
                <w:rtl/>
              </w:rPr>
            </w:pPr>
            <w:r w:rsidRPr="00C95D44">
              <w:rPr>
                <w:b/>
                <w:bCs/>
                <w:sz w:val="28"/>
                <w:szCs w:val="28"/>
                <w:rtl/>
              </w:rPr>
              <w:t>ת"פ</w:t>
            </w:r>
            <w:r w:rsidRPr="00C95D44">
              <w:rPr>
                <w:rFonts w:hint="cs"/>
                <w:b/>
                <w:bCs/>
                <w:sz w:val="28"/>
                <w:szCs w:val="28"/>
                <w:rtl/>
              </w:rPr>
              <w:t xml:space="preserve"> </w:t>
            </w:r>
            <w:r w:rsidRPr="00C95D44">
              <w:rPr>
                <w:b/>
                <w:bCs/>
                <w:sz w:val="28"/>
                <w:szCs w:val="28"/>
                <w:rtl/>
              </w:rPr>
              <w:t>11953-01-13</w:t>
            </w:r>
            <w:r w:rsidRPr="00C95D44">
              <w:rPr>
                <w:rFonts w:hint="cs"/>
                <w:b/>
                <w:bCs/>
                <w:sz w:val="28"/>
                <w:szCs w:val="28"/>
                <w:rtl/>
              </w:rPr>
              <w:t xml:space="preserve"> </w:t>
            </w:r>
            <w:r w:rsidRPr="00C95D44">
              <w:rPr>
                <w:b/>
                <w:bCs/>
                <w:sz w:val="28"/>
                <w:szCs w:val="28"/>
                <w:rtl/>
              </w:rPr>
              <w:t>מדינת ישראל ואח' נ' חלאק</w:t>
            </w:r>
          </w:p>
          <w:p w14:paraId="1809306E" w14:textId="77777777" w:rsidR="00313BB5" w:rsidRPr="00C95D44" w:rsidRDefault="00313BB5">
            <w:pPr>
              <w:pStyle w:val="a3"/>
              <w:rPr>
                <w:b/>
                <w:bCs/>
                <w:sz w:val="28"/>
                <w:szCs w:val="28"/>
                <w:rtl/>
              </w:rPr>
            </w:pPr>
          </w:p>
          <w:p w14:paraId="3393B8D7" w14:textId="77777777" w:rsidR="00313BB5" w:rsidRPr="00C95D44" w:rsidRDefault="00313BB5">
            <w:pPr>
              <w:rPr>
                <w:b/>
                <w:bCs/>
              </w:rPr>
            </w:pPr>
          </w:p>
        </w:tc>
        <w:tc>
          <w:tcPr>
            <w:tcW w:w="3673" w:type="dxa"/>
          </w:tcPr>
          <w:p w14:paraId="4526D185" w14:textId="77777777" w:rsidR="00313BB5" w:rsidRPr="00C95D44" w:rsidRDefault="00C95D44">
            <w:pPr>
              <w:pStyle w:val="a3"/>
              <w:jc w:val="right"/>
              <w:rPr>
                <w:b/>
                <w:bCs/>
                <w:sz w:val="28"/>
                <w:szCs w:val="28"/>
                <w:rtl/>
              </w:rPr>
            </w:pPr>
            <w:r w:rsidRPr="00C95D44">
              <w:rPr>
                <w:rFonts w:hint="cs"/>
                <w:b/>
                <w:bCs/>
                <w:sz w:val="28"/>
                <w:szCs w:val="28"/>
                <w:rtl/>
              </w:rPr>
              <w:t>14</w:t>
            </w:r>
            <w:r w:rsidRPr="00C95D44">
              <w:rPr>
                <w:b/>
                <w:bCs/>
                <w:sz w:val="28"/>
                <w:szCs w:val="28"/>
                <w:rtl/>
              </w:rPr>
              <w:t xml:space="preserve"> אפריל 2013</w:t>
            </w:r>
          </w:p>
        </w:tc>
      </w:tr>
    </w:tbl>
    <w:p w14:paraId="33FD0D87" w14:textId="77777777" w:rsidR="00313BB5" w:rsidRPr="00C95D44" w:rsidRDefault="00C95D44">
      <w:pPr>
        <w:pStyle w:val="a3"/>
        <w:rPr>
          <w:rtl/>
        </w:rPr>
      </w:pPr>
      <w:r w:rsidRPr="00C95D44">
        <w:rPr>
          <w:rFonts w:hint="cs"/>
          <w:rtl/>
        </w:rPr>
        <w:t xml:space="preserve"> </w:t>
      </w:r>
    </w:p>
    <w:tbl>
      <w:tblPr>
        <w:bidiVisual/>
        <w:tblW w:w="8803" w:type="dxa"/>
        <w:tblInd w:w="-29" w:type="dxa"/>
        <w:tblLook w:val="01E0" w:firstRow="1" w:lastRow="1" w:firstColumn="1" w:lastColumn="1" w:noHBand="0" w:noVBand="0"/>
      </w:tblPr>
      <w:tblGrid>
        <w:gridCol w:w="2881"/>
        <w:gridCol w:w="5867"/>
        <w:gridCol w:w="55"/>
      </w:tblGrid>
      <w:tr w:rsidR="00313BB5" w:rsidRPr="00C95D44" w14:paraId="33AA48D9" w14:textId="77777777">
        <w:trPr>
          <w:gridAfter w:val="1"/>
          <w:wAfter w:w="55" w:type="dxa"/>
        </w:trPr>
        <w:tc>
          <w:tcPr>
            <w:tcW w:w="8748" w:type="dxa"/>
            <w:gridSpan w:val="2"/>
          </w:tcPr>
          <w:p w14:paraId="0DFCBB4E" w14:textId="77777777" w:rsidR="00313BB5" w:rsidRPr="00C95D44" w:rsidRDefault="00C95D44">
            <w:pPr>
              <w:spacing w:line="360" w:lineRule="auto"/>
              <w:jc w:val="both"/>
              <w:rPr>
                <w:b/>
                <w:bCs/>
                <w:sz w:val="28"/>
                <w:szCs w:val="28"/>
              </w:rPr>
            </w:pPr>
            <w:bookmarkStart w:id="1" w:name="_GoBack"/>
            <w:bookmarkEnd w:id="1"/>
            <w:r w:rsidRPr="00C95D44">
              <w:rPr>
                <w:rFonts w:hint="cs"/>
                <w:b/>
                <w:bCs/>
                <w:sz w:val="28"/>
                <w:szCs w:val="28"/>
                <w:rtl/>
              </w:rPr>
              <w:t>בפני כב' השופט הבכיר, צבי סגל</w:t>
            </w:r>
          </w:p>
        </w:tc>
      </w:tr>
      <w:tr w:rsidR="00313BB5" w:rsidRPr="00C95D44" w14:paraId="344E1EBB" w14:textId="77777777">
        <w:trPr>
          <w:gridAfter w:val="1"/>
          <w:wAfter w:w="55" w:type="dxa"/>
        </w:trPr>
        <w:tc>
          <w:tcPr>
            <w:tcW w:w="8748" w:type="dxa"/>
            <w:gridSpan w:val="2"/>
          </w:tcPr>
          <w:p w14:paraId="26B97870" w14:textId="77777777" w:rsidR="00313BB5" w:rsidRPr="00C95D44" w:rsidRDefault="00313BB5">
            <w:pPr>
              <w:spacing w:line="360" w:lineRule="auto"/>
              <w:jc w:val="both"/>
              <w:rPr>
                <w:rFonts w:ascii="Arial" w:hAnsi="Arial"/>
                <w:sz w:val="28"/>
                <w:szCs w:val="28"/>
              </w:rPr>
            </w:pPr>
          </w:p>
        </w:tc>
      </w:tr>
      <w:tr w:rsidR="00313BB5" w:rsidRPr="00C95D44" w14:paraId="5F5251B2" w14:textId="77777777">
        <w:tc>
          <w:tcPr>
            <w:tcW w:w="2881" w:type="dxa"/>
          </w:tcPr>
          <w:p w14:paraId="33FDAEB2" w14:textId="77777777" w:rsidR="00313BB5" w:rsidRPr="00C95D44" w:rsidRDefault="00C95D44">
            <w:pPr>
              <w:ind w:left="26"/>
              <w:rPr>
                <w:b/>
                <w:bCs/>
                <w:sz w:val="28"/>
                <w:szCs w:val="28"/>
              </w:rPr>
            </w:pPr>
            <w:bookmarkStart w:id="2" w:name="FirstAppellant"/>
            <w:bookmarkStart w:id="3" w:name="FirstLawyer"/>
            <w:r w:rsidRPr="00C95D44">
              <w:rPr>
                <w:rFonts w:hint="cs"/>
                <w:b/>
                <w:bCs/>
                <w:sz w:val="28"/>
                <w:szCs w:val="28"/>
                <w:rtl/>
              </w:rPr>
              <w:t>ה</w:t>
            </w:r>
            <w:r w:rsidRPr="00C95D44">
              <w:rPr>
                <w:rFonts w:hint="cs"/>
                <w:sz w:val="28"/>
                <w:szCs w:val="28"/>
                <w:rtl/>
              </w:rPr>
              <w:t>מאשימה</w:t>
            </w:r>
          </w:p>
        </w:tc>
        <w:tc>
          <w:tcPr>
            <w:tcW w:w="5922" w:type="dxa"/>
            <w:gridSpan w:val="2"/>
          </w:tcPr>
          <w:p w14:paraId="2623B670" w14:textId="77777777" w:rsidR="00313BB5" w:rsidRPr="00C95D44" w:rsidRDefault="00C95D44">
            <w:pPr>
              <w:rPr>
                <w:b/>
                <w:bCs/>
                <w:sz w:val="28"/>
                <w:szCs w:val="28"/>
                <w:rtl/>
              </w:rPr>
            </w:pPr>
            <w:r w:rsidRPr="00C95D44">
              <w:rPr>
                <w:rFonts w:hint="cs"/>
                <w:b/>
                <w:bCs/>
                <w:sz w:val="28"/>
                <w:szCs w:val="28"/>
                <w:rtl/>
              </w:rPr>
              <w:t>מדינת ישראל</w:t>
            </w:r>
          </w:p>
          <w:p w14:paraId="431A9D03" w14:textId="77777777" w:rsidR="00313BB5" w:rsidRPr="00C95D44" w:rsidRDefault="00C95D44">
            <w:pPr>
              <w:rPr>
                <w:sz w:val="28"/>
                <w:szCs w:val="28"/>
                <w:rtl/>
              </w:rPr>
            </w:pPr>
            <w:r w:rsidRPr="00C95D44">
              <w:rPr>
                <w:rFonts w:hint="cs"/>
                <w:sz w:val="28"/>
                <w:szCs w:val="28"/>
                <w:rtl/>
              </w:rPr>
              <w:t xml:space="preserve">ע"י ב"כ עו"ד הילה בניטה </w:t>
            </w:r>
          </w:p>
          <w:p w14:paraId="6F064A03" w14:textId="77777777" w:rsidR="00313BB5" w:rsidRPr="00C95D44" w:rsidRDefault="00C95D44">
            <w:pPr>
              <w:rPr>
                <w:sz w:val="28"/>
                <w:szCs w:val="28"/>
              </w:rPr>
            </w:pPr>
            <w:r w:rsidRPr="00C95D44">
              <w:rPr>
                <w:rFonts w:hint="cs"/>
                <w:sz w:val="28"/>
                <w:szCs w:val="28"/>
                <w:rtl/>
              </w:rPr>
              <w:t>מפרקליטות מחוז ירושלים (פלילי)</w:t>
            </w:r>
          </w:p>
        </w:tc>
      </w:tr>
      <w:bookmarkEnd w:id="2"/>
      <w:bookmarkEnd w:id="3"/>
      <w:tr w:rsidR="00313BB5" w:rsidRPr="00C95D44" w14:paraId="2EE6CC29" w14:textId="77777777">
        <w:tc>
          <w:tcPr>
            <w:tcW w:w="8803" w:type="dxa"/>
            <w:gridSpan w:val="3"/>
          </w:tcPr>
          <w:p w14:paraId="7414F633" w14:textId="77777777" w:rsidR="00313BB5" w:rsidRPr="00C95D44" w:rsidRDefault="00313BB5">
            <w:pPr>
              <w:jc w:val="both"/>
              <w:rPr>
                <w:rFonts w:ascii="Arial" w:hAnsi="Arial"/>
                <w:b/>
                <w:bCs/>
                <w:sz w:val="28"/>
                <w:szCs w:val="28"/>
                <w:rtl/>
              </w:rPr>
            </w:pPr>
          </w:p>
          <w:p w14:paraId="6335E8E1" w14:textId="77777777" w:rsidR="00313BB5" w:rsidRPr="00C95D44" w:rsidRDefault="00C95D44">
            <w:pPr>
              <w:jc w:val="center"/>
              <w:rPr>
                <w:rFonts w:ascii="Arial" w:hAnsi="Arial"/>
                <w:b/>
                <w:bCs/>
                <w:sz w:val="28"/>
                <w:szCs w:val="28"/>
                <w:rtl/>
              </w:rPr>
            </w:pPr>
            <w:r w:rsidRPr="00C95D44">
              <w:rPr>
                <w:rFonts w:ascii="Arial" w:hAnsi="Arial" w:hint="cs"/>
                <w:b/>
                <w:bCs/>
                <w:sz w:val="28"/>
                <w:szCs w:val="28"/>
                <w:rtl/>
              </w:rPr>
              <w:t>-נגד-</w:t>
            </w:r>
          </w:p>
          <w:p w14:paraId="2633DE60" w14:textId="77777777" w:rsidR="00313BB5" w:rsidRPr="00C95D44" w:rsidRDefault="00313BB5">
            <w:pPr>
              <w:jc w:val="center"/>
              <w:rPr>
                <w:rFonts w:ascii="Arial" w:hAnsi="Arial"/>
                <w:b/>
                <w:bCs/>
                <w:sz w:val="28"/>
                <w:szCs w:val="28"/>
              </w:rPr>
            </w:pPr>
          </w:p>
        </w:tc>
      </w:tr>
      <w:tr w:rsidR="00313BB5" w:rsidRPr="00C95D44" w14:paraId="5F4DCD08" w14:textId="77777777">
        <w:trPr>
          <w:trHeight w:val="211"/>
        </w:trPr>
        <w:tc>
          <w:tcPr>
            <w:tcW w:w="2881" w:type="dxa"/>
          </w:tcPr>
          <w:p w14:paraId="67331F14" w14:textId="77777777" w:rsidR="00313BB5" w:rsidRPr="00C95D44" w:rsidRDefault="00C95D44">
            <w:pPr>
              <w:ind w:left="26"/>
              <w:rPr>
                <w:b/>
                <w:bCs/>
                <w:sz w:val="28"/>
                <w:szCs w:val="28"/>
              </w:rPr>
            </w:pPr>
            <w:r w:rsidRPr="00C95D44">
              <w:rPr>
                <w:rFonts w:hint="cs"/>
                <w:b/>
                <w:bCs/>
                <w:sz w:val="28"/>
                <w:szCs w:val="28"/>
                <w:rtl/>
              </w:rPr>
              <w:t>הנאשם</w:t>
            </w:r>
          </w:p>
        </w:tc>
        <w:tc>
          <w:tcPr>
            <w:tcW w:w="5922" w:type="dxa"/>
            <w:gridSpan w:val="2"/>
          </w:tcPr>
          <w:p w14:paraId="2F3C2878" w14:textId="77777777" w:rsidR="00313BB5" w:rsidRPr="00C95D44" w:rsidRDefault="00C95D44">
            <w:pPr>
              <w:rPr>
                <w:sz w:val="28"/>
                <w:szCs w:val="28"/>
                <w:rtl/>
              </w:rPr>
            </w:pPr>
            <w:r w:rsidRPr="00C95D44">
              <w:rPr>
                <w:rFonts w:hint="cs"/>
                <w:sz w:val="28"/>
                <w:szCs w:val="28"/>
                <w:rtl/>
              </w:rPr>
              <w:t xml:space="preserve">מוחמד חלאק </w:t>
            </w:r>
            <w:r w:rsidRPr="00C95D44">
              <w:rPr>
                <w:sz w:val="28"/>
                <w:szCs w:val="28"/>
                <w:rtl/>
              </w:rPr>
              <w:t xml:space="preserve"> </w:t>
            </w:r>
          </w:p>
          <w:p w14:paraId="31E95425" w14:textId="77777777" w:rsidR="00313BB5" w:rsidRPr="00C95D44" w:rsidRDefault="00C95D44">
            <w:pPr>
              <w:rPr>
                <w:sz w:val="28"/>
                <w:szCs w:val="28"/>
              </w:rPr>
            </w:pPr>
            <w:r w:rsidRPr="00C95D44">
              <w:rPr>
                <w:rFonts w:hint="cs"/>
                <w:sz w:val="28"/>
                <w:szCs w:val="28"/>
                <w:rtl/>
              </w:rPr>
              <w:t>ע"י ב"כ עו"ד איברהים אבו-גוש</w:t>
            </w:r>
          </w:p>
        </w:tc>
      </w:tr>
    </w:tbl>
    <w:p w14:paraId="46BF9195" w14:textId="77777777" w:rsidR="003E483B" w:rsidRDefault="003E483B">
      <w:pPr>
        <w:rPr>
          <w:sz w:val="28"/>
          <w:szCs w:val="28"/>
          <w:rtl/>
        </w:rPr>
      </w:pPr>
      <w:bookmarkStart w:id="4" w:name="LawTable"/>
      <w:bookmarkEnd w:id="4"/>
    </w:p>
    <w:p w14:paraId="3E40EDA0" w14:textId="77777777" w:rsidR="003E483B" w:rsidRPr="003E483B" w:rsidRDefault="003E483B" w:rsidP="003E483B">
      <w:pPr>
        <w:spacing w:after="120" w:line="240" w:lineRule="exact"/>
        <w:ind w:left="283" w:hanging="283"/>
        <w:jc w:val="both"/>
        <w:rPr>
          <w:rFonts w:ascii="FrankRuehl" w:hAnsi="FrankRuehl" w:cs="FrankRuehl"/>
          <w:rtl/>
        </w:rPr>
      </w:pPr>
    </w:p>
    <w:p w14:paraId="5BE8ED90" w14:textId="77777777" w:rsidR="003E483B" w:rsidRPr="003E483B" w:rsidRDefault="003E483B" w:rsidP="003E483B">
      <w:pPr>
        <w:spacing w:after="120" w:line="240" w:lineRule="exact"/>
        <w:ind w:left="283" w:hanging="283"/>
        <w:jc w:val="both"/>
        <w:rPr>
          <w:rFonts w:ascii="FrankRuehl" w:hAnsi="FrankRuehl" w:cs="FrankRuehl"/>
          <w:rtl/>
        </w:rPr>
      </w:pPr>
      <w:r w:rsidRPr="003E483B">
        <w:rPr>
          <w:rFonts w:ascii="FrankRuehl" w:hAnsi="FrankRuehl" w:cs="FrankRuehl"/>
          <w:rtl/>
        </w:rPr>
        <w:t xml:space="preserve">חקיקה שאוזכרה: </w:t>
      </w:r>
    </w:p>
    <w:p w14:paraId="11EE905F" w14:textId="77777777" w:rsidR="003E483B" w:rsidRPr="003E483B" w:rsidRDefault="003E483B" w:rsidP="003E483B">
      <w:pPr>
        <w:spacing w:after="120" w:line="240" w:lineRule="exact"/>
        <w:ind w:left="283" w:hanging="283"/>
        <w:jc w:val="both"/>
        <w:rPr>
          <w:rFonts w:ascii="FrankRuehl" w:hAnsi="FrankRuehl" w:cs="FrankRuehl"/>
          <w:color w:val="0000FF"/>
          <w:u w:val="single"/>
          <w:rtl/>
        </w:rPr>
      </w:pPr>
      <w:hyperlink r:id="rId7" w:history="1">
        <w:r w:rsidRPr="003E483B">
          <w:rPr>
            <w:rStyle w:val="Hyperlink"/>
            <w:rFonts w:ascii="FrankRuehl" w:hAnsi="FrankRuehl" w:cs="FrankRuehl"/>
            <w:rtl/>
          </w:rPr>
          <w:t>חוק העונשין, תשל"ז-1977</w:t>
        </w:r>
      </w:hyperlink>
      <w:r w:rsidRPr="003E483B">
        <w:rPr>
          <w:rFonts w:ascii="FrankRuehl" w:hAnsi="FrankRuehl" w:cs="FrankRuehl"/>
          <w:color w:val="0000FF"/>
          <w:u w:val="single"/>
          <w:rtl/>
        </w:rPr>
        <w:t xml:space="preserve">: סע'  </w:t>
      </w:r>
      <w:hyperlink r:id="rId8" w:history="1">
        <w:r w:rsidRPr="003E483B">
          <w:rPr>
            <w:rStyle w:val="Hyperlink"/>
            <w:rFonts w:ascii="FrankRuehl" w:hAnsi="FrankRuehl" w:cs="FrankRuehl"/>
          </w:rPr>
          <w:t>40</w:t>
        </w:r>
        <w:r w:rsidRPr="003E483B">
          <w:rPr>
            <w:rStyle w:val="Hyperlink"/>
            <w:rFonts w:ascii="FrankRuehl" w:hAnsi="FrankRuehl" w:cs="FrankRuehl"/>
            <w:rtl/>
          </w:rPr>
          <w:t>ב</w:t>
        </w:r>
      </w:hyperlink>
      <w:r w:rsidRPr="003E483B">
        <w:rPr>
          <w:rFonts w:ascii="FrankRuehl" w:hAnsi="FrankRuehl" w:cs="FrankRuehl"/>
          <w:color w:val="0000FF"/>
          <w:u w:val="single"/>
          <w:rtl/>
        </w:rPr>
        <w:t xml:space="preserve">, </w:t>
      </w:r>
      <w:hyperlink r:id="rId9" w:history="1">
        <w:r w:rsidRPr="003E483B">
          <w:rPr>
            <w:rStyle w:val="Hyperlink"/>
            <w:rFonts w:ascii="FrankRuehl" w:hAnsi="FrankRuehl" w:cs="FrankRuehl"/>
          </w:rPr>
          <w:t>40</w:t>
        </w:r>
        <w:r w:rsidRPr="003E483B">
          <w:rPr>
            <w:rStyle w:val="Hyperlink"/>
            <w:rFonts w:ascii="FrankRuehl" w:hAnsi="FrankRuehl" w:cs="FrankRuehl"/>
            <w:rtl/>
          </w:rPr>
          <w:t>ד(א)</w:t>
        </w:r>
      </w:hyperlink>
      <w:r w:rsidRPr="003E483B">
        <w:rPr>
          <w:rFonts w:ascii="FrankRuehl" w:hAnsi="FrankRuehl" w:cs="FrankRuehl"/>
          <w:color w:val="0000FF"/>
          <w:u w:val="single"/>
          <w:rtl/>
        </w:rPr>
        <w:t xml:space="preserve">, </w:t>
      </w:r>
      <w:hyperlink r:id="rId10" w:history="1">
        <w:r w:rsidRPr="003E483B">
          <w:rPr>
            <w:rStyle w:val="Hyperlink"/>
            <w:rFonts w:ascii="FrankRuehl" w:hAnsi="FrankRuehl" w:cs="FrankRuehl"/>
          </w:rPr>
          <w:t>40</w:t>
        </w:r>
        <w:r w:rsidRPr="003E483B">
          <w:rPr>
            <w:rStyle w:val="Hyperlink"/>
            <w:rFonts w:ascii="FrankRuehl" w:hAnsi="FrankRuehl" w:cs="FrankRuehl"/>
            <w:rtl/>
          </w:rPr>
          <w:t>ה</w:t>
        </w:r>
      </w:hyperlink>
      <w:r w:rsidRPr="003E483B">
        <w:rPr>
          <w:rFonts w:ascii="FrankRuehl" w:hAnsi="FrankRuehl" w:cs="FrankRuehl"/>
          <w:color w:val="0000FF"/>
          <w:u w:val="single"/>
          <w:rtl/>
        </w:rPr>
        <w:t xml:space="preserve">, </w:t>
      </w:r>
      <w:hyperlink r:id="rId11" w:history="1">
        <w:r w:rsidRPr="003E483B">
          <w:rPr>
            <w:rStyle w:val="Hyperlink"/>
            <w:rFonts w:ascii="FrankRuehl" w:hAnsi="FrankRuehl" w:cs="FrankRuehl"/>
          </w:rPr>
          <w:t>40</w:t>
        </w:r>
        <w:r w:rsidRPr="003E483B">
          <w:rPr>
            <w:rStyle w:val="Hyperlink"/>
            <w:rFonts w:ascii="FrankRuehl" w:hAnsi="FrankRuehl" w:cs="FrankRuehl"/>
            <w:rtl/>
          </w:rPr>
          <w:t>ו</w:t>
        </w:r>
      </w:hyperlink>
      <w:r w:rsidRPr="003E483B">
        <w:rPr>
          <w:rFonts w:ascii="FrankRuehl" w:hAnsi="FrankRuehl" w:cs="FrankRuehl"/>
          <w:color w:val="0000FF"/>
          <w:u w:val="single"/>
          <w:rtl/>
        </w:rPr>
        <w:t xml:space="preserve">, </w:t>
      </w:r>
      <w:hyperlink r:id="rId12" w:history="1">
        <w:r w:rsidRPr="003E483B">
          <w:rPr>
            <w:rStyle w:val="Hyperlink"/>
            <w:rFonts w:ascii="FrankRuehl" w:hAnsi="FrankRuehl" w:cs="FrankRuehl"/>
          </w:rPr>
          <w:t>40</w:t>
        </w:r>
        <w:r w:rsidRPr="003E483B">
          <w:rPr>
            <w:rStyle w:val="Hyperlink"/>
            <w:rFonts w:ascii="FrankRuehl" w:hAnsi="FrankRuehl" w:cs="FrankRuehl"/>
            <w:rtl/>
          </w:rPr>
          <w:t>ז</w:t>
        </w:r>
      </w:hyperlink>
      <w:r w:rsidRPr="003E483B">
        <w:rPr>
          <w:rFonts w:ascii="FrankRuehl" w:hAnsi="FrankRuehl" w:cs="FrankRuehl"/>
          <w:color w:val="0000FF"/>
          <w:u w:val="single"/>
          <w:rtl/>
        </w:rPr>
        <w:t xml:space="preserve">, </w:t>
      </w:r>
      <w:hyperlink r:id="rId13" w:history="1">
        <w:r w:rsidRPr="003E483B">
          <w:rPr>
            <w:rStyle w:val="Hyperlink"/>
            <w:rFonts w:ascii="FrankRuehl" w:hAnsi="FrankRuehl" w:cs="FrankRuehl"/>
          </w:rPr>
          <w:t>40</w:t>
        </w:r>
        <w:r w:rsidRPr="003E483B">
          <w:rPr>
            <w:rStyle w:val="Hyperlink"/>
            <w:rFonts w:ascii="FrankRuehl" w:hAnsi="FrankRuehl" w:cs="FrankRuehl"/>
            <w:rtl/>
          </w:rPr>
          <w:t>ט</w:t>
        </w:r>
      </w:hyperlink>
      <w:r w:rsidRPr="003E483B">
        <w:rPr>
          <w:rFonts w:ascii="FrankRuehl" w:hAnsi="FrankRuehl" w:cs="FrankRuehl"/>
          <w:color w:val="0000FF"/>
          <w:u w:val="single"/>
          <w:rtl/>
        </w:rPr>
        <w:t xml:space="preserve">, </w:t>
      </w:r>
      <w:hyperlink r:id="rId14" w:history="1">
        <w:r w:rsidRPr="003E483B">
          <w:rPr>
            <w:rStyle w:val="Hyperlink"/>
            <w:rFonts w:ascii="FrankRuehl" w:hAnsi="FrankRuehl" w:cs="FrankRuehl"/>
          </w:rPr>
          <w:t>144(</w:t>
        </w:r>
        <w:r w:rsidRPr="003E483B">
          <w:rPr>
            <w:rStyle w:val="Hyperlink"/>
            <w:rFonts w:ascii="FrankRuehl" w:hAnsi="FrankRuehl" w:cs="FrankRuehl"/>
            <w:rtl/>
          </w:rPr>
          <w:t>א</w:t>
        </w:r>
        <w:r w:rsidRPr="003E483B">
          <w:rPr>
            <w:rStyle w:val="Hyperlink"/>
            <w:rFonts w:ascii="FrankRuehl" w:hAnsi="FrankRuehl" w:cs="FrankRuehl"/>
          </w:rPr>
          <w:t>)</w:t>
        </w:r>
      </w:hyperlink>
    </w:p>
    <w:p w14:paraId="082544F0" w14:textId="77777777" w:rsidR="003E483B" w:rsidRPr="003E483B" w:rsidRDefault="003E483B" w:rsidP="003E483B">
      <w:pPr>
        <w:spacing w:after="120" w:line="240" w:lineRule="exact"/>
        <w:ind w:left="283" w:hanging="283"/>
        <w:jc w:val="both"/>
        <w:rPr>
          <w:rFonts w:ascii="FrankRuehl" w:hAnsi="FrankRuehl" w:cs="FrankRuehl"/>
          <w:rtl/>
        </w:rPr>
      </w:pPr>
    </w:p>
    <w:p w14:paraId="18D2560D" w14:textId="77777777" w:rsidR="003E483B" w:rsidRPr="003E483B" w:rsidRDefault="003E483B">
      <w:pPr>
        <w:rPr>
          <w:sz w:val="28"/>
          <w:szCs w:val="28"/>
          <w:rtl/>
        </w:rPr>
      </w:pPr>
      <w:bookmarkStart w:id="5" w:name="LawTable_End"/>
      <w:bookmarkEnd w:id="5"/>
    </w:p>
    <w:p w14:paraId="583BE04D" w14:textId="77777777" w:rsidR="001F548B" w:rsidRPr="001F548B" w:rsidRDefault="001F548B">
      <w:pPr>
        <w:rPr>
          <w:sz w:val="28"/>
          <w:szCs w:val="28"/>
          <w:rtl/>
        </w:rPr>
      </w:pPr>
    </w:p>
    <w:p w14:paraId="0C18D0ED" w14:textId="77777777" w:rsidR="001F548B" w:rsidRPr="001F548B" w:rsidRDefault="001F548B">
      <w:pPr>
        <w:rPr>
          <w:sz w:val="28"/>
          <w:szCs w:val="28"/>
          <w:rtl/>
        </w:rPr>
      </w:pPr>
    </w:p>
    <w:p w14:paraId="2F13DD9B" w14:textId="77777777" w:rsidR="00313BB5" w:rsidRPr="001F548B" w:rsidRDefault="00313BB5">
      <w:pPr>
        <w:rPr>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3BB5" w14:paraId="61481515" w14:textId="77777777">
        <w:trPr>
          <w:trHeight w:val="355"/>
          <w:jc w:val="center"/>
        </w:trPr>
        <w:tc>
          <w:tcPr>
            <w:tcW w:w="8820" w:type="dxa"/>
            <w:tcBorders>
              <w:top w:val="nil"/>
              <w:left w:val="nil"/>
              <w:bottom w:val="nil"/>
              <w:right w:val="nil"/>
            </w:tcBorders>
          </w:tcPr>
          <w:p w14:paraId="28293E0E" w14:textId="77777777" w:rsidR="00C95D44" w:rsidRPr="00C95D44" w:rsidRDefault="00C95D44" w:rsidP="00C95D44">
            <w:pPr>
              <w:jc w:val="center"/>
              <w:rPr>
                <w:rFonts w:ascii="Arial" w:hAnsi="Arial"/>
                <w:b/>
                <w:bCs/>
                <w:sz w:val="30"/>
                <w:szCs w:val="30"/>
                <w:u w:val="single"/>
                <w:rtl/>
              </w:rPr>
            </w:pPr>
            <w:bookmarkStart w:id="6" w:name="PsakDin" w:colFirst="0" w:colLast="0"/>
            <w:bookmarkEnd w:id="0"/>
            <w:r w:rsidRPr="00C95D44">
              <w:rPr>
                <w:rFonts w:ascii="Arial" w:hAnsi="Arial"/>
                <w:b/>
                <w:bCs/>
                <w:sz w:val="30"/>
                <w:szCs w:val="30"/>
                <w:u w:val="single"/>
                <w:rtl/>
              </w:rPr>
              <w:t>גזר-דין</w:t>
            </w:r>
          </w:p>
          <w:p w14:paraId="513E6225" w14:textId="77777777" w:rsidR="00313BB5" w:rsidRPr="00C95D44" w:rsidRDefault="00313BB5" w:rsidP="00C95D44">
            <w:pPr>
              <w:jc w:val="center"/>
              <w:rPr>
                <w:rFonts w:ascii="Arial" w:hAnsi="Arial"/>
                <w:bCs/>
                <w:sz w:val="30"/>
                <w:szCs w:val="30"/>
                <w:u w:val="single"/>
                <w:rtl/>
              </w:rPr>
            </w:pPr>
          </w:p>
        </w:tc>
      </w:tr>
      <w:bookmarkEnd w:id="6"/>
    </w:tbl>
    <w:p w14:paraId="255DB932" w14:textId="77777777" w:rsidR="00313BB5" w:rsidRDefault="00313BB5">
      <w:pPr>
        <w:spacing w:line="480" w:lineRule="auto"/>
        <w:rPr>
          <w:rFonts w:ascii="Arial" w:hAnsi="Arial"/>
          <w:sz w:val="26"/>
          <w:szCs w:val="26"/>
          <w:rtl/>
        </w:rPr>
      </w:pPr>
    </w:p>
    <w:p w14:paraId="17968297" w14:textId="77777777" w:rsidR="00313BB5" w:rsidRDefault="00C95D44">
      <w:pPr>
        <w:spacing w:line="480" w:lineRule="auto"/>
        <w:jc w:val="both"/>
        <w:rPr>
          <w:rFonts w:ascii="Arial" w:hAnsi="Arial"/>
          <w:sz w:val="26"/>
          <w:szCs w:val="26"/>
          <w:rtl/>
        </w:rPr>
      </w:pPr>
      <w:r>
        <w:rPr>
          <w:rFonts w:ascii="Arial" w:hAnsi="Arial"/>
          <w:sz w:val="26"/>
          <w:szCs w:val="26"/>
          <w:rtl/>
        </w:rPr>
        <w:t>1.</w:t>
      </w:r>
      <w:r>
        <w:rPr>
          <w:rFonts w:ascii="Arial" w:hAnsi="Arial"/>
          <w:sz w:val="26"/>
          <w:szCs w:val="26"/>
          <w:rtl/>
        </w:rPr>
        <w:tab/>
      </w:r>
      <w:bookmarkStart w:id="7" w:name="ABSTRACT_START"/>
      <w:bookmarkEnd w:id="7"/>
      <w:r>
        <w:rPr>
          <w:rFonts w:ascii="Arial" w:hAnsi="Arial"/>
          <w:sz w:val="26"/>
          <w:szCs w:val="26"/>
          <w:rtl/>
        </w:rPr>
        <w:t xml:space="preserve">הנאשם הורשע, על פי הודאתו שניתנה בגדר הסדר טיעון, בעבירה של החזקת נשק, לפי </w:t>
      </w:r>
      <w:hyperlink r:id="rId15" w:history="1">
        <w:r w:rsidR="003E483B" w:rsidRPr="003E483B">
          <w:rPr>
            <w:rStyle w:val="Hyperlink"/>
            <w:rFonts w:ascii="Arial" w:hAnsi="Arial"/>
            <w:sz w:val="26"/>
            <w:szCs w:val="26"/>
            <w:rtl/>
          </w:rPr>
          <w:t>סעיף 144(א)</w:t>
        </w:r>
      </w:hyperlink>
      <w:r>
        <w:rPr>
          <w:rFonts w:ascii="Arial" w:hAnsi="Arial"/>
          <w:sz w:val="26"/>
          <w:szCs w:val="26"/>
          <w:rtl/>
        </w:rPr>
        <w:t xml:space="preserve"> ל</w:t>
      </w:r>
      <w:hyperlink r:id="rId16" w:history="1">
        <w:r w:rsidR="001F548B" w:rsidRPr="001F548B">
          <w:rPr>
            <w:rStyle w:val="Hyperlink"/>
            <w:rFonts w:ascii="Arial" w:hAnsi="Arial"/>
            <w:sz w:val="26"/>
            <w:szCs w:val="26"/>
            <w:rtl/>
          </w:rPr>
          <w:t>חוק העונשין</w:t>
        </w:r>
      </w:hyperlink>
      <w:r>
        <w:rPr>
          <w:rFonts w:ascii="Arial" w:hAnsi="Arial"/>
          <w:sz w:val="26"/>
          <w:szCs w:val="26"/>
          <w:rtl/>
        </w:rPr>
        <w:t xml:space="preserve">, התשל"ז-1977 </w:t>
      </w:r>
      <w:bookmarkStart w:id="8" w:name="ABSTRACT_END"/>
      <w:bookmarkEnd w:id="8"/>
      <w:r>
        <w:rPr>
          <w:rFonts w:ascii="Arial" w:hAnsi="Arial"/>
          <w:sz w:val="26"/>
          <w:szCs w:val="26"/>
          <w:rtl/>
        </w:rPr>
        <w:t>(להלן: "</w:t>
      </w:r>
      <w:r>
        <w:rPr>
          <w:rFonts w:ascii="Arial" w:hAnsi="Arial"/>
          <w:b/>
          <w:bCs/>
          <w:sz w:val="26"/>
          <w:szCs w:val="26"/>
          <w:rtl/>
        </w:rPr>
        <w:t>חוק העונשין</w:t>
      </w:r>
      <w:r>
        <w:rPr>
          <w:rFonts w:ascii="Arial" w:hAnsi="Arial"/>
          <w:sz w:val="26"/>
          <w:szCs w:val="26"/>
          <w:rtl/>
        </w:rPr>
        <w:t>" או "</w:t>
      </w:r>
      <w:r>
        <w:rPr>
          <w:rFonts w:ascii="Arial" w:hAnsi="Arial"/>
          <w:b/>
          <w:bCs/>
          <w:sz w:val="26"/>
          <w:szCs w:val="26"/>
          <w:rtl/>
        </w:rPr>
        <w:t>החוק</w:t>
      </w:r>
      <w:r>
        <w:rPr>
          <w:rFonts w:ascii="Arial" w:hAnsi="Arial"/>
          <w:sz w:val="26"/>
          <w:szCs w:val="26"/>
          <w:rtl/>
        </w:rPr>
        <w:t>").</w:t>
      </w:r>
    </w:p>
    <w:p w14:paraId="041CA304" w14:textId="77777777" w:rsidR="00313BB5" w:rsidRDefault="00313BB5">
      <w:pPr>
        <w:spacing w:line="480" w:lineRule="auto"/>
        <w:jc w:val="both"/>
        <w:rPr>
          <w:rFonts w:ascii="Arial" w:hAnsi="Arial"/>
          <w:sz w:val="26"/>
          <w:szCs w:val="26"/>
          <w:rtl/>
        </w:rPr>
      </w:pPr>
    </w:p>
    <w:p w14:paraId="59A680DB" w14:textId="77777777" w:rsidR="00313BB5" w:rsidRDefault="00C95D44">
      <w:pPr>
        <w:spacing w:line="480" w:lineRule="auto"/>
        <w:jc w:val="both"/>
        <w:rPr>
          <w:rFonts w:ascii="Arial" w:hAnsi="Arial"/>
          <w:sz w:val="26"/>
          <w:szCs w:val="26"/>
          <w:rtl/>
        </w:rPr>
      </w:pPr>
      <w:r>
        <w:rPr>
          <w:rFonts w:ascii="Arial" w:hAnsi="Arial"/>
          <w:sz w:val="26"/>
          <w:szCs w:val="26"/>
          <w:rtl/>
        </w:rPr>
        <w:t>2.</w:t>
      </w:r>
      <w:r>
        <w:rPr>
          <w:rFonts w:ascii="Arial" w:hAnsi="Arial"/>
          <w:sz w:val="26"/>
          <w:szCs w:val="26"/>
          <w:rtl/>
        </w:rPr>
        <w:tab/>
        <w:t xml:space="preserve"> על פי עובדות כתב האישום בהן הורשע הנאשם, ביום 21.10.10, בשעת ערב, במהלך בדיקות שגרתיות במחסום שהוקם בצומת ענתא בפאתי ירושלים, נמצא ברכב בו נהג הנאשם אקדח </w:t>
      </w:r>
      <w:r>
        <w:rPr>
          <w:rFonts w:ascii="Arial" w:hAnsi="Arial"/>
          <w:sz w:val="26"/>
          <w:szCs w:val="26"/>
        </w:rPr>
        <w:t xml:space="preserve">FN </w:t>
      </w:r>
      <w:r>
        <w:rPr>
          <w:rFonts w:ascii="Arial" w:hAnsi="Arial"/>
          <w:sz w:val="26"/>
          <w:szCs w:val="26"/>
          <w:rtl/>
        </w:rPr>
        <w:t xml:space="preserve"> מסוג חצי אוטומטי, וכן מחסנית ריקה ו- 15 כדורים בתפזורת.</w:t>
      </w:r>
    </w:p>
    <w:p w14:paraId="63AA386F" w14:textId="77777777" w:rsidR="00313BB5" w:rsidRDefault="00313BB5">
      <w:pPr>
        <w:spacing w:line="480" w:lineRule="auto"/>
        <w:jc w:val="both"/>
        <w:rPr>
          <w:rFonts w:ascii="Arial" w:hAnsi="Arial"/>
          <w:sz w:val="26"/>
          <w:szCs w:val="26"/>
          <w:rtl/>
        </w:rPr>
      </w:pPr>
    </w:p>
    <w:p w14:paraId="1443E33A" w14:textId="77777777" w:rsidR="00313BB5" w:rsidRDefault="00C95D44">
      <w:pPr>
        <w:spacing w:line="480" w:lineRule="auto"/>
        <w:jc w:val="both"/>
        <w:rPr>
          <w:rFonts w:ascii="Arial" w:hAnsi="Arial"/>
          <w:sz w:val="26"/>
          <w:szCs w:val="26"/>
          <w:rtl/>
        </w:rPr>
      </w:pPr>
      <w:r>
        <w:rPr>
          <w:rFonts w:ascii="Arial" w:hAnsi="Arial"/>
          <w:sz w:val="26"/>
          <w:szCs w:val="26"/>
          <w:rtl/>
        </w:rPr>
        <w:lastRenderedPageBreak/>
        <w:t>3.</w:t>
      </w:r>
      <w:r>
        <w:rPr>
          <w:rFonts w:ascii="Arial" w:hAnsi="Arial"/>
          <w:sz w:val="26"/>
          <w:szCs w:val="26"/>
          <w:rtl/>
        </w:rPr>
        <w:tab/>
        <w:t>בגדר הסדר הטיעון, בו נמחקה עבירת נשיאת נשק שיוחסה מלכתחילה לנאשם, וחלף כך יוחסה לו עבירה קלה יותר של החזקת נשק, הסכימו הצדדים כי טווח הענישה ינוע בין 6 חודשי מאסר בפועל לבין 6 חודשי מאסר לריצוי בעבודות שירות. עוד הוסכם, כי יושתו על הנאשם עונש מאסר מותנה וקנס כספי.</w:t>
      </w:r>
    </w:p>
    <w:p w14:paraId="0B70E6F0" w14:textId="77777777" w:rsidR="00313BB5" w:rsidRDefault="00313BB5">
      <w:pPr>
        <w:spacing w:line="480" w:lineRule="auto"/>
        <w:jc w:val="both"/>
        <w:rPr>
          <w:rFonts w:ascii="Arial" w:hAnsi="Arial"/>
          <w:sz w:val="26"/>
          <w:szCs w:val="26"/>
          <w:rtl/>
        </w:rPr>
      </w:pPr>
    </w:p>
    <w:p w14:paraId="055847E1" w14:textId="77777777" w:rsidR="00313BB5" w:rsidRDefault="00C95D44">
      <w:pPr>
        <w:spacing w:line="480" w:lineRule="auto"/>
        <w:jc w:val="both"/>
        <w:rPr>
          <w:rFonts w:ascii="Arial" w:hAnsi="Arial"/>
          <w:sz w:val="26"/>
          <w:szCs w:val="26"/>
          <w:rtl/>
        </w:rPr>
      </w:pPr>
      <w:r>
        <w:rPr>
          <w:rFonts w:ascii="Arial" w:hAnsi="Arial"/>
          <w:sz w:val="26"/>
          <w:szCs w:val="26"/>
          <w:rtl/>
        </w:rPr>
        <w:t>4.</w:t>
      </w:r>
      <w:r>
        <w:rPr>
          <w:rFonts w:ascii="Arial" w:hAnsi="Arial"/>
          <w:sz w:val="26"/>
          <w:szCs w:val="26"/>
          <w:rtl/>
        </w:rPr>
        <w:tab/>
        <w:t xml:space="preserve">לא הוגשו ראיות מטעם הצדדים לעניין העונש. </w:t>
      </w:r>
    </w:p>
    <w:p w14:paraId="26CA292E" w14:textId="77777777" w:rsidR="00313BB5" w:rsidRDefault="00313BB5">
      <w:pPr>
        <w:spacing w:line="480" w:lineRule="auto"/>
        <w:jc w:val="both"/>
        <w:rPr>
          <w:rFonts w:ascii="Arial" w:hAnsi="Arial"/>
          <w:sz w:val="26"/>
          <w:szCs w:val="26"/>
          <w:rtl/>
        </w:rPr>
      </w:pPr>
    </w:p>
    <w:p w14:paraId="349A8428" w14:textId="77777777" w:rsidR="00313BB5" w:rsidRDefault="00C95D44">
      <w:pPr>
        <w:spacing w:line="480" w:lineRule="auto"/>
        <w:jc w:val="both"/>
        <w:rPr>
          <w:rFonts w:ascii="Arial" w:hAnsi="Arial"/>
          <w:b/>
          <w:bCs/>
          <w:sz w:val="26"/>
          <w:szCs w:val="26"/>
          <w:rtl/>
        </w:rPr>
      </w:pPr>
      <w:r>
        <w:rPr>
          <w:rFonts w:ascii="Arial" w:hAnsi="Arial"/>
          <w:b/>
          <w:bCs/>
          <w:sz w:val="26"/>
          <w:szCs w:val="26"/>
          <w:rtl/>
        </w:rPr>
        <w:t>תמצית טענות הצדדים לעונש</w:t>
      </w:r>
    </w:p>
    <w:p w14:paraId="26CCC015" w14:textId="77777777" w:rsidR="00313BB5" w:rsidRDefault="00C95D44">
      <w:pPr>
        <w:spacing w:line="480" w:lineRule="auto"/>
        <w:jc w:val="both"/>
        <w:rPr>
          <w:rFonts w:ascii="Arial" w:hAnsi="Arial"/>
          <w:sz w:val="26"/>
          <w:szCs w:val="26"/>
          <w:rtl/>
        </w:rPr>
      </w:pPr>
      <w:r>
        <w:rPr>
          <w:rFonts w:ascii="Arial" w:hAnsi="Arial"/>
          <w:sz w:val="26"/>
          <w:szCs w:val="26"/>
          <w:rtl/>
        </w:rPr>
        <w:t>5.</w:t>
      </w:r>
      <w:r>
        <w:rPr>
          <w:rFonts w:ascii="Arial" w:hAnsi="Arial"/>
          <w:sz w:val="26"/>
          <w:szCs w:val="26"/>
          <w:rtl/>
        </w:rPr>
        <w:tab/>
        <w:t>באת-כוח המאשימה עמדה על חומרת העבירה בה הורשע הנאשם ועל פוטנציאל הנזק הרב הגלום בה. כל אלה, לטענתה, מצדיקים, ככלל, השתת עונש מאסר לריצוי בפועל, בטווח שבין 8 ל-24 חדשים. חרף האמור ציינה, בהגינותה, כי בענייננו, העובדה שהנשק הוחזק ברכב ולא בבית, וכן נסיבותיו האישיות של הנאשם, שעיקרן: גילו הצעיר, הודאתו במיוחס לו ועברו הנקי, מאפשרות סטייה מהמתחם האמור, כך שהעונש ההולם יחפוף את הרף העליון בהסדר הטיעון; קרי – 6 חודשי מאסר לריצוי בפועל.</w:t>
      </w:r>
    </w:p>
    <w:p w14:paraId="17F1BF65" w14:textId="77777777" w:rsidR="00313BB5" w:rsidRDefault="00313BB5">
      <w:pPr>
        <w:spacing w:line="480" w:lineRule="auto"/>
        <w:jc w:val="both"/>
        <w:rPr>
          <w:rFonts w:ascii="Arial" w:hAnsi="Arial"/>
          <w:sz w:val="26"/>
          <w:szCs w:val="26"/>
          <w:rtl/>
        </w:rPr>
      </w:pPr>
    </w:p>
    <w:p w14:paraId="30485065" w14:textId="77777777" w:rsidR="00313BB5" w:rsidRDefault="00C95D44">
      <w:pPr>
        <w:spacing w:line="480" w:lineRule="auto"/>
        <w:jc w:val="both"/>
        <w:rPr>
          <w:rFonts w:ascii="Arial" w:hAnsi="Arial"/>
          <w:sz w:val="26"/>
          <w:szCs w:val="26"/>
          <w:rtl/>
        </w:rPr>
      </w:pPr>
      <w:r>
        <w:rPr>
          <w:rFonts w:ascii="Arial" w:hAnsi="Arial"/>
          <w:sz w:val="26"/>
          <w:szCs w:val="26"/>
          <w:rtl/>
        </w:rPr>
        <w:t>6.</w:t>
      </w:r>
      <w:r>
        <w:rPr>
          <w:rFonts w:ascii="Arial" w:hAnsi="Arial"/>
          <w:sz w:val="26"/>
          <w:szCs w:val="26"/>
          <w:rtl/>
        </w:rPr>
        <w:tab/>
        <w:t>בא-כוח הנאשם, שעל אף הערות חוזרות ונשנות מצד בית המשפט לא טען לעונש בהתאם למתווה הנדרש על פי תיקון 113 ל</w:t>
      </w:r>
      <w:hyperlink r:id="rId17" w:history="1">
        <w:r w:rsidR="001F548B" w:rsidRPr="001F548B">
          <w:rPr>
            <w:rStyle w:val="Hyperlink"/>
            <w:rFonts w:ascii="Arial" w:hAnsi="Arial"/>
            <w:sz w:val="26"/>
            <w:szCs w:val="26"/>
            <w:rtl/>
          </w:rPr>
          <w:t>חוק העונשין</w:t>
        </w:r>
      </w:hyperlink>
      <w:r>
        <w:rPr>
          <w:rFonts w:ascii="Arial" w:hAnsi="Arial"/>
          <w:sz w:val="26"/>
          <w:szCs w:val="26"/>
          <w:rtl/>
        </w:rPr>
        <w:t>, ביקש לאמץ את הרף התחתון בהסדר הטיעון, ולמצער – להשית על הנאשם מאסר לתקופה של כחודשיים. לטענתו, מדובר במעידה חד-פעמית בחייו של הנאשם, עליה הוא מצר ומתחרט; הנאשם מפרנס יחיד במשפחתו, אב לתינוקת ומצפה ללידת תינוק נוסף. משכך, אפוא, שליחתו למאסר בפועל, לא כל שכן לתקופה ארוכה, לא רק שתפגע בסיכויי השיקום שלו אלא שגם תוביל לפגיעה קשה בבני משפחתו.</w:t>
      </w:r>
    </w:p>
    <w:p w14:paraId="61411033" w14:textId="77777777" w:rsidR="00313BB5" w:rsidRDefault="00313BB5">
      <w:pPr>
        <w:spacing w:line="480" w:lineRule="auto"/>
        <w:jc w:val="both"/>
        <w:rPr>
          <w:rFonts w:ascii="Arial" w:hAnsi="Arial"/>
          <w:sz w:val="26"/>
          <w:szCs w:val="26"/>
          <w:rtl/>
        </w:rPr>
      </w:pPr>
    </w:p>
    <w:p w14:paraId="181768BE" w14:textId="77777777" w:rsidR="00313BB5" w:rsidRDefault="00C95D44">
      <w:pPr>
        <w:spacing w:line="480" w:lineRule="auto"/>
        <w:jc w:val="both"/>
        <w:rPr>
          <w:rFonts w:ascii="Arial" w:hAnsi="Arial"/>
          <w:sz w:val="26"/>
          <w:szCs w:val="26"/>
          <w:rtl/>
        </w:rPr>
      </w:pPr>
      <w:r>
        <w:rPr>
          <w:rFonts w:ascii="Arial" w:hAnsi="Arial"/>
          <w:sz w:val="26"/>
          <w:szCs w:val="26"/>
          <w:rtl/>
        </w:rPr>
        <w:t>7.</w:t>
      </w:r>
      <w:r>
        <w:rPr>
          <w:rFonts w:ascii="Arial" w:hAnsi="Arial"/>
          <w:sz w:val="26"/>
          <w:szCs w:val="26"/>
          <w:rtl/>
        </w:rPr>
        <w:tab/>
        <w:t>באי-כוח הצדדים הגישו, מזה ומזה, פסיקה התומכת בעמדתם.</w:t>
      </w:r>
    </w:p>
    <w:p w14:paraId="551A104C" w14:textId="77777777" w:rsidR="00313BB5" w:rsidRDefault="00313BB5">
      <w:pPr>
        <w:spacing w:line="480" w:lineRule="auto"/>
        <w:jc w:val="both"/>
        <w:rPr>
          <w:rFonts w:ascii="Arial" w:hAnsi="Arial"/>
          <w:sz w:val="26"/>
          <w:szCs w:val="26"/>
          <w:rtl/>
        </w:rPr>
      </w:pPr>
    </w:p>
    <w:p w14:paraId="63F01431" w14:textId="77777777" w:rsidR="00313BB5" w:rsidRDefault="00C95D44">
      <w:pPr>
        <w:spacing w:line="480" w:lineRule="auto"/>
        <w:jc w:val="both"/>
        <w:rPr>
          <w:rFonts w:ascii="Arial" w:hAnsi="Arial"/>
          <w:b/>
          <w:bCs/>
          <w:sz w:val="26"/>
          <w:szCs w:val="26"/>
          <w:rtl/>
        </w:rPr>
      </w:pPr>
      <w:r>
        <w:rPr>
          <w:rFonts w:ascii="Arial" w:hAnsi="Arial"/>
          <w:b/>
          <w:bCs/>
          <w:sz w:val="26"/>
          <w:szCs w:val="26"/>
          <w:rtl/>
        </w:rPr>
        <w:lastRenderedPageBreak/>
        <w:t>דיון</w:t>
      </w:r>
    </w:p>
    <w:p w14:paraId="0C437AD0" w14:textId="77777777" w:rsidR="00313BB5" w:rsidRDefault="00C95D44">
      <w:pPr>
        <w:spacing w:line="480" w:lineRule="auto"/>
        <w:jc w:val="both"/>
        <w:rPr>
          <w:rFonts w:ascii="Arial" w:hAnsi="Arial"/>
          <w:sz w:val="26"/>
          <w:szCs w:val="26"/>
          <w:rtl/>
        </w:rPr>
      </w:pPr>
      <w:r>
        <w:rPr>
          <w:rFonts w:ascii="Arial" w:hAnsi="Arial"/>
          <w:sz w:val="26"/>
          <w:szCs w:val="26"/>
          <w:rtl/>
        </w:rPr>
        <w:t>8.</w:t>
      </w:r>
      <w:r>
        <w:rPr>
          <w:rFonts w:ascii="Arial" w:hAnsi="Arial"/>
          <w:sz w:val="26"/>
          <w:szCs w:val="26"/>
          <w:rtl/>
        </w:rPr>
        <w:tab/>
        <w:t>שיקולי הענישה במקרה דנן נובעים מהמתווה שהותווה במסגרת תיקון 113 ל</w:t>
      </w:r>
      <w:hyperlink r:id="rId18" w:history="1">
        <w:r w:rsidR="001F548B" w:rsidRPr="001F548B">
          <w:rPr>
            <w:rStyle w:val="Hyperlink"/>
            <w:rFonts w:ascii="Arial" w:hAnsi="Arial"/>
            <w:sz w:val="26"/>
            <w:szCs w:val="26"/>
            <w:rtl/>
          </w:rPr>
          <w:t>חוק העונשין</w:t>
        </w:r>
      </w:hyperlink>
      <w:r>
        <w:rPr>
          <w:rFonts w:ascii="Arial" w:hAnsi="Arial"/>
          <w:sz w:val="26"/>
          <w:szCs w:val="26"/>
          <w:rtl/>
        </w:rPr>
        <w:t xml:space="preserve"> (התשע"ב, 2012, ס"ח 2330 מיום 10.1.12), הקובע לבית המשפט מדרג של עקרונות ושיקולים הצריכים להיות מובאים בחשבון בעת גזירת הדין. על פי </w:t>
      </w:r>
      <w:hyperlink r:id="rId19" w:history="1">
        <w:r w:rsidR="003E483B" w:rsidRPr="003E483B">
          <w:rPr>
            <w:rStyle w:val="Hyperlink"/>
            <w:rFonts w:ascii="Arial" w:hAnsi="Arial"/>
            <w:sz w:val="26"/>
            <w:szCs w:val="26"/>
            <w:rtl/>
          </w:rPr>
          <w:t>סעיף 40ב</w:t>
        </w:r>
      </w:hyperlink>
      <w:r>
        <w:rPr>
          <w:rFonts w:ascii="Arial" w:hAnsi="Arial"/>
          <w:sz w:val="26"/>
          <w:szCs w:val="26"/>
          <w:rtl/>
        </w:rPr>
        <w:t xml:space="preserve"> לחוק, העיקרון המנחה בענישה הינו "</w:t>
      </w:r>
      <w:r>
        <w:rPr>
          <w:rFonts w:ascii="Arial" w:hAnsi="Arial"/>
          <w:b/>
          <w:bCs/>
          <w:sz w:val="26"/>
          <w:szCs w:val="26"/>
          <w:rtl/>
        </w:rPr>
        <w:t>קיומו של יחס הולם בין חומרת מעשה העבירה בנסיבותיו ומידת אשמו של הנאשם ובין סוג ומידת העונש המוטל עליו</w:t>
      </w:r>
      <w:r>
        <w:rPr>
          <w:rFonts w:ascii="Arial" w:hAnsi="Arial"/>
          <w:sz w:val="26"/>
          <w:szCs w:val="26"/>
          <w:rtl/>
        </w:rPr>
        <w:t>". בנוסף, בקביעת מתחם העונש ההולם למעשה העבירה על בית המשפט להתחשב בערך החברתי שנפגע כתוצאה מביצוע העבירה, במידת הפגיעה בו, במדיניות הענישה הנהוגה ובנסיבות הקשורות בביצוע העבירה, המפורטות ב</w:t>
      </w:r>
      <w:hyperlink r:id="rId20" w:history="1">
        <w:r w:rsidR="003E483B" w:rsidRPr="003E483B">
          <w:rPr>
            <w:rStyle w:val="Hyperlink"/>
            <w:rFonts w:ascii="Arial" w:hAnsi="Arial"/>
            <w:sz w:val="26"/>
            <w:szCs w:val="26"/>
            <w:rtl/>
          </w:rPr>
          <w:t>סעיף 40ט</w:t>
        </w:r>
      </w:hyperlink>
      <w:r>
        <w:rPr>
          <w:rFonts w:ascii="Arial" w:hAnsi="Arial"/>
          <w:sz w:val="26"/>
          <w:szCs w:val="26"/>
          <w:rtl/>
        </w:rPr>
        <w:t xml:space="preserve"> ל</w:t>
      </w:r>
      <w:hyperlink r:id="rId21" w:history="1">
        <w:r w:rsidR="001F548B" w:rsidRPr="001F548B">
          <w:rPr>
            <w:rStyle w:val="Hyperlink"/>
            <w:rFonts w:ascii="Arial" w:hAnsi="Arial"/>
            <w:sz w:val="26"/>
            <w:szCs w:val="26"/>
            <w:rtl/>
          </w:rPr>
          <w:t>חוק העונשין</w:t>
        </w:r>
      </w:hyperlink>
      <w:r>
        <w:rPr>
          <w:rFonts w:ascii="Arial" w:hAnsi="Arial"/>
          <w:sz w:val="26"/>
          <w:szCs w:val="26"/>
          <w:rtl/>
        </w:rPr>
        <w:t xml:space="preserve">. </w:t>
      </w:r>
    </w:p>
    <w:p w14:paraId="13CB3D54" w14:textId="77777777" w:rsidR="00313BB5" w:rsidRDefault="00313BB5">
      <w:pPr>
        <w:spacing w:line="480" w:lineRule="auto"/>
        <w:ind w:firstLine="720"/>
        <w:jc w:val="both"/>
        <w:rPr>
          <w:rFonts w:ascii="Arial" w:hAnsi="Arial"/>
          <w:sz w:val="26"/>
          <w:szCs w:val="26"/>
          <w:rtl/>
        </w:rPr>
      </w:pPr>
    </w:p>
    <w:p w14:paraId="76FC8918" w14:textId="77777777" w:rsidR="00313BB5" w:rsidRDefault="00C95D44">
      <w:pPr>
        <w:spacing w:line="480" w:lineRule="auto"/>
        <w:jc w:val="both"/>
        <w:rPr>
          <w:rFonts w:ascii="Arial" w:hAnsi="Arial"/>
          <w:sz w:val="26"/>
          <w:szCs w:val="26"/>
          <w:rtl/>
        </w:rPr>
      </w:pPr>
      <w:r>
        <w:rPr>
          <w:rFonts w:ascii="Arial" w:hAnsi="Arial"/>
          <w:sz w:val="26"/>
          <w:szCs w:val="26"/>
          <w:rtl/>
        </w:rPr>
        <w:t>9.</w:t>
      </w:r>
      <w:r>
        <w:rPr>
          <w:rFonts w:ascii="Arial" w:hAnsi="Arial"/>
          <w:sz w:val="26"/>
          <w:szCs w:val="26"/>
          <w:rtl/>
        </w:rPr>
        <w:tab/>
        <w:t xml:space="preserve">לאחר שנקבע מתחם העונש ההולם, יש לבחון, ראש לכל, האם ראוי לחרוג ממתחם הענישה, בין לחומרא ובין לקולא, ואם כן – מהו העונש המתאים תוך חריגה מהמתחם. ככל ששאלה זו נענית בשלילה ונקבע כי אין לחרוג מהמתחם, או-אז עולה השאלה – ובעקבותיה ההכרעה – מהו העונש שיש להשית על הנאשם בתוך גדרי המתחם. </w:t>
      </w:r>
    </w:p>
    <w:p w14:paraId="512445CB" w14:textId="77777777" w:rsidR="00313BB5" w:rsidRDefault="00313BB5">
      <w:pPr>
        <w:spacing w:line="480" w:lineRule="auto"/>
        <w:jc w:val="both"/>
        <w:rPr>
          <w:rFonts w:ascii="Arial" w:hAnsi="Arial"/>
          <w:sz w:val="26"/>
          <w:szCs w:val="26"/>
          <w:rtl/>
        </w:rPr>
      </w:pPr>
    </w:p>
    <w:p w14:paraId="7796621F" w14:textId="77777777" w:rsidR="00313BB5" w:rsidRDefault="00C95D44">
      <w:pPr>
        <w:spacing w:line="480" w:lineRule="auto"/>
        <w:jc w:val="both"/>
        <w:rPr>
          <w:rFonts w:ascii="Arial" w:hAnsi="Arial"/>
          <w:sz w:val="26"/>
          <w:szCs w:val="26"/>
          <w:rtl/>
        </w:rPr>
      </w:pPr>
      <w:r>
        <w:rPr>
          <w:rFonts w:ascii="Arial" w:hAnsi="Arial"/>
          <w:sz w:val="26"/>
          <w:szCs w:val="26"/>
          <w:rtl/>
        </w:rPr>
        <w:t>10.</w:t>
      </w:r>
      <w:r>
        <w:rPr>
          <w:rFonts w:ascii="Arial" w:hAnsi="Arial"/>
          <w:sz w:val="26"/>
          <w:szCs w:val="26"/>
          <w:rtl/>
        </w:rPr>
        <w:tab/>
        <w:t xml:space="preserve">ומן הכלל אל הפרט –בימים אלה, כאשר האלימות גואה ברחבי הארץ, ואנשים נורים ונהרגים מדי יום ביומו בשל סיבות של מה בכך, החל מויכוח על סכומי כסף פעוטים  וכלה בסכסוך על מקום חניה, אין תימה על כך שעבירות הנשק הוגדרו בפסיקה כעבירות חמורות ביותר, ובתי המשפט ביטאו לא אחת את העמדה לפיה גם מי שאין לו עבר פלילי, וזוהי לו העבירה הראשונה, ראוי לענישה מחמירה ומרתיעה אם ביצע עבירת נשק כלשהי. הנה-כי-כן, התפיסה הינה, כי יש ליתן משקל נכבד לאינטרס הציבורי ולצורך להרתיע עבריינים בכוח מלבצע עבירות דומות, ולהעדיפם על נסיבותיו האישיות של מבצע העבירה (השוו, לדוגמה, </w:t>
      </w:r>
      <w:hyperlink r:id="rId22" w:history="1">
        <w:r w:rsidR="001F548B" w:rsidRPr="001F548B">
          <w:rPr>
            <w:rStyle w:val="Hyperlink"/>
            <w:rFonts w:ascii="Arial" w:hAnsi="Arial"/>
            <w:sz w:val="26"/>
            <w:szCs w:val="26"/>
            <w:rtl/>
          </w:rPr>
          <w:t>רע"פ 2718/04</w:t>
        </w:r>
      </w:hyperlink>
      <w:r>
        <w:rPr>
          <w:rFonts w:ascii="Arial" w:hAnsi="Arial"/>
          <w:sz w:val="26"/>
          <w:szCs w:val="26"/>
          <w:rtl/>
        </w:rPr>
        <w:t xml:space="preserve"> </w:t>
      </w:r>
      <w:r>
        <w:rPr>
          <w:rFonts w:ascii="Arial" w:hAnsi="Arial"/>
          <w:b/>
          <w:bCs/>
          <w:sz w:val="26"/>
          <w:szCs w:val="26"/>
          <w:rtl/>
        </w:rPr>
        <w:t>אבו דאחל</w:t>
      </w:r>
      <w:r>
        <w:rPr>
          <w:rFonts w:ascii="Arial" w:hAnsi="Arial"/>
          <w:sz w:val="26"/>
          <w:szCs w:val="26"/>
          <w:rtl/>
        </w:rPr>
        <w:t xml:space="preserve"> </w:t>
      </w:r>
      <w:r>
        <w:rPr>
          <w:rFonts w:ascii="Arial" w:hAnsi="Arial"/>
          <w:b/>
          <w:bCs/>
          <w:sz w:val="26"/>
          <w:szCs w:val="26"/>
          <w:rtl/>
        </w:rPr>
        <w:t>נ' מדינת ישראל</w:t>
      </w:r>
      <w:r>
        <w:rPr>
          <w:rFonts w:ascii="Arial" w:hAnsi="Arial"/>
          <w:sz w:val="26"/>
          <w:szCs w:val="26"/>
          <w:rtl/>
        </w:rPr>
        <w:t xml:space="preserve"> (לא פורסם, 29.3.04)).</w:t>
      </w:r>
    </w:p>
    <w:p w14:paraId="5F3F363F" w14:textId="77777777" w:rsidR="00313BB5" w:rsidRDefault="00313BB5">
      <w:pPr>
        <w:spacing w:line="480" w:lineRule="auto"/>
        <w:jc w:val="both"/>
        <w:rPr>
          <w:rFonts w:ascii="Arial" w:hAnsi="Arial"/>
          <w:sz w:val="26"/>
          <w:szCs w:val="26"/>
          <w:rtl/>
        </w:rPr>
      </w:pPr>
    </w:p>
    <w:p w14:paraId="1710F9D0" w14:textId="77777777" w:rsidR="00313BB5" w:rsidRDefault="00C95D44">
      <w:pPr>
        <w:bidi w:val="0"/>
        <w:rPr>
          <w:rFonts w:ascii="Arial" w:hAnsi="Arial"/>
          <w:sz w:val="26"/>
          <w:szCs w:val="26"/>
          <w:rtl/>
        </w:rPr>
      </w:pPr>
      <w:r>
        <w:rPr>
          <w:rFonts w:ascii="Arial" w:hAnsi="Arial"/>
          <w:sz w:val="26"/>
          <w:szCs w:val="26"/>
          <w:rtl/>
        </w:rPr>
        <w:br w:type="page"/>
      </w:r>
    </w:p>
    <w:p w14:paraId="014C5BC3" w14:textId="77777777" w:rsidR="00313BB5" w:rsidRDefault="00C95D44">
      <w:pPr>
        <w:spacing w:line="480" w:lineRule="auto"/>
        <w:ind w:firstLine="720"/>
        <w:jc w:val="both"/>
        <w:rPr>
          <w:rFonts w:ascii="Arial" w:hAnsi="Arial"/>
          <w:sz w:val="26"/>
          <w:szCs w:val="26"/>
          <w:rtl/>
        </w:rPr>
      </w:pPr>
      <w:r>
        <w:rPr>
          <w:rFonts w:ascii="Arial" w:hAnsi="Arial"/>
          <w:sz w:val="26"/>
          <w:szCs w:val="26"/>
          <w:rtl/>
        </w:rPr>
        <w:t>יפים לענייננו גם הדברים הבאים, שנאמרו ב</w:t>
      </w:r>
      <w:hyperlink r:id="rId23" w:history="1">
        <w:r w:rsidR="001F548B" w:rsidRPr="001F548B">
          <w:rPr>
            <w:rStyle w:val="Hyperlink"/>
            <w:rFonts w:ascii="Arial" w:hAnsi="Arial"/>
            <w:sz w:val="26"/>
            <w:szCs w:val="26"/>
            <w:rtl/>
          </w:rPr>
          <w:t>ע"פ 8012/04</w:t>
        </w:r>
      </w:hyperlink>
      <w:r>
        <w:rPr>
          <w:rFonts w:ascii="Arial" w:hAnsi="Arial"/>
          <w:sz w:val="26"/>
          <w:szCs w:val="26"/>
          <w:rtl/>
        </w:rPr>
        <w:t xml:space="preserve"> </w:t>
      </w:r>
      <w:r>
        <w:rPr>
          <w:rFonts w:ascii="Arial" w:hAnsi="Arial"/>
          <w:b/>
          <w:bCs/>
          <w:sz w:val="26"/>
          <w:szCs w:val="26"/>
          <w:rtl/>
        </w:rPr>
        <w:t>מתאני נ' מדינת ישראל</w:t>
      </w:r>
      <w:r>
        <w:rPr>
          <w:rFonts w:ascii="Arial" w:hAnsi="Arial"/>
          <w:sz w:val="26"/>
          <w:szCs w:val="26"/>
          <w:rtl/>
        </w:rPr>
        <w:t xml:space="preserve"> (לא פורסם, 16.11.05):</w:t>
      </w:r>
    </w:p>
    <w:p w14:paraId="6968E7FB" w14:textId="77777777" w:rsidR="00313BB5" w:rsidRDefault="00313BB5">
      <w:pPr>
        <w:pStyle w:val="Ruller4"/>
        <w:ind w:left="720" w:right="1134"/>
        <w:rPr>
          <w:rFonts w:ascii="Times New Roman" w:hAnsi="Times New Roman" w:cs="David"/>
          <w:b/>
          <w:bCs/>
          <w:spacing w:val="0"/>
          <w:rtl/>
        </w:rPr>
      </w:pPr>
    </w:p>
    <w:p w14:paraId="78988576" w14:textId="77777777" w:rsidR="00313BB5" w:rsidRDefault="00C95D44">
      <w:pPr>
        <w:pStyle w:val="Ruller4"/>
        <w:ind w:left="720" w:right="1134"/>
        <w:rPr>
          <w:rFonts w:ascii="Times New Roman" w:hAnsi="Times New Roman" w:cs="David"/>
          <w:b/>
          <w:bCs/>
          <w:spacing w:val="0"/>
          <w:rtl/>
        </w:rPr>
      </w:pPr>
      <w:r>
        <w:rPr>
          <w:rFonts w:ascii="Times New Roman" w:hAnsi="Times New Roman" w:cs="David"/>
          <w:b/>
          <w:bCs/>
          <w:spacing w:val="0"/>
          <w:rtl/>
        </w:rPr>
        <w:t xml:space="preserve">"הגיעה השעה להעלות את רף הענישה בעבירות נשק... יש לקוות שענישה מחמירה בתחום זה תרתיע את אלה הסוחרים בנשק, מובילים נשק ומבצעים עבירות דומות בקשר לכלי נשק. המערער הינו אמנם צעיר בן 25 שנים, ללא עבר פלילי, אך כאשר עסקינן בעבירות כה חמורות ומסוכנות יש ליתן משקל עודף לאינטרס הציבורי על פני נתוניו האישיים של הנאשם." </w:t>
      </w:r>
    </w:p>
    <w:p w14:paraId="0E450026" w14:textId="77777777" w:rsidR="00313BB5" w:rsidRDefault="00313BB5">
      <w:pPr>
        <w:spacing w:line="480" w:lineRule="auto"/>
        <w:jc w:val="both"/>
        <w:rPr>
          <w:rFonts w:ascii="Arial" w:hAnsi="Arial"/>
          <w:sz w:val="26"/>
          <w:szCs w:val="26"/>
          <w:rtl/>
        </w:rPr>
      </w:pPr>
    </w:p>
    <w:p w14:paraId="08236416" w14:textId="77777777" w:rsidR="00313BB5" w:rsidRDefault="00C95D44">
      <w:pPr>
        <w:spacing w:line="480" w:lineRule="auto"/>
        <w:jc w:val="both"/>
        <w:rPr>
          <w:rFonts w:ascii="Arial" w:hAnsi="Arial"/>
          <w:sz w:val="26"/>
          <w:szCs w:val="26"/>
          <w:rtl/>
        </w:rPr>
      </w:pPr>
      <w:r>
        <w:rPr>
          <w:rFonts w:ascii="Arial" w:hAnsi="Arial"/>
          <w:sz w:val="26"/>
          <w:szCs w:val="26"/>
          <w:rtl/>
        </w:rPr>
        <w:t>11.</w:t>
      </w:r>
      <w:r>
        <w:rPr>
          <w:rFonts w:ascii="Arial" w:hAnsi="Arial"/>
          <w:sz w:val="26"/>
          <w:szCs w:val="26"/>
          <w:rtl/>
        </w:rPr>
        <w:tab/>
        <w:t>עוד מן הראוי להפנות למדרג שנקבע בעניין אבו מוך (</w:t>
      </w:r>
      <w:hyperlink r:id="rId24" w:history="1">
        <w:r w:rsidR="001F548B" w:rsidRPr="001F548B">
          <w:rPr>
            <w:rStyle w:val="Hyperlink"/>
            <w:rFonts w:ascii="Arial" w:hAnsi="Arial"/>
            <w:sz w:val="26"/>
            <w:szCs w:val="26"/>
            <w:rtl/>
          </w:rPr>
          <w:t>ב"ש 625/82 אבו מוך נ' מדינת ישראל, פ"ד לז</w:t>
        </w:r>
      </w:hyperlink>
      <w:r>
        <w:rPr>
          <w:rFonts w:ascii="Arial" w:hAnsi="Arial"/>
          <w:sz w:val="26"/>
          <w:szCs w:val="26"/>
          <w:rtl/>
        </w:rPr>
        <w:t>(3) 668</w:t>
      </w:r>
      <w:r>
        <w:rPr>
          <w:rFonts w:ascii="Arial" w:hAnsi="Arial" w:hint="cs"/>
          <w:sz w:val="26"/>
          <w:szCs w:val="26"/>
          <w:rtl/>
        </w:rPr>
        <w:t xml:space="preserve"> (1982)</w:t>
      </w:r>
      <w:r>
        <w:rPr>
          <w:rFonts w:ascii="Arial" w:hAnsi="Arial"/>
          <w:sz w:val="26"/>
          <w:szCs w:val="26"/>
          <w:rtl/>
        </w:rPr>
        <w:t xml:space="preserve">), בו הוגדרה עבירה של החזקת נשק </w:t>
      </w:r>
      <w:r>
        <w:rPr>
          <w:rFonts w:ascii="Arial" w:hAnsi="Arial" w:hint="cs"/>
          <w:sz w:val="26"/>
          <w:szCs w:val="26"/>
          <w:rtl/>
        </w:rPr>
        <w:t>לשם ביצוע מעשים המיועדים לפגוע בביטחון המדינה או בביטחון הציבור</w:t>
      </w:r>
      <w:r>
        <w:rPr>
          <w:rFonts w:ascii="Arial" w:hAnsi="Arial"/>
          <w:sz w:val="26"/>
          <w:szCs w:val="26"/>
          <w:rtl/>
        </w:rPr>
        <w:t xml:space="preserve"> כעביר</w:t>
      </w:r>
      <w:r>
        <w:rPr>
          <w:rFonts w:ascii="Arial" w:hAnsi="Arial" w:hint="cs"/>
          <w:sz w:val="26"/>
          <w:szCs w:val="26"/>
          <w:rtl/>
        </w:rPr>
        <w:t>ה</w:t>
      </w:r>
      <w:r>
        <w:rPr>
          <w:rFonts w:ascii="Arial" w:hAnsi="Arial"/>
          <w:sz w:val="26"/>
          <w:szCs w:val="26"/>
          <w:rtl/>
        </w:rPr>
        <w:t xml:space="preserve"> במדרג הגבוה של החומרה, בעוד עבירה של החזקת נשק למטרה של הגנה עצמית, כבענייננו, הוגדרה כמצויה ברף החומרה </w:t>
      </w:r>
      <w:r>
        <w:rPr>
          <w:rFonts w:ascii="Arial" w:hAnsi="Arial" w:hint="cs"/>
          <w:sz w:val="26"/>
          <w:szCs w:val="26"/>
          <w:rtl/>
        </w:rPr>
        <w:t>הבינוני-נמוך</w:t>
      </w:r>
      <w:r>
        <w:rPr>
          <w:rFonts w:ascii="Arial" w:hAnsi="Arial"/>
          <w:sz w:val="26"/>
          <w:szCs w:val="26"/>
          <w:rtl/>
        </w:rPr>
        <w:t>.</w:t>
      </w:r>
    </w:p>
    <w:p w14:paraId="50C34EE6" w14:textId="77777777" w:rsidR="00313BB5" w:rsidRDefault="00313BB5">
      <w:pPr>
        <w:spacing w:line="480" w:lineRule="auto"/>
        <w:jc w:val="both"/>
        <w:rPr>
          <w:rFonts w:ascii="Arial" w:hAnsi="Arial"/>
          <w:sz w:val="26"/>
          <w:szCs w:val="26"/>
          <w:rtl/>
        </w:rPr>
      </w:pPr>
    </w:p>
    <w:p w14:paraId="6FB69C27" w14:textId="77777777" w:rsidR="00313BB5" w:rsidRDefault="00C95D44">
      <w:pPr>
        <w:spacing w:line="480" w:lineRule="auto"/>
        <w:jc w:val="both"/>
        <w:rPr>
          <w:rFonts w:ascii="Arial" w:hAnsi="Arial"/>
          <w:sz w:val="26"/>
          <w:szCs w:val="26"/>
          <w:rtl/>
        </w:rPr>
      </w:pPr>
      <w:r>
        <w:rPr>
          <w:rFonts w:ascii="Arial" w:hAnsi="Arial"/>
          <w:sz w:val="26"/>
          <w:szCs w:val="26"/>
          <w:rtl/>
        </w:rPr>
        <w:t>12.</w:t>
      </w:r>
      <w:r>
        <w:rPr>
          <w:rFonts w:ascii="Arial" w:hAnsi="Arial"/>
          <w:sz w:val="26"/>
          <w:szCs w:val="26"/>
          <w:rtl/>
        </w:rPr>
        <w:tab/>
        <w:t xml:space="preserve">זאת ועוד, אף שסקירת מדיניות הענישה הנהוגה בעבירה בה הורשע הנאשם מלמדת על טווח ענישה רחב, התלוי ברובו בנסיבות ביצוע המעשים, כמו גם בנסיבות הספציפיות של מבצעי העבירות, כאמור לעיל, הרי שעדיין הקו המנחה בחלקם הארי של המקרים הינו השתת עונשי מאסר לריצוי בפועל (ראו, לדוגמה, </w:t>
      </w:r>
      <w:hyperlink r:id="rId25" w:history="1">
        <w:r w:rsidR="001F548B" w:rsidRPr="001F548B">
          <w:rPr>
            <w:rStyle w:val="Hyperlink"/>
            <w:rFonts w:ascii="Arial" w:hAnsi="Arial"/>
            <w:sz w:val="26"/>
            <w:szCs w:val="26"/>
            <w:rtl/>
          </w:rPr>
          <w:t>רע"פ 5921/08</w:t>
        </w:r>
      </w:hyperlink>
      <w:r>
        <w:rPr>
          <w:rFonts w:ascii="Arial" w:hAnsi="Arial"/>
          <w:sz w:val="26"/>
          <w:szCs w:val="26"/>
          <w:rtl/>
        </w:rPr>
        <w:t xml:space="preserve"> </w:t>
      </w:r>
      <w:r>
        <w:rPr>
          <w:rFonts w:ascii="Arial" w:hAnsi="Arial"/>
          <w:b/>
          <w:bCs/>
          <w:sz w:val="26"/>
          <w:szCs w:val="26"/>
          <w:rtl/>
        </w:rPr>
        <w:t>רג'בי נ' מדינת ישראל</w:t>
      </w:r>
      <w:r>
        <w:rPr>
          <w:rFonts w:ascii="Arial" w:hAnsi="Arial"/>
          <w:sz w:val="26"/>
          <w:szCs w:val="26"/>
          <w:rtl/>
        </w:rPr>
        <w:t xml:space="preserve"> (לא פורסם, 6.5.09); </w:t>
      </w:r>
      <w:hyperlink r:id="rId26" w:history="1">
        <w:r w:rsidR="001F548B" w:rsidRPr="001F548B">
          <w:rPr>
            <w:rStyle w:val="Hyperlink"/>
            <w:rFonts w:ascii="Arial" w:hAnsi="Arial"/>
            <w:sz w:val="26"/>
            <w:szCs w:val="26"/>
            <w:rtl/>
          </w:rPr>
          <w:t>ע"פ 6583/06</w:t>
        </w:r>
      </w:hyperlink>
      <w:r>
        <w:rPr>
          <w:rFonts w:ascii="Arial" w:hAnsi="Arial"/>
          <w:sz w:val="26"/>
          <w:szCs w:val="26"/>
          <w:rtl/>
        </w:rPr>
        <w:t xml:space="preserve"> </w:t>
      </w:r>
      <w:r>
        <w:rPr>
          <w:rFonts w:ascii="Arial" w:hAnsi="Arial"/>
          <w:b/>
          <w:bCs/>
          <w:sz w:val="26"/>
          <w:szCs w:val="26"/>
          <w:rtl/>
        </w:rPr>
        <w:t>אדהאם נ' מדינת ישראל</w:t>
      </w:r>
      <w:r>
        <w:rPr>
          <w:rFonts w:ascii="Arial" w:hAnsi="Arial"/>
          <w:sz w:val="26"/>
          <w:szCs w:val="26"/>
          <w:rtl/>
        </w:rPr>
        <w:t xml:space="preserve"> (לא פורסם, 5.12.06); ועוד).</w:t>
      </w:r>
    </w:p>
    <w:p w14:paraId="4B9172C3" w14:textId="77777777" w:rsidR="00313BB5" w:rsidRDefault="00313BB5">
      <w:pPr>
        <w:spacing w:line="480" w:lineRule="auto"/>
        <w:jc w:val="both"/>
        <w:rPr>
          <w:rFonts w:ascii="Arial" w:hAnsi="Arial"/>
          <w:sz w:val="26"/>
          <w:szCs w:val="26"/>
          <w:rtl/>
        </w:rPr>
      </w:pPr>
    </w:p>
    <w:p w14:paraId="25EC8094" w14:textId="77777777" w:rsidR="00313BB5" w:rsidRDefault="00C95D44">
      <w:pPr>
        <w:spacing w:line="480" w:lineRule="auto"/>
        <w:jc w:val="both"/>
        <w:rPr>
          <w:rFonts w:ascii="Arial" w:hAnsi="Arial"/>
          <w:sz w:val="26"/>
          <w:szCs w:val="26"/>
          <w:rtl/>
        </w:rPr>
      </w:pPr>
      <w:r>
        <w:rPr>
          <w:rFonts w:ascii="Arial" w:hAnsi="Arial"/>
          <w:sz w:val="26"/>
          <w:szCs w:val="26"/>
          <w:rtl/>
        </w:rPr>
        <w:t>13.</w:t>
      </w:r>
      <w:r>
        <w:rPr>
          <w:rFonts w:ascii="Arial" w:hAnsi="Arial"/>
          <w:sz w:val="26"/>
          <w:szCs w:val="26"/>
          <w:rtl/>
        </w:rPr>
        <w:tab/>
        <w:t>לאחר שבחנתי את הנסיבות הקשורות בביצוע העבירה, את מדיניות הענישה הנוהגת, ועמדתי על הערך החברתי הנפגע מביצוע העבירה, כמו גם על נסיבות ביצוע העבירה במקרה זה, ובעיקרן העובדה כי הנשק הוחזק שלא למטרה ספציפית אלא להגנה עצמית, הגעתי לכלל מסקנה כי מתחם העונש ההולם בעניינו של הנאשם חופף למתחם עליו הסכימו הצדדים במסגרת הסדר הטיעון, אף שיש בו סטייה מסוימת לקולא.</w:t>
      </w:r>
    </w:p>
    <w:p w14:paraId="7D0D6A28" w14:textId="77777777" w:rsidR="00313BB5" w:rsidRDefault="00313BB5">
      <w:pPr>
        <w:spacing w:line="480" w:lineRule="auto"/>
        <w:jc w:val="both"/>
        <w:rPr>
          <w:rFonts w:ascii="Arial" w:hAnsi="Arial"/>
          <w:sz w:val="26"/>
          <w:szCs w:val="26"/>
          <w:rtl/>
        </w:rPr>
      </w:pPr>
    </w:p>
    <w:p w14:paraId="06AE69CF" w14:textId="77777777" w:rsidR="00313BB5" w:rsidRDefault="00C95D44">
      <w:pPr>
        <w:spacing w:line="480" w:lineRule="auto"/>
        <w:jc w:val="both"/>
        <w:rPr>
          <w:rFonts w:ascii="Arial" w:hAnsi="Arial"/>
          <w:sz w:val="26"/>
          <w:szCs w:val="26"/>
          <w:rtl/>
        </w:rPr>
      </w:pPr>
      <w:r>
        <w:rPr>
          <w:rFonts w:ascii="Arial" w:hAnsi="Arial"/>
          <w:sz w:val="26"/>
          <w:szCs w:val="26"/>
          <w:rtl/>
        </w:rPr>
        <w:t>14.</w:t>
      </w:r>
      <w:r>
        <w:rPr>
          <w:rFonts w:ascii="Arial" w:hAnsi="Arial"/>
          <w:sz w:val="26"/>
          <w:szCs w:val="26"/>
          <w:rtl/>
        </w:rPr>
        <w:tab/>
        <w:t>בנסיבות העניין לא מצאתי לחרוג ממתחם העונש ההולם: בין לקולא, נוכח העדר טענה בדבר סיכויי שיקום מיוחדים (</w:t>
      </w:r>
      <w:hyperlink r:id="rId27" w:history="1">
        <w:r w:rsidR="003E483B" w:rsidRPr="003E483B">
          <w:rPr>
            <w:rStyle w:val="Hyperlink"/>
            <w:rFonts w:ascii="Arial" w:hAnsi="Arial"/>
            <w:sz w:val="26"/>
            <w:szCs w:val="26"/>
            <w:rtl/>
          </w:rPr>
          <w:t>סעיף 40ד(א)</w:t>
        </w:r>
      </w:hyperlink>
      <w:r>
        <w:rPr>
          <w:rFonts w:ascii="Arial" w:hAnsi="Arial"/>
          <w:sz w:val="26"/>
          <w:szCs w:val="26"/>
          <w:rtl/>
        </w:rPr>
        <w:t xml:space="preserve"> לחוק), מה גם שמלכתחילה מתחם העונש ההולם שיקף, במידת מה, את נסיבותיו המיוחדות של המעשה; ובין לחומרא, מהטעם של הגנה על הציבור (</w:t>
      </w:r>
      <w:hyperlink r:id="rId28" w:history="1">
        <w:r w:rsidR="003E483B" w:rsidRPr="003E483B">
          <w:rPr>
            <w:rStyle w:val="Hyperlink"/>
            <w:rFonts w:ascii="Arial" w:hAnsi="Arial"/>
            <w:sz w:val="26"/>
            <w:szCs w:val="26"/>
            <w:rtl/>
          </w:rPr>
          <w:t>סעיף 40ה</w:t>
        </w:r>
      </w:hyperlink>
      <w:r>
        <w:rPr>
          <w:rFonts w:ascii="Arial" w:hAnsi="Arial"/>
          <w:sz w:val="26"/>
          <w:szCs w:val="26"/>
          <w:rtl/>
        </w:rPr>
        <w:t xml:space="preserve"> לחוק), מאחר שלא נטען (וקל וחומר שלא הוכח),</w:t>
      </w:r>
      <w:r>
        <w:rPr>
          <w:rFonts w:ascii="Arial" w:hAnsi="Arial" w:hint="cs"/>
          <w:sz w:val="26"/>
          <w:szCs w:val="26"/>
          <w:rtl/>
        </w:rPr>
        <w:t xml:space="preserve"> </w:t>
      </w:r>
      <w:r>
        <w:rPr>
          <w:rFonts w:ascii="Arial" w:hAnsi="Arial"/>
          <w:sz w:val="26"/>
          <w:szCs w:val="26"/>
          <w:rtl/>
        </w:rPr>
        <w:t xml:space="preserve">כי נשקפת סכנה מוחשית מהנאשם לציבור, באופן המצדיק חריגה כאמור. </w:t>
      </w:r>
    </w:p>
    <w:p w14:paraId="6C1DE59D" w14:textId="77777777" w:rsidR="00313BB5" w:rsidRDefault="00313BB5">
      <w:pPr>
        <w:spacing w:line="480" w:lineRule="auto"/>
        <w:jc w:val="both"/>
        <w:rPr>
          <w:rFonts w:ascii="Arial" w:hAnsi="Arial"/>
          <w:sz w:val="26"/>
          <w:szCs w:val="26"/>
          <w:rtl/>
        </w:rPr>
      </w:pPr>
    </w:p>
    <w:p w14:paraId="51FEB9CF" w14:textId="77777777" w:rsidR="00313BB5" w:rsidRDefault="00C95D44">
      <w:pPr>
        <w:spacing w:line="480" w:lineRule="auto"/>
        <w:jc w:val="both"/>
        <w:rPr>
          <w:rFonts w:ascii="Arial" w:hAnsi="Arial"/>
          <w:sz w:val="26"/>
          <w:szCs w:val="26"/>
          <w:rtl/>
        </w:rPr>
      </w:pPr>
      <w:r>
        <w:rPr>
          <w:rFonts w:ascii="Arial" w:hAnsi="Arial"/>
          <w:sz w:val="26"/>
          <w:szCs w:val="26"/>
          <w:rtl/>
        </w:rPr>
        <w:t>15.</w:t>
      </w:r>
      <w:r>
        <w:rPr>
          <w:rFonts w:ascii="Arial" w:hAnsi="Arial"/>
          <w:sz w:val="26"/>
          <w:szCs w:val="26"/>
          <w:rtl/>
        </w:rPr>
        <w:tab/>
        <w:t>לאחר שנקבע מתחם העונש ההולם, השלב הבא עניינו – קביעת העונש המתאים לנאשם, אשר השיקולים הנשקלים בגדרו נוגעים, בעיקר, לנסיבות שאינן קשורות בביצוע העבירות בהן הורשע. בגדר כך, יש להביא בחשבון את עברו הנקי של הנאשם דנן, גילו הצעיר (בעת ביצוע העבירה היה בן 21, וכיום הינו כבן 24), היותו אב לתינוקת, ובעתיד הקרוב – לתינוק נוסף, כמו גם העובדה כי הוא מפרנס יחיד למשפחתו, שתיפגע פגיעה משמעותית מהעונש שיושת עליו. בנוסף, יש לשקול לזכות הנאשם את הודאתו במיוחס לו כבר בתחילת ההליכים שהתנהלו נגדו.</w:t>
      </w:r>
    </w:p>
    <w:p w14:paraId="342B2B1E" w14:textId="77777777" w:rsidR="00313BB5" w:rsidRDefault="00313BB5">
      <w:pPr>
        <w:spacing w:line="480" w:lineRule="auto"/>
        <w:jc w:val="both"/>
        <w:rPr>
          <w:rFonts w:ascii="Arial" w:hAnsi="Arial"/>
          <w:sz w:val="26"/>
          <w:szCs w:val="26"/>
          <w:rtl/>
        </w:rPr>
      </w:pPr>
    </w:p>
    <w:p w14:paraId="7721ED78" w14:textId="77777777" w:rsidR="00313BB5" w:rsidRDefault="00C95D44">
      <w:pPr>
        <w:spacing w:line="480" w:lineRule="auto"/>
        <w:jc w:val="both"/>
        <w:rPr>
          <w:rFonts w:ascii="Arial" w:hAnsi="Arial"/>
          <w:sz w:val="26"/>
          <w:szCs w:val="26"/>
          <w:rtl/>
        </w:rPr>
      </w:pPr>
      <w:r>
        <w:rPr>
          <w:rFonts w:ascii="Arial" w:hAnsi="Arial"/>
          <w:sz w:val="26"/>
          <w:szCs w:val="26"/>
          <w:rtl/>
        </w:rPr>
        <w:t>16.</w:t>
      </w:r>
      <w:r>
        <w:rPr>
          <w:rFonts w:ascii="Arial" w:hAnsi="Arial"/>
          <w:sz w:val="26"/>
          <w:szCs w:val="26"/>
          <w:rtl/>
        </w:rPr>
        <w:tab/>
        <w:t>בגדר קביעת העונש המתאים, יש להתייחס גם לשיקולי הרתעה, כפי שאלה מפורטים ב</w:t>
      </w:r>
      <w:hyperlink r:id="rId29" w:history="1">
        <w:r w:rsidR="003E483B" w:rsidRPr="003E483B">
          <w:rPr>
            <w:rStyle w:val="Hyperlink"/>
            <w:rFonts w:ascii="Arial" w:hAnsi="Arial"/>
            <w:sz w:val="26"/>
            <w:szCs w:val="26"/>
            <w:rtl/>
          </w:rPr>
          <w:t>סעיפים 40ו</w:t>
        </w:r>
      </w:hyperlink>
      <w:r>
        <w:rPr>
          <w:rFonts w:ascii="Arial" w:hAnsi="Arial"/>
          <w:sz w:val="26"/>
          <w:szCs w:val="26"/>
          <w:rtl/>
        </w:rPr>
        <w:t xml:space="preserve"> ו-</w:t>
      </w:r>
      <w:hyperlink r:id="rId30" w:history="1">
        <w:r w:rsidR="003E483B" w:rsidRPr="003E483B">
          <w:rPr>
            <w:rStyle w:val="Hyperlink"/>
            <w:rFonts w:ascii="Arial" w:hAnsi="Arial"/>
            <w:sz w:val="26"/>
            <w:szCs w:val="26"/>
            <w:rtl/>
          </w:rPr>
          <w:t>40ז</w:t>
        </w:r>
      </w:hyperlink>
      <w:r>
        <w:rPr>
          <w:rFonts w:ascii="Arial" w:hAnsi="Arial"/>
          <w:sz w:val="26"/>
          <w:szCs w:val="26"/>
          <w:rtl/>
        </w:rPr>
        <w:t xml:space="preserve"> לחוק. אף כי שינוי מרכזי בתיקון הינו הענקת משקל משני בלבד לשיקולים אלה, עדיין אין להתעלם מכך שקיימת חשיבות יתרה להרתעת כלל הציבור והנאשם עצמו מחזרה על העבירה בעתיד. עם זאת, בנסיבות המקרה דנן ונוכח העובדה כי לכאורה ועל פניו מדובר במעידה חד-פעמית בחייו של הנאשם, לטעמי שיקולי הרתעת היחיד יכולים לקבל מענה הולם בדרך של קביעת עונש מאסר מותנה לתקופה משמעותית, חלף השתת תקופת מאסר מכבידה לריצוי בפועל.</w:t>
      </w:r>
    </w:p>
    <w:p w14:paraId="6BA0110C" w14:textId="77777777" w:rsidR="00313BB5" w:rsidRDefault="00313BB5">
      <w:pPr>
        <w:spacing w:line="480" w:lineRule="auto"/>
        <w:jc w:val="both"/>
        <w:rPr>
          <w:rFonts w:ascii="Arial" w:hAnsi="Arial"/>
          <w:sz w:val="26"/>
          <w:szCs w:val="26"/>
          <w:rtl/>
        </w:rPr>
      </w:pPr>
    </w:p>
    <w:p w14:paraId="76BAEE52" w14:textId="77777777" w:rsidR="00313BB5" w:rsidRDefault="00C95D44">
      <w:pPr>
        <w:spacing w:line="480" w:lineRule="auto"/>
        <w:jc w:val="both"/>
        <w:rPr>
          <w:rFonts w:ascii="Arial" w:hAnsi="Arial"/>
          <w:sz w:val="26"/>
          <w:szCs w:val="26"/>
          <w:rtl/>
        </w:rPr>
      </w:pPr>
      <w:r>
        <w:rPr>
          <w:rFonts w:ascii="Arial" w:hAnsi="Arial" w:hint="cs"/>
          <w:sz w:val="26"/>
          <w:szCs w:val="26"/>
          <w:rtl/>
        </w:rPr>
        <w:t>17</w:t>
      </w:r>
      <w:r>
        <w:rPr>
          <w:rFonts w:ascii="Arial" w:hAnsi="Arial"/>
          <w:sz w:val="26"/>
          <w:szCs w:val="26"/>
          <w:rtl/>
        </w:rPr>
        <w:t>.</w:t>
      </w:r>
      <w:r>
        <w:rPr>
          <w:rFonts w:ascii="Arial" w:hAnsi="Arial"/>
          <w:sz w:val="26"/>
          <w:szCs w:val="26"/>
          <w:rtl/>
        </w:rPr>
        <w:tab/>
        <w:t>בטרם סיום, אין לי אלא לחזור ולצטט את דברי בית המשפט העליון ב</w:t>
      </w:r>
      <w:hyperlink r:id="rId31" w:history="1">
        <w:r w:rsidR="001F548B" w:rsidRPr="001F548B">
          <w:rPr>
            <w:rStyle w:val="Hyperlink"/>
            <w:rFonts w:ascii="Arial" w:hAnsi="Arial"/>
            <w:sz w:val="26"/>
            <w:szCs w:val="26"/>
            <w:rtl/>
          </w:rPr>
          <w:t>ע"פ 5220/09</w:t>
        </w:r>
      </w:hyperlink>
      <w:r>
        <w:rPr>
          <w:rFonts w:ascii="Arial" w:hAnsi="Arial"/>
          <w:sz w:val="26"/>
          <w:szCs w:val="26"/>
          <w:rtl/>
        </w:rPr>
        <w:t xml:space="preserve"> </w:t>
      </w:r>
      <w:r>
        <w:rPr>
          <w:rFonts w:ascii="Arial" w:hAnsi="Arial"/>
          <w:b/>
          <w:bCs/>
          <w:sz w:val="26"/>
          <w:szCs w:val="26"/>
          <w:rtl/>
        </w:rPr>
        <w:t>עוואדה נ' מדינת ישראל</w:t>
      </w:r>
      <w:r>
        <w:rPr>
          <w:rFonts w:ascii="Arial" w:hAnsi="Arial"/>
          <w:sz w:val="26"/>
          <w:szCs w:val="26"/>
          <w:rtl/>
        </w:rPr>
        <w:t xml:space="preserve"> (לא פורסם, 30.12.09):</w:t>
      </w:r>
    </w:p>
    <w:p w14:paraId="7C55AE74" w14:textId="77777777" w:rsidR="00313BB5" w:rsidRDefault="00313BB5">
      <w:pPr>
        <w:spacing w:line="480" w:lineRule="auto"/>
        <w:jc w:val="both"/>
        <w:rPr>
          <w:rFonts w:ascii="Arial" w:hAnsi="Arial"/>
          <w:sz w:val="26"/>
          <w:szCs w:val="26"/>
          <w:rtl/>
        </w:rPr>
      </w:pPr>
    </w:p>
    <w:p w14:paraId="7E12A347" w14:textId="77777777" w:rsidR="00313BB5" w:rsidRDefault="00C95D44">
      <w:pPr>
        <w:spacing w:line="360" w:lineRule="auto"/>
        <w:ind w:left="720" w:right="1276"/>
        <w:jc w:val="both"/>
        <w:rPr>
          <w:rFonts w:ascii="Arial" w:hAnsi="Arial"/>
          <w:b/>
          <w:bCs/>
          <w:sz w:val="26"/>
          <w:szCs w:val="26"/>
          <w:rtl/>
        </w:rPr>
      </w:pPr>
      <w:r>
        <w:rPr>
          <w:rFonts w:ascii="Arial" w:hAnsi="Arial"/>
          <w:b/>
          <w:bCs/>
          <w:sz w:val="26"/>
          <w:szCs w:val="26"/>
          <w:rtl/>
        </w:rPr>
        <w:t>"אכן, ערים אנו לכך שלאדם בעל רקע נורמטיבי, וכזה הוא המערער, שהות במאסר אינה קלה על עקר, ובהיותו במעצר חוה מקצת הטעם. 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p>
    <w:p w14:paraId="2C0EE6D6" w14:textId="77777777" w:rsidR="00313BB5" w:rsidRDefault="00313BB5">
      <w:pPr>
        <w:spacing w:line="480" w:lineRule="auto"/>
        <w:jc w:val="both"/>
        <w:rPr>
          <w:rFonts w:ascii="Arial" w:hAnsi="Arial"/>
          <w:sz w:val="26"/>
          <w:szCs w:val="26"/>
          <w:rtl/>
        </w:rPr>
      </w:pPr>
    </w:p>
    <w:p w14:paraId="52BA65F3" w14:textId="77777777" w:rsidR="00313BB5" w:rsidRDefault="00C95D44">
      <w:pPr>
        <w:spacing w:line="480" w:lineRule="auto"/>
        <w:jc w:val="both"/>
        <w:rPr>
          <w:rFonts w:ascii="Arial" w:hAnsi="Arial"/>
          <w:sz w:val="26"/>
          <w:szCs w:val="26"/>
          <w:rtl/>
        </w:rPr>
      </w:pPr>
      <w:r>
        <w:rPr>
          <w:rFonts w:ascii="Arial" w:hAnsi="Arial" w:hint="cs"/>
          <w:sz w:val="26"/>
          <w:szCs w:val="26"/>
          <w:rtl/>
        </w:rPr>
        <w:t>18</w:t>
      </w:r>
      <w:r>
        <w:rPr>
          <w:rFonts w:ascii="Arial" w:hAnsi="Arial"/>
          <w:sz w:val="26"/>
          <w:szCs w:val="26"/>
          <w:rtl/>
        </w:rPr>
        <w:t>.</w:t>
      </w:r>
      <w:r>
        <w:rPr>
          <w:rFonts w:ascii="Arial" w:hAnsi="Arial"/>
          <w:sz w:val="26"/>
          <w:szCs w:val="26"/>
          <w:rtl/>
        </w:rPr>
        <w:tab/>
        <w:t>באיזון הנדרש בין האינטרסים המנוגדים, שנשקלו ופורטו לעיל, אני משית אפוא על הנאשם את העונשים הבאים:</w:t>
      </w:r>
    </w:p>
    <w:p w14:paraId="53E5FCAF" w14:textId="77777777" w:rsidR="00313BB5" w:rsidRDefault="00313BB5">
      <w:pPr>
        <w:spacing w:line="480" w:lineRule="auto"/>
        <w:jc w:val="both"/>
        <w:rPr>
          <w:rFonts w:ascii="Arial" w:hAnsi="Arial"/>
          <w:sz w:val="26"/>
          <w:szCs w:val="26"/>
          <w:rtl/>
        </w:rPr>
      </w:pPr>
    </w:p>
    <w:p w14:paraId="391BA482" w14:textId="77777777" w:rsidR="00313BB5" w:rsidRDefault="00C95D44">
      <w:pPr>
        <w:spacing w:line="480" w:lineRule="auto"/>
        <w:ind w:left="720"/>
        <w:jc w:val="both"/>
        <w:rPr>
          <w:rFonts w:ascii="Arial" w:hAnsi="Arial"/>
          <w:sz w:val="26"/>
          <w:szCs w:val="26"/>
          <w:rtl/>
        </w:rPr>
      </w:pPr>
      <w:r>
        <w:rPr>
          <w:rFonts w:ascii="Arial" w:hAnsi="Arial"/>
          <w:sz w:val="26"/>
          <w:szCs w:val="26"/>
          <w:rtl/>
        </w:rPr>
        <w:t>א.</w:t>
      </w:r>
      <w:r>
        <w:rPr>
          <w:rFonts w:ascii="Arial" w:hAnsi="Arial"/>
          <w:sz w:val="26"/>
          <w:szCs w:val="26"/>
          <w:rtl/>
        </w:rPr>
        <w:tab/>
        <w:t>5 חודשי מאסר לריצוי בפועל, בניכוי חמשת ימי המעצר אותם ריצה בתיק זה (21.10.10 – 25.10.10)).</w:t>
      </w:r>
    </w:p>
    <w:p w14:paraId="7482EE62" w14:textId="77777777" w:rsidR="00313BB5" w:rsidRDefault="00313BB5">
      <w:pPr>
        <w:spacing w:line="480" w:lineRule="auto"/>
        <w:ind w:left="720"/>
        <w:jc w:val="both"/>
        <w:rPr>
          <w:rFonts w:ascii="Arial" w:hAnsi="Arial"/>
          <w:sz w:val="26"/>
          <w:szCs w:val="26"/>
          <w:rtl/>
        </w:rPr>
      </w:pPr>
    </w:p>
    <w:p w14:paraId="5E0019AA" w14:textId="77777777" w:rsidR="00313BB5" w:rsidRDefault="00C95D44">
      <w:pPr>
        <w:spacing w:line="480" w:lineRule="auto"/>
        <w:ind w:left="720"/>
        <w:jc w:val="both"/>
        <w:rPr>
          <w:rFonts w:ascii="Arial" w:hAnsi="Arial"/>
          <w:sz w:val="26"/>
          <w:szCs w:val="26"/>
          <w:rtl/>
        </w:rPr>
      </w:pPr>
      <w:r>
        <w:rPr>
          <w:rFonts w:ascii="Arial" w:hAnsi="Arial"/>
          <w:sz w:val="26"/>
          <w:szCs w:val="26"/>
          <w:rtl/>
        </w:rPr>
        <w:t>ב.</w:t>
      </w:r>
      <w:r>
        <w:rPr>
          <w:rFonts w:ascii="Arial" w:hAnsi="Arial"/>
          <w:sz w:val="26"/>
          <w:szCs w:val="26"/>
          <w:rtl/>
        </w:rPr>
        <w:tab/>
        <w:t>7 חודשי מאסר על תנאי, שלא יעבור תוך 3 שנים מיום שחרורו מהמאסר עבירת נשק כלשהי מסוג פשע.</w:t>
      </w:r>
    </w:p>
    <w:p w14:paraId="44E57689" w14:textId="77777777" w:rsidR="00313BB5" w:rsidRDefault="00313BB5">
      <w:pPr>
        <w:spacing w:line="480" w:lineRule="auto"/>
        <w:ind w:left="720"/>
        <w:jc w:val="both"/>
        <w:rPr>
          <w:rFonts w:ascii="Arial" w:hAnsi="Arial"/>
          <w:sz w:val="26"/>
          <w:szCs w:val="26"/>
          <w:rtl/>
        </w:rPr>
      </w:pPr>
    </w:p>
    <w:p w14:paraId="32012F33" w14:textId="77777777" w:rsidR="00313BB5" w:rsidRDefault="00C95D44">
      <w:pPr>
        <w:numPr>
          <w:ilvl w:val="0"/>
          <w:numId w:val="1"/>
        </w:numPr>
        <w:spacing w:line="480" w:lineRule="auto"/>
        <w:jc w:val="both"/>
        <w:rPr>
          <w:rFonts w:ascii="Arial" w:hAnsi="Arial"/>
          <w:sz w:val="26"/>
          <w:szCs w:val="26"/>
        </w:rPr>
      </w:pPr>
      <w:r>
        <w:rPr>
          <w:rFonts w:ascii="Arial" w:hAnsi="Arial"/>
          <w:sz w:val="26"/>
          <w:szCs w:val="26"/>
          <w:rtl/>
        </w:rPr>
        <w:t>קנס בסך 5,000 ₪ או חודשיים מאסר תמורתם. הקנס ישולם בחמישה תשלומים חודשיים, רצופי</w:t>
      </w:r>
      <w:r>
        <w:rPr>
          <w:rFonts w:ascii="Arial" w:hAnsi="Arial" w:hint="cs"/>
          <w:sz w:val="26"/>
          <w:szCs w:val="26"/>
          <w:rtl/>
        </w:rPr>
        <w:t>ם</w:t>
      </w:r>
      <w:r>
        <w:rPr>
          <w:rFonts w:ascii="Arial" w:hAnsi="Arial"/>
          <w:sz w:val="26"/>
          <w:szCs w:val="26"/>
          <w:rtl/>
        </w:rPr>
        <w:t xml:space="preserve"> ושווים החל מיום 1.5.13.</w:t>
      </w:r>
    </w:p>
    <w:p w14:paraId="727C91AA" w14:textId="77777777" w:rsidR="00313BB5" w:rsidRDefault="00313BB5">
      <w:pPr>
        <w:spacing w:line="480" w:lineRule="auto"/>
        <w:jc w:val="both"/>
        <w:rPr>
          <w:rFonts w:ascii="Arial" w:hAnsi="Arial"/>
          <w:sz w:val="26"/>
          <w:szCs w:val="26"/>
          <w:rtl/>
        </w:rPr>
      </w:pPr>
    </w:p>
    <w:p w14:paraId="2FED144E" w14:textId="77777777" w:rsidR="00313BB5" w:rsidRDefault="00C95D44">
      <w:pPr>
        <w:spacing w:line="480" w:lineRule="auto"/>
        <w:jc w:val="both"/>
        <w:rPr>
          <w:rFonts w:ascii="Arial" w:hAnsi="Arial"/>
          <w:sz w:val="26"/>
          <w:szCs w:val="26"/>
          <w:rtl/>
        </w:rPr>
      </w:pPr>
      <w:r>
        <w:rPr>
          <w:rFonts w:ascii="Arial" w:hAnsi="Arial"/>
          <w:sz w:val="26"/>
          <w:szCs w:val="26"/>
          <w:rtl/>
        </w:rPr>
        <w:t>הנאשם יתייצב ביום 1.5.13 עד השעה 10:00 בבית המעצר ניצן ברמלה לצורך קליטה ויצטייד בתעודת זהות</w:t>
      </w:r>
      <w:r>
        <w:rPr>
          <w:rFonts w:ascii="Arial" w:hAnsi="Arial" w:hint="cs"/>
          <w:sz w:val="26"/>
          <w:szCs w:val="26"/>
          <w:rtl/>
        </w:rPr>
        <w:t>.</w:t>
      </w:r>
      <w:r>
        <w:rPr>
          <w:rFonts w:ascii="Arial" w:hAnsi="Arial"/>
          <w:sz w:val="26"/>
          <w:szCs w:val="26"/>
          <w:rtl/>
        </w:rPr>
        <w:t xml:space="preserve"> </w:t>
      </w:r>
    </w:p>
    <w:p w14:paraId="3530BD64" w14:textId="77777777" w:rsidR="00313BB5" w:rsidRDefault="00313BB5">
      <w:pPr>
        <w:rPr>
          <w:b/>
          <w:bCs/>
          <w:sz w:val="28"/>
          <w:szCs w:val="28"/>
          <w:u w:val="single"/>
          <w:rtl/>
        </w:rPr>
      </w:pPr>
    </w:p>
    <w:p w14:paraId="29DE82FD" w14:textId="77777777" w:rsidR="00313BB5" w:rsidRDefault="00313BB5">
      <w:pPr>
        <w:rPr>
          <w:b/>
          <w:bCs/>
          <w:sz w:val="28"/>
          <w:szCs w:val="28"/>
          <w:u w:val="single"/>
          <w:rtl/>
        </w:rPr>
      </w:pPr>
    </w:p>
    <w:p w14:paraId="5853FFB2" w14:textId="77777777" w:rsidR="00313BB5" w:rsidRDefault="00C95D44">
      <w:pPr>
        <w:rPr>
          <w:b/>
          <w:bCs/>
          <w:sz w:val="28"/>
          <w:szCs w:val="28"/>
          <w:u w:val="single"/>
          <w:rtl/>
        </w:rPr>
      </w:pPr>
      <w:r>
        <w:rPr>
          <w:rFonts w:hint="cs"/>
          <w:b/>
          <w:bCs/>
          <w:sz w:val="28"/>
          <w:szCs w:val="28"/>
          <w:u w:val="single"/>
          <w:rtl/>
        </w:rPr>
        <w:t>הודעה לנאשם זכותו לערער לבית המשפט העליון תוך 45 יום מהיום</w:t>
      </w:r>
    </w:p>
    <w:p w14:paraId="29853D10" w14:textId="77777777" w:rsidR="00313BB5" w:rsidRDefault="00313BB5">
      <w:pPr>
        <w:rPr>
          <w:sz w:val="28"/>
          <w:szCs w:val="28"/>
          <w:rtl/>
        </w:rPr>
      </w:pPr>
    </w:p>
    <w:p w14:paraId="778449C7" w14:textId="77777777" w:rsidR="00313BB5" w:rsidRDefault="00313BB5">
      <w:pPr>
        <w:rPr>
          <w:sz w:val="28"/>
          <w:szCs w:val="28"/>
          <w:rtl/>
        </w:rPr>
      </w:pPr>
    </w:p>
    <w:p w14:paraId="290F55A0" w14:textId="77777777" w:rsidR="00313BB5" w:rsidRDefault="00313BB5">
      <w:pPr>
        <w:rPr>
          <w:sz w:val="28"/>
          <w:szCs w:val="28"/>
          <w:rtl/>
        </w:rPr>
      </w:pPr>
    </w:p>
    <w:p w14:paraId="4C549831" w14:textId="77777777" w:rsidR="00C95D44" w:rsidRPr="00C95D44" w:rsidRDefault="00C95D44" w:rsidP="00C95D44">
      <w:pPr>
        <w:keepNext/>
        <w:spacing w:line="360" w:lineRule="auto"/>
        <w:rPr>
          <w:rFonts w:ascii="David" w:hAnsi="David"/>
          <w:color w:val="000000"/>
          <w:sz w:val="22"/>
          <w:szCs w:val="22"/>
          <w:rtl/>
        </w:rPr>
      </w:pPr>
    </w:p>
    <w:p w14:paraId="645F6B10" w14:textId="77777777" w:rsidR="00F01D47" w:rsidRPr="00F01D47" w:rsidRDefault="00F01D47" w:rsidP="00F01D47">
      <w:pPr>
        <w:keepNext/>
        <w:spacing w:line="360" w:lineRule="auto"/>
        <w:rPr>
          <w:rFonts w:ascii="David" w:hAnsi="David" w:hint="cs"/>
          <w:color w:val="000000"/>
          <w:sz w:val="22"/>
          <w:szCs w:val="22"/>
          <w:rtl/>
        </w:rPr>
      </w:pPr>
    </w:p>
    <w:p w14:paraId="3B9B27CB" w14:textId="77777777" w:rsidR="00F01D47" w:rsidRPr="00F01D47" w:rsidRDefault="00F01D47" w:rsidP="00F01D47">
      <w:pPr>
        <w:keepNext/>
        <w:spacing w:line="360" w:lineRule="auto"/>
        <w:rPr>
          <w:rFonts w:ascii="David" w:hAnsi="David"/>
          <w:color w:val="000000"/>
          <w:sz w:val="22"/>
          <w:szCs w:val="22"/>
          <w:rtl/>
        </w:rPr>
      </w:pPr>
      <w:r w:rsidRPr="00F01D47">
        <w:rPr>
          <w:rFonts w:ascii="David" w:hAnsi="David"/>
          <w:color w:val="000000"/>
          <w:sz w:val="22"/>
          <w:szCs w:val="22"/>
          <w:rtl/>
        </w:rPr>
        <w:t>צבי סגל 54678313-/</w:t>
      </w:r>
    </w:p>
    <w:p w14:paraId="4A526E90" w14:textId="77777777" w:rsidR="00313BB5" w:rsidRDefault="00F01D47">
      <w:pPr>
        <w:spacing w:line="360" w:lineRule="auto"/>
        <w:jc w:val="both"/>
        <w:rPr>
          <w:b/>
          <w:bCs/>
          <w:sz w:val="28"/>
          <w:szCs w:val="28"/>
          <w:rtl/>
        </w:rPr>
      </w:pPr>
      <w:r w:rsidRPr="00F01D47">
        <w:rPr>
          <w:rFonts w:ascii="Arial" w:hAnsi="Arial"/>
          <w:b/>
          <w:bCs/>
          <w:color w:val="FFFFFF"/>
          <w:sz w:val="2"/>
          <w:szCs w:val="2"/>
          <w:rtl/>
        </w:rPr>
        <w:t>5129371</w:t>
      </w:r>
      <w:r w:rsidR="00C95D44" w:rsidRPr="00C95D44">
        <w:rPr>
          <w:rFonts w:ascii="Arial" w:hAnsi="Arial"/>
          <w:b/>
          <w:bCs/>
          <w:color w:val="FFFFFF"/>
          <w:sz w:val="2"/>
          <w:szCs w:val="2"/>
          <w:rtl/>
        </w:rPr>
        <w:t>5129371</w:t>
      </w:r>
      <w:r w:rsidR="00C95D44">
        <w:rPr>
          <w:rFonts w:ascii="Arial" w:hAnsi="Arial"/>
          <w:b/>
          <w:bCs/>
          <w:sz w:val="28"/>
          <w:szCs w:val="28"/>
          <w:rtl/>
        </w:rPr>
        <w:t xml:space="preserve">ניתן והודע היום,  ד' אייר תשע"ג, 14 אפריל 2013, במעמד הצדדים. </w:t>
      </w:r>
    </w:p>
    <w:tbl>
      <w:tblPr>
        <w:bidiVisual/>
        <w:tblW w:w="2691" w:type="dxa"/>
        <w:tblInd w:w="6480" w:type="dxa"/>
        <w:tblLook w:val="01E0" w:firstRow="1" w:lastRow="1" w:firstColumn="1" w:lastColumn="1" w:noHBand="0" w:noVBand="0"/>
      </w:tblPr>
      <w:tblGrid>
        <w:gridCol w:w="2691"/>
      </w:tblGrid>
      <w:tr w:rsidR="00313BB5" w14:paraId="5A2A8599" w14:textId="77777777">
        <w:trPr>
          <w:trHeight w:val="1438"/>
        </w:trPr>
        <w:tc>
          <w:tcPr>
            <w:tcW w:w="2691" w:type="dxa"/>
            <w:tcBorders>
              <w:top w:val="nil"/>
              <w:left w:val="nil"/>
              <w:bottom w:val="single" w:sz="4" w:space="0" w:color="auto"/>
              <w:right w:val="nil"/>
            </w:tcBorders>
            <w:vAlign w:val="center"/>
          </w:tcPr>
          <w:p w14:paraId="57685FA8" w14:textId="77777777" w:rsidR="00313BB5" w:rsidRPr="00C95D44" w:rsidRDefault="00F01D47">
            <w:pPr>
              <w:jc w:val="center"/>
              <w:rPr>
                <w:rFonts w:ascii="Courier New" w:hAnsi="Courier New"/>
                <w:b/>
                <w:bCs/>
                <w:color w:val="FFFFFF"/>
                <w:sz w:val="2"/>
                <w:szCs w:val="2"/>
                <w:rtl/>
              </w:rPr>
            </w:pPr>
            <w:r w:rsidRPr="00F01D47">
              <w:rPr>
                <w:rFonts w:ascii="Courier New" w:hAnsi="Courier New"/>
                <w:b/>
                <w:bCs/>
                <w:color w:val="FFFFFF"/>
                <w:sz w:val="2"/>
                <w:szCs w:val="2"/>
                <w:rtl/>
              </w:rPr>
              <w:t>54678313</w:t>
            </w:r>
            <w:r w:rsidR="00C95D44" w:rsidRPr="00C95D44">
              <w:rPr>
                <w:rFonts w:ascii="Courier New" w:hAnsi="Courier New"/>
                <w:b/>
                <w:bCs/>
                <w:color w:val="FFFFFF"/>
                <w:sz w:val="2"/>
                <w:szCs w:val="2"/>
                <w:rtl/>
              </w:rPr>
              <w:t>54678313</w:t>
            </w:r>
          </w:p>
        </w:tc>
      </w:tr>
      <w:tr w:rsidR="00313BB5" w14:paraId="33B7DC32" w14:textId="77777777">
        <w:tc>
          <w:tcPr>
            <w:tcW w:w="2691" w:type="dxa"/>
            <w:tcBorders>
              <w:top w:val="single" w:sz="4" w:space="0" w:color="auto"/>
              <w:left w:val="nil"/>
              <w:bottom w:val="nil"/>
              <w:right w:val="nil"/>
            </w:tcBorders>
          </w:tcPr>
          <w:p w14:paraId="2C54290F" w14:textId="77777777" w:rsidR="00313BB5" w:rsidRDefault="00C95D44">
            <w:pPr>
              <w:pStyle w:val="3"/>
              <w:spacing w:line="240" w:lineRule="auto"/>
              <w:jc w:val="center"/>
              <w:rPr>
                <w:sz w:val="24"/>
                <w:szCs w:val="28"/>
                <w:rtl/>
              </w:rPr>
            </w:pPr>
            <w:r>
              <w:rPr>
                <w:rFonts w:hint="cs"/>
                <w:sz w:val="24"/>
                <w:szCs w:val="28"/>
                <w:rtl/>
              </w:rPr>
              <w:t>צבי סגל, שופט בכיר</w:t>
            </w:r>
          </w:p>
        </w:tc>
      </w:tr>
    </w:tbl>
    <w:p w14:paraId="2F874966" w14:textId="77777777" w:rsidR="00C95D44" w:rsidRDefault="00C95D44" w:rsidP="00C95D44">
      <w:r w:rsidRPr="00C95D44">
        <w:rPr>
          <w:color w:val="000000"/>
          <w:rtl/>
        </w:rPr>
        <w:t>נוסח מסמך זה כפוף לשינויי ניסוח ועריכה</w:t>
      </w:r>
    </w:p>
    <w:p w14:paraId="7417A2B9" w14:textId="77777777" w:rsidR="00C95D44" w:rsidRDefault="00C95D44" w:rsidP="00C95D44">
      <w:pPr>
        <w:rPr>
          <w:rtl/>
        </w:rPr>
      </w:pPr>
    </w:p>
    <w:p w14:paraId="49CA76C9" w14:textId="77777777" w:rsidR="00C95D44" w:rsidRDefault="00C95D44" w:rsidP="00C95D44">
      <w:pPr>
        <w:jc w:val="center"/>
        <w:rPr>
          <w:color w:val="0000FF"/>
          <w:u w:val="single"/>
        </w:rPr>
      </w:pPr>
      <w:r w:rsidRPr="0083394F">
        <w:rPr>
          <w:color w:val="000000"/>
          <w:rtl/>
        </w:rPr>
        <w:t>בעניין עריכה ושינויים במסמכי פסיקה, חקיקה ועוד באתר נבו – הקש כאן</w:t>
      </w:r>
    </w:p>
    <w:sectPr w:rsidR="00C95D44" w:rsidSect="00F01D47">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30538" w14:textId="77777777" w:rsidR="00F742BF" w:rsidRPr="00077B26" w:rsidRDefault="00F742BF">
      <w:pPr>
        <w:rPr>
          <w:rFonts w:cs="Arial"/>
          <w:szCs w:val="20"/>
        </w:rPr>
      </w:pPr>
      <w:r>
        <w:separator/>
      </w:r>
    </w:p>
  </w:endnote>
  <w:endnote w:type="continuationSeparator" w:id="0">
    <w:p w14:paraId="1EA2E1E9" w14:textId="77777777" w:rsidR="00F742BF" w:rsidRPr="00077B26" w:rsidRDefault="00F742B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A3409" w14:textId="77777777" w:rsidR="008925FB" w:rsidRDefault="008925FB" w:rsidP="00F01D4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85B055A" w14:textId="77777777" w:rsidR="008925FB" w:rsidRPr="00F01D47" w:rsidRDefault="008925FB" w:rsidP="00F01D47">
    <w:pPr>
      <w:pStyle w:val="a4"/>
      <w:pBdr>
        <w:top w:val="single" w:sz="4" w:space="1" w:color="auto"/>
        <w:between w:val="single" w:sz="4" w:space="0" w:color="auto"/>
      </w:pBdr>
      <w:spacing w:after="60"/>
      <w:jc w:val="center"/>
      <w:rPr>
        <w:rFonts w:ascii="FrankRuehl" w:hAnsi="FrankRuehl" w:cs="FrankRuehl"/>
        <w:color w:val="000000"/>
      </w:rPr>
    </w:pPr>
    <w:r w:rsidRPr="00F01D4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D55C6" w14:textId="77777777" w:rsidR="008925FB" w:rsidRDefault="008925FB" w:rsidP="00F01D4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566B">
      <w:rPr>
        <w:rFonts w:ascii="FrankRuehl" w:hAnsi="FrankRuehl" w:cs="FrankRuehl"/>
        <w:noProof/>
        <w:rtl/>
      </w:rPr>
      <w:t>1</w:t>
    </w:r>
    <w:r>
      <w:rPr>
        <w:rFonts w:ascii="FrankRuehl" w:hAnsi="FrankRuehl" w:cs="FrankRuehl"/>
        <w:rtl/>
      </w:rPr>
      <w:fldChar w:fldCharType="end"/>
    </w:r>
  </w:p>
  <w:p w14:paraId="38704F18" w14:textId="77777777" w:rsidR="008925FB" w:rsidRPr="00F01D47" w:rsidRDefault="008925FB" w:rsidP="00F01D47">
    <w:pPr>
      <w:pStyle w:val="a4"/>
      <w:pBdr>
        <w:top w:val="single" w:sz="4" w:space="1" w:color="auto"/>
        <w:between w:val="single" w:sz="4" w:space="0" w:color="auto"/>
      </w:pBdr>
      <w:spacing w:after="60"/>
      <w:jc w:val="center"/>
      <w:rPr>
        <w:rFonts w:ascii="FrankRuehl" w:hAnsi="FrankRuehl" w:cs="FrankRuehl"/>
        <w:color w:val="000000"/>
      </w:rPr>
    </w:pPr>
    <w:r w:rsidRPr="00F01D47">
      <w:rPr>
        <w:rFonts w:ascii="FrankRuehl" w:hAnsi="FrankRuehl" w:cs="FrankRuehl"/>
        <w:color w:val="000000"/>
      </w:rPr>
      <w:pict w14:anchorId="1ED52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EACF4" w14:textId="77777777" w:rsidR="00F742BF" w:rsidRPr="00077B26" w:rsidRDefault="00F742BF">
      <w:pPr>
        <w:rPr>
          <w:rFonts w:cs="Arial"/>
          <w:szCs w:val="20"/>
        </w:rPr>
      </w:pPr>
      <w:r>
        <w:separator/>
      </w:r>
    </w:p>
  </w:footnote>
  <w:footnote w:type="continuationSeparator" w:id="0">
    <w:p w14:paraId="78F0D7AA" w14:textId="77777777" w:rsidR="00F742BF" w:rsidRPr="00077B26" w:rsidRDefault="00F742B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8C537" w14:textId="77777777" w:rsidR="008925FB" w:rsidRPr="00F01D47" w:rsidRDefault="008925FB" w:rsidP="00F01D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11953-01-13</w:t>
    </w:r>
    <w:r>
      <w:rPr>
        <w:rFonts w:ascii="David" w:hAnsi="David"/>
        <w:color w:val="000000"/>
        <w:sz w:val="22"/>
        <w:szCs w:val="22"/>
        <w:rtl/>
      </w:rPr>
      <w:tab/>
      <w:t xml:space="preserve"> מדינת ישראל נ' מוחמד חלאק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1C7E81" w14:textId="77777777" w:rsidR="008925FB" w:rsidRPr="00F01D47" w:rsidRDefault="008925FB" w:rsidP="00F01D4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11953-01-13</w:t>
    </w:r>
    <w:r>
      <w:rPr>
        <w:rFonts w:ascii="David" w:hAnsi="David"/>
        <w:color w:val="000000"/>
        <w:sz w:val="22"/>
        <w:szCs w:val="22"/>
        <w:rtl/>
      </w:rPr>
      <w:tab/>
      <w:t xml:space="preserve"> מדינת ישראל נ' מוחמד חלאק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7820CC"/>
    <w:multiLevelType w:val="hybridMultilevel"/>
    <w:tmpl w:val="2BA48AB0"/>
    <w:lvl w:ilvl="0" w:tplc="E36C4FBC">
      <w:start w:val="3"/>
      <w:numFmt w:val="hebrew1"/>
      <w:lvlText w:val="%1."/>
      <w:lvlJc w:val="left"/>
      <w:pPr>
        <w:tabs>
          <w:tab w:val="num" w:pos="1440"/>
        </w:tabs>
        <w:ind w:left="1440" w:hanging="720"/>
      </w:pPr>
      <w:rPr>
        <w:rFonts w:cs="David" w:hint="default"/>
        <w:sz w:val="26"/>
        <w:szCs w:val="26"/>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16cid:durableId="554245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3BB5"/>
    <w:rsid w:val="001F548B"/>
    <w:rsid w:val="00313BB5"/>
    <w:rsid w:val="003C5B0A"/>
    <w:rsid w:val="003E483B"/>
    <w:rsid w:val="00743C23"/>
    <w:rsid w:val="007B0797"/>
    <w:rsid w:val="0083394F"/>
    <w:rsid w:val="008925FB"/>
    <w:rsid w:val="008E6518"/>
    <w:rsid w:val="0090566B"/>
    <w:rsid w:val="00C95D44"/>
    <w:rsid w:val="00DF5B80"/>
    <w:rsid w:val="00F01D47"/>
    <w:rsid w:val="00F6378B"/>
    <w:rsid w:val="00F742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98F2EF3"/>
  <w15:chartTrackingRefBased/>
  <w15:docId w15:val="{6EB8091F-6DAF-4366-8A7D-0AB196B5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3BB5"/>
    <w:pPr>
      <w:bidi/>
    </w:pPr>
    <w:rPr>
      <w:rFonts w:cs="David"/>
      <w:sz w:val="24"/>
      <w:szCs w:val="24"/>
    </w:rPr>
  </w:style>
  <w:style w:type="paragraph" w:styleId="3">
    <w:name w:val="heading 3"/>
    <w:basedOn w:val="a"/>
    <w:next w:val="a"/>
    <w:link w:val="30"/>
    <w:qFormat/>
    <w:rsid w:val="00313BB5"/>
    <w:pPr>
      <w:keepNext/>
      <w:spacing w:line="360" w:lineRule="auto"/>
      <w:jc w:val="both"/>
      <w:outlineLvl w:val="2"/>
    </w:pPr>
    <w:rPr>
      <w:b/>
      <w:bCs/>
      <w:noProof/>
      <w:sz w:val="20"/>
      <w:lang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13BB5"/>
    <w:pPr>
      <w:tabs>
        <w:tab w:val="center" w:pos="4153"/>
        <w:tab w:val="right" w:pos="8306"/>
      </w:tabs>
    </w:pPr>
  </w:style>
  <w:style w:type="paragraph" w:styleId="a4">
    <w:name w:val="footer"/>
    <w:basedOn w:val="a"/>
    <w:rsid w:val="00313BB5"/>
    <w:pPr>
      <w:tabs>
        <w:tab w:val="center" w:pos="4153"/>
        <w:tab w:val="right" w:pos="8306"/>
      </w:tabs>
    </w:pPr>
  </w:style>
  <w:style w:type="character" w:styleId="a5">
    <w:name w:val="page number"/>
    <w:basedOn w:val="a0"/>
    <w:rsid w:val="00313BB5"/>
  </w:style>
  <w:style w:type="paragraph" w:customStyle="1" w:styleId="Ruller4">
    <w:name w:val="Ruller4"/>
    <w:basedOn w:val="a"/>
    <w:rsid w:val="00313BB5"/>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character" w:customStyle="1" w:styleId="30">
    <w:name w:val="כותרת 3 תו"/>
    <w:link w:val="3"/>
    <w:rsid w:val="00313BB5"/>
    <w:rPr>
      <w:rFonts w:cs="David"/>
      <w:b/>
      <w:bCs/>
      <w:noProof/>
      <w:szCs w:val="24"/>
      <w:lang w:val="en-US" w:eastAsia="he-IL" w:bidi="he-IL"/>
    </w:rPr>
  </w:style>
  <w:style w:type="character" w:styleId="Hyperlink">
    <w:name w:val="Hyperlink"/>
    <w:rsid w:val="00C95D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6072945" TargetMode="External"/><Relationship Id="rId21" Type="http://schemas.openxmlformats.org/officeDocument/2006/relationships/hyperlink" Target="http://www.nevo.co.il/law/70301"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0g"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040482"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40i" TargetMode="External"/><Relationship Id="rId29" Type="http://schemas.openxmlformats.org/officeDocument/2006/relationships/hyperlink" Target="http://www.nevo.co.il/law/70301/40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f" TargetMode="External"/><Relationship Id="rId24" Type="http://schemas.openxmlformats.org/officeDocument/2006/relationships/hyperlink" Target="http://www.nevo.co.il/case/17929065"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6118595" TargetMode="External"/><Relationship Id="rId28" Type="http://schemas.openxmlformats.org/officeDocument/2006/relationships/hyperlink" Target="http://www.nevo.co.il/law/70301/40e" TargetMode="External"/><Relationship Id="rId36" Type="http://schemas.openxmlformats.org/officeDocument/2006/relationships/fontTable" Target="fontTable.xml"/><Relationship Id="rId10" Type="http://schemas.openxmlformats.org/officeDocument/2006/relationships/hyperlink" Target="http://www.nevo.co.il/law/70301/40e" TargetMode="External"/><Relationship Id="rId19" Type="http://schemas.openxmlformats.org/officeDocument/2006/relationships/hyperlink" Target="http://www.nevo.co.il/law/70301/40b" TargetMode="External"/><Relationship Id="rId31" Type="http://schemas.openxmlformats.org/officeDocument/2006/relationships/hyperlink" Target="http://www.nevo.co.il/case/6000182" TargetMode="External"/><Relationship Id="rId4" Type="http://schemas.openxmlformats.org/officeDocument/2006/relationships/webSettings" Target="webSettings.xml"/><Relationship Id="rId9" Type="http://schemas.openxmlformats.org/officeDocument/2006/relationships/hyperlink" Target="http://www.nevo.co.il/law/70301/40d.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5852404" TargetMode="External"/><Relationship Id="rId27" Type="http://schemas.openxmlformats.org/officeDocument/2006/relationships/hyperlink" Target="http://www.nevo.co.il/law/70301/40d.a" TargetMode="External"/><Relationship Id="rId30" Type="http://schemas.openxmlformats.org/officeDocument/2006/relationships/hyperlink" Target="http://www.nevo.co.il/law/70301/40g" TargetMode="External"/><Relationship Id="rId35" Type="http://schemas.openxmlformats.org/officeDocument/2006/relationships/footer" Target="footer2.xml"/><Relationship Id="rId8" Type="http://schemas.openxmlformats.org/officeDocument/2006/relationships/hyperlink" Target="http://www.nevo.co.il/law/70301/40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1472</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8817</CharactersWithSpaces>
  <SharedDoc>false</SharedDoc>
  <HLinks>
    <vt:vector size="150" baseType="variant">
      <vt:variant>
        <vt:i4>3473532</vt:i4>
      </vt:variant>
      <vt:variant>
        <vt:i4>72</vt:i4>
      </vt:variant>
      <vt:variant>
        <vt:i4>0</vt:i4>
      </vt:variant>
      <vt:variant>
        <vt:i4>5</vt:i4>
      </vt:variant>
      <vt:variant>
        <vt:lpwstr>http://www.nevo.co.il/case/6000182</vt:lpwstr>
      </vt:variant>
      <vt:variant>
        <vt:lpwstr/>
      </vt:variant>
      <vt:variant>
        <vt:i4>6619233</vt:i4>
      </vt:variant>
      <vt:variant>
        <vt:i4>69</vt:i4>
      </vt:variant>
      <vt:variant>
        <vt:i4>0</vt:i4>
      </vt:variant>
      <vt:variant>
        <vt:i4>5</vt:i4>
      </vt:variant>
      <vt:variant>
        <vt:lpwstr>http://www.nevo.co.il/law/70301/40g</vt:lpwstr>
      </vt:variant>
      <vt:variant>
        <vt:lpwstr/>
      </vt:variant>
      <vt:variant>
        <vt:i4>6619233</vt:i4>
      </vt:variant>
      <vt:variant>
        <vt:i4>66</vt:i4>
      </vt:variant>
      <vt:variant>
        <vt:i4>0</vt:i4>
      </vt:variant>
      <vt:variant>
        <vt:i4>5</vt:i4>
      </vt:variant>
      <vt:variant>
        <vt:lpwstr>http://www.nevo.co.il/law/70301/40f</vt:lpwstr>
      </vt:variant>
      <vt:variant>
        <vt:lpwstr/>
      </vt:variant>
      <vt:variant>
        <vt:i4>6619233</vt:i4>
      </vt:variant>
      <vt:variant>
        <vt:i4>63</vt:i4>
      </vt:variant>
      <vt:variant>
        <vt:i4>0</vt:i4>
      </vt:variant>
      <vt:variant>
        <vt:i4>5</vt:i4>
      </vt:variant>
      <vt:variant>
        <vt:lpwstr>http://www.nevo.co.il/law/70301/40e</vt:lpwstr>
      </vt:variant>
      <vt:variant>
        <vt:lpwstr/>
      </vt:variant>
      <vt:variant>
        <vt:i4>4915205</vt:i4>
      </vt:variant>
      <vt:variant>
        <vt:i4>60</vt:i4>
      </vt:variant>
      <vt:variant>
        <vt:i4>0</vt:i4>
      </vt:variant>
      <vt:variant>
        <vt:i4>5</vt:i4>
      </vt:variant>
      <vt:variant>
        <vt:lpwstr>http://www.nevo.co.il/law/70301/40d.a</vt:lpwstr>
      </vt:variant>
      <vt:variant>
        <vt:lpwstr/>
      </vt:variant>
      <vt:variant>
        <vt:i4>3997810</vt:i4>
      </vt:variant>
      <vt:variant>
        <vt:i4>57</vt:i4>
      </vt:variant>
      <vt:variant>
        <vt:i4>0</vt:i4>
      </vt:variant>
      <vt:variant>
        <vt:i4>5</vt:i4>
      </vt:variant>
      <vt:variant>
        <vt:lpwstr>http://www.nevo.co.il/case/6072945</vt:lpwstr>
      </vt:variant>
      <vt:variant>
        <vt:lpwstr/>
      </vt:variant>
      <vt:variant>
        <vt:i4>3407996</vt:i4>
      </vt:variant>
      <vt:variant>
        <vt:i4>54</vt:i4>
      </vt:variant>
      <vt:variant>
        <vt:i4>0</vt:i4>
      </vt:variant>
      <vt:variant>
        <vt:i4>5</vt:i4>
      </vt:variant>
      <vt:variant>
        <vt:lpwstr>http://www.nevo.co.il/case/6040482</vt:lpwstr>
      </vt:variant>
      <vt:variant>
        <vt:lpwstr/>
      </vt:variant>
      <vt:variant>
        <vt:i4>3604593</vt:i4>
      </vt:variant>
      <vt:variant>
        <vt:i4>51</vt:i4>
      </vt:variant>
      <vt:variant>
        <vt:i4>0</vt:i4>
      </vt:variant>
      <vt:variant>
        <vt:i4>5</vt:i4>
      </vt:variant>
      <vt:variant>
        <vt:lpwstr>http://www.nevo.co.il/case/17929065</vt:lpwstr>
      </vt:variant>
      <vt:variant>
        <vt:lpwstr/>
      </vt:variant>
      <vt:variant>
        <vt:i4>3604596</vt:i4>
      </vt:variant>
      <vt:variant>
        <vt:i4>48</vt:i4>
      </vt:variant>
      <vt:variant>
        <vt:i4>0</vt:i4>
      </vt:variant>
      <vt:variant>
        <vt:i4>5</vt:i4>
      </vt:variant>
      <vt:variant>
        <vt:lpwstr>http://www.nevo.co.il/case/6118595</vt:lpwstr>
      </vt:variant>
      <vt:variant>
        <vt:lpwstr/>
      </vt:variant>
      <vt:variant>
        <vt:i4>3145854</vt:i4>
      </vt:variant>
      <vt:variant>
        <vt:i4>45</vt:i4>
      </vt:variant>
      <vt:variant>
        <vt:i4>0</vt:i4>
      </vt:variant>
      <vt:variant>
        <vt:i4>5</vt:i4>
      </vt:variant>
      <vt:variant>
        <vt:lpwstr>http://www.nevo.co.il/case/5852404</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6619233</vt:i4>
      </vt:variant>
      <vt:variant>
        <vt:i4>39</vt:i4>
      </vt:variant>
      <vt:variant>
        <vt:i4>0</vt:i4>
      </vt:variant>
      <vt:variant>
        <vt:i4>5</vt:i4>
      </vt:variant>
      <vt:variant>
        <vt:lpwstr>http://www.nevo.co.il/law/70301/40i</vt:lpwstr>
      </vt:variant>
      <vt:variant>
        <vt:lpwstr/>
      </vt:variant>
      <vt:variant>
        <vt:i4>6619233</vt:i4>
      </vt:variant>
      <vt:variant>
        <vt:i4>36</vt:i4>
      </vt:variant>
      <vt:variant>
        <vt:i4>0</vt:i4>
      </vt:variant>
      <vt:variant>
        <vt:i4>5</vt:i4>
      </vt:variant>
      <vt:variant>
        <vt:lpwstr>http://www.nevo.co.il/law/70301/40b</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6619233</vt:i4>
      </vt:variant>
      <vt:variant>
        <vt:i4>12</vt:i4>
      </vt:variant>
      <vt:variant>
        <vt:i4>0</vt:i4>
      </vt:variant>
      <vt:variant>
        <vt:i4>5</vt:i4>
      </vt:variant>
      <vt:variant>
        <vt:lpwstr>http://www.nevo.co.il/law/70301/40f</vt:lpwstr>
      </vt:variant>
      <vt:variant>
        <vt:lpwstr/>
      </vt:variant>
      <vt:variant>
        <vt:i4>6619233</vt:i4>
      </vt:variant>
      <vt:variant>
        <vt:i4>9</vt:i4>
      </vt:variant>
      <vt:variant>
        <vt:i4>0</vt:i4>
      </vt:variant>
      <vt:variant>
        <vt:i4>5</vt:i4>
      </vt:variant>
      <vt:variant>
        <vt:lpwstr>http://www.nevo.co.il/law/70301/40e</vt:lpwstr>
      </vt:variant>
      <vt:variant>
        <vt:lpwstr/>
      </vt:variant>
      <vt:variant>
        <vt:i4>4915205</vt:i4>
      </vt:variant>
      <vt:variant>
        <vt:i4>6</vt:i4>
      </vt:variant>
      <vt:variant>
        <vt:i4>0</vt:i4>
      </vt:variant>
      <vt:variant>
        <vt:i4>5</vt:i4>
      </vt:variant>
      <vt:variant>
        <vt:lpwstr>http://www.nevo.co.il/law/70301/40d.a</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2025-04-25T10:29:00Z</dcterms:created>
  <dcterms:modified xsi:type="dcterms:W3CDTF">2025-04-25T10:29:00Z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11953</vt:lpwstr>
  </property>
  <property fmtid="{D5CDD505-2E9C-101B-9397-08002B2CF9AE}" pid="6" name="NEWPARTB">
    <vt:lpwstr>01</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מוחמד חלאק</vt:lpwstr>
  </property>
  <property fmtid="{D5CDD505-2E9C-101B-9397-08002B2CF9AE}" pid="10" name="LAWYER">
    <vt:lpwstr>הילה בניטה;איברהים אבו גוש</vt:lpwstr>
  </property>
  <property fmtid="{D5CDD505-2E9C-101B-9397-08002B2CF9AE}" pid="11" name="JUDGE">
    <vt:lpwstr>צבי סגל</vt:lpwstr>
  </property>
  <property fmtid="{D5CDD505-2E9C-101B-9397-08002B2CF9AE}" pid="12" name="CITY">
    <vt:lpwstr>י-ם</vt:lpwstr>
  </property>
  <property fmtid="{D5CDD505-2E9C-101B-9397-08002B2CF9AE}" pid="13" name="DATE">
    <vt:lpwstr>20130414</vt:lpwstr>
  </property>
  <property fmtid="{D5CDD505-2E9C-101B-9397-08002B2CF9AE}" pid="14" name="TYPE_N_DATE">
    <vt:lpwstr>39020130414</vt:lpwstr>
  </property>
  <property fmtid="{D5CDD505-2E9C-101B-9397-08002B2CF9AE}" pid="15" name="WORDNUMPAGES">
    <vt:lpwstr>7</vt:lpwstr>
  </property>
  <property fmtid="{D5CDD505-2E9C-101B-9397-08002B2CF9AE}" pid="16" name="TYPE_ABS_DATE">
    <vt:lpwstr>390020130414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5852404;6118595;17929065;6040482;6072945;6000182</vt:lpwstr>
  </property>
  <property fmtid="{D5CDD505-2E9C-101B-9397-08002B2CF9AE}" pid="36" name="LAWLISTTMP1">
    <vt:lpwstr>70301/144.a;040b;040i;040d.a;040e;040f;040g</vt:lpwstr>
  </property>
</Properties>
</file>