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EF7F4A" w:rsidRPr="006230B9" w14:paraId="2F45DC19" w14:textId="77777777">
        <w:trPr>
          <w:trHeight w:hRule="exact" w:val="418"/>
          <w:jc w:val="center"/>
        </w:trPr>
        <w:tc>
          <w:tcPr>
            <w:tcW w:w="8721" w:type="dxa"/>
            <w:gridSpan w:val="2"/>
          </w:tcPr>
          <w:p w14:paraId="41929408" w14:textId="77777777" w:rsidR="00EF7F4A" w:rsidRPr="006230B9" w:rsidRDefault="006230B9">
            <w:pPr>
              <w:pStyle w:val="a3"/>
              <w:jc w:val="center"/>
              <w:rPr>
                <w:rFonts w:ascii="Tahoma" w:hAnsi="Tahoma"/>
                <w:b/>
                <w:bCs/>
                <w:color w:val="000080"/>
                <w:rtl/>
              </w:rPr>
            </w:pPr>
            <w:bookmarkStart w:id="0" w:name="LastJudge"/>
            <w:r w:rsidRPr="006230B9">
              <w:rPr>
                <w:rFonts w:ascii="Tahoma" w:hAnsi="Tahoma"/>
                <w:b/>
                <w:bCs/>
                <w:color w:val="000080"/>
                <w:rtl/>
              </w:rPr>
              <w:t>בית המשפט המחוזי בתל אביב - יפו</w:t>
            </w:r>
          </w:p>
        </w:tc>
      </w:tr>
      <w:tr w:rsidR="00EF7F4A" w:rsidRPr="006230B9" w14:paraId="5C863022" w14:textId="77777777">
        <w:trPr>
          <w:trHeight w:val="337"/>
          <w:jc w:val="center"/>
        </w:trPr>
        <w:tc>
          <w:tcPr>
            <w:tcW w:w="5048" w:type="dxa"/>
          </w:tcPr>
          <w:p w14:paraId="26197D81" w14:textId="77777777" w:rsidR="00EF7F4A" w:rsidRPr="006230B9" w:rsidRDefault="006230B9">
            <w:pPr>
              <w:rPr>
                <w:b/>
                <w:bCs/>
                <w:rtl/>
              </w:rPr>
            </w:pPr>
            <w:r w:rsidRPr="006230B9">
              <w:rPr>
                <w:b/>
                <w:bCs/>
                <w:rtl/>
              </w:rPr>
              <w:t>ת"פ</w:t>
            </w:r>
            <w:r w:rsidRPr="006230B9">
              <w:rPr>
                <w:rFonts w:hint="cs"/>
                <w:b/>
                <w:bCs/>
                <w:rtl/>
              </w:rPr>
              <w:t xml:space="preserve"> </w:t>
            </w:r>
            <w:r w:rsidRPr="006230B9">
              <w:rPr>
                <w:b/>
                <w:bCs/>
                <w:rtl/>
              </w:rPr>
              <w:t>59967-01-13</w:t>
            </w:r>
            <w:r w:rsidRPr="006230B9">
              <w:rPr>
                <w:rFonts w:hint="cs"/>
                <w:b/>
                <w:bCs/>
                <w:rtl/>
              </w:rPr>
              <w:t xml:space="preserve"> </w:t>
            </w:r>
            <w:r w:rsidRPr="006230B9">
              <w:rPr>
                <w:b/>
                <w:bCs/>
                <w:rtl/>
              </w:rPr>
              <w:t>מדינת ישראל נ' פיטר</w:t>
            </w:r>
          </w:p>
          <w:p w14:paraId="3AF09036" w14:textId="77777777" w:rsidR="00EF7F4A" w:rsidRPr="006230B9" w:rsidRDefault="00EF7F4A">
            <w:pPr>
              <w:pStyle w:val="a3"/>
              <w:rPr>
                <w:b/>
                <w:bCs/>
                <w:rtl/>
              </w:rPr>
            </w:pPr>
          </w:p>
        </w:tc>
        <w:tc>
          <w:tcPr>
            <w:tcW w:w="3673" w:type="dxa"/>
          </w:tcPr>
          <w:p w14:paraId="39D932FF" w14:textId="77777777" w:rsidR="00EF7F4A" w:rsidRPr="006230B9" w:rsidRDefault="006230B9">
            <w:pPr>
              <w:pStyle w:val="a3"/>
              <w:jc w:val="right"/>
              <w:rPr>
                <w:b/>
                <w:bCs/>
                <w:rtl/>
              </w:rPr>
            </w:pPr>
            <w:r w:rsidRPr="006230B9">
              <w:rPr>
                <w:rFonts w:hint="cs"/>
                <w:b/>
                <w:bCs/>
                <w:rtl/>
              </w:rPr>
              <w:t>8.4.14</w:t>
            </w:r>
          </w:p>
        </w:tc>
      </w:tr>
    </w:tbl>
    <w:p w14:paraId="22F17DD7" w14:textId="77777777" w:rsidR="00EF7F4A" w:rsidRPr="006230B9" w:rsidRDefault="006230B9">
      <w:pPr>
        <w:pStyle w:val="a3"/>
        <w:rPr>
          <w:b/>
          <w:bCs/>
          <w:rtl/>
        </w:rPr>
      </w:pPr>
      <w:r w:rsidRPr="006230B9">
        <w:rPr>
          <w:rFonts w:hint="cs"/>
          <w:b/>
          <w:bCs/>
          <w:rtl/>
        </w:rPr>
        <w:t xml:space="preserve"> </w:t>
      </w:r>
    </w:p>
    <w:p w14:paraId="257573C1" w14:textId="77777777" w:rsidR="00EF7F4A" w:rsidRPr="006230B9" w:rsidRDefault="00EF7F4A">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7F4A" w:rsidRPr="006230B9" w14:paraId="2D8B6807" w14:textId="77777777">
        <w:trPr>
          <w:trHeight w:val="295"/>
          <w:jc w:val="center"/>
        </w:trPr>
        <w:tc>
          <w:tcPr>
            <w:tcW w:w="923" w:type="dxa"/>
            <w:tcBorders>
              <w:top w:val="nil"/>
              <w:left w:val="nil"/>
              <w:bottom w:val="nil"/>
              <w:right w:val="nil"/>
            </w:tcBorders>
          </w:tcPr>
          <w:p w14:paraId="25E67401" w14:textId="77777777" w:rsidR="00EF7F4A" w:rsidRPr="006230B9" w:rsidRDefault="006230B9">
            <w:pPr>
              <w:jc w:val="both"/>
              <w:rPr>
                <w:rFonts w:ascii="Arial" w:hAnsi="Arial"/>
                <w:b/>
                <w:bCs/>
                <w:sz w:val="26"/>
                <w:szCs w:val="26"/>
              </w:rPr>
            </w:pPr>
            <w:r w:rsidRPr="006230B9">
              <w:rPr>
                <w:rFonts w:ascii="Arial" w:hAnsi="Arial" w:hint="cs"/>
                <w:b/>
                <w:bCs/>
                <w:sz w:val="26"/>
                <w:szCs w:val="26"/>
                <w:rtl/>
              </w:rPr>
              <w:t>ב</w:t>
            </w:r>
            <w:r w:rsidRPr="006230B9">
              <w:rPr>
                <w:rFonts w:ascii="Arial" w:hAnsi="Arial"/>
                <w:b/>
                <w:bCs/>
                <w:sz w:val="26"/>
                <w:szCs w:val="26"/>
                <w:rtl/>
              </w:rPr>
              <w:t xml:space="preserve">פני </w:t>
            </w:r>
          </w:p>
        </w:tc>
        <w:tc>
          <w:tcPr>
            <w:tcW w:w="7897" w:type="dxa"/>
            <w:gridSpan w:val="2"/>
            <w:tcBorders>
              <w:top w:val="nil"/>
              <w:left w:val="nil"/>
              <w:bottom w:val="nil"/>
              <w:right w:val="nil"/>
            </w:tcBorders>
          </w:tcPr>
          <w:p w14:paraId="14FD0962" w14:textId="77777777" w:rsidR="00EF7F4A" w:rsidRPr="006230B9" w:rsidRDefault="006230B9">
            <w:pPr>
              <w:jc w:val="both"/>
              <w:rPr>
                <w:rFonts w:ascii="Arial" w:hAnsi="Arial"/>
                <w:b/>
                <w:bCs/>
                <w:sz w:val="26"/>
                <w:szCs w:val="26"/>
                <w:rtl/>
              </w:rPr>
            </w:pPr>
            <w:r w:rsidRPr="006230B9">
              <w:rPr>
                <w:rFonts w:ascii="Arial" w:hAnsi="Arial" w:hint="cs"/>
                <w:b/>
                <w:bCs/>
                <w:sz w:val="26"/>
                <w:szCs w:val="26"/>
                <w:rtl/>
              </w:rPr>
              <w:t>כב' ה</w:t>
            </w:r>
            <w:r w:rsidRPr="006230B9">
              <w:rPr>
                <w:rFonts w:hint="cs"/>
                <w:b/>
                <w:bCs/>
                <w:sz w:val="26"/>
                <w:szCs w:val="26"/>
                <w:rtl/>
              </w:rPr>
              <w:t>שופטת</w:t>
            </w:r>
            <w:r w:rsidRPr="006230B9">
              <w:rPr>
                <w:rFonts w:ascii="Arial" w:hAnsi="Arial" w:hint="cs"/>
                <w:b/>
                <w:bCs/>
                <w:sz w:val="26"/>
                <w:szCs w:val="26"/>
                <w:rtl/>
              </w:rPr>
              <w:t xml:space="preserve">  </w:t>
            </w:r>
            <w:r w:rsidRPr="006230B9">
              <w:rPr>
                <w:rFonts w:hint="cs"/>
                <w:b/>
                <w:bCs/>
                <w:sz w:val="26"/>
                <w:szCs w:val="26"/>
                <w:rtl/>
              </w:rPr>
              <w:t>יהודית אמסטרדם</w:t>
            </w:r>
          </w:p>
          <w:p w14:paraId="4A5D9EDC" w14:textId="77777777" w:rsidR="00EF7F4A" w:rsidRPr="006230B9" w:rsidRDefault="00EF7F4A">
            <w:pPr>
              <w:jc w:val="both"/>
              <w:rPr>
                <w:b/>
                <w:bCs/>
                <w:sz w:val="26"/>
                <w:szCs w:val="26"/>
                <w:rtl/>
              </w:rPr>
            </w:pPr>
          </w:p>
          <w:p w14:paraId="04A448D9" w14:textId="77777777" w:rsidR="00EF7F4A" w:rsidRPr="006230B9" w:rsidRDefault="00EF7F4A">
            <w:pPr>
              <w:jc w:val="both"/>
              <w:rPr>
                <w:rFonts w:ascii="Arial" w:hAnsi="Arial"/>
                <w:b/>
                <w:bCs/>
                <w:sz w:val="26"/>
                <w:szCs w:val="26"/>
              </w:rPr>
            </w:pPr>
          </w:p>
        </w:tc>
      </w:tr>
      <w:tr w:rsidR="00EF7F4A" w:rsidRPr="006230B9" w14:paraId="26F45F34" w14:textId="77777777">
        <w:trPr>
          <w:trHeight w:val="355"/>
          <w:jc w:val="center"/>
        </w:trPr>
        <w:tc>
          <w:tcPr>
            <w:tcW w:w="923" w:type="dxa"/>
            <w:tcBorders>
              <w:top w:val="nil"/>
              <w:left w:val="nil"/>
              <w:bottom w:val="nil"/>
              <w:right w:val="nil"/>
            </w:tcBorders>
          </w:tcPr>
          <w:p w14:paraId="58229B0D" w14:textId="77777777" w:rsidR="00EF7F4A" w:rsidRPr="006230B9" w:rsidRDefault="006230B9">
            <w:pPr>
              <w:jc w:val="both"/>
              <w:rPr>
                <w:rFonts w:ascii="Arial" w:hAnsi="Arial"/>
                <w:b/>
                <w:bCs/>
                <w:sz w:val="26"/>
                <w:szCs w:val="26"/>
              </w:rPr>
            </w:pPr>
            <w:bookmarkStart w:id="1" w:name="FirstAppellant"/>
            <w:r w:rsidRPr="006230B9">
              <w:rPr>
                <w:rFonts w:ascii="Arial" w:hAnsi="Arial" w:hint="cs"/>
                <w:b/>
                <w:bCs/>
                <w:sz w:val="26"/>
                <w:szCs w:val="26"/>
                <w:rtl/>
              </w:rPr>
              <w:t>בעניין:</w:t>
            </w:r>
          </w:p>
        </w:tc>
        <w:tc>
          <w:tcPr>
            <w:tcW w:w="4126" w:type="dxa"/>
            <w:tcBorders>
              <w:top w:val="nil"/>
              <w:left w:val="nil"/>
              <w:bottom w:val="nil"/>
              <w:right w:val="nil"/>
            </w:tcBorders>
          </w:tcPr>
          <w:p w14:paraId="42A318A4" w14:textId="77777777" w:rsidR="00EF7F4A" w:rsidRPr="006230B9" w:rsidRDefault="006230B9">
            <w:pPr>
              <w:jc w:val="both"/>
              <w:rPr>
                <w:b/>
                <w:bCs/>
                <w:sz w:val="26"/>
                <w:szCs w:val="26"/>
              </w:rPr>
            </w:pPr>
            <w:r w:rsidRPr="006230B9">
              <w:rPr>
                <w:rFonts w:hint="cs"/>
                <w:b/>
                <w:bCs/>
                <w:sz w:val="26"/>
                <w:szCs w:val="26"/>
                <w:rtl/>
              </w:rPr>
              <w:t>מדינת ישראל</w:t>
            </w:r>
          </w:p>
        </w:tc>
        <w:tc>
          <w:tcPr>
            <w:tcW w:w="3771" w:type="dxa"/>
            <w:tcBorders>
              <w:top w:val="nil"/>
              <w:left w:val="nil"/>
              <w:bottom w:val="nil"/>
              <w:right w:val="nil"/>
            </w:tcBorders>
          </w:tcPr>
          <w:p w14:paraId="05F51A08" w14:textId="77777777" w:rsidR="00EF7F4A" w:rsidRPr="006230B9" w:rsidRDefault="00EF7F4A">
            <w:pPr>
              <w:jc w:val="both"/>
              <w:rPr>
                <w:rFonts w:ascii="Arial" w:hAnsi="Arial"/>
                <w:b/>
                <w:bCs/>
                <w:sz w:val="26"/>
                <w:szCs w:val="26"/>
              </w:rPr>
            </w:pPr>
          </w:p>
        </w:tc>
      </w:tr>
      <w:tr w:rsidR="00EF7F4A" w:rsidRPr="006230B9" w14:paraId="05CC734A" w14:textId="77777777">
        <w:trPr>
          <w:trHeight w:val="355"/>
          <w:jc w:val="center"/>
        </w:trPr>
        <w:tc>
          <w:tcPr>
            <w:tcW w:w="923" w:type="dxa"/>
            <w:tcBorders>
              <w:top w:val="nil"/>
              <w:left w:val="nil"/>
              <w:bottom w:val="nil"/>
              <w:right w:val="nil"/>
            </w:tcBorders>
          </w:tcPr>
          <w:p w14:paraId="07F50D82" w14:textId="77777777" w:rsidR="00EF7F4A" w:rsidRPr="006230B9" w:rsidRDefault="00EF7F4A">
            <w:pPr>
              <w:jc w:val="both"/>
              <w:rPr>
                <w:rFonts w:ascii="Arial" w:hAnsi="Arial"/>
                <w:b/>
                <w:bCs/>
                <w:sz w:val="26"/>
                <w:szCs w:val="26"/>
                <w:rtl/>
              </w:rPr>
            </w:pPr>
            <w:bookmarkStart w:id="2" w:name="FirstLawyer"/>
            <w:bookmarkEnd w:id="1"/>
          </w:p>
        </w:tc>
        <w:tc>
          <w:tcPr>
            <w:tcW w:w="4126" w:type="dxa"/>
            <w:tcBorders>
              <w:top w:val="nil"/>
              <w:left w:val="nil"/>
              <w:bottom w:val="nil"/>
              <w:right w:val="nil"/>
            </w:tcBorders>
          </w:tcPr>
          <w:p w14:paraId="5F13EFDE" w14:textId="77777777" w:rsidR="00EF7F4A" w:rsidRPr="006230B9" w:rsidRDefault="006230B9">
            <w:pPr>
              <w:jc w:val="both"/>
              <w:rPr>
                <w:b/>
                <w:bCs/>
                <w:sz w:val="26"/>
                <w:szCs w:val="26"/>
                <w:rtl/>
              </w:rPr>
            </w:pPr>
            <w:r w:rsidRPr="006230B9">
              <w:rPr>
                <w:rFonts w:hint="cs"/>
                <w:b/>
                <w:bCs/>
                <w:sz w:val="26"/>
                <w:szCs w:val="26"/>
                <w:rtl/>
              </w:rPr>
              <w:t>ע"י ב"כ עו"ד אסף שביט</w:t>
            </w:r>
          </w:p>
        </w:tc>
        <w:tc>
          <w:tcPr>
            <w:tcW w:w="3771" w:type="dxa"/>
            <w:tcBorders>
              <w:top w:val="nil"/>
              <w:left w:val="nil"/>
              <w:bottom w:val="nil"/>
              <w:right w:val="nil"/>
            </w:tcBorders>
          </w:tcPr>
          <w:p w14:paraId="1AE607F8" w14:textId="77777777" w:rsidR="00EF7F4A" w:rsidRPr="006230B9" w:rsidRDefault="006230B9">
            <w:pPr>
              <w:jc w:val="both"/>
              <w:rPr>
                <w:rFonts w:ascii="Arial" w:hAnsi="Arial"/>
                <w:b/>
                <w:bCs/>
                <w:sz w:val="26"/>
                <w:szCs w:val="26"/>
                <w:rtl/>
              </w:rPr>
            </w:pPr>
            <w:r w:rsidRPr="006230B9">
              <w:rPr>
                <w:rFonts w:ascii="Arial" w:hAnsi="Arial" w:hint="cs"/>
                <w:b/>
                <w:bCs/>
                <w:sz w:val="26"/>
                <w:szCs w:val="26"/>
                <w:rtl/>
              </w:rPr>
              <w:t>ה</w:t>
            </w:r>
            <w:r w:rsidRPr="006230B9">
              <w:rPr>
                <w:rFonts w:hint="cs"/>
                <w:b/>
                <w:bCs/>
                <w:sz w:val="26"/>
                <w:szCs w:val="26"/>
                <w:rtl/>
              </w:rPr>
              <w:t>מאשימה</w:t>
            </w:r>
          </w:p>
        </w:tc>
      </w:tr>
      <w:bookmarkEnd w:id="2"/>
      <w:tr w:rsidR="00EF7F4A" w:rsidRPr="006230B9" w14:paraId="6EBF5BCA" w14:textId="77777777">
        <w:trPr>
          <w:trHeight w:val="355"/>
          <w:jc w:val="center"/>
        </w:trPr>
        <w:tc>
          <w:tcPr>
            <w:tcW w:w="923" w:type="dxa"/>
            <w:tcBorders>
              <w:top w:val="nil"/>
              <w:left w:val="nil"/>
              <w:bottom w:val="nil"/>
              <w:right w:val="nil"/>
            </w:tcBorders>
          </w:tcPr>
          <w:p w14:paraId="0F6F8838" w14:textId="77777777" w:rsidR="00EF7F4A" w:rsidRPr="006230B9" w:rsidRDefault="00EF7F4A">
            <w:pPr>
              <w:jc w:val="both"/>
              <w:rPr>
                <w:rFonts w:ascii="Arial" w:hAnsi="Arial"/>
                <w:b/>
                <w:bCs/>
                <w:sz w:val="26"/>
                <w:szCs w:val="26"/>
                <w:rtl/>
              </w:rPr>
            </w:pPr>
          </w:p>
        </w:tc>
        <w:tc>
          <w:tcPr>
            <w:tcW w:w="7897" w:type="dxa"/>
            <w:gridSpan w:val="2"/>
            <w:tcBorders>
              <w:top w:val="nil"/>
              <w:left w:val="nil"/>
              <w:bottom w:val="nil"/>
              <w:right w:val="nil"/>
            </w:tcBorders>
          </w:tcPr>
          <w:p w14:paraId="44C997DF" w14:textId="77777777" w:rsidR="00EF7F4A" w:rsidRPr="006230B9" w:rsidRDefault="00EF7F4A">
            <w:pPr>
              <w:jc w:val="both"/>
              <w:rPr>
                <w:rFonts w:ascii="Arial" w:hAnsi="Arial"/>
                <w:b/>
                <w:bCs/>
                <w:sz w:val="26"/>
                <w:szCs w:val="26"/>
                <w:rtl/>
              </w:rPr>
            </w:pPr>
          </w:p>
          <w:p w14:paraId="04D42374" w14:textId="77777777" w:rsidR="00EF7F4A" w:rsidRPr="006230B9" w:rsidRDefault="006230B9">
            <w:pPr>
              <w:jc w:val="both"/>
              <w:rPr>
                <w:rFonts w:ascii="Arial" w:hAnsi="Arial"/>
                <w:b/>
                <w:bCs/>
                <w:sz w:val="26"/>
                <w:szCs w:val="26"/>
                <w:rtl/>
              </w:rPr>
            </w:pPr>
            <w:r w:rsidRPr="006230B9">
              <w:rPr>
                <w:rFonts w:ascii="Arial" w:hAnsi="Arial"/>
                <w:b/>
                <w:bCs/>
                <w:sz w:val="26"/>
                <w:szCs w:val="26"/>
              </w:rPr>
              <w:t xml:space="preserve">          </w:t>
            </w:r>
            <w:r w:rsidRPr="006230B9">
              <w:rPr>
                <w:rFonts w:ascii="Arial" w:hAnsi="Arial"/>
                <w:b/>
                <w:bCs/>
                <w:sz w:val="26"/>
                <w:szCs w:val="26"/>
                <w:rtl/>
              </w:rPr>
              <w:t>נגד</w:t>
            </w:r>
            <w:r w:rsidRPr="006230B9">
              <w:rPr>
                <w:rFonts w:ascii="Arial" w:hAnsi="Arial"/>
                <w:b/>
                <w:bCs/>
                <w:sz w:val="26"/>
                <w:szCs w:val="26"/>
              </w:rPr>
              <w:t xml:space="preserve"> </w:t>
            </w:r>
          </w:p>
          <w:p w14:paraId="5960B9A9" w14:textId="77777777" w:rsidR="00EF7F4A" w:rsidRPr="006230B9" w:rsidRDefault="00EF7F4A">
            <w:pPr>
              <w:jc w:val="both"/>
              <w:rPr>
                <w:rFonts w:ascii="Arial" w:hAnsi="Arial"/>
                <w:b/>
                <w:bCs/>
                <w:sz w:val="26"/>
                <w:szCs w:val="26"/>
              </w:rPr>
            </w:pPr>
          </w:p>
        </w:tc>
      </w:tr>
      <w:tr w:rsidR="00EF7F4A" w:rsidRPr="006230B9" w14:paraId="56914BF3" w14:textId="77777777">
        <w:trPr>
          <w:trHeight w:val="355"/>
          <w:jc w:val="center"/>
        </w:trPr>
        <w:tc>
          <w:tcPr>
            <w:tcW w:w="923" w:type="dxa"/>
            <w:tcBorders>
              <w:top w:val="nil"/>
              <w:left w:val="nil"/>
              <w:bottom w:val="nil"/>
              <w:right w:val="nil"/>
            </w:tcBorders>
          </w:tcPr>
          <w:p w14:paraId="3E313497" w14:textId="77777777" w:rsidR="00EF7F4A" w:rsidRPr="006230B9" w:rsidRDefault="00EF7F4A">
            <w:pPr>
              <w:jc w:val="both"/>
              <w:rPr>
                <w:rFonts w:ascii="Arial" w:hAnsi="Arial"/>
                <w:b/>
                <w:bCs/>
                <w:sz w:val="26"/>
                <w:szCs w:val="26"/>
                <w:rtl/>
              </w:rPr>
            </w:pPr>
          </w:p>
        </w:tc>
        <w:tc>
          <w:tcPr>
            <w:tcW w:w="4126" w:type="dxa"/>
            <w:tcBorders>
              <w:top w:val="nil"/>
              <w:left w:val="nil"/>
              <w:bottom w:val="nil"/>
              <w:right w:val="nil"/>
            </w:tcBorders>
          </w:tcPr>
          <w:p w14:paraId="00BB6764" w14:textId="77777777" w:rsidR="00EF7F4A" w:rsidRPr="006230B9" w:rsidRDefault="006230B9">
            <w:pPr>
              <w:jc w:val="both"/>
              <w:rPr>
                <w:b/>
                <w:bCs/>
                <w:sz w:val="26"/>
                <w:szCs w:val="26"/>
                <w:rtl/>
              </w:rPr>
            </w:pPr>
            <w:r w:rsidRPr="006230B9">
              <w:rPr>
                <w:rFonts w:hint="cs"/>
                <w:b/>
                <w:bCs/>
                <w:sz w:val="26"/>
                <w:szCs w:val="26"/>
                <w:rtl/>
              </w:rPr>
              <w:t>מירבי פיטר</w:t>
            </w:r>
          </w:p>
        </w:tc>
        <w:tc>
          <w:tcPr>
            <w:tcW w:w="3771" w:type="dxa"/>
            <w:tcBorders>
              <w:top w:val="nil"/>
              <w:left w:val="nil"/>
              <w:bottom w:val="nil"/>
              <w:right w:val="nil"/>
            </w:tcBorders>
          </w:tcPr>
          <w:p w14:paraId="307A1556" w14:textId="77777777" w:rsidR="00EF7F4A" w:rsidRPr="006230B9" w:rsidRDefault="00EF7F4A">
            <w:pPr>
              <w:jc w:val="both"/>
              <w:rPr>
                <w:rFonts w:ascii="Arial" w:hAnsi="Arial"/>
                <w:b/>
                <w:bCs/>
                <w:sz w:val="26"/>
                <w:szCs w:val="26"/>
              </w:rPr>
            </w:pPr>
          </w:p>
        </w:tc>
      </w:tr>
      <w:tr w:rsidR="00EF7F4A" w:rsidRPr="006230B9" w14:paraId="4E0FDBCD" w14:textId="77777777">
        <w:trPr>
          <w:trHeight w:val="355"/>
          <w:jc w:val="center"/>
        </w:trPr>
        <w:tc>
          <w:tcPr>
            <w:tcW w:w="923" w:type="dxa"/>
            <w:tcBorders>
              <w:top w:val="nil"/>
              <w:left w:val="nil"/>
              <w:bottom w:val="nil"/>
              <w:right w:val="nil"/>
            </w:tcBorders>
          </w:tcPr>
          <w:p w14:paraId="1F1B881A" w14:textId="77777777" w:rsidR="00EF7F4A" w:rsidRPr="006230B9" w:rsidRDefault="00EF7F4A">
            <w:pPr>
              <w:jc w:val="both"/>
              <w:rPr>
                <w:rFonts w:ascii="Arial" w:hAnsi="Arial"/>
                <w:b/>
                <w:bCs/>
                <w:sz w:val="26"/>
                <w:szCs w:val="26"/>
                <w:rtl/>
              </w:rPr>
            </w:pPr>
          </w:p>
        </w:tc>
        <w:tc>
          <w:tcPr>
            <w:tcW w:w="4126" w:type="dxa"/>
            <w:tcBorders>
              <w:top w:val="nil"/>
              <w:left w:val="nil"/>
              <w:bottom w:val="nil"/>
              <w:right w:val="nil"/>
            </w:tcBorders>
          </w:tcPr>
          <w:p w14:paraId="7E410EEE" w14:textId="77777777" w:rsidR="00EF7F4A" w:rsidRPr="006230B9" w:rsidRDefault="006230B9">
            <w:pPr>
              <w:jc w:val="both"/>
              <w:rPr>
                <w:b/>
                <w:bCs/>
                <w:sz w:val="26"/>
                <w:szCs w:val="26"/>
                <w:rtl/>
              </w:rPr>
            </w:pPr>
            <w:r w:rsidRPr="006230B9">
              <w:rPr>
                <w:rFonts w:hint="cs"/>
                <w:b/>
                <w:bCs/>
                <w:sz w:val="26"/>
                <w:szCs w:val="26"/>
                <w:rtl/>
              </w:rPr>
              <w:t>ע"י ב"כ עו"ד רייטן-סטול</w:t>
            </w:r>
          </w:p>
        </w:tc>
        <w:tc>
          <w:tcPr>
            <w:tcW w:w="3771" w:type="dxa"/>
            <w:tcBorders>
              <w:top w:val="nil"/>
              <w:left w:val="nil"/>
              <w:bottom w:val="nil"/>
              <w:right w:val="nil"/>
            </w:tcBorders>
          </w:tcPr>
          <w:p w14:paraId="20E6B739" w14:textId="77777777" w:rsidR="00EF7F4A" w:rsidRPr="006230B9" w:rsidRDefault="006230B9">
            <w:pPr>
              <w:jc w:val="both"/>
              <w:rPr>
                <w:rFonts w:ascii="Arial" w:hAnsi="Arial"/>
                <w:b/>
                <w:bCs/>
                <w:sz w:val="26"/>
                <w:szCs w:val="26"/>
              </w:rPr>
            </w:pPr>
            <w:r w:rsidRPr="006230B9">
              <w:rPr>
                <w:rFonts w:ascii="Arial" w:hAnsi="Arial" w:hint="cs"/>
                <w:b/>
                <w:bCs/>
                <w:sz w:val="26"/>
                <w:szCs w:val="26"/>
                <w:rtl/>
              </w:rPr>
              <w:t>ה</w:t>
            </w:r>
            <w:r w:rsidRPr="006230B9">
              <w:rPr>
                <w:rFonts w:hint="cs"/>
                <w:b/>
                <w:bCs/>
                <w:sz w:val="26"/>
                <w:szCs w:val="26"/>
                <w:rtl/>
              </w:rPr>
              <w:t>נאשם</w:t>
            </w:r>
          </w:p>
        </w:tc>
      </w:tr>
    </w:tbl>
    <w:p w14:paraId="517015FF" w14:textId="77777777" w:rsidR="00B13796" w:rsidRPr="00B13796" w:rsidRDefault="00B13796" w:rsidP="00B13796">
      <w:pPr>
        <w:spacing w:after="120" w:line="240" w:lineRule="exact"/>
        <w:ind w:left="283" w:hanging="283"/>
        <w:jc w:val="both"/>
        <w:rPr>
          <w:rFonts w:ascii="FrankRuehl" w:hAnsi="FrankRuehl" w:cs="FrankRuehl"/>
          <w:rtl/>
        </w:rPr>
      </w:pPr>
      <w:bookmarkStart w:id="3" w:name="LawTable"/>
      <w:bookmarkEnd w:id="3"/>
    </w:p>
    <w:p w14:paraId="5408BF43" w14:textId="77777777" w:rsidR="00B13796" w:rsidRPr="00B13796" w:rsidRDefault="00B13796" w:rsidP="00B13796">
      <w:pPr>
        <w:spacing w:after="120" w:line="240" w:lineRule="exact"/>
        <w:ind w:left="283" w:hanging="283"/>
        <w:jc w:val="both"/>
        <w:rPr>
          <w:rFonts w:ascii="FrankRuehl" w:hAnsi="FrankRuehl" w:cs="FrankRuehl"/>
          <w:rtl/>
        </w:rPr>
      </w:pPr>
      <w:r w:rsidRPr="00B13796">
        <w:rPr>
          <w:rFonts w:ascii="FrankRuehl" w:hAnsi="FrankRuehl" w:cs="FrankRuehl"/>
          <w:rtl/>
        </w:rPr>
        <w:t xml:space="preserve">חקיקה שאוזכרה: </w:t>
      </w:r>
    </w:p>
    <w:p w14:paraId="6E9E4F32" w14:textId="77777777" w:rsidR="00B13796" w:rsidRPr="00B13796" w:rsidRDefault="00B13796" w:rsidP="00B13796">
      <w:pPr>
        <w:spacing w:after="120" w:line="240" w:lineRule="exact"/>
        <w:ind w:left="283" w:hanging="283"/>
        <w:jc w:val="both"/>
        <w:rPr>
          <w:rFonts w:ascii="FrankRuehl" w:hAnsi="FrankRuehl" w:cs="FrankRuehl"/>
          <w:color w:val="0000FF"/>
          <w:u w:val="single"/>
          <w:rtl/>
        </w:rPr>
      </w:pPr>
      <w:hyperlink r:id="rId6" w:history="1">
        <w:r w:rsidRPr="00B13796">
          <w:rPr>
            <w:rStyle w:val="Hyperlink"/>
            <w:rFonts w:ascii="FrankRuehl" w:hAnsi="FrankRuehl" w:cs="FrankRuehl"/>
            <w:rtl/>
          </w:rPr>
          <w:t>חוק העונשין, תשל"ז-1977</w:t>
        </w:r>
      </w:hyperlink>
      <w:r w:rsidRPr="00B13796">
        <w:rPr>
          <w:rFonts w:ascii="FrankRuehl" w:hAnsi="FrankRuehl" w:cs="FrankRuehl"/>
          <w:color w:val="0000FF"/>
          <w:u w:val="single"/>
          <w:rtl/>
        </w:rPr>
        <w:t xml:space="preserve">: סע'  </w:t>
      </w:r>
      <w:hyperlink r:id="rId7" w:history="1">
        <w:r w:rsidRPr="00B13796">
          <w:rPr>
            <w:rStyle w:val="Hyperlink"/>
            <w:rFonts w:ascii="FrankRuehl" w:hAnsi="FrankRuehl" w:cs="FrankRuehl"/>
          </w:rPr>
          <w:t>40</w:t>
        </w:r>
        <w:r w:rsidRPr="00B13796">
          <w:rPr>
            <w:rStyle w:val="Hyperlink"/>
            <w:rFonts w:ascii="FrankRuehl" w:hAnsi="FrankRuehl" w:cs="FrankRuehl"/>
            <w:rtl/>
          </w:rPr>
          <w:t>ג(א</w:t>
        </w:r>
        <w:r w:rsidRPr="00B13796">
          <w:rPr>
            <w:rStyle w:val="Hyperlink"/>
            <w:rFonts w:ascii="FrankRuehl" w:hAnsi="FrankRuehl" w:cs="FrankRuehl"/>
          </w:rPr>
          <w:t>)</w:t>
        </w:r>
      </w:hyperlink>
      <w:r w:rsidRPr="00B13796">
        <w:rPr>
          <w:rFonts w:ascii="FrankRuehl" w:hAnsi="FrankRuehl" w:cs="FrankRuehl"/>
          <w:color w:val="0000FF"/>
          <w:u w:val="single"/>
          <w:rtl/>
        </w:rPr>
        <w:t xml:space="preserve">, </w:t>
      </w:r>
      <w:hyperlink r:id="rId8" w:history="1">
        <w:r w:rsidRPr="00B13796">
          <w:rPr>
            <w:rStyle w:val="Hyperlink"/>
            <w:rFonts w:ascii="FrankRuehl" w:hAnsi="FrankRuehl" w:cs="FrankRuehl"/>
          </w:rPr>
          <w:t>40</w:t>
        </w:r>
        <w:r w:rsidRPr="00B13796">
          <w:rPr>
            <w:rStyle w:val="Hyperlink"/>
            <w:rFonts w:ascii="FrankRuehl" w:hAnsi="FrankRuehl" w:cs="FrankRuehl"/>
            <w:rtl/>
          </w:rPr>
          <w:t>ד(א</w:t>
        </w:r>
        <w:r w:rsidRPr="00B13796">
          <w:rPr>
            <w:rStyle w:val="Hyperlink"/>
            <w:rFonts w:ascii="FrankRuehl" w:hAnsi="FrankRuehl" w:cs="FrankRuehl"/>
          </w:rPr>
          <w:t>)</w:t>
        </w:r>
      </w:hyperlink>
      <w:r w:rsidRPr="00B13796">
        <w:rPr>
          <w:rFonts w:ascii="FrankRuehl" w:hAnsi="FrankRuehl" w:cs="FrankRuehl"/>
          <w:color w:val="0000FF"/>
          <w:u w:val="single"/>
          <w:rtl/>
        </w:rPr>
        <w:t xml:space="preserve">, </w:t>
      </w:r>
      <w:hyperlink r:id="rId9" w:history="1">
        <w:r w:rsidRPr="00B13796">
          <w:rPr>
            <w:rStyle w:val="Hyperlink"/>
            <w:rFonts w:ascii="FrankRuehl" w:hAnsi="FrankRuehl" w:cs="FrankRuehl"/>
          </w:rPr>
          <w:t>85</w:t>
        </w:r>
      </w:hyperlink>
      <w:r w:rsidRPr="00B13796">
        <w:rPr>
          <w:rFonts w:ascii="FrankRuehl" w:hAnsi="FrankRuehl" w:cs="FrankRuehl"/>
          <w:color w:val="0000FF"/>
          <w:u w:val="single"/>
          <w:rtl/>
        </w:rPr>
        <w:t xml:space="preserve">, </w:t>
      </w:r>
      <w:hyperlink r:id="rId10" w:history="1">
        <w:r w:rsidRPr="00B13796">
          <w:rPr>
            <w:rStyle w:val="Hyperlink"/>
            <w:rFonts w:ascii="FrankRuehl" w:hAnsi="FrankRuehl" w:cs="FrankRuehl"/>
          </w:rPr>
          <w:t>144</w:t>
        </w:r>
      </w:hyperlink>
      <w:r w:rsidRPr="00B13796">
        <w:rPr>
          <w:rFonts w:ascii="FrankRuehl" w:hAnsi="FrankRuehl" w:cs="FrankRuehl"/>
          <w:color w:val="0000FF"/>
          <w:u w:val="single"/>
          <w:rtl/>
        </w:rPr>
        <w:t xml:space="preserve">, </w:t>
      </w:r>
      <w:hyperlink r:id="rId11" w:history="1">
        <w:r w:rsidRPr="00B13796">
          <w:rPr>
            <w:rStyle w:val="Hyperlink"/>
            <w:rFonts w:ascii="FrankRuehl" w:hAnsi="FrankRuehl" w:cs="FrankRuehl"/>
          </w:rPr>
          <w:t>144(</w:t>
        </w:r>
        <w:r w:rsidRPr="00B13796">
          <w:rPr>
            <w:rStyle w:val="Hyperlink"/>
            <w:rFonts w:ascii="FrankRuehl" w:hAnsi="FrankRuehl" w:cs="FrankRuehl"/>
            <w:rtl/>
          </w:rPr>
          <w:t>א</w:t>
        </w:r>
        <w:r w:rsidRPr="00B13796">
          <w:rPr>
            <w:rStyle w:val="Hyperlink"/>
            <w:rFonts w:ascii="FrankRuehl" w:hAnsi="FrankRuehl" w:cs="FrankRuehl"/>
          </w:rPr>
          <w:t>)</w:t>
        </w:r>
      </w:hyperlink>
      <w:r w:rsidRPr="00B13796">
        <w:rPr>
          <w:rFonts w:ascii="FrankRuehl" w:hAnsi="FrankRuehl" w:cs="FrankRuehl"/>
          <w:color w:val="0000FF"/>
          <w:u w:val="single"/>
          <w:rtl/>
        </w:rPr>
        <w:t xml:space="preserve">, </w:t>
      </w:r>
      <w:hyperlink r:id="rId12" w:history="1">
        <w:r w:rsidRPr="00B13796">
          <w:rPr>
            <w:rStyle w:val="Hyperlink"/>
            <w:rFonts w:ascii="FrankRuehl" w:hAnsi="FrankRuehl" w:cs="FrankRuehl"/>
          </w:rPr>
          <w:t>338(</w:t>
        </w:r>
        <w:r w:rsidRPr="00B13796">
          <w:rPr>
            <w:rStyle w:val="Hyperlink"/>
            <w:rFonts w:ascii="FrankRuehl" w:hAnsi="FrankRuehl" w:cs="FrankRuehl"/>
            <w:rtl/>
          </w:rPr>
          <w:t>א)(9</w:t>
        </w:r>
        <w:r w:rsidRPr="00B13796">
          <w:rPr>
            <w:rStyle w:val="Hyperlink"/>
            <w:rFonts w:ascii="FrankRuehl" w:hAnsi="FrankRuehl" w:cs="FrankRuehl"/>
          </w:rPr>
          <w:t>)</w:t>
        </w:r>
      </w:hyperlink>
      <w:r w:rsidRPr="00B13796">
        <w:rPr>
          <w:rFonts w:ascii="FrankRuehl" w:hAnsi="FrankRuehl" w:cs="FrankRuehl"/>
          <w:color w:val="0000FF"/>
          <w:u w:val="single"/>
          <w:rtl/>
        </w:rPr>
        <w:t xml:space="preserve">, </w:t>
      </w:r>
      <w:hyperlink r:id="rId13" w:history="1">
        <w:r w:rsidRPr="00B13796">
          <w:rPr>
            <w:rStyle w:val="Hyperlink"/>
            <w:rFonts w:ascii="FrankRuehl" w:hAnsi="FrankRuehl" w:cs="FrankRuehl"/>
          </w:rPr>
          <w:t>40</w:t>
        </w:r>
        <w:r w:rsidRPr="00B13796">
          <w:rPr>
            <w:rStyle w:val="Hyperlink"/>
            <w:rFonts w:ascii="FrankRuehl" w:hAnsi="FrankRuehl" w:cs="FrankRuehl"/>
            <w:rtl/>
          </w:rPr>
          <w:t>יג</w:t>
        </w:r>
      </w:hyperlink>
    </w:p>
    <w:p w14:paraId="4A51138B" w14:textId="77777777" w:rsidR="00B13796" w:rsidRPr="00B13796" w:rsidRDefault="00B13796" w:rsidP="00B1379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7F4A" w:rsidRPr="006230B9" w14:paraId="5777E9C8" w14:textId="77777777">
        <w:trPr>
          <w:trHeight w:val="355"/>
          <w:jc w:val="center"/>
        </w:trPr>
        <w:tc>
          <w:tcPr>
            <w:tcW w:w="8820" w:type="dxa"/>
            <w:tcBorders>
              <w:top w:val="nil"/>
              <w:left w:val="nil"/>
              <w:bottom w:val="nil"/>
              <w:right w:val="nil"/>
            </w:tcBorders>
          </w:tcPr>
          <w:p w14:paraId="2367A85E" w14:textId="77777777" w:rsidR="006230B9" w:rsidRPr="006230B9" w:rsidRDefault="006230B9" w:rsidP="006230B9">
            <w:pPr>
              <w:jc w:val="center"/>
              <w:rPr>
                <w:rFonts w:ascii="Arial" w:hAnsi="Arial"/>
                <w:b/>
                <w:bCs/>
                <w:sz w:val="32"/>
                <w:szCs w:val="32"/>
                <w:rtl/>
              </w:rPr>
            </w:pPr>
            <w:bookmarkStart w:id="4" w:name="LawTable_End"/>
            <w:bookmarkStart w:id="5" w:name="PsakDin" w:colFirst="0" w:colLast="0"/>
            <w:bookmarkEnd w:id="0"/>
            <w:bookmarkEnd w:id="4"/>
          </w:p>
          <w:p w14:paraId="5AB2F510" w14:textId="77777777" w:rsidR="006230B9" w:rsidRPr="006230B9" w:rsidRDefault="006230B9" w:rsidP="006230B9">
            <w:pPr>
              <w:jc w:val="center"/>
              <w:rPr>
                <w:rFonts w:ascii="Arial" w:hAnsi="Arial"/>
                <w:b/>
                <w:bCs/>
                <w:sz w:val="32"/>
                <w:szCs w:val="32"/>
                <w:rtl/>
              </w:rPr>
            </w:pPr>
            <w:r w:rsidRPr="006230B9">
              <w:rPr>
                <w:rFonts w:ascii="Arial" w:hAnsi="Arial"/>
                <w:b/>
                <w:bCs/>
                <w:sz w:val="32"/>
                <w:szCs w:val="32"/>
                <w:rtl/>
              </w:rPr>
              <w:t>גזר דין</w:t>
            </w:r>
          </w:p>
          <w:p w14:paraId="1E705BA1" w14:textId="77777777" w:rsidR="00EF7F4A" w:rsidRPr="006230B9" w:rsidRDefault="00EF7F4A" w:rsidP="006230B9">
            <w:pPr>
              <w:jc w:val="center"/>
              <w:rPr>
                <w:rFonts w:ascii="Arial" w:hAnsi="Arial"/>
                <w:bCs/>
                <w:sz w:val="32"/>
                <w:szCs w:val="32"/>
                <w:rtl/>
              </w:rPr>
            </w:pPr>
          </w:p>
        </w:tc>
      </w:tr>
      <w:bookmarkEnd w:id="5"/>
    </w:tbl>
    <w:p w14:paraId="2E5083A3" w14:textId="77777777" w:rsidR="00EF7F4A" w:rsidRDefault="00EF7F4A">
      <w:pPr>
        <w:jc w:val="both"/>
        <w:rPr>
          <w:rFonts w:ascii="Arial" w:hAnsi="Arial"/>
          <w:rtl/>
        </w:rPr>
      </w:pPr>
    </w:p>
    <w:p w14:paraId="61D6BFDB" w14:textId="77777777" w:rsidR="00EF7F4A" w:rsidRDefault="00EF7F4A">
      <w:pPr>
        <w:jc w:val="both"/>
        <w:rPr>
          <w:rtl/>
        </w:rPr>
      </w:pPr>
    </w:p>
    <w:p w14:paraId="068B24E1" w14:textId="77777777" w:rsidR="00EF7F4A" w:rsidRDefault="00EF7F4A">
      <w:pPr>
        <w:jc w:val="both"/>
        <w:rPr>
          <w:rtl/>
        </w:rPr>
      </w:pPr>
    </w:p>
    <w:p w14:paraId="231289EE" w14:textId="77777777" w:rsidR="00EF7F4A" w:rsidRDefault="006230B9">
      <w:pPr>
        <w:spacing w:line="360" w:lineRule="auto"/>
        <w:jc w:val="both"/>
        <w:rPr>
          <w:b/>
          <w:bCs/>
          <w:sz w:val="28"/>
          <w:szCs w:val="28"/>
          <w:u w:val="single"/>
          <w:rtl/>
        </w:rPr>
      </w:pPr>
      <w:r>
        <w:rPr>
          <w:rFonts w:hint="cs"/>
          <w:b/>
          <w:bCs/>
          <w:sz w:val="28"/>
          <w:szCs w:val="28"/>
          <w:rtl/>
        </w:rPr>
        <w:t>א.</w:t>
      </w:r>
      <w:r>
        <w:rPr>
          <w:rFonts w:hint="cs"/>
          <w:b/>
          <w:bCs/>
          <w:sz w:val="28"/>
          <w:szCs w:val="28"/>
          <w:rtl/>
        </w:rPr>
        <w:tab/>
      </w:r>
      <w:r>
        <w:rPr>
          <w:rFonts w:hint="cs"/>
          <w:b/>
          <w:bCs/>
          <w:sz w:val="28"/>
          <w:szCs w:val="28"/>
          <w:u w:val="single"/>
          <w:rtl/>
        </w:rPr>
        <w:t>פתח דבר</w:t>
      </w:r>
    </w:p>
    <w:p w14:paraId="19424029" w14:textId="77777777" w:rsidR="00EF7F4A" w:rsidRDefault="00EF7F4A">
      <w:pPr>
        <w:spacing w:line="360" w:lineRule="auto"/>
        <w:jc w:val="both"/>
        <w:rPr>
          <w:b/>
          <w:bCs/>
          <w:sz w:val="28"/>
          <w:szCs w:val="28"/>
          <w:u w:val="single"/>
          <w:rtl/>
        </w:rPr>
      </w:pPr>
    </w:p>
    <w:p w14:paraId="1DA4306D" w14:textId="77777777" w:rsidR="00EF7F4A" w:rsidRDefault="006230B9">
      <w:pPr>
        <w:spacing w:line="360" w:lineRule="auto"/>
        <w:ind w:left="720" w:hanging="720"/>
        <w:jc w:val="both"/>
        <w:rPr>
          <w:rtl/>
        </w:rPr>
      </w:pPr>
      <w:r>
        <w:rPr>
          <w:rFonts w:hint="cs"/>
          <w:sz w:val="26"/>
          <w:szCs w:val="26"/>
          <w:rtl/>
        </w:rPr>
        <w:t>1.</w:t>
      </w:r>
      <w:r>
        <w:rPr>
          <w:rFonts w:hint="cs"/>
          <w:sz w:val="26"/>
          <w:szCs w:val="26"/>
          <w:rtl/>
        </w:rPr>
        <w:tab/>
      </w:r>
      <w:bookmarkStart w:id="6" w:name="ABSTRACT_START"/>
      <w:bookmarkEnd w:id="6"/>
      <w:r>
        <w:rPr>
          <w:rFonts w:hint="cs"/>
          <w:rtl/>
        </w:rPr>
        <w:t xml:space="preserve">הנאשם, יליד 1960, הורשע על פי הודאתו, במסגרת הסדר טיעון, בביצוע עבירות של החזקת נשק שלא כדין והחזקת חומר מסוכן מסוג </w:t>
      </w:r>
      <w:r>
        <w:t>KETAMINE</w:t>
      </w:r>
      <w:r>
        <w:rPr>
          <w:rFonts w:hint="cs"/>
          <w:rtl/>
        </w:rPr>
        <w:t xml:space="preserve"> - חומר רעיל ומסוכן המשמש כחומר רפואי להרדמת בני אדם ובעלי חיים - עבירות לפי </w:t>
      </w:r>
      <w:hyperlink r:id="rId14" w:history="1">
        <w:r w:rsidR="00B13796" w:rsidRPr="00B13796">
          <w:rPr>
            <w:rStyle w:val="Hyperlink"/>
            <w:rFonts w:hint="eastAsia"/>
            <w:b/>
            <w:bCs/>
            <w:rtl/>
          </w:rPr>
          <w:t>סעיפים</w:t>
        </w:r>
        <w:r w:rsidR="00B13796" w:rsidRPr="00B13796">
          <w:rPr>
            <w:rStyle w:val="Hyperlink"/>
            <w:b/>
            <w:bCs/>
            <w:rtl/>
          </w:rPr>
          <w:t xml:space="preserve"> 144(א)</w:t>
        </w:r>
      </w:hyperlink>
      <w:r>
        <w:rPr>
          <w:rFonts w:hint="cs"/>
          <w:b/>
          <w:bCs/>
          <w:rtl/>
        </w:rPr>
        <w:t xml:space="preserve"> רישא ו- </w:t>
      </w:r>
      <w:hyperlink r:id="rId15" w:history="1">
        <w:r w:rsidR="00B13796" w:rsidRPr="00B13796">
          <w:rPr>
            <w:rStyle w:val="Hyperlink"/>
            <w:b/>
            <w:bCs/>
            <w:rtl/>
          </w:rPr>
          <w:t>144(א)</w:t>
        </w:r>
      </w:hyperlink>
      <w:r>
        <w:rPr>
          <w:rFonts w:hint="cs"/>
          <w:b/>
          <w:bCs/>
          <w:rtl/>
        </w:rPr>
        <w:t xml:space="preserve"> סיפא, וכן </w:t>
      </w:r>
      <w:hyperlink r:id="rId16" w:history="1">
        <w:r w:rsidR="00B13796" w:rsidRPr="00B13796">
          <w:rPr>
            <w:rStyle w:val="Hyperlink"/>
            <w:rFonts w:hint="eastAsia"/>
            <w:b/>
            <w:bCs/>
            <w:rtl/>
          </w:rPr>
          <w:t>סעיף</w:t>
        </w:r>
        <w:r w:rsidR="00B13796" w:rsidRPr="00B13796">
          <w:rPr>
            <w:rStyle w:val="Hyperlink"/>
            <w:b/>
            <w:bCs/>
            <w:rtl/>
          </w:rPr>
          <w:t xml:space="preserve"> 338(א)(9)</w:t>
        </w:r>
      </w:hyperlink>
      <w:r>
        <w:rPr>
          <w:rFonts w:hint="cs"/>
          <w:b/>
          <w:bCs/>
          <w:rtl/>
        </w:rPr>
        <w:t xml:space="preserve"> ל</w:t>
      </w:r>
      <w:hyperlink r:id="rId17" w:history="1">
        <w:r w:rsidRPr="006230B9">
          <w:rPr>
            <w:b/>
            <w:bCs/>
            <w:color w:val="0000FF"/>
            <w:u w:val="single"/>
            <w:rtl/>
          </w:rPr>
          <w:t>חוק העונשין</w:t>
        </w:r>
      </w:hyperlink>
      <w:r>
        <w:rPr>
          <w:rFonts w:hint="cs"/>
          <w:b/>
          <w:bCs/>
          <w:rtl/>
        </w:rPr>
        <w:t>, תשל"ז-1977</w:t>
      </w:r>
      <w:r>
        <w:rPr>
          <w:rFonts w:hint="cs"/>
          <w:rtl/>
        </w:rPr>
        <w:t xml:space="preserve"> </w:t>
      </w:r>
      <w:bookmarkStart w:id="7" w:name="ABSTRACT_END"/>
      <w:bookmarkEnd w:id="7"/>
      <w:r>
        <w:rPr>
          <w:rFonts w:hint="cs"/>
          <w:rtl/>
        </w:rPr>
        <w:t>(להלן: "</w:t>
      </w:r>
      <w:r>
        <w:rPr>
          <w:rFonts w:hint="cs"/>
          <w:b/>
          <w:bCs/>
          <w:rtl/>
        </w:rPr>
        <w:t>חוק העונשין</w:t>
      </w:r>
      <w:r>
        <w:rPr>
          <w:rFonts w:hint="cs"/>
          <w:rtl/>
        </w:rPr>
        <w:t>").</w:t>
      </w:r>
    </w:p>
    <w:p w14:paraId="3EE27CAC" w14:textId="77777777" w:rsidR="00EF7F4A" w:rsidRDefault="00EF7F4A">
      <w:pPr>
        <w:spacing w:line="360" w:lineRule="auto"/>
        <w:jc w:val="both"/>
        <w:rPr>
          <w:sz w:val="26"/>
          <w:szCs w:val="26"/>
          <w:rtl/>
        </w:rPr>
      </w:pPr>
    </w:p>
    <w:p w14:paraId="11D5995F" w14:textId="77777777" w:rsidR="00EF7F4A" w:rsidRDefault="006230B9">
      <w:pPr>
        <w:spacing w:line="360" w:lineRule="auto"/>
        <w:jc w:val="both"/>
        <w:rPr>
          <w:b/>
          <w:bCs/>
          <w:sz w:val="28"/>
          <w:szCs w:val="28"/>
          <w:u w:val="single"/>
          <w:rtl/>
        </w:rPr>
      </w:pPr>
      <w:r>
        <w:rPr>
          <w:rFonts w:hint="cs"/>
          <w:b/>
          <w:bCs/>
          <w:sz w:val="28"/>
          <w:szCs w:val="28"/>
          <w:rtl/>
        </w:rPr>
        <w:t>ב.</w:t>
      </w:r>
      <w:r>
        <w:rPr>
          <w:rFonts w:hint="cs"/>
          <w:b/>
          <w:bCs/>
          <w:sz w:val="28"/>
          <w:szCs w:val="28"/>
          <w:rtl/>
        </w:rPr>
        <w:tab/>
      </w:r>
      <w:r>
        <w:rPr>
          <w:rFonts w:hint="cs"/>
          <w:b/>
          <w:bCs/>
          <w:sz w:val="28"/>
          <w:szCs w:val="28"/>
          <w:u w:val="single"/>
          <w:rtl/>
        </w:rPr>
        <w:t>הסדר הטיעון</w:t>
      </w:r>
    </w:p>
    <w:p w14:paraId="4A697E8B" w14:textId="77777777" w:rsidR="00EF7F4A" w:rsidRDefault="00EF7F4A">
      <w:pPr>
        <w:spacing w:line="360" w:lineRule="auto"/>
        <w:jc w:val="both"/>
        <w:rPr>
          <w:b/>
          <w:bCs/>
          <w:sz w:val="28"/>
          <w:szCs w:val="28"/>
          <w:u w:val="single"/>
          <w:rtl/>
        </w:rPr>
      </w:pPr>
    </w:p>
    <w:p w14:paraId="4C287AB4" w14:textId="77777777" w:rsidR="00EF7F4A" w:rsidRDefault="006230B9">
      <w:pPr>
        <w:spacing w:line="360" w:lineRule="auto"/>
        <w:ind w:left="720" w:hanging="720"/>
        <w:jc w:val="both"/>
        <w:rPr>
          <w:rtl/>
        </w:rPr>
      </w:pPr>
      <w:r>
        <w:rPr>
          <w:rFonts w:hint="cs"/>
          <w:rtl/>
        </w:rPr>
        <w:t>2.</w:t>
      </w:r>
      <w:r>
        <w:rPr>
          <w:rFonts w:hint="cs"/>
          <w:rtl/>
        </w:rPr>
        <w:tab/>
        <w:t xml:space="preserve">ב"כ המאשימה הגיעה להסדר טיעון עם הנאשם ובאת כוחו, ולפיו תוקן כתב האישום באופן שהעבירות של נשיאה או הובלת נשק שלא כדין והחזקת סכין שלא כדין </w:t>
      </w:r>
      <w:r>
        <w:rPr>
          <w:rtl/>
        </w:rPr>
        <w:t>–</w:t>
      </w:r>
      <w:r>
        <w:rPr>
          <w:rFonts w:hint="cs"/>
          <w:rtl/>
        </w:rPr>
        <w:t xml:space="preserve"> נמחקו מכתב האישום המתוקן.</w:t>
      </w:r>
    </w:p>
    <w:p w14:paraId="47F82DEC" w14:textId="77777777" w:rsidR="00EF7F4A" w:rsidRDefault="00EF7F4A">
      <w:pPr>
        <w:spacing w:line="360" w:lineRule="auto"/>
        <w:jc w:val="both"/>
        <w:rPr>
          <w:rtl/>
        </w:rPr>
      </w:pPr>
    </w:p>
    <w:p w14:paraId="17068B1B" w14:textId="77777777" w:rsidR="00EF7F4A" w:rsidRDefault="006230B9">
      <w:pPr>
        <w:spacing w:line="360" w:lineRule="auto"/>
        <w:ind w:firstLine="720"/>
        <w:jc w:val="both"/>
        <w:rPr>
          <w:rtl/>
        </w:rPr>
      </w:pPr>
      <w:r>
        <w:rPr>
          <w:rFonts w:hint="cs"/>
          <w:rtl/>
        </w:rPr>
        <w:t xml:space="preserve">ב"כ הצדדים לא הגיעו להסדר טיעון לעניין העונש. </w:t>
      </w:r>
    </w:p>
    <w:p w14:paraId="71135283" w14:textId="77777777" w:rsidR="00EF7F4A" w:rsidRDefault="00EF7F4A">
      <w:pPr>
        <w:spacing w:line="360" w:lineRule="auto"/>
        <w:jc w:val="both"/>
        <w:rPr>
          <w:b/>
          <w:bCs/>
          <w:sz w:val="28"/>
          <w:szCs w:val="28"/>
          <w:rtl/>
        </w:rPr>
      </w:pPr>
    </w:p>
    <w:p w14:paraId="0D516547" w14:textId="77777777" w:rsidR="00EF7F4A" w:rsidRDefault="006230B9">
      <w:pPr>
        <w:spacing w:line="360" w:lineRule="auto"/>
        <w:jc w:val="both"/>
        <w:rPr>
          <w:b/>
          <w:bCs/>
          <w:sz w:val="28"/>
          <w:szCs w:val="28"/>
          <w:u w:val="single"/>
          <w:rtl/>
        </w:rPr>
      </w:pPr>
      <w:r>
        <w:rPr>
          <w:rFonts w:hint="cs"/>
          <w:b/>
          <w:bCs/>
          <w:sz w:val="28"/>
          <w:szCs w:val="28"/>
          <w:rtl/>
        </w:rPr>
        <w:lastRenderedPageBreak/>
        <w:t>ג.</w:t>
      </w:r>
      <w:r>
        <w:rPr>
          <w:rFonts w:hint="cs"/>
          <w:b/>
          <w:bCs/>
          <w:sz w:val="28"/>
          <w:szCs w:val="28"/>
          <w:rtl/>
        </w:rPr>
        <w:tab/>
      </w:r>
      <w:r>
        <w:rPr>
          <w:rFonts w:hint="cs"/>
          <w:b/>
          <w:bCs/>
          <w:sz w:val="28"/>
          <w:szCs w:val="28"/>
          <w:u w:val="single"/>
          <w:rtl/>
        </w:rPr>
        <w:t>תסקיר שירות המבחן</w:t>
      </w:r>
    </w:p>
    <w:p w14:paraId="06A707AC" w14:textId="77777777" w:rsidR="00EF7F4A" w:rsidRDefault="00EF7F4A">
      <w:pPr>
        <w:spacing w:line="360" w:lineRule="auto"/>
        <w:jc w:val="both"/>
        <w:rPr>
          <w:b/>
          <w:bCs/>
          <w:sz w:val="28"/>
          <w:szCs w:val="28"/>
          <w:u w:val="single"/>
          <w:rtl/>
        </w:rPr>
      </w:pPr>
    </w:p>
    <w:p w14:paraId="50DE11C6" w14:textId="77777777" w:rsidR="00EF7F4A" w:rsidRDefault="006230B9">
      <w:pPr>
        <w:spacing w:line="360" w:lineRule="auto"/>
        <w:ind w:left="720" w:hanging="720"/>
        <w:jc w:val="both"/>
        <w:rPr>
          <w:rtl/>
        </w:rPr>
      </w:pPr>
      <w:r>
        <w:rPr>
          <w:rFonts w:hint="cs"/>
          <w:rtl/>
        </w:rPr>
        <w:t>3.</w:t>
      </w:r>
      <w:r>
        <w:rPr>
          <w:rFonts w:hint="cs"/>
          <w:rtl/>
        </w:rPr>
        <w:tab/>
        <w:t>ב"כ הנאשם עתרה לבית המשפט להורות על קבלת תסקיר שירות מבחן בעניינו של מרשיו, בציינם, כי טוב יהיה שהתמונה הכוללת תימצא בפני בית המשפט בטרם מתן גזר הדין.</w:t>
      </w:r>
    </w:p>
    <w:p w14:paraId="725CACEC" w14:textId="77777777" w:rsidR="00EF7F4A" w:rsidRDefault="00EF7F4A">
      <w:pPr>
        <w:spacing w:line="360" w:lineRule="auto"/>
        <w:jc w:val="both"/>
        <w:rPr>
          <w:rtl/>
        </w:rPr>
      </w:pPr>
    </w:p>
    <w:p w14:paraId="6862CB53" w14:textId="77777777" w:rsidR="00EF7F4A" w:rsidRDefault="006230B9">
      <w:pPr>
        <w:spacing w:line="360" w:lineRule="auto"/>
        <w:ind w:left="720" w:hanging="720"/>
        <w:jc w:val="both"/>
        <w:rPr>
          <w:rtl/>
        </w:rPr>
      </w:pPr>
      <w:r>
        <w:rPr>
          <w:rFonts w:hint="cs"/>
          <w:rtl/>
        </w:rPr>
        <w:t>4.</w:t>
      </w:r>
      <w:r>
        <w:rPr>
          <w:rFonts w:hint="cs"/>
          <w:rtl/>
        </w:rPr>
        <w:tab/>
        <w:t xml:space="preserve">ב"כ המאשימה התנגדה לקבלת תסקיר שירות המבחן  בהדגישה, כי לנאשם יש הרשעות קודמות הכוללות 39 תיקי חקירה, ואין מקום בעניינו לכל הליך שיקומי. </w:t>
      </w:r>
    </w:p>
    <w:p w14:paraId="311F1714" w14:textId="77777777" w:rsidR="00EF7F4A" w:rsidRDefault="006230B9">
      <w:pPr>
        <w:spacing w:line="360" w:lineRule="auto"/>
        <w:ind w:left="720"/>
        <w:jc w:val="both"/>
        <w:rPr>
          <w:rtl/>
        </w:rPr>
      </w:pPr>
      <w:r>
        <w:rPr>
          <w:rFonts w:hint="cs"/>
          <w:rtl/>
        </w:rPr>
        <w:t xml:space="preserve">בנוסף, ציינה כי אם מבקש הנאשם להתייחס למצבו המשפחתי או הכלכלי, הוא יוכל לעשות כן באמצעות הבאת ראיות לעונש. </w:t>
      </w:r>
    </w:p>
    <w:p w14:paraId="10C531A3" w14:textId="77777777" w:rsidR="00EF7F4A" w:rsidRDefault="00EF7F4A">
      <w:pPr>
        <w:spacing w:line="360" w:lineRule="auto"/>
        <w:jc w:val="both"/>
        <w:rPr>
          <w:rtl/>
        </w:rPr>
      </w:pPr>
    </w:p>
    <w:p w14:paraId="780DE5BF" w14:textId="77777777" w:rsidR="00EF7F4A" w:rsidRDefault="006230B9">
      <w:pPr>
        <w:spacing w:line="360" w:lineRule="auto"/>
        <w:ind w:left="720" w:hanging="720"/>
        <w:jc w:val="both"/>
        <w:rPr>
          <w:rtl/>
        </w:rPr>
      </w:pPr>
      <w:r>
        <w:rPr>
          <w:rFonts w:hint="cs"/>
          <w:rtl/>
        </w:rPr>
        <w:t>5.</w:t>
      </w:r>
      <w:r>
        <w:rPr>
          <w:rFonts w:hint="cs"/>
          <w:rtl/>
        </w:rPr>
        <w:tab/>
        <w:t xml:space="preserve">בתאריך 15.10.2013, החליט בית המשפט לקבל תסקיר שירות המבחן בעניינו של הנאשם, ברם, משהתבקש בית המשפט לדחות את הדיון בשלושה חודשים נוספים על מנת לקבל תסקיר משלים המתייחס להליך גמילה ושימוש בסמים שאינו קשור לענייננו, אלא לעבירה אחרת הנדונה בבית משפט השלום בתל אביב </w:t>
      </w:r>
      <w:r>
        <w:rPr>
          <w:rtl/>
        </w:rPr>
        <w:t>–</w:t>
      </w:r>
      <w:r>
        <w:rPr>
          <w:rFonts w:hint="cs"/>
          <w:rtl/>
        </w:rPr>
        <w:t xml:space="preserve"> סירב בית המשפט לכך.</w:t>
      </w:r>
    </w:p>
    <w:p w14:paraId="4833BEAE" w14:textId="77777777" w:rsidR="00EF7F4A" w:rsidRDefault="00EF7F4A">
      <w:pPr>
        <w:spacing w:line="360" w:lineRule="auto"/>
        <w:jc w:val="both"/>
        <w:rPr>
          <w:rtl/>
        </w:rPr>
      </w:pPr>
    </w:p>
    <w:p w14:paraId="04270171" w14:textId="77777777" w:rsidR="00EF7F4A" w:rsidRDefault="006230B9">
      <w:pPr>
        <w:spacing w:line="360" w:lineRule="auto"/>
        <w:ind w:left="720" w:hanging="720"/>
        <w:jc w:val="both"/>
        <w:rPr>
          <w:rtl/>
        </w:rPr>
      </w:pPr>
      <w:r>
        <w:rPr>
          <w:rFonts w:hint="cs"/>
          <w:rtl/>
        </w:rPr>
        <w:t>6.</w:t>
      </w:r>
      <w:r>
        <w:rPr>
          <w:rFonts w:hint="cs"/>
          <w:rtl/>
        </w:rPr>
        <w:tab/>
        <w:t xml:space="preserve">מתסקיר שירות המבחן עלה כי הנאשם נהג להשתמש בסמים מגיל 11, עשה ניסיונות להיגמל משימוש בסם ואף עבר ניסיונות אובדניים. בתקופה מסויימת הוא אף היה "נקי" משימוש בסם ושימש כמדריך במרכז גמילה. הנאשם סובל כיום מנכות פיסית בשיעור 100%, המוכרת על ידי המל"ל. </w:t>
      </w:r>
    </w:p>
    <w:p w14:paraId="676EF290" w14:textId="77777777" w:rsidR="00EF7F4A" w:rsidRDefault="00EF7F4A">
      <w:pPr>
        <w:spacing w:line="360" w:lineRule="auto"/>
        <w:jc w:val="both"/>
        <w:rPr>
          <w:rtl/>
        </w:rPr>
      </w:pPr>
    </w:p>
    <w:p w14:paraId="265C6617" w14:textId="77777777" w:rsidR="00EF7F4A" w:rsidRDefault="006230B9">
      <w:pPr>
        <w:spacing w:line="360" w:lineRule="auto"/>
        <w:ind w:firstLine="720"/>
        <w:jc w:val="both"/>
        <w:rPr>
          <w:rtl/>
        </w:rPr>
      </w:pPr>
      <w:r>
        <w:rPr>
          <w:rFonts w:hint="cs"/>
          <w:rtl/>
        </w:rPr>
        <w:t>מאבחון פסיכיאטרי אף עלה כי הוא סובל מהפרעות נפשיות כתוצאה משימוש בהרואין.</w:t>
      </w:r>
    </w:p>
    <w:p w14:paraId="41C549C9" w14:textId="77777777" w:rsidR="00EF7F4A" w:rsidRDefault="00EF7F4A">
      <w:pPr>
        <w:spacing w:line="360" w:lineRule="auto"/>
        <w:jc w:val="both"/>
        <w:rPr>
          <w:rtl/>
        </w:rPr>
      </w:pPr>
    </w:p>
    <w:p w14:paraId="48AC7E28" w14:textId="77777777" w:rsidR="00EF7F4A" w:rsidRDefault="006230B9">
      <w:pPr>
        <w:spacing w:line="360" w:lineRule="auto"/>
        <w:ind w:left="720" w:hanging="720"/>
        <w:jc w:val="both"/>
        <w:rPr>
          <w:rtl/>
        </w:rPr>
      </w:pPr>
      <w:r>
        <w:rPr>
          <w:rFonts w:hint="cs"/>
          <w:rtl/>
        </w:rPr>
        <w:t>7.</w:t>
      </w:r>
      <w:r>
        <w:rPr>
          <w:rFonts w:hint="cs"/>
          <w:rtl/>
        </w:rPr>
        <w:tab/>
        <w:t xml:space="preserve">מתסקיר שירות המבחן עלה גם כי הנאשם הסתבך בביצוע עבירות הימורים נשוא תיק אחר המתנהל בבית משפט השלום בתל אביב, אך התמכרותו להימורים לא נבעה מצורך כלכלי. </w:t>
      </w:r>
    </w:p>
    <w:p w14:paraId="1C70B214" w14:textId="77777777" w:rsidR="00EF7F4A" w:rsidRDefault="006230B9">
      <w:pPr>
        <w:spacing w:line="360" w:lineRule="auto"/>
        <w:ind w:left="720"/>
        <w:jc w:val="both"/>
        <w:rPr>
          <w:rtl/>
        </w:rPr>
      </w:pPr>
      <w:r>
        <w:rPr>
          <w:rFonts w:hint="cs"/>
          <w:rtl/>
        </w:rPr>
        <w:t>כיום הנאשם מטופל ביחידה לנפגעי סמים "בית בוזי", והשתלבותו במסגרת טיפולית זו מהווה, לדעת קצינת המבחן, צעד ראשון בניסיון לערוך שינוי בדפוסי התמכרותו ודפוסי עבריינותו.</w:t>
      </w:r>
    </w:p>
    <w:p w14:paraId="2A6C722C" w14:textId="77777777" w:rsidR="00EF7F4A" w:rsidRDefault="00EF7F4A">
      <w:pPr>
        <w:spacing w:line="360" w:lineRule="auto"/>
        <w:jc w:val="both"/>
        <w:rPr>
          <w:rtl/>
        </w:rPr>
      </w:pPr>
    </w:p>
    <w:p w14:paraId="1D64D1B6" w14:textId="77777777" w:rsidR="00EF7F4A" w:rsidRDefault="006230B9">
      <w:pPr>
        <w:spacing w:line="360" w:lineRule="auto"/>
        <w:ind w:left="720" w:hanging="720"/>
        <w:jc w:val="both"/>
        <w:rPr>
          <w:rtl/>
        </w:rPr>
      </w:pPr>
      <w:r>
        <w:rPr>
          <w:rFonts w:hint="cs"/>
          <w:rtl/>
        </w:rPr>
        <w:t>8.</w:t>
      </w:r>
      <w:r>
        <w:rPr>
          <w:rFonts w:hint="cs"/>
          <w:rtl/>
        </w:rPr>
        <w:tab/>
        <w:t>מתסקיר שירות המבחן, אף עלה כי הנאשם טען בפני קצינת המבחן, שהוא מצא את הנשק ברחוב, ולא התכוון כלל להשתמש בו.</w:t>
      </w:r>
    </w:p>
    <w:p w14:paraId="3FCDF0C9" w14:textId="77777777" w:rsidR="00EF7F4A" w:rsidRDefault="006230B9">
      <w:pPr>
        <w:spacing w:line="360" w:lineRule="auto"/>
        <w:ind w:left="720"/>
        <w:jc w:val="both"/>
        <w:rPr>
          <w:rtl/>
        </w:rPr>
      </w:pPr>
      <w:r>
        <w:rPr>
          <w:rFonts w:hint="cs"/>
          <w:rtl/>
        </w:rPr>
        <w:t>קצינת המבחן התרשמה, כי לנאשם נטייה לטשטש את משמעות חומרת ביצוע העבירה, אך מאחר והוא חושש מההליך המשפטי ומהסנקציה העונשית שתינקט נגדו - יש בכך כדי לשמש הרתעה לגביו.</w:t>
      </w:r>
    </w:p>
    <w:p w14:paraId="5A9B154D" w14:textId="77777777" w:rsidR="00EF7F4A" w:rsidRDefault="00EF7F4A">
      <w:pPr>
        <w:spacing w:line="360" w:lineRule="auto"/>
        <w:ind w:left="720"/>
        <w:jc w:val="both"/>
        <w:rPr>
          <w:rtl/>
        </w:rPr>
      </w:pPr>
    </w:p>
    <w:p w14:paraId="0A8D135A" w14:textId="77777777" w:rsidR="00EF7F4A" w:rsidRDefault="006230B9">
      <w:pPr>
        <w:spacing w:line="360" w:lineRule="auto"/>
        <w:ind w:left="720" w:hanging="720"/>
        <w:jc w:val="both"/>
        <w:rPr>
          <w:b/>
          <w:bCs/>
          <w:sz w:val="28"/>
          <w:szCs w:val="28"/>
          <w:rtl/>
        </w:rPr>
      </w:pPr>
      <w:r>
        <w:rPr>
          <w:rFonts w:hint="cs"/>
          <w:b/>
          <w:bCs/>
          <w:sz w:val="28"/>
          <w:szCs w:val="28"/>
          <w:rtl/>
        </w:rPr>
        <w:t>ד.</w:t>
      </w:r>
      <w:r>
        <w:rPr>
          <w:rFonts w:hint="cs"/>
          <w:b/>
          <w:bCs/>
          <w:sz w:val="28"/>
          <w:szCs w:val="28"/>
          <w:rtl/>
        </w:rPr>
        <w:tab/>
        <w:t xml:space="preserve"> </w:t>
      </w:r>
      <w:r>
        <w:rPr>
          <w:rFonts w:hint="cs"/>
          <w:b/>
          <w:bCs/>
          <w:sz w:val="28"/>
          <w:szCs w:val="28"/>
          <w:u w:val="single"/>
          <w:rtl/>
        </w:rPr>
        <w:t>ראיות לעונש</w:t>
      </w:r>
      <w:r>
        <w:rPr>
          <w:rFonts w:hint="cs"/>
          <w:b/>
          <w:bCs/>
          <w:sz w:val="28"/>
          <w:szCs w:val="28"/>
          <w:rtl/>
        </w:rPr>
        <w:t xml:space="preserve"> </w:t>
      </w:r>
    </w:p>
    <w:p w14:paraId="612C1825" w14:textId="77777777" w:rsidR="00EF7F4A" w:rsidRDefault="00EF7F4A">
      <w:pPr>
        <w:spacing w:line="360" w:lineRule="auto"/>
        <w:ind w:left="720" w:hanging="720"/>
        <w:jc w:val="both"/>
        <w:rPr>
          <w:rtl/>
        </w:rPr>
      </w:pPr>
    </w:p>
    <w:p w14:paraId="73A722F9" w14:textId="77777777" w:rsidR="00EF7F4A" w:rsidRDefault="006230B9">
      <w:pPr>
        <w:spacing w:line="360" w:lineRule="auto"/>
        <w:ind w:left="720" w:hanging="720"/>
        <w:jc w:val="both"/>
        <w:rPr>
          <w:rtl/>
        </w:rPr>
      </w:pPr>
      <w:r>
        <w:rPr>
          <w:rFonts w:hint="cs"/>
          <w:rtl/>
        </w:rPr>
        <w:lastRenderedPageBreak/>
        <w:t>9.</w:t>
      </w:r>
      <w:r>
        <w:rPr>
          <w:rFonts w:hint="cs"/>
          <w:rtl/>
        </w:rPr>
        <w:tab/>
        <w:t>לנאשם עבר פלילי מכביד. מגיליון הרשעתו עולה כי לחובתו אמנם שתי הרשעות קודמות בלבד, אך מדובר בלא פחות מ- 39 תיקי משטרה</w:t>
      </w:r>
      <w:r>
        <w:rPr>
          <w:rFonts w:hint="cs"/>
          <w:b/>
          <w:bCs/>
          <w:sz w:val="28"/>
          <w:szCs w:val="28"/>
          <w:rtl/>
        </w:rPr>
        <w:t xml:space="preserve"> </w:t>
      </w:r>
      <w:r>
        <w:rPr>
          <w:rFonts w:hint="cs"/>
          <w:rtl/>
        </w:rPr>
        <w:t xml:space="preserve">במגוון רחב של עבירות בהן הורשע, ובין היתר- עבירות סמים, הגרלות והימורים, החזקת סכין, ועבירות רכוש שונות. </w:t>
      </w:r>
    </w:p>
    <w:p w14:paraId="6DF59AFF" w14:textId="77777777" w:rsidR="00EF7F4A" w:rsidRDefault="006230B9">
      <w:pPr>
        <w:spacing w:line="360" w:lineRule="auto"/>
        <w:ind w:left="720" w:hanging="720"/>
        <w:jc w:val="both"/>
        <w:rPr>
          <w:rtl/>
        </w:rPr>
      </w:pPr>
      <w:r>
        <w:rPr>
          <w:rFonts w:hint="cs"/>
          <w:rtl/>
        </w:rPr>
        <w:t xml:space="preserve"> </w:t>
      </w:r>
    </w:p>
    <w:p w14:paraId="02482240" w14:textId="77777777" w:rsidR="00EF7F4A" w:rsidRDefault="006230B9">
      <w:pPr>
        <w:spacing w:line="360" w:lineRule="auto"/>
        <w:ind w:left="720" w:hanging="720"/>
        <w:jc w:val="both"/>
        <w:rPr>
          <w:rtl/>
        </w:rPr>
      </w:pPr>
      <w:r>
        <w:rPr>
          <w:rFonts w:hint="cs"/>
          <w:rtl/>
        </w:rPr>
        <w:t xml:space="preserve">10. </w:t>
      </w:r>
      <w:r>
        <w:rPr>
          <w:rFonts w:hint="cs"/>
          <w:rtl/>
        </w:rPr>
        <w:tab/>
        <w:t>במסגרת הראיות לעונש מטעם ההגנה הוגשו מסמכים המצביעים על מצבו האישי והכלכלי של הנאשם: מסמך מהמל"ל לפיו הנאשם מוכר כנכה בשיעור 100% ומקבל קצבה בגובה 17% מקצבת יחיד מלאה (</w:t>
      </w:r>
      <w:r>
        <w:rPr>
          <w:rFonts w:hint="cs"/>
          <w:b/>
          <w:bCs/>
          <w:rtl/>
        </w:rPr>
        <w:t>נ/1א'+ב'</w:t>
      </w:r>
      <w:r>
        <w:rPr>
          <w:rFonts w:hint="cs"/>
          <w:rtl/>
        </w:rPr>
        <w:t>), אישור לפיו הוא מועסק כסדרן ברשת "סופר ללא הפסקה" (</w:t>
      </w:r>
      <w:r>
        <w:rPr>
          <w:rFonts w:hint="cs"/>
          <w:b/>
          <w:bCs/>
          <w:rtl/>
        </w:rPr>
        <w:t>נ/2</w:t>
      </w:r>
      <w:r>
        <w:rPr>
          <w:rFonts w:hint="cs"/>
          <w:rtl/>
        </w:rPr>
        <w:t>), אישור "ממרפאת נס" שם טופל הנאשם בשל התמכרותו לסמים החל מיום 3.8.12 (</w:t>
      </w:r>
      <w:r>
        <w:rPr>
          <w:rFonts w:hint="cs"/>
          <w:b/>
          <w:bCs/>
          <w:rtl/>
        </w:rPr>
        <w:t>נ/5א</w:t>
      </w:r>
      <w:r>
        <w:rPr>
          <w:rFonts w:hint="cs"/>
          <w:rtl/>
        </w:rPr>
        <w:t>) ועד ינואר 2013 שאז הפסיק לבקר במרפאה עקב החלטת בית המשפט כי עליו להימצא במעצר בית (</w:t>
      </w:r>
      <w:r>
        <w:rPr>
          <w:rFonts w:hint="cs"/>
          <w:b/>
          <w:bCs/>
          <w:rtl/>
        </w:rPr>
        <w:t>נ/5ב)</w:t>
      </w:r>
      <w:r>
        <w:rPr>
          <w:rFonts w:hint="cs"/>
          <w:rtl/>
        </w:rPr>
        <w:t>. עוד הוגש "נוהל הטיפול במתן מעמד לבן זוג זר הנשוי לאזרח ישראלי" של רשות האוכלוסין וההגירה (</w:t>
      </w:r>
      <w:r>
        <w:rPr>
          <w:rFonts w:hint="cs"/>
          <w:b/>
          <w:bCs/>
          <w:rtl/>
        </w:rPr>
        <w:t>נ/6</w:t>
      </w:r>
      <w:r>
        <w:rPr>
          <w:rFonts w:hint="cs"/>
          <w:rtl/>
        </w:rPr>
        <w:t xml:space="preserve">). </w:t>
      </w:r>
    </w:p>
    <w:p w14:paraId="24569D3C" w14:textId="77777777" w:rsidR="00EF7F4A" w:rsidRDefault="00EF7F4A">
      <w:pPr>
        <w:spacing w:line="360" w:lineRule="auto"/>
        <w:ind w:left="720" w:hanging="720"/>
        <w:jc w:val="both"/>
        <w:rPr>
          <w:rtl/>
        </w:rPr>
      </w:pPr>
    </w:p>
    <w:p w14:paraId="29DAD22E" w14:textId="77777777" w:rsidR="00EF7F4A" w:rsidRDefault="006230B9">
      <w:pPr>
        <w:spacing w:line="360" w:lineRule="auto"/>
        <w:ind w:left="720"/>
        <w:jc w:val="both"/>
        <w:rPr>
          <w:rtl/>
        </w:rPr>
      </w:pPr>
      <w:r>
        <w:rPr>
          <w:rFonts w:hint="cs"/>
          <w:rtl/>
        </w:rPr>
        <w:t>ב"כ הנאשם הגישה את פרוטוקול הדיון בבקשת מעצרו של הנאשם שהתנהל בפני כב' השופט קאפח בתאריך 17.2.13 (</w:t>
      </w:r>
      <w:r>
        <w:rPr>
          <w:rFonts w:hint="cs"/>
          <w:b/>
          <w:bCs/>
          <w:rtl/>
        </w:rPr>
        <w:t>נ/7</w:t>
      </w:r>
      <w:r>
        <w:rPr>
          <w:rFonts w:hint="cs"/>
          <w:rtl/>
        </w:rPr>
        <w:t>) וכן את הודעות הנאשם במשטרה על מנת להדגיש כי מרשה  שמר בתחילה על זכות השתיקה מאחר ואינו שולט בשפה העברית, אך כאשר הוצע לו תרגום הוא מסר את הגרסה לפיה הוא מצא את האקדח ביחד עם החומר המסוכן כשבוע עובר לחיפוש שנערך בביתו (</w:t>
      </w:r>
      <w:r>
        <w:rPr>
          <w:rFonts w:hint="cs"/>
          <w:b/>
          <w:bCs/>
          <w:rtl/>
        </w:rPr>
        <w:t>נ/8+ נ/9</w:t>
      </w:r>
      <w:r>
        <w:rPr>
          <w:rFonts w:hint="cs"/>
          <w:rtl/>
        </w:rPr>
        <w:t xml:space="preserve">). </w:t>
      </w:r>
    </w:p>
    <w:p w14:paraId="4ABDEED9" w14:textId="77777777" w:rsidR="00EF7F4A" w:rsidRDefault="00EF7F4A">
      <w:pPr>
        <w:spacing w:line="360" w:lineRule="auto"/>
        <w:ind w:left="720"/>
        <w:jc w:val="both"/>
        <w:rPr>
          <w:rtl/>
        </w:rPr>
      </w:pPr>
    </w:p>
    <w:p w14:paraId="7380E740" w14:textId="77777777" w:rsidR="00EF7F4A" w:rsidRDefault="006230B9">
      <w:pPr>
        <w:spacing w:line="360" w:lineRule="auto"/>
        <w:ind w:left="720"/>
        <w:jc w:val="both"/>
        <w:rPr>
          <w:rtl/>
        </w:rPr>
      </w:pPr>
      <w:r>
        <w:rPr>
          <w:rFonts w:hint="cs"/>
          <w:rtl/>
        </w:rPr>
        <w:t>ב"כ הנאשם הגישה את הודעותיו של אדוארד גוורקוב - חברו של הנאשם, שהציע לו למסור את הנשק למשטרה (</w:t>
      </w:r>
      <w:r>
        <w:rPr>
          <w:rFonts w:hint="cs"/>
          <w:b/>
          <w:bCs/>
          <w:rtl/>
        </w:rPr>
        <w:t>נ/ 11- נ/14</w:t>
      </w:r>
      <w:r>
        <w:rPr>
          <w:rFonts w:hint="cs"/>
          <w:rtl/>
        </w:rPr>
        <w:t xml:space="preserve">) . </w:t>
      </w:r>
    </w:p>
    <w:p w14:paraId="33347C16" w14:textId="77777777" w:rsidR="00EF7F4A" w:rsidRDefault="00EF7F4A">
      <w:pPr>
        <w:spacing w:line="360" w:lineRule="auto"/>
        <w:ind w:left="720"/>
        <w:jc w:val="both"/>
        <w:rPr>
          <w:rtl/>
        </w:rPr>
      </w:pPr>
    </w:p>
    <w:p w14:paraId="7F8918F4" w14:textId="77777777" w:rsidR="00EF7F4A" w:rsidRDefault="006230B9">
      <w:pPr>
        <w:spacing w:line="360" w:lineRule="auto"/>
        <w:ind w:left="720"/>
        <w:jc w:val="both"/>
        <w:rPr>
          <w:rtl/>
        </w:rPr>
      </w:pPr>
      <w:r>
        <w:rPr>
          <w:rFonts w:hint="cs"/>
          <w:rtl/>
        </w:rPr>
        <w:t xml:space="preserve">אדוארד גוורקוב אף העיד, וחזר על גרסתו כי ראה את התיק על תכולתו (נשק + סם אסור) בסמוך למועד מציאתו, וכי המליץ לנאשם למסור את הנשק למשטרה.  </w:t>
      </w:r>
    </w:p>
    <w:p w14:paraId="498F34FD" w14:textId="77777777" w:rsidR="00EF7F4A" w:rsidRDefault="00EF7F4A">
      <w:pPr>
        <w:spacing w:line="360" w:lineRule="auto"/>
        <w:ind w:left="720" w:hanging="720"/>
        <w:jc w:val="both"/>
        <w:rPr>
          <w:rtl/>
        </w:rPr>
      </w:pPr>
    </w:p>
    <w:p w14:paraId="15F09A91" w14:textId="77777777" w:rsidR="00EF7F4A" w:rsidRDefault="006230B9">
      <w:pPr>
        <w:spacing w:line="360" w:lineRule="auto"/>
        <w:ind w:left="720" w:hanging="720"/>
        <w:jc w:val="both"/>
        <w:rPr>
          <w:rtl/>
        </w:rPr>
      </w:pPr>
      <w:r>
        <w:rPr>
          <w:rFonts w:hint="cs"/>
          <w:rtl/>
        </w:rPr>
        <w:tab/>
        <w:t xml:space="preserve">אשת הנאשם </w:t>
      </w:r>
      <w:r>
        <w:rPr>
          <w:rtl/>
        </w:rPr>
        <w:t>–</w:t>
      </w:r>
      <w:r>
        <w:rPr>
          <w:rFonts w:hint="cs"/>
          <w:rtl/>
        </w:rPr>
        <w:t xml:space="preserve"> אינגה מינסובה </w:t>
      </w:r>
      <w:r>
        <w:rPr>
          <w:rtl/>
        </w:rPr>
        <w:t>–</w:t>
      </w:r>
      <w:r>
        <w:rPr>
          <w:rFonts w:hint="cs"/>
          <w:rtl/>
        </w:rPr>
        <w:t xml:space="preserve"> מסרה בעדותה כי היא נישאה לנאשם בגרוזיה, ולה ולנאשם מערכת יחסים מזה 10 שנים, ולהם ילדה משותפת. לדבריה, היא מצויה בעיצומו של הליך מדורג לקבלת מעמד קבע בישראל, והרשעת הנאשם עלולה לפגוע בה ולהביא לגירושה מהארץ. עוד סיפרה כי מצבו הבריאותי של הנאשם הינו בכי רע, והביעה חשש מהתדרדרותו. </w:t>
      </w:r>
    </w:p>
    <w:p w14:paraId="4A66592F" w14:textId="77777777" w:rsidR="00EF7F4A" w:rsidRDefault="00EF7F4A">
      <w:pPr>
        <w:spacing w:line="360" w:lineRule="auto"/>
        <w:jc w:val="both"/>
        <w:rPr>
          <w:rtl/>
        </w:rPr>
      </w:pPr>
    </w:p>
    <w:p w14:paraId="537835DE" w14:textId="77777777" w:rsidR="00EF7F4A" w:rsidRDefault="006230B9">
      <w:pPr>
        <w:spacing w:line="360" w:lineRule="auto"/>
        <w:jc w:val="both"/>
        <w:rPr>
          <w:b/>
          <w:bCs/>
          <w:sz w:val="28"/>
          <w:szCs w:val="28"/>
          <w:u w:val="single"/>
          <w:rtl/>
        </w:rPr>
      </w:pPr>
      <w:r>
        <w:rPr>
          <w:rFonts w:hint="cs"/>
          <w:b/>
          <w:bCs/>
          <w:sz w:val="28"/>
          <w:szCs w:val="28"/>
          <w:rtl/>
        </w:rPr>
        <w:t>ה.</w:t>
      </w:r>
      <w:r>
        <w:rPr>
          <w:rFonts w:hint="cs"/>
          <w:b/>
          <w:bCs/>
          <w:sz w:val="28"/>
          <w:szCs w:val="28"/>
          <w:rtl/>
        </w:rPr>
        <w:tab/>
      </w:r>
      <w:r>
        <w:rPr>
          <w:rFonts w:hint="cs"/>
          <w:b/>
          <w:bCs/>
          <w:sz w:val="28"/>
          <w:szCs w:val="28"/>
          <w:u w:val="single"/>
          <w:rtl/>
        </w:rPr>
        <w:t>טיעוני ב"כ הצדדים</w:t>
      </w:r>
    </w:p>
    <w:p w14:paraId="45B75EAA" w14:textId="77777777" w:rsidR="00EF7F4A" w:rsidRDefault="00EF7F4A">
      <w:pPr>
        <w:spacing w:line="360" w:lineRule="auto"/>
        <w:jc w:val="both"/>
        <w:rPr>
          <w:b/>
          <w:bCs/>
          <w:sz w:val="28"/>
          <w:szCs w:val="28"/>
          <w:u w:val="single"/>
          <w:rtl/>
        </w:rPr>
      </w:pPr>
    </w:p>
    <w:p w14:paraId="26B77182" w14:textId="77777777" w:rsidR="00EF7F4A" w:rsidRDefault="006230B9">
      <w:pPr>
        <w:spacing w:line="360" w:lineRule="auto"/>
        <w:ind w:left="720" w:hanging="720"/>
        <w:jc w:val="both"/>
        <w:rPr>
          <w:rtl/>
        </w:rPr>
      </w:pPr>
      <w:r>
        <w:rPr>
          <w:rFonts w:hint="cs"/>
          <w:rtl/>
        </w:rPr>
        <w:t>11.</w:t>
      </w:r>
      <w:r>
        <w:rPr>
          <w:rFonts w:hint="cs"/>
          <w:rtl/>
        </w:rPr>
        <w:tab/>
        <w:t xml:space="preserve">ב"כ המאשימה הדגישה את חומרת העבירות בציינה שקיים פוטנציאל סיכון ממשי להחזקת נשק קטלני, לרבות החזקת כדורים תואמים, ועל כן נקבע בהלכה הפסוקה שעבירות המבוצעות בנשק מחייבות ענישה של מאסר מאחורי סורג ובריח. אף כאשר הוחזק נשק בלתי תקין, ולנשק כזה נקבע </w:t>
      </w:r>
      <w:r>
        <w:rPr>
          <w:rFonts w:hint="cs"/>
          <w:u w:val="single"/>
          <w:rtl/>
        </w:rPr>
        <w:t>כרף תחתון</w:t>
      </w:r>
      <w:r>
        <w:rPr>
          <w:rFonts w:hint="cs"/>
          <w:rtl/>
        </w:rPr>
        <w:t xml:space="preserve"> עונש מאסר של 6-8 חודשים. </w:t>
      </w:r>
    </w:p>
    <w:p w14:paraId="668A4238" w14:textId="77777777" w:rsidR="00EF7F4A" w:rsidRDefault="00EF7F4A">
      <w:pPr>
        <w:spacing w:line="360" w:lineRule="auto"/>
        <w:jc w:val="both"/>
        <w:rPr>
          <w:rtl/>
        </w:rPr>
      </w:pPr>
    </w:p>
    <w:p w14:paraId="611B4ECF" w14:textId="77777777" w:rsidR="00EF7F4A" w:rsidRDefault="00EF7F4A">
      <w:pPr>
        <w:spacing w:line="360" w:lineRule="auto"/>
        <w:jc w:val="both"/>
        <w:rPr>
          <w:rtl/>
        </w:rPr>
      </w:pPr>
    </w:p>
    <w:p w14:paraId="6FAB4DB0" w14:textId="77777777" w:rsidR="00EF7F4A" w:rsidRDefault="00EF7F4A">
      <w:pPr>
        <w:spacing w:line="360" w:lineRule="auto"/>
        <w:jc w:val="both"/>
        <w:rPr>
          <w:rtl/>
        </w:rPr>
      </w:pPr>
    </w:p>
    <w:p w14:paraId="19D047C2" w14:textId="77777777" w:rsidR="00EF7F4A" w:rsidRDefault="006230B9">
      <w:pPr>
        <w:spacing w:line="360" w:lineRule="auto"/>
        <w:ind w:left="720" w:hanging="720"/>
        <w:jc w:val="both"/>
        <w:rPr>
          <w:rtl/>
        </w:rPr>
      </w:pPr>
      <w:r>
        <w:rPr>
          <w:rFonts w:hint="cs"/>
          <w:rtl/>
        </w:rPr>
        <w:t>12.</w:t>
      </w:r>
      <w:r>
        <w:rPr>
          <w:rFonts w:hint="cs"/>
          <w:rtl/>
        </w:rPr>
        <w:tab/>
        <w:t>ב"כ המאשימה ביקשה לדחות את גרסת הנאשם, ולפיה הוא מצא את הנשק בשקית ונטל עמו את השקית מבלי שפתח אותה ומבלי שראה שהיא מכילה נשק, וגילה זאת רק בביתו. עוד הוסיפה, שאין אינדיקציה לכך שהנאשם התכוון למסור את הנשק למשטרה, שהרי לא שעה לעצת חברו והמשיך להחזיק את הנשק בביתו.</w:t>
      </w:r>
    </w:p>
    <w:p w14:paraId="665DA9D4" w14:textId="77777777" w:rsidR="00EF7F4A" w:rsidRDefault="006230B9">
      <w:pPr>
        <w:spacing w:line="360" w:lineRule="auto"/>
        <w:ind w:left="720"/>
        <w:jc w:val="both"/>
        <w:rPr>
          <w:rtl/>
        </w:rPr>
      </w:pPr>
      <w:r>
        <w:rPr>
          <w:rFonts w:hint="cs"/>
          <w:rtl/>
        </w:rPr>
        <w:t>לדבריה, החזקת נשק לשימוש עצמי או למטרת סחר ע"י אדם בעל דפוסים עבריינים כמו הנאשם, המנהל אורח חיים עברייני, כפי שמצא ביטויו בגיליון ההרשעות של הנאשם - מעצים עוד יותר את הסיכון לציבור.</w:t>
      </w:r>
    </w:p>
    <w:p w14:paraId="32490761" w14:textId="77777777" w:rsidR="00EF7F4A" w:rsidRDefault="006230B9">
      <w:pPr>
        <w:spacing w:line="360" w:lineRule="auto"/>
        <w:ind w:firstLine="720"/>
        <w:jc w:val="both"/>
        <w:rPr>
          <w:rtl/>
        </w:rPr>
      </w:pPr>
      <w:r>
        <w:rPr>
          <w:rFonts w:hint="cs"/>
          <w:rtl/>
        </w:rPr>
        <w:t>התביעה גורסת כי מתחם הענישה בתיק דנן נע בין 6 חודשים ל-3 שנים.</w:t>
      </w:r>
    </w:p>
    <w:p w14:paraId="36ACD427" w14:textId="77777777" w:rsidR="00EF7F4A" w:rsidRDefault="00EF7F4A">
      <w:pPr>
        <w:spacing w:line="360" w:lineRule="auto"/>
        <w:jc w:val="both"/>
        <w:rPr>
          <w:rtl/>
        </w:rPr>
      </w:pPr>
    </w:p>
    <w:p w14:paraId="1F53B3B0" w14:textId="77777777" w:rsidR="00EF7F4A" w:rsidRDefault="006230B9">
      <w:pPr>
        <w:spacing w:line="360" w:lineRule="auto"/>
        <w:ind w:left="720" w:hanging="720"/>
        <w:jc w:val="both"/>
        <w:rPr>
          <w:rtl/>
        </w:rPr>
      </w:pPr>
      <w:r>
        <w:rPr>
          <w:rFonts w:hint="cs"/>
          <w:rtl/>
        </w:rPr>
        <w:t>13.</w:t>
      </w:r>
      <w:r>
        <w:rPr>
          <w:rFonts w:hint="cs"/>
          <w:rtl/>
        </w:rPr>
        <w:tab/>
        <w:t>ב"כ הנאשם עתרה לבית המשפט להטיל על מרשה עונש מאסר לריצוי בעבודות שירות, בהדגישה כי הנאשם הודה בהזדמנות הראשונה, והעבירות בהן הורשע לאחר תיקון כתב האישום הן בסמכות בית משפט השלום.</w:t>
      </w:r>
    </w:p>
    <w:p w14:paraId="69212068" w14:textId="77777777" w:rsidR="00EF7F4A" w:rsidRDefault="00EF7F4A">
      <w:pPr>
        <w:spacing w:line="360" w:lineRule="auto"/>
        <w:ind w:left="720" w:hanging="720"/>
        <w:jc w:val="both"/>
        <w:rPr>
          <w:rtl/>
        </w:rPr>
      </w:pPr>
    </w:p>
    <w:p w14:paraId="36E51BD6" w14:textId="77777777" w:rsidR="00EF7F4A" w:rsidRDefault="006230B9">
      <w:pPr>
        <w:spacing w:line="360" w:lineRule="auto"/>
        <w:ind w:left="720" w:hanging="720"/>
        <w:jc w:val="both"/>
        <w:rPr>
          <w:rtl/>
        </w:rPr>
      </w:pPr>
      <w:r>
        <w:rPr>
          <w:rFonts w:hint="cs"/>
          <w:rtl/>
        </w:rPr>
        <w:t>14.</w:t>
      </w:r>
      <w:r>
        <w:rPr>
          <w:rFonts w:hint="cs"/>
          <w:rtl/>
        </w:rPr>
        <w:tab/>
        <w:t xml:space="preserve">לטענת ב"כ הנאשם, מעדותו של חברו של הנאשם אדוארד גוורקוב כמו גם מהודעותיו עולה שהנאשם מצא את השקית ברחוב יפת ביפו, והוא הבחין בכוונת הטלסקופית שבלטה מהשקית, ועל כן נטל אותה לביתו מבלי שהבחין שהיא מכילה נשק וחומר אסור. </w:t>
      </w:r>
    </w:p>
    <w:p w14:paraId="0E69A35B" w14:textId="77777777" w:rsidR="00EF7F4A" w:rsidRDefault="006230B9">
      <w:pPr>
        <w:spacing w:line="360" w:lineRule="auto"/>
        <w:ind w:left="720"/>
        <w:jc w:val="both"/>
        <w:rPr>
          <w:rtl/>
        </w:rPr>
      </w:pPr>
      <w:r>
        <w:rPr>
          <w:rFonts w:hint="cs"/>
          <w:rtl/>
        </w:rPr>
        <w:t xml:space="preserve">הנאשם גילה את הנשק רק כשנפתחה השקית בביתו. </w:t>
      </w:r>
    </w:p>
    <w:p w14:paraId="05AC9FE5" w14:textId="77777777" w:rsidR="00EF7F4A" w:rsidRDefault="006230B9">
      <w:pPr>
        <w:spacing w:line="360" w:lineRule="auto"/>
        <w:ind w:left="720"/>
        <w:jc w:val="both"/>
        <w:rPr>
          <w:rtl/>
        </w:rPr>
      </w:pPr>
      <w:r>
        <w:rPr>
          <w:rFonts w:hint="cs"/>
          <w:rtl/>
        </w:rPr>
        <w:t>הנאשם שולל כי התכוון לסחור בנשק או להשתמש בו, והנשק נותר בביתו מאחר ולא ידע כיצד להיפטר ממנו: למשטרה הוא חשש ללכת שמא לא יאמינו לו, הוא אף חשש להפקיר את הנשק ברחוב שמא ייפגע ממנו מאן דהוא.</w:t>
      </w:r>
    </w:p>
    <w:p w14:paraId="4A7ED2C2" w14:textId="77777777" w:rsidR="00EF7F4A" w:rsidRDefault="006230B9">
      <w:pPr>
        <w:spacing w:line="360" w:lineRule="auto"/>
        <w:ind w:left="720"/>
        <w:jc w:val="both"/>
        <w:rPr>
          <w:rtl/>
        </w:rPr>
      </w:pPr>
      <w:r>
        <w:rPr>
          <w:rFonts w:hint="cs"/>
          <w:rtl/>
        </w:rPr>
        <w:t xml:space="preserve">הנאשם אפוא בחר להניח את השקית על תכולתה בארון בביתו, על מדף גבוה, שאיש לא יגיע אליו, וסיפר לחברו על כך. ב"כ הנאשם מדגישה כי אין כל ראיה לפיה הנאשם הסתיר את הנשק בביתו, על מנת "לעשות כסף", ובהקשר זה ציינה כי הנאשם אינו נמנה על ארגון פשע, והחיפוש בביתו על ידי המשטרה במהלכו אותר הנשק והסם האסור נעשה על פי מידע מודיעיני הקשור לניהול משחקי הימורים. </w:t>
      </w:r>
    </w:p>
    <w:p w14:paraId="7E6829A6" w14:textId="77777777" w:rsidR="00EF7F4A" w:rsidRDefault="00EF7F4A">
      <w:pPr>
        <w:spacing w:line="360" w:lineRule="auto"/>
        <w:jc w:val="both"/>
        <w:rPr>
          <w:rtl/>
        </w:rPr>
      </w:pPr>
    </w:p>
    <w:p w14:paraId="7D12C8F3" w14:textId="77777777" w:rsidR="00EF7F4A" w:rsidRDefault="006230B9">
      <w:pPr>
        <w:spacing w:line="360" w:lineRule="auto"/>
        <w:ind w:left="720" w:hanging="720"/>
        <w:jc w:val="both"/>
        <w:rPr>
          <w:rtl/>
        </w:rPr>
      </w:pPr>
      <w:r>
        <w:rPr>
          <w:rFonts w:hint="cs"/>
          <w:rtl/>
        </w:rPr>
        <w:t>15.</w:t>
      </w:r>
      <w:r>
        <w:rPr>
          <w:rFonts w:hint="cs"/>
          <w:rtl/>
        </w:rPr>
        <w:tab/>
        <w:t xml:space="preserve">עוד הוסיפה ב"כ הנאשם כי מתחם הענישה נקבע על פי נסיבות של כל מקרה ומקרה, ואין החזקת נשק לצורך פעילות פלילית דומה להחזקת נשק לצורכי ציד או ספורט או החזקתו לאחר שפג תוקף הרישיון להחזקתו. </w:t>
      </w:r>
    </w:p>
    <w:p w14:paraId="54B41806" w14:textId="77777777" w:rsidR="00EF7F4A" w:rsidRDefault="006230B9">
      <w:pPr>
        <w:spacing w:line="360" w:lineRule="auto"/>
        <w:ind w:left="720"/>
        <w:jc w:val="both"/>
        <w:rPr>
          <w:rtl/>
        </w:rPr>
      </w:pPr>
      <w:r>
        <w:rPr>
          <w:rFonts w:hint="cs"/>
          <w:rtl/>
        </w:rPr>
        <w:t>לטענתה, לא נגרם נזק בפועל לערך חברתי מוגן, שכן הנשק היה מונח בארון במקום שאיש לא יכול להגיע אליו בנקל. במקרה דנן, מתחם הענישה צריך להיות מצומצם ביותר ולנוע ממספר חודשי מאסר לריצוי בעבודות שירות ועד למספר חודשי מאסר מאחורי סורג ובריח. לתימוכין בטענותיה הגישה ב"כ הנאשם אסופת פסיקה.</w:t>
      </w:r>
    </w:p>
    <w:p w14:paraId="1C0A80DD" w14:textId="77777777" w:rsidR="00EF7F4A" w:rsidRDefault="00EF7F4A">
      <w:pPr>
        <w:spacing w:line="360" w:lineRule="auto"/>
        <w:jc w:val="both"/>
        <w:rPr>
          <w:rtl/>
        </w:rPr>
      </w:pPr>
    </w:p>
    <w:p w14:paraId="59FE5A3A" w14:textId="77777777" w:rsidR="00EF7F4A" w:rsidRDefault="00EF7F4A">
      <w:pPr>
        <w:spacing w:line="360" w:lineRule="auto"/>
        <w:jc w:val="both"/>
        <w:rPr>
          <w:rtl/>
        </w:rPr>
      </w:pPr>
    </w:p>
    <w:p w14:paraId="0DD848E7" w14:textId="77777777" w:rsidR="00EF7F4A" w:rsidRDefault="006230B9">
      <w:pPr>
        <w:spacing w:line="360" w:lineRule="auto"/>
        <w:ind w:left="720" w:hanging="720"/>
        <w:jc w:val="both"/>
        <w:rPr>
          <w:rtl/>
        </w:rPr>
      </w:pPr>
      <w:r>
        <w:rPr>
          <w:rFonts w:hint="cs"/>
          <w:rtl/>
        </w:rPr>
        <w:t>16.</w:t>
      </w:r>
      <w:r>
        <w:rPr>
          <w:rFonts w:hint="cs"/>
          <w:rtl/>
        </w:rPr>
        <w:tab/>
        <w:t xml:space="preserve">ב"כ הנאשם ביקשה לתת משקל לנסיבותיו האישיות של הנאשם ולהליך השיקומי בו החל כאשר נגמל משימוש בסם. בנוסף טענה כי שליחתו למאסר של הנאשם תגרום  לפגיעה אנושה במשפחתו, שכן אשתו </w:t>
      </w:r>
      <w:r>
        <w:rPr>
          <w:rtl/>
        </w:rPr>
        <w:t>–</w:t>
      </w:r>
      <w:r>
        <w:rPr>
          <w:rFonts w:hint="cs"/>
          <w:rtl/>
        </w:rPr>
        <w:t xml:space="preserve"> אם בנו </w:t>
      </w:r>
      <w:r>
        <w:rPr>
          <w:rtl/>
        </w:rPr>
        <w:t>–</w:t>
      </w:r>
      <w:r>
        <w:rPr>
          <w:rFonts w:hint="cs"/>
          <w:rtl/>
        </w:rPr>
        <w:t xml:space="preserve"> שמעמדה הקבוע בישראל טרם הוסדר - עלולה להיות מגורשת מהארץ.</w:t>
      </w:r>
    </w:p>
    <w:p w14:paraId="3D7173A0" w14:textId="77777777" w:rsidR="00EF7F4A" w:rsidRDefault="006230B9">
      <w:pPr>
        <w:spacing w:line="360" w:lineRule="auto"/>
        <w:ind w:left="720"/>
        <w:jc w:val="both"/>
        <w:rPr>
          <w:rtl/>
        </w:rPr>
      </w:pPr>
      <w:r>
        <w:rPr>
          <w:rFonts w:hint="cs"/>
          <w:rtl/>
        </w:rPr>
        <w:t xml:space="preserve">עוד לדבריה, קיים הליך פלילי נוסף נגד הנאשם בגין עבירת ניהול הימורים, אך רבים הסיכויים כי המאסר על תנאי שם שהינו בר-הפעלה </w:t>
      </w:r>
      <w:r>
        <w:rPr>
          <w:rtl/>
        </w:rPr>
        <w:t>–</w:t>
      </w:r>
      <w:r>
        <w:rPr>
          <w:rFonts w:hint="cs"/>
          <w:rtl/>
        </w:rPr>
        <w:t xml:space="preserve"> יוארך בהתאם </w:t>
      </w:r>
      <w:hyperlink r:id="rId18" w:history="1">
        <w:r w:rsidR="00B13796" w:rsidRPr="00B13796">
          <w:rPr>
            <w:rStyle w:val="Hyperlink"/>
            <w:rFonts w:hint="eastAsia"/>
            <w:rtl/>
          </w:rPr>
          <w:t>לסעיף</w:t>
        </w:r>
        <w:r w:rsidR="00B13796" w:rsidRPr="00B13796">
          <w:rPr>
            <w:rStyle w:val="Hyperlink"/>
            <w:rtl/>
          </w:rPr>
          <w:t xml:space="preserve"> 85</w:t>
        </w:r>
      </w:hyperlink>
      <w:r>
        <w:rPr>
          <w:rFonts w:hint="cs"/>
          <w:rtl/>
        </w:rPr>
        <w:t xml:space="preserve"> ל</w:t>
      </w:r>
      <w:hyperlink r:id="rId19" w:history="1">
        <w:r w:rsidRPr="006230B9">
          <w:rPr>
            <w:color w:val="0000FF"/>
            <w:u w:val="single"/>
            <w:rtl/>
          </w:rPr>
          <w:t>חוק העונשין</w:t>
        </w:r>
      </w:hyperlink>
      <w:r>
        <w:rPr>
          <w:rFonts w:hint="cs"/>
          <w:rtl/>
        </w:rPr>
        <w:t xml:space="preserve">. </w:t>
      </w:r>
    </w:p>
    <w:p w14:paraId="446D9352" w14:textId="77777777" w:rsidR="00EF7F4A" w:rsidRDefault="00EF7F4A">
      <w:pPr>
        <w:spacing w:line="360" w:lineRule="auto"/>
        <w:jc w:val="both"/>
        <w:rPr>
          <w:rtl/>
        </w:rPr>
      </w:pPr>
    </w:p>
    <w:p w14:paraId="3AB99498" w14:textId="77777777" w:rsidR="00EF7F4A" w:rsidRDefault="006230B9">
      <w:pPr>
        <w:spacing w:line="360" w:lineRule="auto"/>
        <w:jc w:val="both"/>
        <w:rPr>
          <w:b/>
          <w:bCs/>
          <w:sz w:val="28"/>
          <w:szCs w:val="28"/>
          <w:u w:val="single"/>
          <w:rtl/>
        </w:rPr>
      </w:pPr>
      <w:r>
        <w:rPr>
          <w:rFonts w:hint="cs"/>
          <w:b/>
          <w:bCs/>
          <w:sz w:val="28"/>
          <w:szCs w:val="28"/>
          <w:rtl/>
        </w:rPr>
        <w:t>ו.</w:t>
      </w:r>
      <w:r>
        <w:rPr>
          <w:rFonts w:hint="cs"/>
          <w:b/>
          <w:bCs/>
          <w:sz w:val="28"/>
          <w:szCs w:val="28"/>
          <w:rtl/>
        </w:rPr>
        <w:tab/>
      </w:r>
      <w:r>
        <w:rPr>
          <w:rFonts w:hint="cs"/>
          <w:b/>
          <w:bCs/>
          <w:sz w:val="28"/>
          <w:szCs w:val="28"/>
          <w:u w:val="single"/>
          <w:rtl/>
        </w:rPr>
        <w:t>דברי הנאשם</w:t>
      </w:r>
    </w:p>
    <w:p w14:paraId="7C8662F5" w14:textId="77777777" w:rsidR="00EF7F4A" w:rsidRDefault="00EF7F4A">
      <w:pPr>
        <w:spacing w:line="360" w:lineRule="auto"/>
        <w:jc w:val="both"/>
        <w:rPr>
          <w:b/>
          <w:bCs/>
          <w:sz w:val="28"/>
          <w:szCs w:val="28"/>
          <w:u w:val="single"/>
          <w:rtl/>
        </w:rPr>
      </w:pPr>
    </w:p>
    <w:p w14:paraId="4A8F45BE" w14:textId="77777777" w:rsidR="00EF7F4A" w:rsidRDefault="006230B9">
      <w:pPr>
        <w:spacing w:line="360" w:lineRule="auto"/>
        <w:ind w:left="720" w:hanging="720"/>
        <w:jc w:val="both"/>
        <w:rPr>
          <w:rtl/>
        </w:rPr>
      </w:pPr>
      <w:r>
        <w:rPr>
          <w:rFonts w:hint="cs"/>
          <w:rtl/>
        </w:rPr>
        <w:t>17.</w:t>
      </w:r>
      <w:r>
        <w:rPr>
          <w:rFonts w:hint="cs"/>
          <w:rtl/>
        </w:rPr>
        <w:tab/>
        <w:t>הנאשם הביע צער על מעשיו, וביקש כי בית המשפט לא יטיל עליו ענישה שתגרום לקריסת התא המשפחתי אותו הקים.</w:t>
      </w:r>
    </w:p>
    <w:p w14:paraId="757363DC" w14:textId="77777777" w:rsidR="00EF7F4A" w:rsidRDefault="00EF7F4A">
      <w:pPr>
        <w:spacing w:line="360" w:lineRule="auto"/>
        <w:ind w:left="720" w:hanging="720"/>
        <w:jc w:val="both"/>
        <w:rPr>
          <w:b/>
          <w:bCs/>
          <w:sz w:val="28"/>
          <w:szCs w:val="28"/>
          <w:rtl/>
        </w:rPr>
      </w:pPr>
    </w:p>
    <w:p w14:paraId="66CAE6F4" w14:textId="77777777" w:rsidR="00EF7F4A" w:rsidRDefault="006230B9">
      <w:pPr>
        <w:spacing w:line="360" w:lineRule="auto"/>
        <w:jc w:val="both"/>
        <w:rPr>
          <w:b/>
          <w:bCs/>
          <w:sz w:val="28"/>
          <w:szCs w:val="28"/>
          <w:rtl/>
        </w:rPr>
      </w:pPr>
      <w:r>
        <w:rPr>
          <w:rFonts w:hint="cs"/>
          <w:b/>
          <w:bCs/>
          <w:sz w:val="28"/>
          <w:szCs w:val="28"/>
          <w:rtl/>
        </w:rPr>
        <w:t>ז.</w:t>
      </w:r>
      <w:r>
        <w:rPr>
          <w:rFonts w:hint="cs"/>
          <w:b/>
          <w:bCs/>
          <w:sz w:val="28"/>
          <w:szCs w:val="28"/>
          <w:rtl/>
        </w:rPr>
        <w:tab/>
      </w:r>
      <w:r>
        <w:rPr>
          <w:rFonts w:hint="cs"/>
          <w:b/>
          <w:bCs/>
          <w:sz w:val="28"/>
          <w:szCs w:val="28"/>
          <w:u w:val="single"/>
          <w:rtl/>
        </w:rPr>
        <w:t>דיון</w:t>
      </w:r>
    </w:p>
    <w:p w14:paraId="110B1E8C" w14:textId="77777777" w:rsidR="00EF7F4A" w:rsidRDefault="00EF7F4A">
      <w:pPr>
        <w:spacing w:line="360" w:lineRule="auto"/>
        <w:jc w:val="both"/>
        <w:rPr>
          <w:rtl/>
        </w:rPr>
      </w:pPr>
    </w:p>
    <w:p w14:paraId="729F96A8" w14:textId="77777777" w:rsidR="00EF7F4A" w:rsidRDefault="006230B9">
      <w:pPr>
        <w:spacing w:line="360" w:lineRule="auto"/>
        <w:ind w:left="720" w:hanging="720"/>
        <w:jc w:val="both"/>
        <w:rPr>
          <w:rtl/>
        </w:rPr>
      </w:pPr>
      <w:r>
        <w:rPr>
          <w:rFonts w:hint="cs"/>
          <w:rtl/>
        </w:rPr>
        <w:t>18.</w:t>
      </w:r>
      <w:r>
        <w:rPr>
          <w:rFonts w:hint="cs"/>
          <w:rtl/>
        </w:rPr>
        <w:tab/>
      </w:r>
      <w:r>
        <w:rPr>
          <w:rtl/>
        </w:rPr>
        <w:t>עסקינן בנאשם שהורשע בביצוע עביר</w:t>
      </w:r>
      <w:r>
        <w:rPr>
          <w:rFonts w:hint="cs"/>
          <w:rtl/>
        </w:rPr>
        <w:t>ה</w:t>
      </w:r>
      <w:r>
        <w:rPr>
          <w:rtl/>
        </w:rPr>
        <w:t xml:space="preserve"> של החזק</w:t>
      </w:r>
      <w:r>
        <w:rPr>
          <w:rFonts w:hint="cs"/>
          <w:rtl/>
        </w:rPr>
        <w:t>ת</w:t>
      </w:r>
      <w:r>
        <w:rPr>
          <w:rtl/>
        </w:rPr>
        <w:t xml:space="preserve"> נשק שלא כדין</w:t>
      </w:r>
      <w:r>
        <w:rPr>
          <w:rFonts w:hint="cs"/>
          <w:rtl/>
        </w:rPr>
        <w:t xml:space="preserve"> (אקדח מסוג </w:t>
      </w:r>
      <w:r>
        <w:t>FN</w:t>
      </w:r>
      <w:r>
        <w:rPr>
          <w:rFonts w:hint="cs"/>
          <w:rtl/>
        </w:rPr>
        <w:t xml:space="preserve"> </w:t>
      </w:r>
      <w:smartTag w:uri="urn:schemas-microsoft-com:office:smarttags" w:element="State">
        <w:smartTagPr>
          <w:attr w:name="ProductID" w:val="9 מ&quot;מ"/>
        </w:smartTagPr>
        <w:r>
          <w:rPr>
            <w:rFonts w:hint="cs"/>
            <w:rtl/>
          </w:rPr>
          <w:t>9 מ"מ</w:t>
        </w:r>
      </w:smartTag>
      <w:r>
        <w:rPr>
          <w:rFonts w:hint="cs"/>
          <w:rtl/>
        </w:rPr>
        <w:t xml:space="preserve">, כוונת טלסקופית לרובה, מחסנית כדורים לאקדח ושלושה כדורי </w:t>
      </w:r>
      <w:smartTag w:uri="urn:schemas-microsoft-com:office:smarttags" w:element="State">
        <w:smartTagPr>
          <w:attr w:name="ProductID" w:val="9 מ&quot;מ"/>
        </w:smartTagPr>
        <w:r>
          <w:rPr>
            <w:rFonts w:hint="cs"/>
            <w:rtl/>
          </w:rPr>
          <w:t>9 מ"מ</w:t>
        </w:r>
      </w:smartTag>
      <w:r>
        <w:rPr>
          <w:rFonts w:hint="cs"/>
          <w:rtl/>
        </w:rPr>
        <w:t>), וכן בקבוק המכיל חומר מסוכן</w:t>
      </w:r>
      <w:r>
        <w:rPr>
          <w:rtl/>
        </w:rPr>
        <w:t xml:space="preserve"> </w:t>
      </w:r>
      <w:r>
        <w:rPr>
          <w:rFonts w:hint="cs"/>
          <w:rtl/>
        </w:rPr>
        <w:t>המהווה חומר רעיל.</w:t>
      </w:r>
    </w:p>
    <w:p w14:paraId="6F6394E7" w14:textId="77777777" w:rsidR="00EF7F4A" w:rsidRDefault="006230B9">
      <w:pPr>
        <w:spacing w:line="360" w:lineRule="auto"/>
        <w:ind w:left="720" w:hanging="720"/>
        <w:jc w:val="both"/>
        <w:rPr>
          <w:rtl/>
        </w:rPr>
      </w:pPr>
      <w:r>
        <w:rPr>
          <w:rFonts w:hint="cs"/>
          <w:rtl/>
        </w:rPr>
        <w:t xml:space="preserve"> </w:t>
      </w:r>
    </w:p>
    <w:p w14:paraId="5A545515" w14:textId="77777777" w:rsidR="00EF7F4A" w:rsidRDefault="006230B9">
      <w:pPr>
        <w:spacing w:line="360" w:lineRule="auto"/>
        <w:ind w:left="720"/>
        <w:jc w:val="both"/>
        <w:rPr>
          <w:rtl/>
        </w:rPr>
      </w:pPr>
      <w:r>
        <w:rPr>
          <w:rFonts w:hint="cs"/>
          <w:rtl/>
        </w:rPr>
        <w:t xml:space="preserve">כבר נאמר לא אחת כי </w:t>
      </w:r>
      <w:r>
        <w:rPr>
          <w:rtl/>
        </w:rPr>
        <w:t>כלי נשק המוחזקים באופן בלתי חוקי</w:t>
      </w:r>
      <w:r>
        <w:rPr>
          <w:rFonts w:hint="cs"/>
          <w:rtl/>
        </w:rPr>
        <w:t xml:space="preserve">, אף כאשר הם מוחזקים אצל אנשים ללא עבר פלילי, הפוטנציאל לסיכון חיי אדם </w:t>
      </w:r>
      <w:r>
        <w:rPr>
          <w:rtl/>
        </w:rPr>
        <w:t>–</w:t>
      </w:r>
      <w:r>
        <w:rPr>
          <w:rFonts w:hint="cs"/>
          <w:rtl/>
        </w:rPr>
        <w:t xml:space="preserve"> רב.</w:t>
      </w:r>
      <w:r>
        <w:rPr>
          <w:rtl/>
        </w:rPr>
        <w:t xml:space="preserve"> הסכנה גדולה שבעתיים כאשר </w:t>
      </w:r>
      <w:r>
        <w:rPr>
          <w:rFonts w:hint="cs"/>
          <w:rtl/>
        </w:rPr>
        <w:t xml:space="preserve">עבירה זו של החזקת נשק </w:t>
      </w:r>
      <w:r>
        <w:rPr>
          <w:rtl/>
        </w:rPr>
        <w:t>מבוצעת על-ידי עבריינים.</w:t>
      </w:r>
    </w:p>
    <w:p w14:paraId="7050E782" w14:textId="77777777" w:rsidR="00EF7F4A" w:rsidRDefault="00EF7F4A">
      <w:pPr>
        <w:spacing w:line="360" w:lineRule="auto"/>
        <w:jc w:val="both"/>
        <w:rPr>
          <w:rtl/>
        </w:rPr>
      </w:pPr>
    </w:p>
    <w:p w14:paraId="6ACE611B" w14:textId="77777777" w:rsidR="00EF7F4A" w:rsidRDefault="006230B9">
      <w:pPr>
        <w:spacing w:line="360" w:lineRule="auto"/>
        <w:ind w:left="720"/>
        <w:jc w:val="both"/>
        <w:rPr>
          <w:rtl/>
        </w:rPr>
      </w:pPr>
      <w:r>
        <w:rPr>
          <w:rFonts w:hint="cs"/>
          <w:rtl/>
        </w:rPr>
        <w:t>באשר לעבירת החזקת הנשק ראו דבריה של כב' השופטת ארבל ב</w:t>
      </w:r>
      <w:hyperlink r:id="rId20" w:history="1">
        <w:r w:rsidRPr="006230B9">
          <w:rPr>
            <w:color w:val="0000FF"/>
            <w:u w:val="single"/>
            <w:rtl/>
          </w:rPr>
          <w:t>ע"פ 3300/06</w:t>
        </w:r>
      </w:hyperlink>
      <w:r>
        <w:rPr>
          <w:rFonts w:hint="cs"/>
          <w:rtl/>
        </w:rPr>
        <w:t xml:space="preserve"> </w:t>
      </w:r>
      <w:r>
        <w:rPr>
          <w:rFonts w:hint="cs"/>
          <w:b/>
          <w:bCs/>
          <w:rtl/>
        </w:rPr>
        <w:t>אבו סנינה נ' מדינת ישראל</w:t>
      </w:r>
      <w:r>
        <w:rPr>
          <w:rFonts w:hint="cs"/>
          <w:rtl/>
        </w:rPr>
        <w:t xml:space="preserve"> (פורסם בנבו, 10.8.2006):</w:t>
      </w:r>
    </w:p>
    <w:p w14:paraId="0A7044D2" w14:textId="77777777" w:rsidR="00EF7F4A" w:rsidRDefault="00EF7F4A">
      <w:pPr>
        <w:spacing w:line="360" w:lineRule="auto"/>
        <w:ind w:left="720"/>
        <w:jc w:val="both"/>
        <w:rPr>
          <w:rtl/>
        </w:rPr>
      </w:pPr>
    </w:p>
    <w:p w14:paraId="100CD115" w14:textId="77777777" w:rsidR="00EF7F4A" w:rsidRDefault="006230B9">
      <w:pPr>
        <w:spacing w:line="360" w:lineRule="auto"/>
        <w:ind w:left="1440"/>
        <w:jc w:val="both"/>
        <w:rPr>
          <w:b/>
          <w:bCs/>
          <w:rtl/>
        </w:rPr>
      </w:pPr>
      <w:r>
        <w:rPr>
          <w:rFonts w:hint="cs"/>
          <w:b/>
          <w:bCs/>
          <w:rtl/>
        </w:rPr>
        <w:t>"</w:t>
      </w:r>
      <w:r>
        <w:rPr>
          <w:b/>
          <w:bCs/>
          <w:rtl/>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w:t>
      </w:r>
      <w:r>
        <w:rPr>
          <w:rFonts w:hint="cs"/>
          <w:b/>
          <w:bCs/>
          <w:rtl/>
        </w:rPr>
        <w:t>,</w:t>
      </w:r>
      <w:r>
        <w:rPr>
          <w:b/>
          <w:bCs/>
          <w:rtl/>
        </w:rPr>
        <w:t xml:space="preserve"> וממילא גם מוחזק כמי שאינו מיומן בו. הקטגוריות שצו</w:t>
      </w:r>
      <w:r>
        <w:rPr>
          <w:rFonts w:hint="cs"/>
          <w:b/>
          <w:bCs/>
          <w:rtl/>
        </w:rPr>
        <w:t>י</w:t>
      </w:r>
      <w:r>
        <w:rPr>
          <w:b/>
          <w:bCs/>
          <w:rtl/>
        </w:rPr>
        <w:t>ינו בעניין אבו מוך מבחינות בין מקרים שונים בהתאם לחומרתם</w:t>
      </w:r>
      <w:r>
        <w:rPr>
          <w:rFonts w:hint="cs"/>
          <w:b/>
          <w:bCs/>
          <w:rtl/>
        </w:rPr>
        <w:t>,</w:t>
      </w:r>
      <w:r>
        <w:rPr>
          <w:b/>
          <w:bCs/>
          <w:rtl/>
        </w:rPr>
        <w:t xml:space="preserve">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w:t>
      </w:r>
      <w:r>
        <w:rPr>
          <w:rFonts w:hint="cs"/>
          <w:b/>
          <w:bCs/>
          <w:rtl/>
        </w:rPr>
        <w:t xml:space="preserve">.. </w:t>
      </w:r>
      <w:r>
        <w:rPr>
          <w:b/>
          <w:bCs/>
          <w:rtl/>
        </w:rPr>
        <w:t>ב</w:t>
      </w:r>
      <w:r>
        <w:rPr>
          <w:rFonts w:hint="cs"/>
          <w:b/>
          <w:bCs/>
          <w:rtl/>
        </w:rPr>
        <w:t>ין היתר</w:t>
      </w:r>
      <w:r>
        <w:rPr>
          <w:b/>
          <w:bCs/>
          <w:rtl/>
        </w:rPr>
        <w:t>, ייתן בית המשפט דעתו לסוג הנשק המוחזק שלא כדין, לכמותו, לתכלית שלשמה הוא מוחזק ולסכנה המוחשית שיעשה בו שימוש</w:t>
      </w:r>
      <w:r>
        <w:rPr>
          <w:rFonts w:hint="cs"/>
          <w:b/>
          <w:bCs/>
          <w:rtl/>
        </w:rPr>
        <w:t>".</w:t>
      </w:r>
    </w:p>
    <w:p w14:paraId="56BDCD39" w14:textId="77777777" w:rsidR="00EF7F4A" w:rsidRDefault="00EF7F4A">
      <w:pPr>
        <w:spacing w:line="360" w:lineRule="auto"/>
        <w:ind w:left="1440"/>
        <w:jc w:val="both"/>
        <w:rPr>
          <w:b/>
          <w:bCs/>
          <w:rtl/>
        </w:rPr>
      </w:pPr>
    </w:p>
    <w:p w14:paraId="4A76DF32" w14:textId="77777777" w:rsidR="00EF7F4A" w:rsidRDefault="006230B9">
      <w:pPr>
        <w:spacing w:line="360" w:lineRule="auto"/>
        <w:ind w:left="720"/>
        <w:jc w:val="both"/>
        <w:rPr>
          <w:rtl/>
        </w:rPr>
      </w:pPr>
      <w:r>
        <w:rPr>
          <w:rFonts w:hint="cs"/>
          <w:rtl/>
        </w:rPr>
        <w:t>זאת ועוד, הנאשם החזיק בביתו חומר מסוכן מסוג קטאמין, ומחוות דעת שהוגשה בעניין חומר זה (</w:t>
      </w:r>
      <w:r>
        <w:rPr>
          <w:rFonts w:hint="cs"/>
          <w:b/>
          <w:bCs/>
          <w:rtl/>
        </w:rPr>
        <w:t>ת/3</w:t>
      </w:r>
      <w:r>
        <w:rPr>
          <w:rFonts w:hint="cs"/>
          <w:rtl/>
        </w:rPr>
        <w:t xml:space="preserve">+ </w:t>
      </w:r>
      <w:r>
        <w:rPr>
          <w:rFonts w:hint="cs"/>
          <w:b/>
          <w:bCs/>
          <w:rtl/>
        </w:rPr>
        <w:t>ת/4</w:t>
      </w:r>
      <w:r>
        <w:rPr>
          <w:rFonts w:hint="cs"/>
          <w:rtl/>
        </w:rPr>
        <w:t xml:space="preserve">) עולה כי לעתים משמש הקטאמין כ"סם אונס" מאחר והוא חסר ריח, צבע וטעם וגורם לתחושת התנתקות והזיות.    </w:t>
      </w:r>
    </w:p>
    <w:p w14:paraId="4D5D52B0" w14:textId="77777777" w:rsidR="00EF7F4A" w:rsidRDefault="00EF7F4A">
      <w:pPr>
        <w:spacing w:line="360" w:lineRule="auto"/>
        <w:ind w:left="1440"/>
        <w:jc w:val="both"/>
        <w:rPr>
          <w:b/>
          <w:bCs/>
          <w:rtl/>
        </w:rPr>
      </w:pPr>
    </w:p>
    <w:p w14:paraId="1039F565" w14:textId="77777777" w:rsidR="00EF7F4A" w:rsidRDefault="006230B9">
      <w:pPr>
        <w:spacing w:line="360" w:lineRule="auto"/>
        <w:jc w:val="both"/>
        <w:rPr>
          <w:b/>
          <w:bCs/>
          <w:u w:val="single"/>
          <w:rtl/>
        </w:rPr>
      </w:pPr>
      <w:r>
        <w:rPr>
          <w:rFonts w:hint="cs"/>
          <w:b/>
          <w:bCs/>
          <w:u w:val="single"/>
          <w:rtl/>
        </w:rPr>
        <w:t xml:space="preserve">הבניית שיקול הדעת השיפוטי בענישה </w:t>
      </w:r>
    </w:p>
    <w:p w14:paraId="1A87D3CC" w14:textId="77777777" w:rsidR="00EF7F4A" w:rsidRDefault="00EF7F4A">
      <w:pPr>
        <w:spacing w:line="360" w:lineRule="auto"/>
        <w:jc w:val="both"/>
        <w:rPr>
          <w:rtl/>
        </w:rPr>
      </w:pPr>
    </w:p>
    <w:p w14:paraId="67D5041C" w14:textId="77777777" w:rsidR="00EF7F4A" w:rsidRDefault="006230B9">
      <w:pPr>
        <w:spacing w:line="360" w:lineRule="auto"/>
        <w:ind w:left="720" w:hanging="720"/>
        <w:jc w:val="both"/>
        <w:rPr>
          <w:rtl/>
        </w:rPr>
      </w:pPr>
      <w:r>
        <w:rPr>
          <w:rFonts w:hint="cs"/>
          <w:rtl/>
        </w:rPr>
        <w:t>19.</w:t>
      </w:r>
      <w:r>
        <w:rPr>
          <w:rFonts w:hint="cs"/>
          <w:rtl/>
        </w:rPr>
        <w:tab/>
        <w:t xml:space="preserve">מהוראת </w:t>
      </w:r>
      <w:hyperlink r:id="rId21" w:history="1">
        <w:r w:rsidR="00B13796" w:rsidRPr="00B13796">
          <w:rPr>
            <w:rStyle w:val="Hyperlink"/>
            <w:rFonts w:hint="eastAsia"/>
            <w:b/>
            <w:bCs/>
            <w:rtl/>
          </w:rPr>
          <w:t>סעיף</w:t>
        </w:r>
        <w:r w:rsidR="00B13796" w:rsidRPr="00B13796">
          <w:rPr>
            <w:rStyle w:val="Hyperlink"/>
            <w:b/>
            <w:bCs/>
            <w:rtl/>
          </w:rPr>
          <w:t xml:space="preserve"> 40יג</w:t>
        </w:r>
      </w:hyperlink>
      <w:r>
        <w:rPr>
          <w:rFonts w:hint="cs"/>
          <w:b/>
          <w:bCs/>
          <w:rtl/>
        </w:rPr>
        <w:t xml:space="preserve"> לתיקון מספר 113 ל</w:t>
      </w:r>
      <w:hyperlink r:id="rId22" w:history="1">
        <w:r w:rsidRPr="006230B9">
          <w:rPr>
            <w:b/>
            <w:bCs/>
            <w:color w:val="0000FF"/>
            <w:u w:val="single"/>
            <w:rtl/>
          </w:rPr>
          <w:t>חוק העונשין</w:t>
        </w:r>
      </w:hyperlink>
      <w:r>
        <w:rPr>
          <w:rFonts w:hint="cs"/>
          <w:rtl/>
        </w:rPr>
        <w:t xml:space="preserve"> (להלן: "</w:t>
      </w:r>
      <w:r>
        <w:rPr>
          <w:rFonts w:hint="cs"/>
          <w:b/>
          <w:bCs/>
          <w:rtl/>
        </w:rPr>
        <w:t>תיקון 113</w:t>
      </w:r>
      <w:r>
        <w:rPr>
          <w:rFonts w:hint="cs"/>
          <w:rtl/>
        </w:rPr>
        <w:t xml:space="preserve">"), עולה כי במקרה בו אדם הורשע </w:t>
      </w:r>
      <w:r>
        <w:rPr>
          <w:rtl/>
        </w:rPr>
        <w:t>ב</w:t>
      </w:r>
      <w:r>
        <w:rPr>
          <w:rFonts w:hint="cs"/>
          <w:rtl/>
        </w:rPr>
        <w:t xml:space="preserve">מספר </w:t>
      </w:r>
      <w:r>
        <w:rPr>
          <w:rtl/>
        </w:rPr>
        <w:t xml:space="preserve">עבירות המהוות </w:t>
      </w:r>
      <w:r>
        <w:rPr>
          <w:rFonts w:hint="cs"/>
          <w:rtl/>
        </w:rPr>
        <w:t xml:space="preserve">אירוע אחד, יש לקבוע מתחם עונשי הולם "לאירוע כולו". </w:t>
      </w:r>
    </w:p>
    <w:p w14:paraId="720B9F8E" w14:textId="77777777" w:rsidR="00EF7F4A" w:rsidRDefault="006230B9">
      <w:pPr>
        <w:spacing w:line="360" w:lineRule="auto"/>
        <w:ind w:left="720"/>
        <w:jc w:val="both"/>
        <w:rPr>
          <w:rtl/>
        </w:rPr>
      </w:pPr>
      <w:r>
        <w:rPr>
          <w:rFonts w:hint="cs"/>
          <w:rtl/>
        </w:rPr>
        <w:t xml:space="preserve">בענייננו, הצדדים חלוקים באשר לעובדות העומדות ברקע העבירות בהן הורשע הנאשם, קרי: האם הנשק והחומר המסוכן שנמצאו בידי הנאשם בשקית שלטענתו מצא ברחוב, ולעומתה טענת התביעה כנגד מהימנות התיאור האמור. </w:t>
      </w:r>
    </w:p>
    <w:p w14:paraId="42F4EE51" w14:textId="77777777" w:rsidR="00EF7F4A" w:rsidRDefault="006230B9">
      <w:pPr>
        <w:spacing w:line="360" w:lineRule="auto"/>
        <w:ind w:left="720"/>
        <w:jc w:val="both"/>
        <w:rPr>
          <w:rtl/>
        </w:rPr>
      </w:pPr>
      <w:r>
        <w:rPr>
          <w:rFonts w:hint="cs"/>
          <w:rtl/>
        </w:rPr>
        <w:t xml:space="preserve">בידי התביעה אין ראיה המצביעה על תיאוריה אלטרנטיבית לאירועי הרקע, כך שבעת  הדיון בבקשה למעצר עד תום ההליכים, הסכים נציג התביעה לכך שאין ראיה הסותרת את טענת הנאשם שהוא מצא את הנשק ביחד עם החומר המסוכן. </w:t>
      </w:r>
    </w:p>
    <w:p w14:paraId="49676A46" w14:textId="77777777" w:rsidR="00EF7F4A" w:rsidRDefault="006230B9">
      <w:pPr>
        <w:spacing w:line="360" w:lineRule="auto"/>
        <w:ind w:left="720"/>
        <w:jc w:val="both"/>
        <w:rPr>
          <w:rtl/>
        </w:rPr>
      </w:pPr>
      <w:r>
        <w:rPr>
          <w:rFonts w:hint="cs"/>
          <w:rtl/>
        </w:rPr>
        <w:t xml:space="preserve">בנסיבות אלו, איני רואה סיבה שלא לקבל את תיאוריהם העקביים של הנאשם ומר גוורקוב בנקודה זו, ומשכך, קיים קשר ענייני בין שתי העבירות, ולכן אתייחס אליהן כעבירות המהוות אירוע אחד.  </w:t>
      </w:r>
    </w:p>
    <w:p w14:paraId="1F64D8E5" w14:textId="77777777" w:rsidR="00EF7F4A" w:rsidRDefault="00EF7F4A">
      <w:pPr>
        <w:spacing w:line="360" w:lineRule="auto"/>
        <w:jc w:val="both"/>
        <w:rPr>
          <w:rtl/>
        </w:rPr>
      </w:pPr>
    </w:p>
    <w:p w14:paraId="7AE19E62" w14:textId="77777777" w:rsidR="00EF7F4A" w:rsidRDefault="006230B9">
      <w:pPr>
        <w:spacing w:line="360" w:lineRule="auto"/>
        <w:ind w:left="720" w:hanging="720"/>
        <w:jc w:val="both"/>
        <w:rPr>
          <w:rtl/>
        </w:rPr>
      </w:pPr>
      <w:r>
        <w:rPr>
          <w:rFonts w:hint="cs"/>
          <w:rtl/>
        </w:rPr>
        <w:t>20.</w:t>
      </w:r>
      <w:r>
        <w:rPr>
          <w:rFonts w:hint="cs"/>
          <w:rtl/>
        </w:rPr>
        <w:tab/>
        <w:t xml:space="preserve">בבוא בית המשפט לקבוע את מתחם הענישה ההולם, עליו להתחשב בהוראת </w:t>
      </w:r>
      <w:hyperlink r:id="rId23" w:history="1">
        <w:r w:rsidR="00B13796" w:rsidRPr="00B13796">
          <w:rPr>
            <w:rStyle w:val="Hyperlink"/>
            <w:rFonts w:hint="eastAsia"/>
            <w:b/>
            <w:bCs/>
            <w:rtl/>
          </w:rPr>
          <w:t>סעיף</w:t>
        </w:r>
        <w:r w:rsidR="00B13796" w:rsidRPr="00B13796">
          <w:rPr>
            <w:rStyle w:val="Hyperlink"/>
            <w:b/>
            <w:bCs/>
            <w:rtl/>
          </w:rPr>
          <w:t xml:space="preserve"> 40ג(א)</w:t>
        </w:r>
      </w:hyperlink>
      <w:r>
        <w:rPr>
          <w:rFonts w:hint="cs"/>
          <w:rtl/>
        </w:rPr>
        <w:t xml:space="preserve"> סיפא ל</w:t>
      </w:r>
      <w:r>
        <w:rPr>
          <w:rFonts w:hint="cs"/>
          <w:b/>
          <w:bCs/>
          <w:rtl/>
        </w:rPr>
        <w:t>תיקון 113</w:t>
      </w:r>
      <w:r>
        <w:rPr>
          <w:rFonts w:hint="cs"/>
          <w:rtl/>
        </w:rPr>
        <w:t xml:space="preserve"> "</w:t>
      </w:r>
      <w:r>
        <w:rPr>
          <w:rFonts w:hint="cs"/>
          <w:b/>
          <w:bCs/>
          <w:rtl/>
        </w:rPr>
        <w:t>בערך החברתי שנפגע מביצוע העבירה, במידת הפגיעה בו, במדיניות הענישה הנהוגה ובנסיבות הקשורות בביצוע העבירה, כאמור בסעיף 40ט</w:t>
      </w:r>
      <w:r>
        <w:rPr>
          <w:rFonts w:hint="cs"/>
          <w:rtl/>
        </w:rPr>
        <w:t xml:space="preserve">". </w:t>
      </w:r>
    </w:p>
    <w:p w14:paraId="3C860399" w14:textId="77777777" w:rsidR="00EF7F4A" w:rsidRDefault="00EF7F4A">
      <w:pPr>
        <w:spacing w:line="360" w:lineRule="auto"/>
        <w:jc w:val="both"/>
        <w:rPr>
          <w:rtl/>
        </w:rPr>
      </w:pPr>
    </w:p>
    <w:p w14:paraId="7C44D0EE" w14:textId="77777777" w:rsidR="00EF7F4A" w:rsidRDefault="006230B9">
      <w:pPr>
        <w:spacing w:line="360" w:lineRule="auto"/>
        <w:ind w:left="720"/>
        <w:jc w:val="both"/>
        <w:rPr>
          <w:rtl/>
        </w:rPr>
      </w:pPr>
      <w:r>
        <w:rPr>
          <w:rFonts w:hint="cs"/>
          <w:rtl/>
        </w:rPr>
        <w:t xml:space="preserve">שתי העבירות בהן הורשע הנאשם, הן החזקת הנשק ללא רישיון והן החזקת החומר המסוכן, מגלמות בתוכן פוטנציאל ממשי לסיכון שלום הציבור ובטחונו. </w:t>
      </w:r>
    </w:p>
    <w:p w14:paraId="77103E2F" w14:textId="77777777" w:rsidR="00EF7F4A" w:rsidRDefault="006230B9">
      <w:pPr>
        <w:spacing w:line="360" w:lineRule="auto"/>
        <w:ind w:left="720"/>
        <w:jc w:val="both"/>
        <w:rPr>
          <w:rtl/>
        </w:rPr>
      </w:pPr>
      <w:r>
        <w:rPr>
          <w:rFonts w:hint="cs"/>
          <w:rtl/>
        </w:rPr>
        <w:t>הסיכון בהחזקת הנשק גלום בכך שהוא עלול "להתגלגל" מיד ליד ללא פיקוח הרשויות, וכך יכול כלי בעל פוטנציאל קטלני להגיע לידי גורמים עבריינים או לחילופין להיות מוחזק בידי אדם לא מיומן אשר עלול לגרום לפגיעה בחפים מפשע, גם אם לא התכוון לכך.</w:t>
      </w:r>
    </w:p>
    <w:p w14:paraId="452E7780" w14:textId="77777777" w:rsidR="00EF7F4A" w:rsidRDefault="006230B9">
      <w:pPr>
        <w:spacing w:line="360" w:lineRule="auto"/>
        <w:ind w:left="720"/>
        <w:jc w:val="both"/>
        <w:rPr>
          <w:rtl/>
        </w:rPr>
      </w:pPr>
      <w:r>
        <w:rPr>
          <w:rFonts w:hint="cs"/>
          <w:rtl/>
        </w:rPr>
        <w:t xml:space="preserve">עברו של הנאשם ודרך התנהלותו במשחקי הימורים משתלבת בהגיון הדברים, שהנאשם, גם אם מצא את הנשק, החליט להחזיק בו בהיותו בעל ערך כלכלי, והא ראיה, שלא שעה לעצת חברו ולא הסגיר את הנשק למשטרה. </w:t>
      </w:r>
    </w:p>
    <w:p w14:paraId="22AB4F08" w14:textId="77777777" w:rsidR="00EF7F4A" w:rsidRDefault="006230B9">
      <w:pPr>
        <w:spacing w:line="360" w:lineRule="auto"/>
        <w:ind w:left="720"/>
        <w:jc w:val="both"/>
        <w:rPr>
          <w:rtl/>
        </w:rPr>
      </w:pPr>
      <w:r>
        <w:rPr>
          <w:rFonts w:hint="cs"/>
          <w:rtl/>
        </w:rPr>
        <w:t xml:space="preserve">גם אם אקבל את טענת הנאשם שעל רקע עברו הוא התקשה למסור כלי נשק למשטרה </w:t>
      </w:r>
      <w:r>
        <w:rPr>
          <w:rtl/>
        </w:rPr>
        <w:t>–</w:t>
      </w:r>
      <w:r>
        <w:rPr>
          <w:rFonts w:hint="cs"/>
          <w:rtl/>
        </w:rPr>
        <w:t xml:space="preserve"> הוא היה יכול להפטר ממנו בדרך אחרת על ידי הנחתו במקום שאינו פומבי תוך מסירת הודעה אנונימית למשטרה על מקום הימצאות החפץ. </w:t>
      </w:r>
    </w:p>
    <w:p w14:paraId="21039E1B" w14:textId="77777777" w:rsidR="00EF7F4A" w:rsidRDefault="006230B9">
      <w:pPr>
        <w:spacing w:line="360" w:lineRule="auto"/>
        <w:ind w:left="720"/>
        <w:jc w:val="both"/>
        <w:rPr>
          <w:rtl/>
        </w:rPr>
      </w:pPr>
      <w:r>
        <w:rPr>
          <w:rFonts w:hint="cs"/>
          <w:rtl/>
        </w:rPr>
        <w:t>הנאשם לא עשה כן, שכן ראה תועלת כלכלית אפשרית עתידית ב"מוצרים" שהחזיק.</w:t>
      </w:r>
    </w:p>
    <w:p w14:paraId="22D52E21" w14:textId="77777777" w:rsidR="00EF7F4A" w:rsidRDefault="006230B9">
      <w:pPr>
        <w:spacing w:line="360" w:lineRule="auto"/>
        <w:ind w:left="720"/>
        <w:jc w:val="both"/>
        <w:rPr>
          <w:rtl/>
        </w:rPr>
      </w:pPr>
      <w:r>
        <w:rPr>
          <w:rFonts w:hint="cs"/>
          <w:rtl/>
        </w:rPr>
        <w:t xml:space="preserve">באשר להחזקת החומר המסוכן, עלול זה לאור תכונותיו הרעילות, כמפורט לעיל, לשמש "כלי עזר" בביצוע עבירות, וממילא הוא מהווה סיכון לשלומם של באי הבית.  </w:t>
      </w:r>
    </w:p>
    <w:p w14:paraId="675763EE" w14:textId="77777777" w:rsidR="00EF7F4A" w:rsidRDefault="00EF7F4A">
      <w:pPr>
        <w:spacing w:line="360" w:lineRule="auto"/>
        <w:ind w:left="720"/>
        <w:jc w:val="both"/>
        <w:rPr>
          <w:rtl/>
        </w:rPr>
      </w:pPr>
    </w:p>
    <w:p w14:paraId="1EA1874A" w14:textId="77777777" w:rsidR="00EF7F4A" w:rsidRDefault="006230B9">
      <w:pPr>
        <w:spacing w:line="360" w:lineRule="auto"/>
        <w:ind w:left="720" w:hanging="720"/>
        <w:jc w:val="both"/>
        <w:rPr>
          <w:rtl/>
        </w:rPr>
      </w:pPr>
      <w:r>
        <w:rPr>
          <w:rFonts w:hint="cs"/>
          <w:rtl/>
        </w:rPr>
        <w:t>21.</w:t>
      </w:r>
      <w:r>
        <w:rPr>
          <w:rFonts w:hint="cs"/>
          <w:rtl/>
        </w:rPr>
        <w:tab/>
        <w:t xml:space="preserve">עיון בפסיקה שהוגשה ע"י ב"כ הצדדים מעלה, כי טווח הענישה אותה נוהגים בתי המשפט להטיל בגין עבירות של החזקת נשק, הינו נרחב למדי, ותלוי בנסיבות המיוחדות המאפיינות כל מקרה. </w:t>
      </w:r>
    </w:p>
    <w:p w14:paraId="35CFF5F4" w14:textId="77777777" w:rsidR="00EF7F4A" w:rsidRDefault="006230B9">
      <w:pPr>
        <w:spacing w:line="360" w:lineRule="auto"/>
        <w:ind w:left="720"/>
        <w:jc w:val="both"/>
        <w:rPr>
          <w:rtl/>
        </w:rPr>
      </w:pPr>
      <w:r>
        <w:rPr>
          <w:rFonts w:hint="cs"/>
          <w:rtl/>
        </w:rPr>
        <w:t>רוב פסקי הדין שהובאו על ידי ב"כ הנאשם ניתנו עובר ל</w:t>
      </w:r>
      <w:r>
        <w:rPr>
          <w:rFonts w:hint="cs"/>
          <w:b/>
          <w:bCs/>
          <w:rtl/>
        </w:rPr>
        <w:t xml:space="preserve">תיקון 113 - </w:t>
      </w:r>
      <w:r>
        <w:rPr>
          <w:rFonts w:hint="cs"/>
          <w:rtl/>
        </w:rPr>
        <w:t xml:space="preserve">חלקם במסגרת הסדר הכולל ענישה מוסכמת. </w:t>
      </w:r>
    </w:p>
    <w:p w14:paraId="061B63D7" w14:textId="77777777" w:rsidR="00EF7F4A" w:rsidRDefault="006230B9">
      <w:pPr>
        <w:spacing w:line="360" w:lineRule="auto"/>
        <w:ind w:left="720"/>
        <w:jc w:val="both"/>
        <w:rPr>
          <w:rtl/>
        </w:rPr>
      </w:pPr>
      <w:r>
        <w:rPr>
          <w:rFonts w:hint="cs"/>
          <w:rtl/>
        </w:rPr>
        <w:t xml:space="preserve">פסקי הדין שניתנו לאחר כניסתו לתוקף של תיקון 113, ובמסגרתם הוטלו על נאשמים עונש מאסר לריצוי בעבודות שירות, ניתנו במסגרת הליך שיקום אשר הצדיק חריגה ממתחם העונש ההולם מכוח </w:t>
      </w:r>
      <w:hyperlink r:id="rId24" w:history="1">
        <w:r w:rsidR="00B13796" w:rsidRPr="00B13796">
          <w:rPr>
            <w:rStyle w:val="Hyperlink"/>
            <w:rFonts w:hint="eastAsia"/>
            <w:b/>
            <w:bCs/>
            <w:rtl/>
          </w:rPr>
          <w:t>סעיף</w:t>
        </w:r>
        <w:r w:rsidR="00B13796" w:rsidRPr="00B13796">
          <w:rPr>
            <w:rStyle w:val="Hyperlink"/>
            <w:b/>
            <w:bCs/>
            <w:rtl/>
          </w:rPr>
          <w:t xml:space="preserve"> 40ד(א)</w:t>
        </w:r>
      </w:hyperlink>
      <w:r>
        <w:rPr>
          <w:rFonts w:hint="cs"/>
          <w:b/>
          <w:bCs/>
          <w:rtl/>
        </w:rPr>
        <w:t xml:space="preserve"> ל</w:t>
      </w:r>
      <w:hyperlink r:id="rId25" w:history="1">
        <w:r w:rsidRPr="006230B9">
          <w:rPr>
            <w:b/>
            <w:bCs/>
            <w:color w:val="0000FF"/>
            <w:u w:val="single"/>
            <w:rtl/>
          </w:rPr>
          <w:t>חוק העונשין</w:t>
        </w:r>
      </w:hyperlink>
      <w:r>
        <w:rPr>
          <w:rFonts w:hint="cs"/>
          <w:rtl/>
        </w:rPr>
        <w:t xml:space="preserve">. </w:t>
      </w:r>
    </w:p>
    <w:p w14:paraId="63D1EC8B" w14:textId="77777777" w:rsidR="00EF7F4A" w:rsidRDefault="006230B9">
      <w:pPr>
        <w:spacing w:line="360" w:lineRule="auto"/>
        <w:ind w:left="720"/>
        <w:jc w:val="both"/>
        <w:rPr>
          <w:rtl/>
        </w:rPr>
      </w:pPr>
      <w:r>
        <w:rPr>
          <w:rFonts w:hint="cs"/>
          <w:rtl/>
        </w:rPr>
        <w:t xml:space="preserve">עוד יש להוסיף בעניין זה, כי כאשר התייחס </w:t>
      </w:r>
      <w:r>
        <w:rPr>
          <w:rtl/>
        </w:rPr>
        <w:t xml:space="preserve">בית </w:t>
      </w:r>
      <w:r>
        <w:rPr>
          <w:rFonts w:hint="cs"/>
          <w:rtl/>
        </w:rPr>
        <w:t xml:space="preserve">המשפט העליון לתיקון מס' 113 הוא הקפיד לציין כי הענישה הנוהגת איננה חזות הכל, ואחת מתכליות התיקון היא </w:t>
      </w:r>
      <w:r>
        <w:rPr>
          <w:rtl/>
        </w:rPr>
        <w:t>החמר</w:t>
      </w:r>
      <w:r>
        <w:rPr>
          <w:rFonts w:hint="cs"/>
          <w:rtl/>
        </w:rPr>
        <w:t>ת</w:t>
      </w:r>
      <w:r>
        <w:rPr>
          <w:rtl/>
        </w:rPr>
        <w:t xml:space="preserve"> </w:t>
      </w:r>
      <w:r>
        <w:rPr>
          <w:rFonts w:hint="cs"/>
          <w:rtl/>
        </w:rPr>
        <w:t xml:space="preserve">הענישה [ ראו: </w:t>
      </w:r>
      <w:hyperlink r:id="rId26" w:history="1">
        <w:r w:rsidRPr="006230B9">
          <w:rPr>
            <w:color w:val="0000FF"/>
            <w:u w:val="single"/>
            <w:rtl/>
          </w:rPr>
          <w:t>ע"פ 1323/13</w:t>
        </w:r>
      </w:hyperlink>
      <w:r>
        <w:rPr>
          <w:rFonts w:hint="cs"/>
          <w:rtl/>
        </w:rPr>
        <w:t xml:space="preserve"> </w:t>
      </w:r>
      <w:r>
        <w:rPr>
          <w:rFonts w:hint="cs"/>
          <w:b/>
          <w:bCs/>
          <w:rtl/>
        </w:rPr>
        <w:t>חסן נ' מדינת ישראל</w:t>
      </w:r>
      <w:r>
        <w:rPr>
          <w:rFonts w:hint="cs"/>
          <w:rtl/>
        </w:rPr>
        <w:t xml:space="preserve"> (פורסם בנבו, 13.5.13)]</w:t>
      </w:r>
    </w:p>
    <w:p w14:paraId="076C8E9B" w14:textId="77777777" w:rsidR="00EF7F4A" w:rsidRDefault="00EF7F4A">
      <w:pPr>
        <w:spacing w:line="360" w:lineRule="auto"/>
        <w:ind w:left="720" w:hanging="720"/>
        <w:jc w:val="both"/>
        <w:rPr>
          <w:rtl/>
        </w:rPr>
      </w:pPr>
    </w:p>
    <w:p w14:paraId="6AA77851" w14:textId="77777777" w:rsidR="00EF7F4A" w:rsidRDefault="006230B9">
      <w:pPr>
        <w:spacing w:line="360" w:lineRule="auto"/>
        <w:ind w:left="720" w:hanging="720"/>
        <w:jc w:val="both"/>
        <w:rPr>
          <w:rtl/>
        </w:rPr>
      </w:pPr>
      <w:r>
        <w:rPr>
          <w:rFonts w:hint="cs"/>
          <w:rtl/>
        </w:rPr>
        <w:t>22.</w:t>
      </w:r>
      <w:r>
        <w:rPr>
          <w:rFonts w:hint="cs"/>
          <w:rtl/>
        </w:rPr>
        <w:tab/>
        <w:t xml:space="preserve">בעניין מגמת ההחמרה ראו </w:t>
      </w:r>
      <w:r>
        <w:rPr>
          <w:rtl/>
        </w:rPr>
        <w:t>פסק דינו של ביהמ"ש העליון</w:t>
      </w:r>
      <w:r>
        <w:rPr>
          <w:rFonts w:hint="cs"/>
          <w:rtl/>
        </w:rPr>
        <w:t xml:space="preserve"> </w:t>
      </w:r>
      <w:hyperlink r:id="rId27" w:history="1">
        <w:r w:rsidRPr="006230B9">
          <w:rPr>
            <w:color w:val="0000FF"/>
            <w:u w:val="single"/>
            <w:rtl/>
          </w:rPr>
          <w:t>ע"פ 7241/12</w:t>
        </w:r>
      </w:hyperlink>
      <w:r>
        <w:rPr>
          <w:rtl/>
        </w:rPr>
        <w:t xml:space="preserve"> </w:t>
      </w:r>
      <w:r>
        <w:rPr>
          <w:b/>
          <w:bCs/>
          <w:rtl/>
        </w:rPr>
        <w:t>טאטור נ' מדינת ישראל</w:t>
      </w:r>
      <w:r>
        <w:rPr>
          <w:rtl/>
        </w:rPr>
        <w:t xml:space="preserve"> </w:t>
      </w:r>
      <w:r>
        <w:rPr>
          <w:rFonts w:hint="cs"/>
          <w:rtl/>
        </w:rPr>
        <w:t>(</w:t>
      </w:r>
      <w:r>
        <w:rPr>
          <w:rtl/>
        </w:rPr>
        <w:t>פורסם בנבו</w:t>
      </w:r>
      <w:r>
        <w:rPr>
          <w:rFonts w:hint="cs"/>
          <w:rtl/>
        </w:rPr>
        <w:t>,</w:t>
      </w:r>
      <w:r>
        <w:rPr>
          <w:rtl/>
        </w:rPr>
        <w:t xml:space="preserve"> 12.2.13</w:t>
      </w:r>
      <w:r>
        <w:rPr>
          <w:rFonts w:hint="cs"/>
          <w:rtl/>
        </w:rPr>
        <w:t>)</w:t>
      </w:r>
      <w:r>
        <w:rPr>
          <w:rtl/>
        </w:rPr>
        <w:t xml:space="preserve">: </w:t>
      </w:r>
    </w:p>
    <w:p w14:paraId="35BFBB7B" w14:textId="77777777" w:rsidR="00EF7F4A" w:rsidRDefault="00EF7F4A">
      <w:pPr>
        <w:spacing w:line="360" w:lineRule="auto"/>
        <w:ind w:left="1440"/>
        <w:jc w:val="both"/>
        <w:rPr>
          <w:rtl/>
        </w:rPr>
      </w:pPr>
    </w:p>
    <w:p w14:paraId="1788216C" w14:textId="77777777" w:rsidR="00EF7F4A" w:rsidRDefault="006230B9">
      <w:pPr>
        <w:spacing w:line="360" w:lineRule="auto"/>
        <w:ind w:left="1440"/>
        <w:jc w:val="both"/>
        <w:rPr>
          <w:b/>
          <w:bCs/>
          <w:rtl/>
        </w:rPr>
      </w:pPr>
      <w:r>
        <w:rPr>
          <w:rtl/>
        </w:rPr>
        <w:t>"</w:t>
      </w:r>
      <w:r>
        <w:rPr>
          <w:b/>
          <w:bCs/>
          <w:rtl/>
        </w:rPr>
        <w:t>לעבירות הנשק חומרה מיוחדת</w:t>
      </w:r>
      <w:r>
        <w:rPr>
          <w:rFonts w:hint="cs"/>
          <w:b/>
          <w:bCs/>
          <w:rtl/>
        </w:rPr>
        <w:t>..</w:t>
      </w:r>
      <w:r>
        <w:rPr>
          <w:b/>
          <w:bCs/>
          <w:rtl/>
        </w:rPr>
        <w:t>. לא אחת עמד בית משפט זה על הצורך בנקיטת רף מחמיר כלפי עבירות נשק, גם כלפי אלו המצויות לכאורה בשלבים נמוכים יחסית של המדרג</w:t>
      </w:r>
      <w:r>
        <w:rPr>
          <w:rFonts w:hint="cs"/>
          <w:b/>
          <w:bCs/>
          <w:rtl/>
        </w:rPr>
        <w:t>..."</w:t>
      </w:r>
    </w:p>
    <w:p w14:paraId="5C76E780" w14:textId="77777777" w:rsidR="00EF7F4A" w:rsidRDefault="00EF7F4A">
      <w:pPr>
        <w:spacing w:line="360" w:lineRule="auto"/>
        <w:ind w:left="1440"/>
        <w:jc w:val="both"/>
        <w:rPr>
          <w:b/>
          <w:bCs/>
          <w:rtl/>
        </w:rPr>
      </w:pPr>
    </w:p>
    <w:p w14:paraId="589C0D57" w14:textId="77777777" w:rsidR="00EF7F4A" w:rsidRDefault="006230B9">
      <w:pPr>
        <w:spacing w:line="360" w:lineRule="auto"/>
        <w:ind w:left="720"/>
        <w:jc w:val="both"/>
        <w:rPr>
          <w:rtl/>
        </w:rPr>
      </w:pPr>
      <w:r>
        <w:rPr>
          <w:rFonts w:hint="cs"/>
          <w:rtl/>
        </w:rPr>
        <w:t>וב</w:t>
      </w:r>
      <w:hyperlink r:id="rId28" w:history="1">
        <w:r w:rsidRPr="006230B9">
          <w:rPr>
            <w:color w:val="0000FF"/>
            <w:u w:val="single"/>
            <w:rtl/>
          </w:rPr>
          <w:t>רע"פ 10376/05</w:t>
        </w:r>
      </w:hyperlink>
      <w:r>
        <w:rPr>
          <w:rtl/>
        </w:rPr>
        <w:t xml:space="preserve"> </w:t>
      </w:r>
      <w:r>
        <w:rPr>
          <w:b/>
          <w:bCs/>
          <w:rtl/>
        </w:rPr>
        <w:t>ברהום נ' מדינת ישראל</w:t>
      </w:r>
      <w:r>
        <w:rPr>
          <w:rtl/>
        </w:rPr>
        <w:t xml:space="preserve"> </w:t>
      </w:r>
      <w:r>
        <w:rPr>
          <w:rFonts w:hint="cs"/>
          <w:rtl/>
        </w:rPr>
        <w:t>(</w:t>
      </w:r>
      <w:r>
        <w:rPr>
          <w:rtl/>
        </w:rPr>
        <w:t>פורסם בנבו</w:t>
      </w:r>
      <w:r>
        <w:rPr>
          <w:rFonts w:hint="cs"/>
          <w:rtl/>
        </w:rPr>
        <w:t>, 8.11.2005)</w:t>
      </w:r>
      <w:r>
        <w:rPr>
          <w:rtl/>
        </w:rPr>
        <w:t xml:space="preserve"> </w:t>
      </w:r>
      <w:r>
        <w:rPr>
          <w:rFonts w:hint="cs"/>
          <w:rtl/>
        </w:rPr>
        <w:t>ציין</w:t>
      </w:r>
      <w:r>
        <w:rPr>
          <w:rtl/>
        </w:rPr>
        <w:t xml:space="preserve"> כב' השופט ג'ובראן כי:</w:t>
      </w:r>
    </w:p>
    <w:p w14:paraId="75B89566" w14:textId="77777777" w:rsidR="00EF7F4A" w:rsidRDefault="00EF7F4A">
      <w:pPr>
        <w:spacing w:line="360" w:lineRule="auto"/>
        <w:ind w:left="720" w:hanging="720"/>
        <w:jc w:val="both"/>
        <w:rPr>
          <w:rtl/>
        </w:rPr>
      </w:pPr>
    </w:p>
    <w:p w14:paraId="45485F3E" w14:textId="77777777" w:rsidR="00EF7F4A" w:rsidRDefault="006230B9">
      <w:pPr>
        <w:spacing w:line="360" w:lineRule="auto"/>
        <w:ind w:left="1440"/>
        <w:jc w:val="both"/>
        <w:rPr>
          <w:rtl/>
        </w:rPr>
      </w:pPr>
      <w:r>
        <w:rPr>
          <w:b/>
          <w:bCs/>
          <w:rtl/>
        </w:rPr>
        <w:t>"בית-משפט זה עמד לא אחת בעבר על כך שעבירת החזקת נשק ללא רשות כדין, הינה עבירה חמורה, המצדיקה הטלת עונשי מאסר לריצוי בפועל, גם על מי שזו עבירתו הראשונה</w:t>
      </w:r>
      <w:r>
        <w:rPr>
          <w:rFonts w:hint="cs"/>
          <w:b/>
          <w:bCs/>
          <w:rtl/>
        </w:rPr>
        <w:t>..."</w:t>
      </w:r>
    </w:p>
    <w:p w14:paraId="047AAAAA" w14:textId="77777777" w:rsidR="00EF7F4A" w:rsidRDefault="00EF7F4A">
      <w:pPr>
        <w:spacing w:line="360" w:lineRule="auto"/>
        <w:ind w:left="720" w:hanging="720"/>
        <w:jc w:val="both"/>
        <w:rPr>
          <w:rtl/>
        </w:rPr>
      </w:pPr>
    </w:p>
    <w:p w14:paraId="70F1E6C4" w14:textId="77777777" w:rsidR="00EF7F4A" w:rsidRDefault="006230B9">
      <w:pPr>
        <w:spacing w:line="360" w:lineRule="auto"/>
        <w:ind w:left="720" w:hanging="720"/>
        <w:jc w:val="both"/>
        <w:rPr>
          <w:rtl/>
        </w:rPr>
      </w:pPr>
      <w:r>
        <w:rPr>
          <w:rFonts w:hint="cs"/>
          <w:rtl/>
        </w:rPr>
        <w:t>23.</w:t>
      </w:r>
      <w:r>
        <w:rPr>
          <w:rFonts w:hint="cs"/>
          <w:rtl/>
        </w:rPr>
        <w:tab/>
        <w:t xml:space="preserve">יש אפוא לקבוע את מתחם העונש ההולם בהתייחס לנסיבות הקשורות בביצוע העבירה, ובמקרה דנן - החזקת הנשק מתייחסת לאקדח, לצדו מחסנית, ומעט תחמושת תואמת, ואביזר המיועד לכלי נשק נוסף. </w:t>
      </w:r>
    </w:p>
    <w:p w14:paraId="0B2ED116" w14:textId="77777777" w:rsidR="00EF7F4A" w:rsidRDefault="006230B9">
      <w:pPr>
        <w:spacing w:line="360" w:lineRule="auto"/>
        <w:ind w:left="720"/>
        <w:jc w:val="both"/>
        <w:rPr>
          <w:rtl/>
        </w:rPr>
      </w:pPr>
      <w:r>
        <w:rPr>
          <w:rFonts w:hint="cs"/>
          <w:rtl/>
        </w:rPr>
        <w:t xml:space="preserve">לא ידוע על נסיבות הרקע בהן הגיע הנשק לידי הנאשם או התכלית העבריינית </w:t>
      </w:r>
      <w:r>
        <w:rPr>
          <w:rtl/>
        </w:rPr>
        <w:t>–</w:t>
      </w:r>
      <w:r>
        <w:rPr>
          <w:rFonts w:hint="cs"/>
          <w:rtl/>
        </w:rPr>
        <w:t xml:space="preserve"> אם היתה - שלצרכיה החזיק בנשק. גם אם אין להקל ראש בעבירה האמורה, עדיין אין מדובר בכלי נשק שמקורו צבאי, במספר רב של כלי נשק או בכלי נשק רבי עוצמה או בחומרים נפיצים. </w:t>
      </w:r>
    </w:p>
    <w:p w14:paraId="1E17F16A" w14:textId="77777777" w:rsidR="00EF7F4A" w:rsidRDefault="00EF7F4A">
      <w:pPr>
        <w:spacing w:line="360" w:lineRule="auto"/>
        <w:ind w:left="720"/>
        <w:jc w:val="both"/>
        <w:rPr>
          <w:rtl/>
        </w:rPr>
      </w:pPr>
    </w:p>
    <w:p w14:paraId="179540BC" w14:textId="77777777" w:rsidR="00EF7F4A" w:rsidRDefault="006230B9">
      <w:pPr>
        <w:spacing w:line="360" w:lineRule="auto"/>
        <w:ind w:left="720"/>
        <w:jc w:val="both"/>
        <w:rPr>
          <w:rtl/>
        </w:rPr>
      </w:pPr>
      <w:r>
        <w:rPr>
          <w:rFonts w:hint="cs"/>
          <w:rtl/>
        </w:rPr>
        <w:t>אשר לעבירת החזקת חומר מסוכן - בכתב האישום צוינה כמות החומר שנמצאה כ"</w:t>
      </w:r>
      <w:r>
        <w:rPr>
          <w:rFonts w:hint="cs"/>
          <w:b/>
          <w:bCs/>
          <w:rtl/>
        </w:rPr>
        <w:t>10 מ"ל</w:t>
      </w:r>
      <w:r>
        <w:rPr>
          <w:rFonts w:hint="cs"/>
          <w:rtl/>
        </w:rPr>
        <w:t>". חוות הדעת שהגישה המאשימה מתייחסות למנות חומר פעיל הנמדדות ביחידות מסה, כגון "</w:t>
      </w:r>
      <w:r>
        <w:rPr>
          <w:rFonts w:hint="cs"/>
          <w:b/>
          <w:bCs/>
          <w:rtl/>
        </w:rPr>
        <w:t>מינון נמוך של 25-100 מ"ג</w:t>
      </w:r>
      <w:r>
        <w:rPr>
          <w:rFonts w:hint="cs"/>
          <w:rtl/>
        </w:rPr>
        <w:t>" או "</w:t>
      </w:r>
      <w:r>
        <w:rPr>
          <w:rFonts w:hint="cs"/>
          <w:b/>
          <w:bCs/>
          <w:rtl/>
        </w:rPr>
        <w:t>75-100 מ"ג (10-20% מהמינון המקובל להרדמה כללית</w:t>
      </w:r>
      <w:r>
        <w:rPr>
          <w:rFonts w:hint="cs"/>
          <w:rtl/>
        </w:rPr>
        <w:t xml:space="preserve">)". כמות החומר הפעיל בבקבוקון שנמצא אצל הנאשם ומשמעותה המעשית לא הובהרו. כיוון שכך, אין בידי בסיס ממשי לקביעת חומרת העבירה בנסיבות. בהתחשב בכך שהנטל לבסס את הדברים על המאשימה. המסקנה המתחייבת היא כי בנסיבות העניין עבירת החזקת החומר המסוכן זניחה בחומרתה, הן באופן אבסולוטי והן ביחס לעבירת החזקת הנשק. על כן, איני רואה צורך לבחון פסיקה המתייחסת לעבירה זו, והמשקל שאייחס לה בקביעת מתחם הענישה - מינורי.    </w:t>
      </w:r>
    </w:p>
    <w:p w14:paraId="53E11BE0" w14:textId="77777777" w:rsidR="00EF7F4A" w:rsidRDefault="00EF7F4A">
      <w:pPr>
        <w:spacing w:line="360" w:lineRule="auto"/>
        <w:ind w:left="720"/>
        <w:jc w:val="both"/>
        <w:rPr>
          <w:rtl/>
        </w:rPr>
      </w:pPr>
    </w:p>
    <w:p w14:paraId="7DF74753" w14:textId="77777777" w:rsidR="00EF7F4A" w:rsidRDefault="006230B9">
      <w:pPr>
        <w:spacing w:line="360" w:lineRule="auto"/>
        <w:ind w:left="720"/>
        <w:jc w:val="both"/>
        <w:rPr>
          <w:rtl/>
        </w:rPr>
      </w:pPr>
      <w:r>
        <w:rPr>
          <w:rFonts w:hint="cs"/>
          <w:rtl/>
        </w:rPr>
        <w:t xml:space="preserve">כיוון שכך, מתחם הענישה בגין המעשים יקבע ברף הנמוך, אך יחד עם זאת יהא הוא גבוה יותר מהענישה שהיתה נהוגה עובר לתיקון 113, ומתחם הענישה ינוע </w:t>
      </w:r>
      <w:r>
        <w:rPr>
          <w:b/>
          <w:bCs/>
          <w:rtl/>
        </w:rPr>
        <w:t xml:space="preserve">בין </w:t>
      </w:r>
      <w:r>
        <w:rPr>
          <w:rFonts w:hint="cs"/>
          <w:b/>
          <w:bCs/>
          <w:rtl/>
        </w:rPr>
        <w:t xml:space="preserve">10 ל- 24 </w:t>
      </w:r>
      <w:r>
        <w:rPr>
          <w:b/>
          <w:bCs/>
          <w:rtl/>
        </w:rPr>
        <w:t>חודשי מאסר בפועל</w:t>
      </w:r>
      <w:r>
        <w:rPr>
          <w:rFonts w:hint="cs"/>
          <w:rtl/>
        </w:rPr>
        <w:t xml:space="preserve">. </w:t>
      </w:r>
    </w:p>
    <w:p w14:paraId="12782B06" w14:textId="77777777" w:rsidR="00EF7F4A" w:rsidRDefault="00EF7F4A">
      <w:pPr>
        <w:spacing w:line="360" w:lineRule="auto"/>
        <w:ind w:left="720" w:hanging="437"/>
        <w:jc w:val="both"/>
        <w:rPr>
          <w:rtl/>
        </w:rPr>
      </w:pPr>
    </w:p>
    <w:p w14:paraId="27174000" w14:textId="77777777" w:rsidR="00EF7F4A" w:rsidRDefault="006230B9">
      <w:pPr>
        <w:spacing w:line="360" w:lineRule="auto"/>
        <w:ind w:left="720" w:hanging="720"/>
        <w:jc w:val="both"/>
        <w:rPr>
          <w:rtl/>
        </w:rPr>
      </w:pPr>
      <w:r>
        <w:rPr>
          <w:rFonts w:hint="cs"/>
          <w:rtl/>
        </w:rPr>
        <w:t>24.</w:t>
      </w:r>
      <w:r>
        <w:rPr>
          <w:rFonts w:hint="cs"/>
          <w:rtl/>
        </w:rPr>
        <w:tab/>
        <w:t xml:space="preserve">אשר לנסיבות שאינן קשורות בעבירה: עברו הפלילי של הנאשם הכולל שתי הרשעות כשאחת מהן נסמכת על 39 תיקי משטרה בעבירות מגוונות החל משנת 1994 - השנה בה עלה לישראל. כמו כן, מהותו של המצב הרפואי ממנו סובל הנאשם, וכיצד יהא בכך להקשות עליו במסגרת המאסר, אציין כי נסיבה זו לא הובהרה עד תום. </w:t>
      </w:r>
    </w:p>
    <w:p w14:paraId="41FF0A08" w14:textId="77777777" w:rsidR="00EF7F4A" w:rsidRDefault="006230B9">
      <w:pPr>
        <w:spacing w:line="360" w:lineRule="auto"/>
        <w:ind w:left="720"/>
        <w:jc w:val="both"/>
        <w:rPr>
          <w:rtl/>
        </w:rPr>
      </w:pPr>
      <w:r>
        <w:rPr>
          <w:rFonts w:hint="cs"/>
          <w:rtl/>
        </w:rPr>
        <w:t xml:space="preserve">באשר לשיקומו של הנאשם משימוש בסמים בעבר, ודאי שאין בכך כדי לחסנו מפני מאסר עתידי, בייחוד כאשר מסתבר כי לא ויתר על אורח חיים עברייני [ראו: </w:t>
      </w:r>
      <w:hyperlink r:id="rId29" w:history="1">
        <w:r w:rsidRPr="006230B9">
          <w:rPr>
            <w:color w:val="0000FF"/>
            <w:u w:val="single"/>
            <w:rtl/>
          </w:rPr>
          <w:t>ע"פ 8163/13</w:t>
        </w:r>
      </w:hyperlink>
      <w:r>
        <w:rPr>
          <w:rFonts w:hint="cs"/>
          <w:rtl/>
        </w:rPr>
        <w:t xml:space="preserve"> </w:t>
      </w:r>
      <w:r>
        <w:rPr>
          <w:rFonts w:hint="cs"/>
          <w:b/>
          <w:bCs/>
          <w:rtl/>
        </w:rPr>
        <w:t xml:space="preserve">פלוני נ' מדינת ישראל </w:t>
      </w:r>
      <w:r>
        <w:rPr>
          <w:rFonts w:hint="cs"/>
          <w:rtl/>
        </w:rPr>
        <w:t xml:space="preserve">(פורסם בנבו, 27.3.13)].  </w:t>
      </w:r>
    </w:p>
    <w:p w14:paraId="70309A10" w14:textId="77777777" w:rsidR="00EF7F4A" w:rsidRDefault="006230B9">
      <w:pPr>
        <w:spacing w:line="360" w:lineRule="auto"/>
        <w:ind w:left="720"/>
        <w:jc w:val="both"/>
        <w:rPr>
          <w:rtl/>
        </w:rPr>
      </w:pPr>
      <w:r>
        <w:rPr>
          <w:rFonts w:hint="cs"/>
          <w:rtl/>
        </w:rPr>
        <w:t xml:space="preserve">באשר לפגיעה במשפחת הנאשם, גם מהנוהל שהוגש, שלעצמו, לא מתחייבת התוצאה עליה הצביעה ב"כ הנאשם: קטיעת ההליך המדורג. מכל מקום, לא ניתן לאפשר לנאשם להשתמש באשתו ובתו כמגן מפני ענישה מוחלטת של מאסר. </w:t>
      </w:r>
    </w:p>
    <w:p w14:paraId="13934AC1" w14:textId="77777777" w:rsidR="00EF7F4A" w:rsidRDefault="006230B9">
      <w:pPr>
        <w:spacing w:line="360" w:lineRule="auto"/>
        <w:ind w:left="720"/>
        <w:jc w:val="both"/>
        <w:rPr>
          <w:rtl/>
        </w:rPr>
      </w:pPr>
      <w:r>
        <w:rPr>
          <w:rFonts w:hint="cs"/>
          <w:rtl/>
        </w:rPr>
        <w:t xml:space="preserve">יחד עם זאת, שילוב כל השיקולים שצויינו לעיל  מצדיק בכל זאת, התחשבות-מה בנאשם. </w:t>
      </w:r>
    </w:p>
    <w:p w14:paraId="14A79A2B" w14:textId="77777777" w:rsidR="00EF7F4A" w:rsidRDefault="00EF7F4A">
      <w:pPr>
        <w:spacing w:line="360" w:lineRule="auto"/>
        <w:ind w:firstLine="720"/>
        <w:jc w:val="both"/>
        <w:rPr>
          <w:rtl/>
        </w:rPr>
      </w:pPr>
    </w:p>
    <w:p w14:paraId="7CD2251B" w14:textId="77777777" w:rsidR="00EF7F4A" w:rsidRDefault="00EF7F4A">
      <w:pPr>
        <w:spacing w:line="360" w:lineRule="auto"/>
        <w:ind w:firstLine="720"/>
        <w:jc w:val="both"/>
        <w:rPr>
          <w:rtl/>
        </w:rPr>
      </w:pPr>
    </w:p>
    <w:p w14:paraId="24E67392" w14:textId="77777777" w:rsidR="00EF7F4A" w:rsidRDefault="00EF7F4A">
      <w:pPr>
        <w:spacing w:line="360" w:lineRule="auto"/>
        <w:ind w:firstLine="720"/>
        <w:jc w:val="both"/>
        <w:rPr>
          <w:rtl/>
        </w:rPr>
      </w:pPr>
    </w:p>
    <w:p w14:paraId="37EC7E22" w14:textId="77777777" w:rsidR="00EF7F4A" w:rsidRDefault="00EF7F4A">
      <w:pPr>
        <w:spacing w:line="360" w:lineRule="auto"/>
        <w:ind w:firstLine="720"/>
        <w:jc w:val="both"/>
        <w:rPr>
          <w:rtl/>
        </w:rPr>
      </w:pPr>
    </w:p>
    <w:p w14:paraId="06AFACE1" w14:textId="77777777" w:rsidR="00EF7F4A" w:rsidRDefault="00EF7F4A">
      <w:pPr>
        <w:spacing w:line="360" w:lineRule="auto"/>
        <w:ind w:firstLine="720"/>
        <w:jc w:val="both"/>
        <w:rPr>
          <w:rtl/>
        </w:rPr>
      </w:pPr>
    </w:p>
    <w:p w14:paraId="1C87F501" w14:textId="77777777" w:rsidR="00EF7F4A" w:rsidRDefault="00EF7F4A">
      <w:pPr>
        <w:spacing w:line="360" w:lineRule="auto"/>
        <w:ind w:firstLine="720"/>
        <w:jc w:val="both"/>
        <w:rPr>
          <w:rtl/>
        </w:rPr>
      </w:pPr>
    </w:p>
    <w:p w14:paraId="26CEE2DC" w14:textId="77777777" w:rsidR="00EF7F4A" w:rsidRDefault="00EF7F4A">
      <w:pPr>
        <w:spacing w:line="360" w:lineRule="auto"/>
        <w:ind w:firstLine="720"/>
        <w:jc w:val="both"/>
        <w:rPr>
          <w:rtl/>
        </w:rPr>
      </w:pPr>
    </w:p>
    <w:p w14:paraId="69E1CDF0" w14:textId="77777777" w:rsidR="00EF7F4A" w:rsidRDefault="006230B9">
      <w:pPr>
        <w:spacing w:line="360" w:lineRule="auto"/>
        <w:jc w:val="both"/>
        <w:rPr>
          <w:rtl/>
        </w:rPr>
      </w:pPr>
      <w:r>
        <w:rPr>
          <w:rFonts w:hint="cs"/>
          <w:rtl/>
        </w:rPr>
        <w:t>25.</w:t>
      </w:r>
      <w:r>
        <w:rPr>
          <w:rFonts w:hint="cs"/>
          <w:rtl/>
        </w:rPr>
        <w:tab/>
        <w:t>לאור כל המקובץ לעיל, אני מטילה על הנאשם כדלקמן:</w:t>
      </w:r>
    </w:p>
    <w:p w14:paraId="16A65CFC" w14:textId="77777777" w:rsidR="00EF7F4A" w:rsidRDefault="00EF7F4A">
      <w:pPr>
        <w:spacing w:line="360" w:lineRule="auto"/>
        <w:jc w:val="both"/>
        <w:rPr>
          <w:rtl/>
        </w:rPr>
      </w:pPr>
    </w:p>
    <w:p w14:paraId="0749FF80" w14:textId="77777777" w:rsidR="00EF7F4A" w:rsidRDefault="006230B9">
      <w:pPr>
        <w:spacing w:line="360" w:lineRule="auto"/>
        <w:ind w:left="2160"/>
        <w:jc w:val="both"/>
        <w:rPr>
          <w:rtl/>
        </w:rPr>
      </w:pPr>
      <w:r>
        <w:rPr>
          <w:rFonts w:hint="cs"/>
          <w:rtl/>
        </w:rPr>
        <w:t xml:space="preserve">א)  </w:t>
      </w:r>
      <w:r>
        <w:rPr>
          <w:rFonts w:hint="cs"/>
          <w:b/>
          <w:bCs/>
          <w:rtl/>
        </w:rPr>
        <w:t>12 חודשי מאסר לריצוי בפועל</w:t>
      </w:r>
      <w:r>
        <w:rPr>
          <w:rFonts w:hint="cs"/>
          <w:rtl/>
        </w:rPr>
        <w:t>. מתקופת המאסר ינוכו ימי מעצרו: 35 ימים (מתאריך 24.1.2013 עד 28.2.2013).</w:t>
      </w:r>
    </w:p>
    <w:p w14:paraId="3CDB7DB5" w14:textId="77777777" w:rsidR="00EF7F4A" w:rsidRDefault="00EF7F4A">
      <w:pPr>
        <w:spacing w:line="360" w:lineRule="auto"/>
        <w:ind w:left="2160"/>
        <w:jc w:val="both"/>
        <w:rPr>
          <w:rtl/>
        </w:rPr>
      </w:pPr>
    </w:p>
    <w:p w14:paraId="4B726909" w14:textId="77777777" w:rsidR="00EF7F4A" w:rsidRDefault="006230B9">
      <w:pPr>
        <w:spacing w:line="360" w:lineRule="auto"/>
        <w:ind w:left="2160"/>
        <w:jc w:val="both"/>
        <w:rPr>
          <w:rtl/>
        </w:rPr>
      </w:pPr>
      <w:r>
        <w:rPr>
          <w:rFonts w:hint="cs"/>
          <w:rtl/>
        </w:rPr>
        <w:t xml:space="preserve">ב) 12 חודשי מאסר על- תנאי, והתנאי הוא שלא יעבור עבירה לפי </w:t>
      </w:r>
      <w:hyperlink r:id="rId30" w:history="1">
        <w:r w:rsidR="00B13796" w:rsidRPr="00B13796">
          <w:rPr>
            <w:rStyle w:val="Hyperlink"/>
            <w:rFonts w:hint="eastAsia"/>
            <w:rtl/>
          </w:rPr>
          <w:t>סעיף</w:t>
        </w:r>
        <w:r w:rsidR="00B13796" w:rsidRPr="00B13796">
          <w:rPr>
            <w:rStyle w:val="Hyperlink"/>
            <w:rtl/>
          </w:rPr>
          <w:t xml:space="preserve"> 144</w:t>
        </w:r>
      </w:hyperlink>
      <w:r>
        <w:rPr>
          <w:rFonts w:hint="cs"/>
          <w:rtl/>
        </w:rPr>
        <w:t xml:space="preserve"> ל</w:t>
      </w:r>
      <w:hyperlink r:id="rId31" w:history="1">
        <w:r w:rsidRPr="006230B9">
          <w:rPr>
            <w:color w:val="0000FF"/>
            <w:u w:val="single"/>
            <w:rtl/>
          </w:rPr>
          <w:t>חוק העונשין</w:t>
        </w:r>
      </w:hyperlink>
      <w:r>
        <w:rPr>
          <w:rFonts w:hint="cs"/>
          <w:rtl/>
        </w:rPr>
        <w:t xml:space="preserve"> על כל חלקיו, וזאת תוך 3 שנים מיום שחרורו ממאסר. </w:t>
      </w:r>
    </w:p>
    <w:p w14:paraId="7F3467C4" w14:textId="77777777" w:rsidR="00EF7F4A" w:rsidRDefault="00EF7F4A">
      <w:pPr>
        <w:spacing w:line="360" w:lineRule="auto"/>
        <w:ind w:left="2160"/>
        <w:jc w:val="both"/>
        <w:rPr>
          <w:rtl/>
        </w:rPr>
      </w:pPr>
    </w:p>
    <w:p w14:paraId="187DC0D1" w14:textId="77777777" w:rsidR="00EF7F4A" w:rsidRDefault="006230B9">
      <w:pPr>
        <w:spacing w:line="360" w:lineRule="auto"/>
        <w:ind w:left="2160"/>
        <w:jc w:val="both"/>
        <w:rPr>
          <w:rtl/>
        </w:rPr>
      </w:pPr>
      <w:r>
        <w:rPr>
          <w:rFonts w:hint="cs"/>
          <w:rtl/>
        </w:rPr>
        <w:t xml:space="preserve">ג) 4 חודשי מאסר על תנאי, והתנאי הוא שלא יעבור עבירה לפי </w:t>
      </w:r>
      <w:hyperlink r:id="rId32" w:history="1">
        <w:r w:rsidR="00B13796" w:rsidRPr="00B13796">
          <w:rPr>
            <w:rStyle w:val="Hyperlink"/>
            <w:rFonts w:hint="eastAsia"/>
            <w:rtl/>
          </w:rPr>
          <w:t>סעיף</w:t>
        </w:r>
        <w:r w:rsidR="00B13796" w:rsidRPr="00B13796">
          <w:rPr>
            <w:rStyle w:val="Hyperlink"/>
            <w:rtl/>
          </w:rPr>
          <w:t xml:space="preserve"> 338(א)(9)</w:t>
        </w:r>
      </w:hyperlink>
      <w:r>
        <w:rPr>
          <w:rFonts w:hint="cs"/>
          <w:rtl/>
        </w:rPr>
        <w:t xml:space="preserve"> ל</w:t>
      </w:r>
      <w:hyperlink r:id="rId33" w:history="1">
        <w:r w:rsidRPr="006230B9">
          <w:rPr>
            <w:color w:val="0000FF"/>
            <w:u w:val="single"/>
            <w:rtl/>
          </w:rPr>
          <w:t>חוק העונשין</w:t>
        </w:r>
      </w:hyperlink>
      <w:r>
        <w:rPr>
          <w:rFonts w:hint="cs"/>
          <w:rtl/>
        </w:rPr>
        <w:t>, וזאת תוך 3 שנים מיום שחרורו ממאסר.</w:t>
      </w:r>
    </w:p>
    <w:p w14:paraId="2B5ADA15" w14:textId="77777777" w:rsidR="00EF7F4A" w:rsidRDefault="00EF7F4A">
      <w:pPr>
        <w:spacing w:line="360" w:lineRule="auto"/>
        <w:ind w:left="2160"/>
        <w:jc w:val="both"/>
        <w:rPr>
          <w:rtl/>
        </w:rPr>
      </w:pPr>
    </w:p>
    <w:p w14:paraId="576D2E65" w14:textId="77777777" w:rsidR="00EF7F4A" w:rsidRDefault="006230B9">
      <w:pPr>
        <w:spacing w:line="360" w:lineRule="auto"/>
        <w:ind w:left="2160"/>
        <w:jc w:val="both"/>
        <w:rPr>
          <w:rtl/>
        </w:rPr>
      </w:pPr>
      <w:r>
        <w:rPr>
          <w:rFonts w:hint="cs"/>
          <w:rtl/>
        </w:rPr>
        <w:t xml:space="preserve">האקדח, הכוונת הטלסקופית של הרובה, מחסנית הכדורים והכדורים </w:t>
      </w:r>
      <w:r>
        <w:rPr>
          <w:rtl/>
        </w:rPr>
        <w:t>–</w:t>
      </w:r>
      <w:r>
        <w:rPr>
          <w:rFonts w:hint="cs"/>
          <w:rtl/>
        </w:rPr>
        <w:t xml:space="preserve"> יחולטו לטובת המדינה.</w:t>
      </w:r>
    </w:p>
    <w:p w14:paraId="1299BF92" w14:textId="77777777" w:rsidR="00EF7F4A" w:rsidRDefault="006230B9">
      <w:pPr>
        <w:spacing w:line="360" w:lineRule="auto"/>
        <w:ind w:left="2160"/>
        <w:jc w:val="both"/>
        <w:rPr>
          <w:rtl/>
        </w:rPr>
      </w:pPr>
      <w:r>
        <w:rPr>
          <w:rFonts w:hint="cs"/>
          <w:rtl/>
        </w:rPr>
        <w:t xml:space="preserve">החומר מסוג קטמין </w:t>
      </w:r>
      <w:r>
        <w:rPr>
          <w:rtl/>
        </w:rPr>
        <w:t>–</w:t>
      </w:r>
      <w:r>
        <w:rPr>
          <w:rFonts w:hint="cs"/>
          <w:rtl/>
        </w:rPr>
        <w:t xml:space="preserve"> יושמד.</w:t>
      </w:r>
    </w:p>
    <w:p w14:paraId="2F570694" w14:textId="77777777" w:rsidR="00EF7F4A" w:rsidRDefault="00EF7F4A">
      <w:pPr>
        <w:spacing w:line="360" w:lineRule="auto"/>
        <w:ind w:left="2160"/>
        <w:jc w:val="both"/>
        <w:rPr>
          <w:rtl/>
        </w:rPr>
      </w:pPr>
    </w:p>
    <w:p w14:paraId="38A41AA2" w14:textId="77777777" w:rsidR="00EF7F4A" w:rsidRDefault="006230B9">
      <w:pPr>
        <w:spacing w:line="360" w:lineRule="auto"/>
        <w:jc w:val="both"/>
        <w:rPr>
          <w:b/>
          <w:bCs/>
          <w:u w:val="single"/>
          <w:rtl/>
        </w:rPr>
      </w:pPr>
      <w:r>
        <w:rPr>
          <w:rFonts w:hint="cs"/>
          <w:b/>
          <w:bCs/>
          <w:u w:val="single"/>
          <w:rtl/>
        </w:rPr>
        <w:t>הודע לנאשם על זכותו לערער לבית משפט העליון תוך 45 יום מהיום.</w:t>
      </w:r>
    </w:p>
    <w:p w14:paraId="0A9E7B8B" w14:textId="77777777" w:rsidR="00EF7F4A" w:rsidRDefault="00EF7F4A">
      <w:pPr>
        <w:jc w:val="both"/>
        <w:rPr>
          <w:rtl/>
        </w:rPr>
      </w:pPr>
    </w:p>
    <w:p w14:paraId="7CF629EE" w14:textId="77777777" w:rsidR="00EF7F4A" w:rsidRDefault="00EF7F4A">
      <w:pPr>
        <w:spacing w:line="360" w:lineRule="auto"/>
        <w:jc w:val="both"/>
        <w:rPr>
          <w:rFonts w:ascii="Arial" w:hAnsi="Arial"/>
          <w:rtl/>
        </w:rPr>
      </w:pPr>
    </w:p>
    <w:p w14:paraId="0AB396A3" w14:textId="77777777" w:rsidR="00EF7F4A" w:rsidRDefault="006230B9">
      <w:pPr>
        <w:spacing w:line="360" w:lineRule="auto"/>
        <w:jc w:val="both"/>
        <w:rPr>
          <w:rFonts w:ascii="Arial" w:hAnsi="Arial"/>
          <w:rtl/>
        </w:rPr>
      </w:pPr>
      <w:r>
        <w:rPr>
          <w:rFonts w:ascii="Arial" w:hAnsi="Arial"/>
          <w:rtl/>
        </w:rPr>
        <w:t xml:space="preserve">ניתן היום 8.4.14, ח' ניסן תשע"ד, במעמד ב"כ הצדדים, הנאשם ומתורגמן לשפה הרוסית מר מוריס </w:t>
      </w:r>
      <w:r>
        <w:rPr>
          <w:rFonts w:ascii="Arial" w:hAnsi="Arial" w:hint="cs"/>
          <w:rtl/>
        </w:rPr>
        <w:t>ברק.</w:t>
      </w:r>
    </w:p>
    <w:p w14:paraId="26A69267" w14:textId="77777777" w:rsidR="00EF7F4A" w:rsidRPr="006230B9" w:rsidRDefault="006230B9">
      <w:pPr>
        <w:spacing w:line="360" w:lineRule="auto"/>
        <w:jc w:val="both"/>
        <w:rPr>
          <w:rFonts w:ascii="Arial" w:hAnsi="Arial"/>
          <w:color w:val="FFFFFF"/>
          <w:sz w:val="2"/>
          <w:szCs w:val="2"/>
        </w:rPr>
      </w:pPr>
      <w:r w:rsidRPr="006230B9">
        <w:rPr>
          <w:rFonts w:ascii="Arial" w:hAnsi="Arial"/>
          <w:color w:val="FFFFFF"/>
          <w:sz w:val="2"/>
          <w:szCs w:val="2"/>
          <w:rtl/>
        </w:rPr>
        <w:t>5129371</w:t>
      </w:r>
    </w:p>
    <w:tbl>
      <w:tblPr>
        <w:bidiVisual/>
        <w:tblW w:w="0" w:type="auto"/>
        <w:tblInd w:w="5814" w:type="dxa"/>
        <w:tblLook w:val="01E0" w:firstRow="1" w:lastRow="1" w:firstColumn="1" w:lastColumn="1" w:noHBand="0" w:noVBand="0"/>
      </w:tblPr>
      <w:tblGrid>
        <w:gridCol w:w="2708"/>
      </w:tblGrid>
      <w:tr w:rsidR="00EF7F4A" w14:paraId="67C2FCC7" w14:textId="77777777">
        <w:trPr>
          <w:trHeight w:val="2157"/>
        </w:trPr>
        <w:tc>
          <w:tcPr>
            <w:tcW w:w="2708" w:type="dxa"/>
            <w:tcBorders>
              <w:top w:val="nil"/>
              <w:left w:val="nil"/>
              <w:bottom w:val="single" w:sz="4" w:space="0" w:color="auto"/>
              <w:right w:val="nil"/>
            </w:tcBorders>
            <w:vAlign w:val="center"/>
          </w:tcPr>
          <w:p w14:paraId="5F4B532E" w14:textId="77777777" w:rsidR="00EF7F4A" w:rsidRPr="006230B9" w:rsidRDefault="006230B9">
            <w:pPr>
              <w:jc w:val="center"/>
              <w:rPr>
                <w:rFonts w:ascii="Courier New" w:hAnsi="Courier New"/>
                <w:b/>
                <w:bCs/>
                <w:color w:val="FFFFFF"/>
                <w:sz w:val="2"/>
                <w:szCs w:val="2"/>
              </w:rPr>
            </w:pPr>
            <w:r w:rsidRPr="006230B9">
              <w:rPr>
                <w:rFonts w:ascii="Courier New" w:hAnsi="Courier New"/>
                <w:b/>
                <w:bCs/>
                <w:color w:val="FFFFFF"/>
                <w:sz w:val="2"/>
                <w:szCs w:val="2"/>
                <w:rtl/>
              </w:rPr>
              <w:t>54678313</w:t>
            </w:r>
          </w:p>
        </w:tc>
      </w:tr>
      <w:tr w:rsidR="00EF7F4A" w14:paraId="6DF1FE36" w14:textId="77777777">
        <w:tc>
          <w:tcPr>
            <w:tcW w:w="2708" w:type="dxa"/>
            <w:tcBorders>
              <w:top w:val="single" w:sz="4" w:space="0" w:color="auto"/>
              <w:left w:val="nil"/>
              <w:bottom w:val="nil"/>
              <w:right w:val="nil"/>
            </w:tcBorders>
          </w:tcPr>
          <w:p w14:paraId="3E683BCE" w14:textId="77777777" w:rsidR="00EF7F4A" w:rsidRDefault="006230B9">
            <w:pPr>
              <w:jc w:val="center"/>
              <w:rPr>
                <w:rFonts w:ascii="Courier New" w:hAnsi="Courier New"/>
                <w:b/>
                <w:bCs/>
                <w:rtl/>
              </w:rPr>
            </w:pPr>
            <w:r>
              <w:rPr>
                <w:rFonts w:ascii="Courier New" w:hAnsi="Courier New" w:hint="cs"/>
                <w:b/>
                <w:bCs/>
                <w:rtl/>
              </w:rPr>
              <w:t>יהודית אמסטרדם, שופטת</w:t>
            </w:r>
          </w:p>
          <w:p w14:paraId="3FCB1BB0" w14:textId="77777777" w:rsidR="00EF7F4A" w:rsidRDefault="00EF7F4A">
            <w:pPr>
              <w:jc w:val="center"/>
              <w:rPr>
                <w:rFonts w:ascii="Courier New" w:hAnsi="Courier New"/>
                <w:b/>
                <w:bCs/>
              </w:rPr>
            </w:pPr>
          </w:p>
        </w:tc>
      </w:tr>
    </w:tbl>
    <w:p w14:paraId="77B23E32" w14:textId="77777777" w:rsidR="00EF7F4A" w:rsidRDefault="00EF7F4A">
      <w:pPr>
        <w:pStyle w:val="a3"/>
        <w:jc w:val="both"/>
        <w:rPr>
          <w:rtl/>
        </w:rPr>
      </w:pPr>
    </w:p>
    <w:p w14:paraId="0C09099D" w14:textId="77777777" w:rsidR="006230B9" w:rsidRPr="006230B9" w:rsidRDefault="006230B9" w:rsidP="006230B9">
      <w:pPr>
        <w:keepNext/>
        <w:rPr>
          <w:rFonts w:ascii="David" w:hAnsi="David"/>
          <w:color w:val="000000"/>
          <w:sz w:val="22"/>
          <w:szCs w:val="22"/>
          <w:rtl/>
        </w:rPr>
      </w:pPr>
    </w:p>
    <w:p w14:paraId="51C292D7" w14:textId="77777777" w:rsidR="006230B9" w:rsidRPr="006230B9" w:rsidRDefault="006230B9" w:rsidP="006230B9">
      <w:pPr>
        <w:keepNext/>
        <w:rPr>
          <w:rFonts w:ascii="David" w:hAnsi="David"/>
          <w:color w:val="000000"/>
          <w:sz w:val="22"/>
          <w:szCs w:val="22"/>
          <w:rtl/>
        </w:rPr>
      </w:pPr>
      <w:r w:rsidRPr="006230B9">
        <w:rPr>
          <w:rFonts w:ascii="David" w:hAnsi="David"/>
          <w:color w:val="000000"/>
          <w:sz w:val="22"/>
          <w:szCs w:val="22"/>
          <w:rtl/>
        </w:rPr>
        <w:t>יהודית אמסטרדם 54678313</w:t>
      </w:r>
    </w:p>
    <w:p w14:paraId="308834E6" w14:textId="77777777" w:rsidR="006230B9" w:rsidRDefault="006230B9" w:rsidP="006230B9">
      <w:r w:rsidRPr="006230B9">
        <w:rPr>
          <w:color w:val="000000"/>
          <w:rtl/>
        </w:rPr>
        <w:t>נוסח מסמך זה כפוף לשינויי ניסוח ועריכה</w:t>
      </w:r>
    </w:p>
    <w:p w14:paraId="74621984" w14:textId="77777777" w:rsidR="006230B9" w:rsidRDefault="006230B9" w:rsidP="006230B9">
      <w:pPr>
        <w:rPr>
          <w:rtl/>
        </w:rPr>
      </w:pPr>
    </w:p>
    <w:p w14:paraId="7279E578" w14:textId="77777777" w:rsidR="006230B9" w:rsidRDefault="006230B9" w:rsidP="006230B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9652AFF" w14:textId="77777777" w:rsidR="00EF7F4A" w:rsidRPr="006230B9" w:rsidRDefault="00EF7F4A" w:rsidP="006230B9">
      <w:pPr>
        <w:jc w:val="center"/>
        <w:rPr>
          <w:color w:val="0000FF"/>
          <w:u w:val="single"/>
        </w:rPr>
      </w:pPr>
    </w:p>
    <w:sectPr w:rsidR="00EF7F4A" w:rsidRPr="006230B9" w:rsidSect="006230B9">
      <w:headerReference w:type="even" r:id="rId35"/>
      <w:headerReference w:type="default" r:id="rId36"/>
      <w:footerReference w:type="even" r:id="rId37"/>
      <w:footerReference w:type="default" r:id="rId38"/>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A675F" w14:textId="77777777" w:rsidR="00281439" w:rsidRPr="00057515" w:rsidRDefault="00281439">
      <w:pPr>
        <w:rPr>
          <w:rFonts w:cs="Arial"/>
          <w:szCs w:val="20"/>
        </w:rPr>
      </w:pPr>
      <w:r>
        <w:separator/>
      </w:r>
    </w:p>
  </w:endnote>
  <w:endnote w:type="continuationSeparator" w:id="0">
    <w:p w14:paraId="3DBE327F" w14:textId="77777777" w:rsidR="00281439" w:rsidRPr="00057515" w:rsidRDefault="0028143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40C15" w14:textId="77777777" w:rsidR="006230B9" w:rsidRDefault="006230B9" w:rsidP="006230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605938" w14:textId="77777777" w:rsidR="00EF7F4A" w:rsidRPr="006230B9" w:rsidRDefault="006230B9" w:rsidP="006230B9">
    <w:pPr>
      <w:pStyle w:val="a4"/>
      <w:pBdr>
        <w:top w:val="single" w:sz="4" w:space="1" w:color="auto"/>
        <w:between w:val="single" w:sz="4" w:space="0" w:color="auto"/>
      </w:pBdr>
      <w:spacing w:after="60"/>
      <w:jc w:val="center"/>
      <w:rPr>
        <w:rFonts w:ascii="FrankRuehl" w:hAnsi="FrankRuehl" w:cs="FrankRuehl"/>
        <w:color w:val="000000"/>
      </w:rPr>
    </w:pPr>
    <w:r w:rsidRPr="006230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B8D5F" w14:textId="77777777" w:rsidR="006230B9" w:rsidRDefault="006230B9" w:rsidP="006230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4B36">
      <w:rPr>
        <w:rFonts w:ascii="FrankRuehl" w:hAnsi="FrankRuehl" w:cs="FrankRuehl"/>
        <w:noProof/>
        <w:rtl/>
      </w:rPr>
      <w:t>1</w:t>
    </w:r>
    <w:r>
      <w:rPr>
        <w:rFonts w:ascii="FrankRuehl" w:hAnsi="FrankRuehl" w:cs="FrankRuehl"/>
        <w:rtl/>
      </w:rPr>
      <w:fldChar w:fldCharType="end"/>
    </w:r>
  </w:p>
  <w:p w14:paraId="4D7B5EDC" w14:textId="77777777" w:rsidR="00EF7F4A" w:rsidRPr="006230B9" w:rsidRDefault="006230B9" w:rsidP="006230B9">
    <w:pPr>
      <w:pStyle w:val="a4"/>
      <w:pBdr>
        <w:top w:val="single" w:sz="4" w:space="1" w:color="auto"/>
        <w:between w:val="single" w:sz="4" w:space="0" w:color="auto"/>
      </w:pBdr>
      <w:spacing w:after="60"/>
      <w:jc w:val="center"/>
      <w:rPr>
        <w:rFonts w:ascii="FrankRuehl" w:hAnsi="FrankRuehl" w:cs="FrankRuehl"/>
        <w:color w:val="000000"/>
      </w:rPr>
    </w:pPr>
    <w:r w:rsidRPr="006230B9">
      <w:rPr>
        <w:rFonts w:ascii="FrankRuehl" w:hAnsi="FrankRuehl" w:cs="FrankRuehl"/>
        <w:color w:val="000000"/>
      </w:rPr>
      <w:pict w14:anchorId="7976F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4478B" w14:textId="77777777" w:rsidR="00281439" w:rsidRPr="00057515" w:rsidRDefault="00281439">
      <w:pPr>
        <w:rPr>
          <w:rFonts w:cs="Arial"/>
          <w:szCs w:val="20"/>
        </w:rPr>
      </w:pPr>
      <w:r>
        <w:separator/>
      </w:r>
    </w:p>
  </w:footnote>
  <w:footnote w:type="continuationSeparator" w:id="0">
    <w:p w14:paraId="44AC1497" w14:textId="77777777" w:rsidR="00281439" w:rsidRPr="00057515" w:rsidRDefault="0028143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3C2D6" w14:textId="77777777" w:rsidR="006230B9" w:rsidRPr="006230B9" w:rsidRDefault="006230B9" w:rsidP="006230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59967-01-13</w:t>
    </w:r>
    <w:r>
      <w:rPr>
        <w:rFonts w:ascii="David" w:hAnsi="David"/>
        <w:color w:val="000000"/>
        <w:sz w:val="22"/>
        <w:szCs w:val="22"/>
        <w:rtl/>
      </w:rPr>
      <w:tab/>
      <w:t xml:space="preserve"> מדינת ישראל נ' מירבי פיטר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0EC8" w14:textId="77777777" w:rsidR="006230B9" w:rsidRPr="006230B9" w:rsidRDefault="006230B9" w:rsidP="006230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59967-01-13</w:t>
    </w:r>
    <w:r>
      <w:rPr>
        <w:rFonts w:ascii="David" w:hAnsi="David"/>
        <w:color w:val="000000"/>
        <w:sz w:val="22"/>
        <w:szCs w:val="22"/>
        <w:rtl/>
      </w:rPr>
      <w:tab/>
      <w:t xml:space="preserve"> מדינת ישראל נ' מירבי פיטר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7F4A"/>
    <w:rsid w:val="00234B36"/>
    <w:rsid w:val="00281439"/>
    <w:rsid w:val="006230B9"/>
    <w:rsid w:val="006D26DC"/>
    <w:rsid w:val="00A300F9"/>
    <w:rsid w:val="00B13796"/>
    <w:rsid w:val="00EF7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2050"/>
    <o:shapelayout v:ext="edit">
      <o:idmap v:ext="edit" data="1"/>
    </o:shapelayout>
  </w:shapeDefaults>
  <w:decimalSymbol w:val="."/>
  <w:listSeparator w:val=","/>
  <w14:docId w14:val="7AA69D1B"/>
  <w15:chartTrackingRefBased/>
  <w15:docId w15:val="{FFA24977-BAB0-4D0F-8B07-9394F188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7F4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F7F4A"/>
    <w:pPr>
      <w:tabs>
        <w:tab w:val="center" w:pos="4153"/>
        <w:tab w:val="right" w:pos="8306"/>
      </w:tabs>
    </w:pPr>
  </w:style>
  <w:style w:type="paragraph" w:styleId="a4">
    <w:name w:val="footer"/>
    <w:basedOn w:val="a"/>
    <w:rsid w:val="00EF7F4A"/>
    <w:pPr>
      <w:tabs>
        <w:tab w:val="center" w:pos="4153"/>
        <w:tab w:val="right" w:pos="8306"/>
      </w:tabs>
    </w:pPr>
  </w:style>
  <w:style w:type="character" w:styleId="a5">
    <w:name w:val="page number"/>
    <w:basedOn w:val="a0"/>
    <w:rsid w:val="00EF7F4A"/>
  </w:style>
  <w:style w:type="character" w:styleId="Hyperlink">
    <w:name w:val="Hyperlink"/>
    <w:basedOn w:val="a0"/>
    <w:rsid w:val="00EF7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85" TargetMode="External"/><Relationship Id="rId26" Type="http://schemas.openxmlformats.org/officeDocument/2006/relationships/hyperlink" Target="http://www.nevo.co.il/case/6473037" TargetMode="External"/><Relationship Id="rId39" Type="http://schemas.openxmlformats.org/officeDocument/2006/relationships/fontTable" Target="fontTable.xml"/><Relationship Id="rId21" Type="http://schemas.openxmlformats.org/officeDocument/2006/relationships/hyperlink" Target="http://www.nevo.co.il/law/70301/40j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c.a" TargetMode="External"/><Relationship Id="rId12" Type="http://schemas.openxmlformats.org/officeDocument/2006/relationships/hyperlink" Target="http://www.nevo.co.il/law/70301/338.a.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38.a.9" TargetMode="External"/><Relationship Id="rId20" Type="http://schemas.openxmlformats.org/officeDocument/2006/relationships/hyperlink" Target="http://www.nevo.co.il/case/5887664" TargetMode="External"/><Relationship Id="rId29" Type="http://schemas.openxmlformats.org/officeDocument/2006/relationships/hyperlink" Target="http://www.nevo.co.il/case/1049045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d.a" TargetMode="External"/><Relationship Id="rId32" Type="http://schemas.openxmlformats.org/officeDocument/2006/relationships/hyperlink" Target="http://www.nevo.co.il/law/70301/338.a.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6169310" TargetMode="External"/><Relationship Id="rId36" Type="http://schemas.openxmlformats.org/officeDocument/2006/relationships/header" Target="header2.xml"/><Relationship Id="rId10" Type="http://schemas.openxmlformats.org/officeDocument/2006/relationships/hyperlink" Target="http://www.nevo.co.il/law/70301/144"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85"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97217" TargetMode="External"/><Relationship Id="rId30" Type="http://schemas.openxmlformats.org/officeDocument/2006/relationships/hyperlink" Target="http://www.nevo.co.il/law/70301/144" TargetMode="External"/><Relationship Id="rId35" Type="http://schemas.openxmlformats.org/officeDocument/2006/relationships/header" Target="header1.xml"/><Relationship Id="rId8" Type="http://schemas.openxmlformats.org/officeDocument/2006/relationships/hyperlink" Target="http://www.nevo.co.il/law/70301/40d.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2662</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15944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6684735</vt:i4>
      </vt:variant>
      <vt:variant>
        <vt:i4>78</vt:i4>
      </vt:variant>
      <vt:variant>
        <vt:i4>0</vt:i4>
      </vt:variant>
      <vt:variant>
        <vt:i4>5</vt:i4>
      </vt:variant>
      <vt:variant>
        <vt:lpwstr>http://www.nevo.co.il/law/70301/338.a.9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3145849</vt:i4>
      </vt:variant>
      <vt:variant>
        <vt:i4>69</vt:i4>
      </vt:variant>
      <vt:variant>
        <vt:i4>0</vt:i4>
      </vt:variant>
      <vt:variant>
        <vt:i4>5</vt:i4>
      </vt:variant>
      <vt:variant>
        <vt:lpwstr>http://www.nevo.co.il/case/10490459</vt:lpwstr>
      </vt:variant>
      <vt:variant>
        <vt:lpwstr/>
      </vt:variant>
      <vt:variant>
        <vt:i4>3342461</vt:i4>
      </vt:variant>
      <vt:variant>
        <vt:i4>66</vt:i4>
      </vt:variant>
      <vt:variant>
        <vt:i4>0</vt:i4>
      </vt:variant>
      <vt:variant>
        <vt:i4>5</vt:i4>
      </vt:variant>
      <vt:variant>
        <vt:lpwstr>http://www.nevo.co.il/case/6169310</vt:lpwstr>
      </vt:variant>
      <vt:variant>
        <vt:lpwstr/>
      </vt:variant>
      <vt:variant>
        <vt:i4>3735671</vt:i4>
      </vt:variant>
      <vt:variant>
        <vt:i4>63</vt:i4>
      </vt:variant>
      <vt:variant>
        <vt:i4>0</vt:i4>
      </vt:variant>
      <vt:variant>
        <vt:i4>5</vt:i4>
      </vt:variant>
      <vt:variant>
        <vt:lpwstr>http://www.nevo.co.il/case/5597217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4128893</vt:i4>
      </vt:variant>
      <vt:variant>
        <vt:i4>42</vt:i4>
      </vt:variant>
      <vt:variant>
        <vt:i4>0</vt:i4>
      </vt:variant>
      <vt:variant>
        <vt:i4>5</vt:i4>
      </vt:variant>
      <vt:variant>
        <vt:lpwstr>http://www.nevo.co.il/case/5887664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6291565</vt:i4>
      </vt:variant>
      <vt:variant>
        <vt:i4>36</vt:i4>
      </vt:variant>
      <vt:variant>
        <vt:i4>0</vt:i4>
      </vt:variant>
      <vt:variant>
        <vt:i4>5</vt:i4>
      </vt:variant>
      <vt:variant>
        <vt:lpwstr>http://www.nevo.co.il/law/70301/85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6684735</vt:i4>
      </vt:variant>
      <vt:variant>
        <vt:i4>30</vt:i4>
      </vt:variant>
      <vt:variant>
        <vt:i4>0</vt:i4>
      </vt:variant>
      <vt:variant>
        <vt:i4>5</vt:i4>
      </vt:variant>
      <vt:variant>
        <vt:lpwstr>http://www.nevo.co.il/law/70301/338.a.9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6684735</vt:i4>
      </vt:variant>
      <vt:variant>
        <vt:i4>18</vt:i4>
      </vt:variant>
      <vt:variant>
        <vt:i4>0</vt:i4>
      </vt:variant>
      <vt:variant>
        <vt:i4>5</vt:i4>
      </vt:variant>
      <vt:variant>
        <vt:lpwstr>http://www.nevo.co.il/law/70301/338.a.9</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6291565</vt:i4>
      </vt:variant>
      <vt:variant>
        <vt:i4>9</vt:i4>
      </vt:variant>
      <vt:variant>
        <vt:i4>0</vt:i4>
      </vt:variant>
      <vt:variant>
        <vt:i4>5</vt:i4>
      </vt:variant>
      <vt:variant>
        <vt:lpwstr>http://www.nevo.co.il/law/70301/85</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2025-01-19T15:46:00Z</dcterms:created>
  <dcterms:modified xsi:type="dcterms:W3CDTF">2025-01-19T15:46:00Z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59967</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מירבי פיטר</vt:lpwstr>
  </property>
  <property fmtid="{D5CDD505-2E9C-101B-9397-08002B2CF9AE}" pid="10" name="LAWYER">
    <vt:lpwstr>אסף שביט;רייטן סטול</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20140408</vt:lpwstr>
  </property>
  <property fmtid="{D5CDD505-2E9C-101B-9397-08002B2CF9AE}" pid="14" name="TYPE_N_DATE">
    <vt:lpwstr>39020140408</vt:lpwstr>
  </property>
  <property fmtid="{D5CDD505-2E9C-101B-9397-08002B2CF9AE}" pid="15" name="CASESLISTTMP1">
    <vt:lpwstr>5887664;6473037;5597217;6169310;10490459</vt:lpwstr>
  </property>
  <property fmtid="{D5CDD505-2E9C-101B-9397-08002B2CF9AE}" pid="16" name="WORDNUMPAGES">
    <vt:lpwstr>9</vt:lpwstr>
  </property>
  <property fmtid="{D5CDD505-2E9C-101B-9397-08002B2CF9AE}" pid="17" name="TYPE_ABS_DATE">
    <vt:lpwstr>390020140408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70301/144.a:2;338.a.9:2;085;40jc;040c.a;040d.a;144</vt:lpwstr>
  </property>
</Properties>
</file>