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367DF8" w:rsidRPr="000C261A" w14:paraId="3B7F1277" w14:textId="77777777">
        <w:trPr>
          <w:trHeight w:hRule="exact" w:val="704"/>
          <w:jc w:val="center"/>
        </w:trPr>
        <w:tc>
          <w:tcPr>
            <w:tcW w:w="8721" w:type="dxa"/>
            <w:gridSpan w:val="2"/>
          </w:tcPr>
          <w:p w14:paraId="73B84B15" w14:textId="77777777" w:rsidR="00367DF8" w:rsidRPr="000C261A" w:rsidRDefault="000C261A">
            <w:pPr>
              <w:pStyle w:val="a3"/>
              <w:jc w:val="center"/>
              <w:rPr>
                <w:rFonts w:ascii="Tahoma" w:hAnsi="Tahoma" w:cs="FrankRuehl"/>
                <w:b/>
                <w:bCs/>
                <w:noProof w:val="0"/>
                <w:color w:val="000080"/>
                <w:sz w:val="32"/>
                <w:szCs w:val="32"/>
                <w:rtl/>
              </w:rPr>
            </w:pPr>
            <w:bookmarkStart w:id="0" w:name="LastJudge"/>
            <w:r w:rsidRPr="000C261A">
              <w:rPr>
                <w:rFonts w:ascii="Tahoma" w:hAnsi="Tahoma" w:cs="FrankRuehl"/>
                <w:b/>
                <w:bCs/>
                <w:noProof w:val="0"/>
                <w:color w:val="000080"/>
                <w:sz w:val="32"/>
                <w:szCs w:val="32"/>
                <w:rtl/>
              </w:rPr>
              <w:t>בית המשפט המחוזי בירושלים</w:t>
            </w:r>
          </w:p>
          <w:p w14:paraId="0025625D" w14:textId="77777777" w:rsidR="00367DF8" w:rsidRPr="000C261A" w:rsidRDefault="000C261A">
            <w:pPr>
              <w:pStyle w:val="a3"/>
              <w:jc w:val="center"/>
              <w:rPr>
                <w:rFonts w:ascii="Tahoma" w:hAnsi="Tahoma" w:cs="FrankRuehl"/>
                <w:b/>
                <w:bCs/>
                <w:noProof w:val="0"/>
                <w:color w:val="000080"/>
                <w:sz w:val="32"/>
                <w:szCs w:val="32"/>
                <w:rtl/>
              </w:rPr>
            </w:pPr>
            <w:r w:rsidRPr="000C261A">
              <w:rPr>
                <w:rFonts w:ascii="Tahoma" w:hAnsi="Tahoma" w:cs="FrankRuehl" w:hint="cs"/>
                <w:b/>
                <w:bCs/>
                <w:noProof w:val="0"/>
                <w:color w:val="000080"/>
                <w:sz w:val="32"/>
                <w:szCs w:val="32"/>
                <w:rtl/>
              </w:rPr>
              <w:t>לפני כב' השופט י' נועם</w:t>
            </w:r>
          </w:p>
          <w:p w14:paraId="353B3578" w14:textId="77777777" w:rsidR="00367DF8" w:rsidRPr="000C261A" w:rsidRDefault="00367DF8">
            <w:pPr>
              <w:pStyle w:val="a3"/>
              <w:jc w:val="center"/>
              <w:rPr>
                <w:rFonts w:ascii="Tahoma" w:hAnsi="Tahoma" w:cs="Tahoma"/>
                <w:noProof w:val="0"/>
                <w:color w:val="000080"/>
                <w:rtl/>
              </w:rPr>
            </w:pPr>
          </w:p>
        </w:tc>
      </w:tr>
      <w:tr w:rsidR="00367DF8" w:rsidRPr="000C261A" w14:paraId="5C6BD8C4" w14:textId="77777777">
        <w:trPr>
          <w:trHeight w:val="337"/>
          <w:jc w:val="center"/>
        </w:trPr>
        <w:tc>
          <w:tcPr>
            <w:tcW w:w="5047" w:type="dxa"/>
          </w:tcPr>
          <w:p w14:paraId="14F4273D" w14:textId="77777777" w:rsidR="00367DF8" w:rsidRPr="000C261A" w:rsidRDefault="000C261A">
            <w:pPr>
              <w:spacing w:line="360" w:lineRule="auto"/>
              <w:rPr>
                <w:rtl/>
              </w:rPr>
            </w:pPr>
            <w:r w:rsidRPr="000C261A">
              <w:rPr>
                <w:rFonts w:cs="FrankRuehl"/>
                <w:b/>
                <w:bCs/>
                <w:noProof w:val="0"/>
                <w:sz w:val="28"/>
                <w:szCs w:val="28"/>
                <w:rtl/>
              </w:rPr>
              <w:t xml:space="preserve">ת"פ 13481-02-13 </w:t>
            </w:r>
            <w:r w:rsidRPr="000C261A">
              <w:rPr>
                <w:rFonts w:cs="FrankRuehl" w:hint="cs"/>
                <w:b/>
                <w:bCs/>
                <w:noProof w:val="0"/>
                <w:sz w:val="28"/>
                <w:szCs w:val="28"/>
                <w:rtl/>
              </w:rPr>
              <w:t>מדינת ישראל נ' מחמד אבו סנינה</w:t>
            </w:r>
          </w:p>
          <w:p w14:paraId="759217FD" w14:textId="77777777" w:rsidR="00367DF8" w:rsidRPr="000C261A" w:rsidRDefault="00367DF8">
            <w:pPr>
              <w:spacing w:line="360" w:lineRule="auto"/>
              <w:rPr>
                <w:rFonts w:cs="FrankRuehl"/>
                <w:b/>
                <w:bCs/>
                <w:noProof w:val="0"/>
                <w:sz w:val="28"/>
                <w:szCs w:val="28"/>
                <w:rtl/>
              </w:rPr>
            </w:pPr>
          </w:p>
        </w:tc>
        <w:tc>
          <w:tcPr>
            <w:tcW w:w="3674" w:type="dxa"/>
          </w:tcPr>
          <w:p w14:paraId="00AF3408" w14:textId="77777777" w:rsidR="00367DF8" w:rsidRPr="000C261A" w:rsidRDefault="00367DF8">
            <w:pPr>
              <w:pStyle w:val="a3"/>
              <w:spacing w:line="360" w:lineRule="auto"/>
              <w:jc w:val="right"/>
              <w:rPr>
                <w:rFonts w:cs="FrankRuehl"/>
                <w:b/>
                <w:bCs/>
                <w:noProof w:val="0"/>
                <w:sz w:val="28"/>
                <w:szCs w:val="28"/>
                <w:rtl/>
              </w:rPr>
            </w:pPr>
          </w:p>
        </w:tc>
      </w:tr>
    </w:tbl>
    <w:p w14:paraId="3067CA72" w14:textId="77777777" w:rsidR="00367DF8" w:rsidRPr="000C261A" w:rsidRDefault="000C261A">
      <w:pPr>
        <w:pStyle w:val="a3"/>
        <w:rPr>
          <w:noProof w:val="0"/>
          <w:rtl/>
        </w:rPr>
      </w:pPr>
      <w:r w:rsidRPr="000C261A">
        <w:rPr>
          <w:noProof w:val="0"/>
          <w:rtl/>
        </w:rPr>
        <w:t xml:space="preserve"> </w:t>
      </w:r>
    </w:p>
    <w:p w14:paraId="18CE444B" w14:textId="77777777" w:rsidR="00367DF8" w:rsidRPr="000C261A" w:rsidRDefault="00367DF8">
      <w:pPr>
        <w:rPr>
          <w:rFonts w:cs="FrankRuehl"/>
          <w:sz w:val="28"/>
          <w:szCs w:val="28"/>
          <w:rtl/>
        </w:rPr>
      </w:pPr>
    </w:p>
    <w:tbl>
      <w:tblPr>
        <w:bidiVisual/>
        <w:tblW w:w="8820" w:type="dxa"/>
        <w:jc w:val="center"/>
        <w:tblLook w:val="01E0" w:firstRow="1" w:lastRow="1" w:firstColumn="1" w:lastColumn="1" w:noHBand="0" w:noVBand="0"/>
      </w:tblPr>
      <w:tblGrid>
        <w:gridCol w:w="3249"/>
        <w:gridCol w:w="5571"/>
      </w:tblGrid>
      <w:tr w:rsidR="00367DF8" w:rsidRPr="000C261A" w14:paraId="496440EE" w14:textId="77777777">
        <w:trPr>
          <w:jc w:val="center"/>
        </w:trPr>
        <w:tc>
          <w:tcPr>
            <w:tcW w:w="3249" w:type="dxa"/>
          </w:tcPr>
          <w:p w14:paraId="3C1EB2A9" w14:textId="77777777" w:rsidR="00367DF8" w:rsidRPr="000C261A" w:rsidRDefault="000C261A">
            <w:pPr>
              <w:spacing w:line="360" w:lineRule="auto"/>
              <w:rPr>
                <w:rFonts w:ascii="Arial" w:hAnsi="Arial" w:cs="FrankRuehl"/>
                <w:b/>
                <w:bCs/>
                <w:noProof w:val="0"/>
                <w:sz w:val="28"/>
                <w:szCs w:val="28"/>
              </w:rPr>
            </w:pPr>
            <w:bookmarkStart w:id="1" w:name="_GoBack"/>
            <w:bookmarkStart w:id="2" w:name="FirstAppellant"/>
            <w:bookmarkEnd w:id="1"/>
            <w:r w:rsidRPr="000C261A">
              <w:rPr>
                <w:rFonts w:ascii="Arial" w:hAnsi="Arial" w:cs="FrankRuehl" w:hint="cs"/>
                <w:b/>
                <w:bCs/>
                <w:noProof w:val="0"/>
                <w:sz w:val="28"/>
                <w:szCs w:val="28"/>
                <w:rtl/>
              </w:rPr>
              <w:t>ה</w:t>
            </w:r>
            <w:r w:rsidRPr="000C261A">
              <w:rPr>
                <w:rFonts w:hint="cs"/>
                <w:rtl/>
              </w:rPr>
              <w:t>מאשימה</w:t>
            </w:r>
          </w:p>
        </w:tc>
        <w:tc>
          <w:tcPr>
            <w:tcW w:w="5571" w:type="dxa"/>
          </w:tcPr>
          <w:p w14:paraId="00B8C6D4" w14:textId="77777777" w:rsidR="00367DF8" w:rsidRPr="000C261A" w:rsidRDefault="000C261A">
            <w:pPr>
              <w:spacing w:line="360" w:lineRule="auto"/>
              <w:rPr>
                <w:rtl/>
              </w:rPr>
            </w:pPr>
            <w:r w:rsidRPr="000C261A">
              <w:rPr>
                <w:rFonts w:hint="cs"/>
                <w:rtl/>
              </w:rPr>
              <w:t>מדינת ישראל</w:t>
            </w:r>
          </w:p>
          <w:p w14:paraId="4BB066CA" w14:textId="77777777" w:rsidR="00367DF8" w:rsidRPr="000C261A" w:rsidRDefault="000C261A">
            <w:pPr>
              <w:spacing w:line="360" w:lineRule="auto"/>
              <w:rPr>
                <w:rFonts w:cs="FrankRuehl"/>
                <w:noProof w:val="0"/>
                <w:sz w:val="28"/>
                <w:szCs w:val="28"/>
              </w:rPr>
            </w:pPr>
            <w:r w:rsidRPr="000C261A">
              <w:rPr>
                <w:rFonts w:ascii="Arial" w:hAnsi="Arial" w:cs="FrankRuehl" w:hint="cs"/>
                <w:noProof w:val="0"/>
                <w:sz w:val="28"/>
                <w:szCs w:val="28"/>
                <w:rtl/>
              </w:rPr>
              <w:t>באמצעות פרקליטות מחוז ירושלים</w:t>
            </w:r>
          </w:p>
        </w:tc>
      </w:tr>
      <w:bookmarkEnd w:id="2"/>
      <w:tr w:rsidR="00367DF8" w:rsidRPr="000C261A" w14:paraId="3CC85A4D" w14:textId="77777777">
        <w:trPr>
          <w:jc w:val="center"/>
        </w:trPr>
        <w:tc>
          <w:tcPr>
            <w:tcW w:w="8820" w:type="dxa"/>
            <w:gridSpan w:val="2"/>
          </w:tcPr>
          <w:p w14:paraId="261BBED5" w14:textId="77777777" w:rsidR="00367DF8" w:rsidRPr="000C261A" w:rsidRDefault="00367DF8">
            <w:pPr>
              <w:spacing w:line="360" w:lineRule="auto"/>
              <w:rPr>
                <w:rFonts w:ascii="Arial" w:hAnsi="Arial" w:cs="FrankRuehl"/>
                <w:b/>
                <w:bCs/>
                <w:noProof w:val="0"/>
                <w:sz w:val="28"/>
                <w:szCs w:val="28"/>
                <w:rtl/>
              </w:rPr>
            </w:pPr>
          </w:p>
          <w:p w14:paraId="1174B917" w14:textId="77777777" w:rsidR="00367DF8" w:rsidRPr="000C261A" w:rsidRDefault="000C261A">
            <w:pPr>
              <w:spacing w:line="360" w:lineRule="auto"/>
              <w:jc w:val="center"/>
              <w:rPr>
                <w:rFonts w:ascii="Arial" w:hAnsi="Arial" w:cs="FrankRuehl"/>
                <w:b/>
                <w:bCs/>
                <w:noProof w:val="0"/>
                <w:sz w:val="28"/>
                <w:szCs w:val="28"/>
                <w:rtl/>
              </w:rPr>
            </w:pPr>
            <w:r w:rsidRPr="000C261A">
              <w:rPr>
                <w:rFonts w:ascii="Arial" w:hAnsi="Arial" w:cs="FrankRuehl" w:hint="cs"/>
                <w:b/>
                <w:bCs/>
                <w:noProof w:val="0"/>
                <w:sz w:val="28"/>
                <w:szCs w:val="28"/>
                <w:rtl/>
              </w:rPr>
              <w:t>נגד</w:t>
            </w:r>
          </w:p>
          <w:p w14:paraId="45ED5450" w14:textId="77777777" w:rsidR="00367DF8" w:rsidRPr="000C261A" w:rsidRDefault="00367DF8">
            <w:pPr>
              <w:spacing w:line="360" w:lineRule="auto"/>
              <w:rPr>
                <w:rFonts w:ascii="Arial" w:hAnsi="Arial" w:cs="FrankRuehl"/>
                <w:b/>
                <w:bCs/>
                <w:noProof w:val="0"/>
                <w:sz w:val="28"/>
                <w:szCs w:val="28"/>
              </w:rPr>
            </w:pPr>
          </w:p>
        </w:tc>
      </w:tr>
      <w:tr w:rsidR="00367DF8" w:rsidRPr="000C261A" w14:paraId="60B0137F" w14:textId="77777777">
        <w:trPr>
          <w:jc w:val="center"/>
        </w:trPr>
        <w:tc>
          <w:tcPr>
            <w:tcW w:w="3249" w:type="dxa"/>
          </w:tcPr>
          <w:p w14:paraId="6D3D229F" w14:textId="77777777" w:rsidR="00367DF8" w:rsidRPr="000C261A" w:rsidRDefault="000C261A">
            <w:pPr>
              <w:spacing w:line="360" w:lineRule="auto"/>
              <w:rPr>
                <w:rFonts w:ascii="Arial" w:hAnsi="Arial" w:cs="FrankRuehl"/>
                <w:b/>
                <w:bCs/>
                <w:noProof w:val="0"/>
                <w:sz w:val="28"/>
                <w:szCs w:val="28"/>
              </w:rPr>
            </w:pPr>
            <w:bookmarkStart w:id="3" w:name="FirstLawyer"/>
            <w:r w:rsidRPr="000C261A">
              <w:rPr>
                <w:rFonts w:ascii="Arial" w:hAnsi="Arial" w:cs="FrankRuehl" w:hint="cs"/>
                <w:b/>
                <w:bCs/>
                <w:noProof w:val="0"/>
                <w:sz w:val="28"/>
                <w:szCs w:val="28"/>
                <w:rtl/>
              </w:rPr>
              <w:t>ה</w:t>
            </w:r>
            <w:r w:rsidRPr="000C261A">
              <w:rPr>
                <w:rFonts w:hint="cs"/>
                <w:rtl/>
              </w:rPr>
              <w:t>נאשמים</w:t>
            </w:r>
          </w:p>
        </w:tc>
        <w:tc>
          <w:tcPr>
            <w:tcW w:w="5571" w:type="dxa"/>
          </w:tcPr>
          <w:p w14:paraId="5D66281E" w14:textId="77777777" w:rsidR="00367DF8" w:rsidRPr="000C261A" w:rsidRDefault="000C261A">
            <w:pPr>
              <w:spacing w:line="360" w:lineRule="auto"/>
              <w:rPr>
                <w:rtl/>
              </w:rPr>
            </w:pPr>
            <w:r w:rsidRPr="000C261A">
              <w:rPr>
                <w:rFonts w:hint="cs"/>
                <w:rtl/>
              </w:rPr>
              <w:t>1</w:t>
            </w:r>
            <w:r w:rsidRPr="000C261A">
              <w:rPr>
                <w:rFonts w:ascii="Arial" w:hAnsi="Arial" w:cs="FrankRuehl" w:hint="cs"/>
                <w:b/>
                <w:bCs/>
                <w:noProof w:val="0"/>
                <w:sz w:val="28"/>
                <w:szCs w:val="28"/>
                <w:rtl/>
              </w:rPr>
              <w:t>.</w:t>
            </w:r>
            <w:r w:rsidRPr="000C261A">
              <w:rPr>
                <w:rFonts w:hint="cs"/>
                <w:rtl/>
              </w:rPr>
              <w:t xml:space="preserve"> מחמד אבו סנינה</w:t>
            </w:r>
          </w:p>
          <w:p w14:paraId="331DF891" w14:textId="77777777" w:rsidR="00367DF8" w:rsidRPr="000C261A" w:rsidRDefault="000C261A">
            <w:pPr>
              <w:spacing w:line="360" w:lineRule="auto"/>
              <w:rPr>
                <w:rFonts w:ascii="Arial" w:hAnsi="Arial" w:cs="FrankRuehl"/>
                <w:noProof w:val="0"/>
                <w:sz w:val="28"/>
                <w:szCs w:val="28"/>
              </w:rPr>
            </w:pPr>
            <w:r w:rsidRPr="000C261A">
              <w:rPr>
                <w:rFonts w:ascii="Arial" w:hAnsi="Arial" w:cs="FrankRuehl" w:hint="cs"/>
                <w:noProof w:val="0"/>
                <w:sz w:val="28"/>
                <w:szCs w:val="28"/>
                <w:rtl/>
              </w:rPr>
              <w:t>ע"י ב"כ עו"ד נאיל זחאלקה</w:t>
            </w:r>
          </w:p>
          <w:p w14:paraId="1FD59B35" w14:textId="77777777" w:rsidR="00367DF8" w:rsidRPr="000C261A" w:rsidRDefault="000C261A">
            <w:pPr>
              <w:spacing w:line="360" w:lineRule="auto"/>
              <w:rPr>
                <w:rFonts w:cs="FrankRuehl"/>
                <w:b/>
                <w:bCs/>
                <w:noProof w:val="0"/>
                <w:sz w:val="28"/>
                <w:szCs w:val="28"/>
              </w:rPr>
            </w:pPr>
            <w:r w:rsidRPr="000C261A">
              <w:rPr>
                <w:rFonts w:hint="cs"/>
                <w:rtl/>
              </w:rPr>
              <w:t>2</w:t>
            </w:r>
            <w:r w:rsidRPr="000C261A">
              <w:rPr>
                <w:rFonts w:ascii="Arial" w:hAnsi="Arial" w:cs="FrankRuehl" w:hint="cs"/>
                <w:b/>
                <w:bCs/>
                <w:noProof w:val="0"/>
                <w:sz w:val="28"/>
                <w:szCs w:val="28"/>
                <w:rtl/>
              </w:rPr>
              <w:t>.</w:t>
            </w:r>
            <w:r w:rsidRPr="000C261A">
              <w:rPr>
                <w:rFonts w:hint="cs"/>
                <w:rtl/>
              </w:rPr>
              <w:t xml:space="preserve"> </w:t>
            </w:r>
            <w:r w:rsidRPr="000C261A">
              <w:rPr>
                <w:rFonts w:ascii="Arial" w:hAnsi="Arial" w:cs="FrankRuehl" w:hint="cs"/>
                <w:b/>
                <w:bCs/>
                <w:noProof w:val="0"/>
                <w:sz w:val="28"/>
                <w:szCs w:val="28"/>
                <w:rtl/>
              </w:rPr>
              <w:t xml:space="preserve">עמאד נאצר אלדין </w:t>
            </w:r>
            <w:r w:rsidRPr="000C261A">
              <w:rPr>
                <w:rFonts w:ascii="Arial" w:hAnsi="Arial" w:cs="FrankRuehl"/>
                <w:b/>
                <w:bCs/>
                <w:noProof w:val="0"/>
                <w:sz w:val="28"/>
                <w:szCs w:val="28"/>
                <w:rtl/>
              </w:rPr>
              <w:t>–</w:t>
            </w:r>
            <w:r w:rsidRPr="000C261A">
              <w:rPr>
                <w:rFonts w:ascii="Arial" w:hAnsi="Arial" w:cs="FrankRuehl" w:hint="cs"/>
                <w:b/>
                <w:bCs/>
                <w:noProof w:val="0"/>
                <w:sz w:val="28"/>
                <w:szCs w:val="28"/>
                <w:rtl/>
              </w:rPr>
              <w:t xml:space="preserve"> משפטו הופרד והסתיים</w:t>
            </w:r>
          </w:p>
        </w:tc>
      </w:tr>
      <w:bookmarkEnd w:id="3"/>
    </w:tbl>
    <w:p w14:paraId="5DE8E7C5" w14:textId="77777777" w:rsidR="00367DF8" w:rsidRPr="000C261A" w:rsidRDefault="00367DF8">
      <w:pPr>
        <w:rPr>
          <w:rFonts w:cs="FrankRuehl"/>
          <w:sz w:val="28"/>
          <w:szCs w:val="28"/>
        </w:rPr>
      </w:pPr>
    </w:p>
    <w:p w14:paraId="4B105B57" w14:textId="77777777" w:rsidR="004A3260" w:rsidRPr="004A3260" w:rsidRDefault="004A3260" w:rsidP="004A3260">
      <w:pPr>
        <w:spacing w:after="120" w:line="240" w:lineRule="exact"/>
        <w:ind w:left="283" w:hanging="283"/>
        <w:jc w:val="both"/>
        <w:rPr>
          <w:rFonts w:ascii="FrankRuehl" w:hAnsi="FrankRuehl" w:cs="FrankRuehl"/>
          <w:rtl/>
        </w:rPr>
      </w:pPr>
      <w:r w:rsidRPr="004A3260">
        <w:rPr>
          <w:rFonts w:ascii="FrankRuehl" w:hAnsi="FrankRuehl" w:cs="FrankRuehl" w:hint="eastAsia"/>
          <w:rtl/>
        </w:rPr>
        <w:t>חקיקה</w:t>
      </w:r>
      <w:r w:rsidRPr="004A3260">
        <w:rPr>
          <w:rFonts w:ascii="FrankRuehl" w:hAnsi="FrankRuehl" w:cs="FrankRuehl"/>
          <w:rtl/>
        </w:rPr>
        <w:t xml:space="preserve"> </w:t>
      </w:r>
      <w:r w:rsidRPr="004A3260">
        <w:rPr>
          <w:rFonts w:ascii="FrankRuehl" w:hAnsi="FrankRuehl" w:cs="FrankRuehl" w:hint="eastAsia"/>
          <w:rtl/>
        </w:rPr>
        <w:t>שאוזכרה</w:t>
      </w:r>
      <w:r w:rsidRPr="004A3260">
        <w:rPr>
          <w:rFonts w:ascii="FrankRuehl" w:hAnsi="FrankRuehl" w:cs="FrankRuehl"/>
          <w:rtl/>
        </w:rPr>
        <w:t xml:space="preserve">: </w:t>
      </w:r>
    </w:p>
    <w:p w14:paraId="4D8CEC3A" w14:textId="77777777" w:rsidR="004A3260" w:rsidRPr="004A3260" w:rsidRDefault="004A3260" w:rsidP="004A3260">
      <w:pPr>
        <w:spacing w:after="120" w:line="240" w:lineRule="exact"/>
        <w:ind w:left="283" w:hanging="283"/>
        <w:jc w:val="both"/>
        <w:rPr>
          <w:rFonts w:ascii="FrankRuehl" w:hAnsi="FrankRuehl" w:cs="FrankRuehl"/>
          <w:rtl/>
        </w:rPr>
      </w:pPr>
      <w:hyperlink r:id="rId6" w:history="1">
        <w:r w:rsidRPr="004A3260">
          <w:rPr>
            <w:rFonts w:ascii="FrankRuehl" w:hAnsi="FrankRuehl" w:cs="FrankRuehl" w:hint="eastAsia"/>
            <w:color w:val="0000FF"/>
            <w:u w:val="single"/>
            <w:rtl/>
          </w:rPr>
          <w:t>חוק</w:t>
        </w:r>
        <w:r w:rsidRPr="004A3260">
          <w:rPr>
            <w:rFonts w:ascii="FrankRuehl" w:hAnsi="FrankRuehl" w:cs="FrankRuehl"/>
            <w:color w:val="0000FF"/>
            <w:u w:val="single"/>
            <w:rtl/>
          </w:rPr>
          <w:t xml:space="preserve"> </w:t>
        </w:r>
        <w:r w:rsidRPr="004A3260">
          <w:rPr>
            <w:rFonts w:ascii="FrankRuehl" w:hAnsi="FrankRuehl" w:cs="FrankRuehl" w:hint="eastAsia"/>
            <w:color w:val="0000FF"/>
            <w:u w:val="single"/>
            <w:rtl/>
          </w:rPr>
          <w:t>העונשין</w:t>
        </w:r>
        <w:r w:rsidRPr="004A3260">
          <w:rPr>
            <w:rFonts w:ascii="FrankRuehl" w:hAnsi="FrankRuehl" w:cs="FrankRuehl"/>
            <w:color w:val="0000FF"/>
            <w:u w:val="single"/>
            <w:rtl/>
          </w:rPr>
          <w:t xml:space="preserve">, </w:t>
        </w:r>
        <w:r w:rsidRPr="004A3260">
          <w:rPr>
            <w:rFonts w:ascii="FrankRuehl" w:hAnsi="FrankRuehl" w:cs="FrankRuehl" w:hint="eastAsia"/>
            <w:color w:val="0000FF"/>
            <w:u w:val="single"/>
            <w:rtl/>
          </w:rPr>
          <w:t>תשל</w:t>
        </w:r>
        <w:r w:rsidRPr="004A3260">
          <w:rPr>
            <w:rFonts w:ascii="FrankRuehl" w:hAnsi="FrankRuehl" w:cs="FrankRuehl"/>
            <w:color w:val="0000FF"/>
            <w:u w:val="single"/>
            <w:rtl/>
          </w:rPr>
          <w:t>"</w:t>
        </w:r>
        <w:r w:rsidRPr="004A3260">
          <w:rPr>
            <w:rFonts w:ascii="FrankRuehl" w:hAnsi="FrankRuehl" w:cs="FrankRuehl" w:hint="eastAsia"/>
            <w:color w:val="0000FF"/>
            <w:u w:val="single"/>
            <w:rtl/>
          </w:rPr>
          <w:t>ז</w:t>
        </w:r>
        <w:r w:rsidRPr="004A3260">
          <w:rPr>
            <w:rFonts w:ascii="FrankRuehl" w:hAnsi="FrankRuehl" w:cs="FrankRuehl"/>
            <w:color w:val="0000FF"/>
            <w:u w:val="single"/>
            <w:rtl/>
          </w:rPr>
          <w:t>-1977</w:t>
        </w:r>
      </w:hyperlink>
      <w:r w:rsidRPr="004A3260">
        <w:rPr>
          <w:rFonts w:ascii="FrankRuehl" w:hAnsi="FrankRuehl" w:cs="FrankRuehl"/>
          <w:rtl/>
        </w:rPr>
        <w:t xml:space="preserve">: </w:t>
      </w:r>
      <w:r w:rsidRPr="004A3260">
        <w:rPr>
          <w:rFonts w:ascii="FrankRuehl" w:hAnsi="FrankRuehl" w:cs="FrankRuehl" w:hint="eastAsia"/>
          <w:rtl/>
        </w:rPr>
        <w:t>סע</w:t>
      </w:r>
      <w:r w:rsidRPr="004A3260">
        <w:rPr>
          <w:rFonts w:ascii="FrankRuehl" w:hAnsi="FrankRuehl" w:cs="FrankRuehl"/>
          <w:rtl/>
        </w:rPr>
        <w:t xml:space="preserve">'  </w:t>
      </w:r>
      <w:hyperlink r:id="rId7" w:history="1">
        <w:r w:rsidRPr="004A3260">
          <w:rPr>
            <w:rFonts w:ascii="FrankRuehl" w:hAnsi="FrankRuehl" w:cs="FrankRuehl"/>
            <w:color w:val="0000FF"/>
            <w:u w:val="single"/>
            <w:rtl/>
          </w:rPr>
          <w:t>144(</w:t>
        </w:r>
        <w:r w:rsidRPr="004A3260">
          <w:rPr>
            <w:rFonts w:ascii="FrankRuehl" w:hAnsi="FrankRuehl" w:cs="FrankRuehl" w:hint="eastAsia"/>
            <w:color w:val="0000FF"/>
            <w:u w:val="single"/>
            <w:rtl/>
          </w:rPr>
          <w:t>א</w:t>
        </w:r>
        <w:r w:rsidRPr="004A3260">
          <w:rPr>
            <w:rFonts w:ascii="FrankRuehl" w:hAnsi="FrankRuehl" w:cs="FrankRuehl"/>
            <w:color w:val="0000FF"/>
            <w:u w:val="single"/>
            <w:rtl/>
          </w:rPr>
          <w:t>)</w:t>
        </w:r>
      </w:hyperlink>
      <w:r w:rsidRPr="004A3260">
        <w:rPr>
          <w:rFonts w:ascii="FrankRuehl" w:hAnsi="FrankRuehl" w:cs="FrankRuehl"/>
          <w:rtl/>
        </w:rPr>
        <w:t xml:space="preserve">, </w:t>
      </w:r>
      <w:hyperlink r:id="rId8" w:history="1">
        <w:r w:rsidRPr="004A3260">
          <w:rPr>
            <w:rFonts w:ascii="FrankRuehl" w:hAnsi="FrankRuehl" w:cs="FrankRuehl"/>
            <w:color w:val="0000FF"/>
            <w:u w:val="single"/>
            <w:rtl/>
          </w:rPr>
          <w:t>144(</w:t>
        </w:r>
        <w:r w:rsidRPr="004A3260">
          <w:rPr>
            <w:rFonts w:ascii="FrankRuehl" w:hAnsi="FrankRuehl" w:cs="FrankRuehl" w:hint="eastAsia"/>
            <w:color w:val="0000FF"/>
            <w:u w:val="single"/>
            <w:rtl/>
          </w:rPr>
          <w:t>ב</w:t>
        </w:r>
        <w:r w:rsidRPr="004A3260">
          <w:rPr>
            <w:rFonts w:ascii="FrankRuehl" w:hAnsi="FrankRuehl" w:cs="FrankRuehl"/>
            <w:color w:val="0000FF"/>
            <w:u w:val="single"/>
            <w:rtl/>
          </w:rPr>
          <w:t>)</w:t>
        </w:r>
      </w:hyperlink>
    </w:p>
    <w:p w14:paraId="324F3BD2" w14:textId="77777777" w:rsidR="00367DF8" w:rsidRPr="000C261A" w:rsidRDefault="00367DF8">
      <w:pPr>
        <w:rPr>
          <w:rFonts w:cs="FrankRuehl"/>
          <w:sz w:val="28"/>
          <w:szCs w:val="28"/>
        </w:rPr>
      </w:pPr>
    </w:p>
    <w:p w14:paraId="24B6BD75" w14:textId="77777777" w:rsidR="00367DF8" w:rsidRPr="000C261A" w:rsidRDefault="00367DF8">
      <w:pPr>
        <w:pStyle w:val="Arial"/>
        <w:spacing w:line="360" w:lineRule="auto"/>
        <w:rPr>
          <w:sz w:val="28"/>
          <w:rtl/>
        </w:rPr>
      </w:pPr>
    </w:p>
    <w:tbl>
      <w:tblPr>
        <w:bidiVisual/>
        <w:tblW w:w="8820" w:type="dxa"/>
        <w:jc w:val="center"/>
        <w:tblLook w:val="01E0" w:firstRow="1" w:lastRow="1" w:firstColumn="1" w:lastColumn="1" w:noHBand="0" w:noVBand="0"/>
      </w:tblPr>
      <w:tblGrid>
        <w:gridCol w:w="8820"/>
      </w:tblGrid>
      <w:tr w:rsidR="00367DF8" w:rsidRPr="000C261A" w14:paraId="370C4824" w14:textId="77777777">
        <w:trPr>
          <w:jc w:val="center"/>
        </w:trPr>
        <w:tc>
          <w:tcPr>
            <w:tcW w:w="8820" w:type="dxa"/>
          </w:tcPr>
          <w:p w14:paraId="118F0700" w14:textId="77777777" w:rsidR="00367DF8" w:rsidRPr="000C261A" w:rsidRDefault="000C261A">
            <w:pPr>
              <w:jc w:val="center"/>
              <w:rPr>
                <w:rFonts w:ascii="Arial" w:hAnsi="Arial" w:cs="FrankRuehl"/>
                <w:b/>
                <w:bCs/>
                <w:noProof w:val="0"/>
                <w:sz w:val="28"/>
                <w:szCs w:val="28"/>
                <w:rtl/>
              </w:rPr>
            </w:pPr>
            <w:bookmarkStart w:id="4" w:name="PsakDin"/>
            <w:r w:rsidRPr="000C261A">
              <w:rPr>
                <w:rFonts w:ascii="Arial" w:hAnsi="Arial" w:cs="FrankRuehl" w:hint="cs"/>
                <w:b/>
                <w:bCs/>
                <w:noProof w:val="0"/>
                <w:sz w:val="28"/>
                <w:szCs w:val="28"/>
                <w:rtl/>
              </w:rPr>
              <w:t xml:space="preserve">גזר-דין </w:t>
            </w:r>
            <w:r w:rsidRPr="000C261A">
              <w:rPr>
                <w:rFonts w:ascii="Arial" w:hAnsi="Arial" w:cs="FrankRuehl"/>
                <w:b/>
                <w:bCs/>
                <w:noProof w:val="0"/>
                <w:sz w:val="28"/>
                <w:szCs w:val="28"/>
                <w:rtl/>
              </w:rPr>
              <w:t>–</w:t>
            </w:r>
            <w:r w:rsidRPr="000C261A">
              <w:rPr>
                <w:rFonts w:ascii="Arial" w:hAnsi="Arial" w:cs="FrankRuehl" w:hint="cs"/>
                <w:b/>
                <w:bCs/>
                <w:noProof w:val="0"/>
                <w:sz w:val="28"/>
                <w:szCs w:val="28"/>
                <w:rtl/>
              </w:rPr>
              <w:t xml:space="preserve"> </w:t>
            </w:r>
            <w:bookmarkEnd w:id="4"/>
            <w:r w:rsidRPr="000C261A">
              <w:rPr>
                <w:rFonts w:ascii="Arial" w:hAnsi="Arial" w:cs="FrankRuehl" w:hint="cs"/>
                <w:b/>
                <w:bCs/>
                <w:noProof w:val="0"/>
                <w:sz w:val="28"/>
                <w:szCs w:val="28"/>
                <w:rtl/>
              </w:rPr>
              <w:t>בעניינו של נאשם 1</w:t>
            </w:r>
          </w:p>
        </w:tc>
      </w:tr>
    </w:tbl>
    <w:p w14:paraId="6D386F4F" w14:textId="77777777" w:rsidR="00367DF8" w:rsidRPr="000C261A" w:rsidRDefault="00367DF8">
      <w:pPr>
        <w:pStyle w:val="Arial"/>
        <w:spacing w:line="360" w:lineRule="auto"/>
        <w:rPr>
          <w:sz w:val="28"/>
          <w:rtl/>
        </w:rPr>
      </w:pPr>
    </w:p>
    <w:p w14:paraId="2913088F" w14:textId="77777777" w:rsidR="00367DF8" w:rsidRPr="000C261A" w:rsidRDefault="00367DF8">
      <w:pPr>
        <w:spacing w:line="480" w:lineRule="auto"/>
        <w:jc w:val="both"/>
        <w:rPr>
          <w:rFonts w:cs="FrankRuehl"/>
          <w:sz w:val="28"/>
          <w:szCs w:val="28"/>
          <w:rtl/>
        </w:rPr>
      </w:pPr>
    </w:p>
    <w:p w14:paraId="5A3C2E4A" w14:textId="77777777" w:rsidR="00367DF8" w:rsidRPr="000C261A" w:rsidRDefault="000C261A">
      <w:pPr>
        <w:spacing w:line="480" w:lineRule="auto"/>
        <w:jc w:val="both"/>
        <w:rPr>
          <w:rFonts w:cs="FrankRuehl"/>
          <w:sz w:val="28"/>
          <w:szCs w:val="28"/>
          <w:rtl/>
        </w:rPr>
      </w:pPr>
      <w:r w:rsidRPr="000C261A">
        <w:rPr>
          <w:rFonts w:cs="FrankRuehl"/>
          <w:sz w:val="28"/>
          <w:szCs w:val="28"/>
          <w:rtl/>
        </w:rPr>
        <w:t>1.</w:t>
      </w:r>
      <w:r w:rsidRPr="000C261A">
        <w:rPr>
          <w:rFonts w:cs="FrankRuehl"/>
          <w:sz w:val="28"/>
          <w:szCs w:val="28"/>
          <w:rtl/>
        </w:rPr>
        <w:tab/>
      </w:r>
      <w:bookmarkStart w:id="5" w:name="ABSTRACT_START"/>
      <w:bookmarkEnd w:id="5"/>
      <w:r w:rsidRPr="000C261A">
        <w:rPr>
          <w:rFonts w:cs="FrankRuehl"/>
          <w:sz w:val="28"/>
          <w:szCs w:val="28"/>
          <w:rtl/>
        </w:rPr>
        <w:t xml:space="preserve">נאשם 1 (להלן – גם </w:t>
      </w:r>
      <w:r w:rsidRPr="000C261A">
        <w:rPr>
          <w:rFonts w:cs="Miriam"/>
          <w:rtl/>
        </w:rPr>
        <w:t>הנאשם</w:t>
      </w:r>
      <w:r w:rsidRPr="000C261A">
        <w:rPr>
          <w:rFonts w:cs="FrankRuehl"/>
          <w:sz w:val="28"/>
          <w:szCs w:val="28"/>
          <w:rtl/>
        </w:rPr>
        <w:t xml:space="preserve">) הורשע, על-פי הודאתו, בעבירה של החזקת נשק – לפי </w:t>
      </w:r>
      <w:hyperlink r:id="rId9" w:history="1">
        <w:r w:rsidR="004A3260" w:rsidRPr="004A3260">
          <w:rPr>
            <w:rFonts w:cs="FrankRuehl"/>
            <w:color w:val="0000FF"/>
            <w:sz w:val="28"/>
            <w:szCs w:val="28"/>
            <w:u w:val="single"/>
            <w:rtl/>
          </w:rPr>
          <w:t>סעיף 144(א)</w:t>
        </w:r>
      </w:hyperlink>
      <w:r w:rsidRPr="000C261A">
        <w:rPr>
          <w:rFonts w:cs="FrankRuehl"/>
          <w:sz w:val="28"/>
          <w:szCs w:val="28"/>
          <w:rtl/>
        </w:rPr>
        <w:t xml:space="preserve"> רישא </w:t>
      </w:r>
      <w:hyperlink r:id="rId10" w:history="1">
        <w:r w:rsidR="004A3260" w:rsidRPr="004A3260">
          <w:rPr>
            <w:rFonts w:cs="FrankRuehl"/>
            <w:color w:val="0000FF"/>
            <w:sz w:val="28"/>
            <w:szCs w:val="28"/>
            <w:u w:val="single"/>
            <w:rtl/>
          </w:rPr>
          <w:t>וסעיף 144(א)</w:t>
        </w:r>
      </w:hyperlink>
      <w:r w:rsidRPr="000C261A">
        <w:rPr>
          <w:rFonts w:cs="FrankRuehl"/>
          <w:sz w:val="28"/>
          <w:szCs w:val="28"/>
          <w:rtl/>
        </w:rPr>
        <w:t xml:space="preserve"> סיפא ל</w:t>
      </w:r>
      <w:hyperlink r:id="rId11" w:history="1">
        <w:r w:rsidRPr="000C261A">
          <w:rPr>
            <w:rFonts w:cs="FrankRuehl"/>
            <w:color w:val="0000FF"/>
            <w:sz w:val="28"/>
            <w:szCs w:val="28"/>
            <w:u w:val="single"/>
            <w:rtl/>
          </w:rPr>
          <w:t>חוק העונשין</w:t>
        </w:r>
      </w:hyperlink>
      <w:r w:rsidRPr="000C261A">
        <w:rPr>
          <w:rFonts w:cs="FrankRuehl"/>
          <w:sz w:val="28"/>
          <w:szCs w:val="28"/>
          <w:rtl/>
        </w:rPr>
        <w:t xml:space="preserve">, התשל"ז-1977 (להלן – </w:t>
      </w:r>
      <w:r w:rsidRPr="000C261A">
        <w:rPr>
          <w:rFonts w:cs="Miriam"/>
          <w:rtl/>
        </w:rPr>
        <w:t>החוק</w:t>
      </w:r>
      <w:r w:rsidRPr="000C261A">
        <w:rPr>
          <w:rFonts w:cs="FrankRuehl"/>
          <w:sz w:val="28"/>
          <w:szCs w:val="28"/>
          <w:rtl/>
        </w:rPr>
        <w:t xml:space="preserve">). הודאתו של הנאשם ניתנה בגדרו של הסדר טיעון, לפיו הוגש נגדו כתב-אישום מתוקן, </w:t>
      </w:r>
      <w:r w:rsidRPr="000C261A">
        <w:rPr>
          <w:rFonts w:cs="FrankRuehl" w:hint="cs"/>
          <w:sz w:val="28"/>
          <w:szCs w:val="28"/>
          <w:rtl/>
        </w:rPr>
        <w:t>ובו</w:t>
      </w:r>
      <w:r w:rsidRPr="000C261A">
        <w:rPr>
          <w:rFonts w:cs="FrankRuehl"/>
          <w:sz w:val="28"/>
          <w:szCs w:val="28"/>
          <w:rtl/>
        </w:rPr>
        <w:t xml:space="preserve"> הומרו העבירות שיוחסו לו בכתב-האישום המקורי – של נשיאת והובלת נשק ותחמושת לפי </w:t>
      </w:r>
      <w:hyperlink r:id="rId12" w:history="1">
        <w:r w:rsidR="004A3260" w:rsidRPr="004A3260">
          <w:rPr>
            <w:rFonts w:cs="FrankRuehl"/>
            <w:color w:val="0000FF"/>
            <w:sz w:val="28"/>
            <w:szCs w:val="28"/>
            <w:u w:val="single"/>
            <w:rtl/>
          </w:rPr>
          <w:t>סעיף 144(ב)</w:t>
        </w:r>
      </w:hyperlink>
      <w:r w:rsidRPr="000C261A">
        <w:rPr>
          <w:rFonts w:cs="FrankRuehl"/>
          <w:sz w:val="28"/>
          <w:szCs w:val="28"/>
          <w:rtl/>
        </w:rPr>
        <w:t xml:space="preserve"> רישא וסיפא לחוק, בעבירות של החזקת נשק ותחמושת, כאמור לעיל. במסגרת הסדר הטיעון הוסכם, כי בתיאור האירועים שבגינם הורשע הנאשם, לא יחרגו הצדדים מעובדות כתב-האישום המתוקן, לא יסתרו אותן ולא יוסיפו עליהן. הסדר הטיעון לא חל על העונש.</w:t>
      </w:r>
    </w:p>
    <w:p w14:paraId="51C8ACA4" w14:textId="77777777" w:rsidR="00367DF8" w:rsidRPr="000C261A" w:rsidRDefault="000C261A">
      <w:pPr>
        <w:spacing w:line="480" w:lineRule="auto"/>
        <w:jc w:val="both"/>
        <w:rPr>
          <w:rFonts w:cs="FrankRuehl"/>
          <w:sz w:val="28"/>
          <w:szCs w:val="28"/>
          <w:rtl/>
        </w:rPr>
      </w:pPr>
      <w:bookmarkStart w:id="6" w:name="ABSTRACT_END"/>
      <w:bookmarkEnd w:id="6"/>
      <w:r w:rsidRPr="000C261A">
        <w:rPr>
          <w:rFonts w:cs="FrankRuehl"/>
          <w:sz w:val="28"/>
          <w:szCs w:val="28"/>
          <w:rtl/>
        </w:rPr>
        <w:tab/>
      </w:r>
    </w:p>
    <w:p w14:paraId="1A93EEAA" w14:textId="77777777" w:rsidR="00367DF8" w:rsidRPr="000C261A" w:rsidRDefault="000C261A">
      <w:pPr>
        <w:spacing w:line="480" w:lineRule="auto"/>
        <w:jc w:val="both"/>
        <w:rPr>
          <w:rFonts w:cs="FrankRuehl"/>
          <w:sz w:val="28"/>
          <w:szCs w:val="28"/>
          <w:rtl/>
        </w:rPr>
      </w:pPr>
      <w:r w:rsidRPr="000C261A">
        <w:rPr>
          <w:rFonts w:cs="FrankRuehl"/>
          <w:sz w:val="28"/>
          <w:szCs w:val="28"/>
          <w:rtl/>
        </w:rPr>
        <w:lastRenderedPageBreak/>
        <w:t>2.</w:t>
      </w:r>
      <w:r w:rsidRPr="000C261A">
        <w:rPr>
          <w:rFonts w:cs="FrankRuehl"/>
          <w:sz w:val="28"/>
          <w:szCs w:val="28"/>
          <w:rtl/>
        </w:rPr>
        <w:tab/>
        <w:t>להלן עובדות כתב-האישום המתוקן, העומדות ביסוד הודאתו והרשעתו של נאשם 1. במועד שאינו ידוע במדויק למאשימה, נטל נאשם 1 אקדח ובו מחסנית עם 16 כדורי 9 מ"מ, ובנוסף – מחסנית עם 15 כדורים. מדובר באקדח שנגנב מבעליו עוד בשנת 2004. ביום 31.1.13 בשעות הערב, נהג הנאשם ברכבו לבית בשכונת א-זעים במזרח ירושלים, המשמש כבית הימורים ("קזינו"), כשהוא נושא ברכב את האקדח והמחסניות. לצדו ישב אותה עת נאשם 2. בהימצאם ברכב, בסמוך לבית ההימורים, נטל נאשם 2 מידיו של הנאשם את האקדח ומחסנית והחזיק בהם; ומשהתקדם עובר אורח לרכב הסתיר את האקדח ליד מושב הרכב.</w:t>
      </w:r>
    </w:p>
    <w:p w14:paraId="3837B67E" w14:textId="77777777" w:rsidR="00367DF8" w:rsidRPr="000C261A" w:rsidRDefault="00367DF8">
      <w:pPr>
        <w:spacing w:line="480" w:lineRule="auto"/>
        <w:jc w:val="both"/>
        <w:rPr>
          <w:rFonts w:cs="FrankRuehl"/>
          <w:sz w:val="28"/>
          <w:szCs w:val="28"/>
          <w:rtl/>
        </w:rPr>
      </w:pPr>
    </w:p>
    <w:p w14:paraId="4C60C53B" w14:textId="77777777" w:rsidR="00367DF8" w:rsidRPr="000C261A" w:rsidRDefault="000C261A">
      <w:pPr>
        <w:spacing w:line="480" w:lineRule="auto"/>
        <w:jc w:val="both"/>
        <w:rPr>
          <w:rFonts w:cs="FrankRuehl"/>
          <w:sz w:val="28"/>
          <w:szCs w:val="28"/>
          <w:rtl/>
        </w:rPr>
      </w:pPr>
      <w:r w:rsidRPr="000C261A">
        <w:rPr>
          <w:rFonts w:cs="FrankRuehl"/>
          <w:sz w:val="28"/>
          <w:szCs w:val="28"/>
          <w:rtl/>
        </w:rPr>
        <w:t>3.</w:t>
      </w:r>
      <w:r w:rsidRPr="000C261A">
        <w:rPr>
          <w:rFonts w:cs="FrankRuehl"/>
          <w:sz w:val="28"/>
          <w:szCs w:val="28"/>
          <w:rtl/>
        </w:rPr>
        <w:tab/>
        <w:t xml:space="preserve">יצוין, כי משפטו של נאשם 2 הופרד לאחר </w:t>
      </w:r>
      <w:r w:rsidRPr="000C261A">
        <w:rPr>
          <w:rFonts w:cs="FrankRuehl" w:hint="cs"/>
          <w:sz w:val="28"/>
          <w:szCs w:val="28"/>
          <w:rtl/>
        </w:rPr>
        <w:t xml:space="preserve">קבלת </w:t>
      </w:r>
      <w:r w:rsidRPr="000C261A">
        <w:rPr>
          <w:rFonts w:cs="FrankRuehl"/>
          <w:sz w:val="28"/>
          <w:szCs w:val="28"/>
          <w:rtl/>
        </w:rPr>
        <w:t xml:space="preserve">הסדר הטיעון בעניינו של נאשם 1, וכי נאשם 2 זוכה בדין לאחר שמיעת ראיות לפני </w:t>
      </w:r>
      <w:r w:rsidRPr="000C261A">
        <w:rPr>
          <w:rFonts w:cs="FrankRuehl" w:hint="cs"/>
          <w:sz w:val="28"/>
          <w:szCs w:val="28"/>
          <w:rtl/>
        </w:rPr>
        <w:t>מותב</w:t>
      </w:r>
      <w:r w:rsidRPr="000C261A">
        <w:rPr>
          <w:rFonts w:cs="FrankRuehl"/>
          <w:sz w:val="28"/>
          <w:szCs w:val="28"/>
          <w:rtl/>
        </w:rPr>
        <w:t xml:space="preserve"> אחר (</w:t>
      </w:r>
      <w:r w:rsidRPr="000C261A">
        <w:rPr>
          <w:rFonts w:cs="Miriam"/>
          <w:rtl/>
        </w:rPr>
        <w:t>כב' השופטת ש' רנר</w:t>
      </w:r>
      <w:r w:rsidRPr="000C261A">
        <w:rPr>
          <w:rFonts w:cs="FrankRuehl"/>
          <w:sz w:val="28"/>
          <w:szCs w:val="28"/>
          <w:rtl/>
        </w:rPr>
        <w:t xml:space="preserve">). בהכרעת-הדין המזכה נקבע, כי כאשר נתחוור לנאשם 2 שנאשם 1 מחזיק אקדח ברכב, </w:t>
      </w:r>
      <w:r w:rsidRPr="000C261A">
        <w:rPr>
          <w:rFonts w:cs="FrankRuehl" w:hint="cs"/>
          <w:sz w:val="28"/>
          <w:szCs w:val="28"/>
          <w:rtl/>
        </w:rPr>
        <w:t xml:space="preserve">הוא </w:t>
      </w:r>
      <w:r w:rsidRPr="000C261A">
        <w:rPr>
          <w:rFonts w:cs="FrankRuehl"/>
          <w:sz w:val="28"/>
          <w:szCs w:val="28"/>
          <w:rtl/>
        </w:rPr>
        <w:t xml:space="preserve">התכוון להסגיר את הנשק למשטרה, אך לא הספיק לעשות </w:t>
      </w:r>
      <w:r w:rsidRPr="000C261A">
        <w:rPr>
          <w:rFonts w:cs="FrankRuehl" w:hint="cs"/>
          <w:sz w:val="28"/>
          <w:szCs w:val="28"/>
          <w:rtl/>
        </w:rPr>
        <w:t xml:space="preserve">זאת </w:t>
      </w:r>
      <w:r w:rsidRPr="000C261A">
        <w:rPr>
          <w:rFonts w:cs="FrankRuehl"/>
          <w:sz w:val="28"/>
          <w:szCs w:val="28"/>
          <w:rtl/>
        </w:rPr>
        <w:t>נוכח מעצרם של הנאשמים בתכוף לאחר מכן בזירה.</w:t>
      </w:r>
    </w:p>
    <w:p w14:paraId="377B50E2" w14:textId="77777777" w:rsidR="00367DF8" w:rsidRPr="000C261A" w:rsidRDefault="00367DF8">
      <w:pPr>
        <w:spacing w:line="480" w:lineRule="auto"/>
        <w:jc w:val="both"/>
        <w:rPr>
          <w:rFonts w:cs="FrankRuehl"/>
          <w:sz w:val="28"/>
          <w:szCs w:val="28"/>
          <w:rtl/>
        </w:rPr>
      </w:pPr>
    </w:p>
    <w:p w14:paraId="10DACFE3" w14:textId="77777777" w:rsidR="00367DF8" w:rsidRPr="000C261A" w:rsidRDefault="000C261A">
      <w:pPr>
        <w:spacing w:line="480" w:lineRule="auto"/>
        <w:jc w:val="both"/>
        <w:rPr>
          <w:rFonts w:cs="FrankRuehl"/>
          <w:sz w:val="28"/>
          <w:szCs w:val="28"/>
          <w:rtl/>
        </w:rPr>
      </w:pPr>
      <w:r w:rsidRPr="000C261A">
        <w:rPr>
          <w:rFonts w:cs="FrankRuehl"/>
          <w:sz w:val="28"/>
          <w:szCs w:val="28"/>
          <w:rtl/>
        </w:rPr>
        <w:t>4.</w:t>
      </w:r>
      <w:r w:rsidRPr="000C261A">
        <w:rPr>
          <w:rFonts w:cs="FrankRuehl"/>
          <w:sz w:val="28"/>
          <w:szCs w:val="28"/>
          <w:rtl/>
        </w:rPr>
        <w:tab/>
        <w:t xml:space="preserve">הנאשם הִנו בן 35, נשוי ואב לארבעה. מתסקיר שירות המבחן עולה, כי הנאשם בן למשפחה המונה זוג הורים ושמונה ילדים, המנהלת אורח חיים תקין ונורמטיבי. הוא למד בבית-ספר שש שנים בלבד, ובגיל 15 החל לעבוד בעבודות מזדמנות; תחילה – כעוזר למוכר בשוק בעיר העתיקה, ובהמשך – בחברת ניקיון במשך מספר שנים. לדבריו, במשך כתשע שנים שימש כעוזר למודד בחברת הנדסה, ובשלוש השנים האחרונות הוא עובד כנהג הסעות, באופן מזדמן. הנאשם ומשפחתו מתגוררים כיום בבית הורי הנאשם. בשיחתו עם קצין המבחן טען הנאשם, כי מצא את האקדח והתחמושת באזור בית ההימורים, כשבועיים לפני מועד מעצרו. לדבריו, החליט לשמור את האקדח והתחמושת בביתו, מבלי לחשוב על השלכות מעשיו ועל הסיכון הנשקף מהם. עוד טען הנאשם באוזני קצין המבחן, כי ביום האירוע החליט לשאול את חברו, נאשם 2, מה ניתן לעשות עם האקדח, ובתכוף לכך נעצר. שירות המבחן התרשם, כי לנאשם אין דפוסי חשיבה והתנהגות עבריינים; כי עד למעורבותו בעבירה הנדונה ניהל הלה אורח חיים תקין; כי ברקע </w:t>
      </w:r>
      <w:r w:rsidRPr="000C261A">
        <w:rPr>
          <w:rFonts w:cs="FrankRuehl"/>
          <w:sz w:val="28"/>
          <w:szCs w:val="28"/>
          <w:rtl/>
        </w:rPr>
        <w:lastRenderedPageBreak/>
        <w:t>לביצוע העבירה עומדת אישיות ילדותית לא בשלה; וכי ייתכן שהנאשם ביצע את מעשיו על-רקע קשיים קוגניטיביים. במסגרת גורמי הסיכון להישנות מעורבות עבריינית, ציין שירות המבחן את האפשרות שהנאשם סובל, כאמור, מקשיים קוגניטיביים וחשיבתיים, ומתקשה לראות את תוצאות מעשיו. בגדרם של גורמי הסיכוי לשיקום ולהימנעות מהתנהגות עבריינית בעתיד, ציין שירות המבחן את תִפקודו התקין של הנאשם עד היום; את התמיכה החיובית שהוא מקבל מסביבתו ומבני משפחתו המורחבת; וכן את ההתרשמות כי המעצר וההליכים המשפטיים, כמו-גם השהות הממושכת בחלופת מעצר בתנאי "מעצר בית", גרמו לנאשם להפנים את חומרת מעשיו ולהתרחק ממצבי סיכון בעתיד. לאור ההתרשמות האמורה, ולנוכח העובדה שהנאשם היה נתון במשך תקופה ארוכה ב"מעצר בית", אשר הקשה על פרנסתו והכביד כלכלית על משפחתו, המליץ שירות המבחן להימנע מהטלת עונש מאסר בפועל, בין לריצוי בפועל ובין בעבודות שירות. על-רקע האמור הציע שירות המבחן להסתפק בהטלת צו שירות לתועלת הציבור, בהיקף מורחב של 220 שעות, בצד מאסר על-תנאי מרתיע.</w:t>
      </w:r>
    </w:p>
    <w:p w14:paraId="3565EC84" w14:textId="77777777" w:rsidR="00367DF8" w:rsidRPr="000C261A" w:rsidRDefault="00367DF8">
      <w:pPr>
        <w:spacing w:line="480" w:lineRule="auto"/>
        <w:jc w:val="both"/>
        <w:rPr>
          <w:rFonts w:cs="FrankRuehl"/>
          <w:sz w:val="28"/>
          <w:szCs w:val="28"/>
          <w:rtl/>
        </w:rPr>
      </w:pPr>
    </w:p>
    <w:p w14:paraId="222F4E82" w14:textId="77777777" w:rsidR="00367DF8" w:rsidRPr="000C261A" w:rsidRDefault="000C261A">
      <w:pPr>
        <w:spacing w:line="480" w:lineRule="auto"/>
        <w:jc w:val="both"/>
        <w:rPr>
          <w:rFonts w:cs="FrankRuehl"/>
          <w:sz w:val="28"/>
          <w:szCs w:val="28"/>
          <w:rtl/>
        </w:rPr>
      </w:pPr>
      <w:r w:rsidRPr="000C261A">
        <w:rPr>
          <w:rFonts w:cs="FrankRuehl"/>
          <w:sz w:val="28"/>
          <w:szCs w:val="28"/>
          <w:rtl/>
        </w:rPr>
        <w:t>5.</w:t>
      </w:r>
      <w:r w:rsidRPr="000C261A">
        <w:rPr>
          <w:rFonts w:cs="FrankRuehl"/>
          <w:sz w:val="28"/>
          <w:szCs w:val="28"/>
          <w:rtl/>
        </w:rPr>
        <w:tab/>
        <w:t xml:space="preserve">בישיבת הטיעונים לעונש מיום 30.9.14, הדגישה ב"כ המאשימה, עו"ד ע' ארוסי-כהן, את חומרת העבירה ונסיבות ביצועה, גרסה כי מתחם הענישה ההולם בגין החזקת הנשק נע בין 18 ל-40 חודשי מאסר, וביקשה להשית על הנאשם עונש מתאים שיעמוד ברף התחתון של המתחם האמור. באשר למדיניות הענישה הנוהגת, הפנתה ב"כ המאשימה באותו דיון לשלושה פסקי-דין של בית-המשפט העליון, אשר לא שיקפו את מתחם הענישה ההולם הנטען, ובפרט כאשר שניים מהם לא הלמו את נסיבות המקרה שלפנינו. הואיל ובאסמכתאות האמורות מטעם המאשימה לא היה כדי ללמד על מדיניות הענישה הנוהגת בעבירה של החזקת אקדח ותחמושת בעניינם של נאשמים נעדרי הרשעות קודמות, נדחה המשך הטיעונים לעונש למועד אחר, כדי לאפשר לשני צדדים להציג פסיקה רלבנטית בעניין מדיניות הענישה הנוהגת, המהווה את אחד מאמות המידה  לקביעת מתחם הענישה ההולם. </w:t>
      </w:r>
      <w:r w:rsidRPr="000C261A">
        <w:rPr>
          <w:rFonts w:cs="FrankRuehl"/>
          <w:sz w:val="28"/>
          <w:szCs w:val="28"/>
          <w:rtl/>
        </w:rPr>
        <w:tab/>
        <w:t xml:space="preserve">בדיון מיום 26.10.14 הפנה ב"כ המאשימה, עו"ד ב' ליבסקינד, לשני פסקי-דין של בית-המשפט העליון מן העת האחרונה, שיש בהם, לסברתו, כדי להצביע על מדיניות הענישה הנוהגת במקרים דומים, וכפועל יוצא – </w:t>
      </w:r>
      <w:r w:rsidRPr="000C261A">
        <w:rPr>
          <w:rFonts w:cs="FrankRuehl" w:hint="cs"/>
          <w:sz w:val="28"/>
          <w:szCs w:val="28"/>
          <w:rtl/>
        </w:rPr>
        <w:t xml:space="preserve">הם </w:t>
      </w:r>
      <w:r w:rsidRPr="000C261A">
        <w:rPr>
          <w:rFonts w:cs="FrankRuehl"/>
          <w:sz w:val="28"/>
          <w:szCs w:val="28"/>
          <w:rtl/>
        </w:rPr>
        <w:t xml:space="preserve">מהווים בסיס, בין-יתר השיקולים, לקביעת מתחם הענישה ההולם. הוא גרס, כי מתחם הענישה ההולם הוא מאסר </w:t>
      </w:r>
      <w:r w:rsidRPr="000C261A">
        <w:rPr>
          <w:rFonts w:cs="FrankRuehl" w:hint="cs"/>
          <w:sz w:val="28"/>
          <w:szCs w:val="28"/>
          <w:rtl/>
        </w:rPr>
        <w:t xml:space="preserve">של ממש </w:t>
      </w:r>
      <w:r w:rsidRPr="000C261A">
        <w:rPr>
          <w:rFonts w:cs="FrankRuehl"/>
          <w:sz w:val="28"/>
          <w:szCs w:val="28"/>
          <w:rtl/>
        </w:rPr>
        <w:t xml:space="preserve">לתקופה שבין 18 ל-36 חודשים, ועתר להטלת עונש ברף התחתון של המתחם – 18 חודשי מאסר. </w:t>
      </w:r>
    </w:p>
    <w:p w14:paraId="0BE3A0CE" w14:textId="77777777" w:rsidR="00367DF8" w:rsidRPr="000C261A" w:rsidRDefault="00367DF8">
      <w:pPr>
        <w:spacing w:line="480" w:lineRule="auto"/>
        <w:jc w:val="both"/>
        <w:rPr>
          <w:rFonts w:cs="FrankRuehl"/>
          <w:sz w:val="28"/>
          <w:szCs w:val="28"/>
          <w:rtl/>
        </w:rPr>
      </w:pPr>
    </w:p>
    <w:p w14:paraId="369CAE91" w14:textId="77777777" w:rsidR="00367DF8" w:rsidRPr="000C261A" w:rsidRDefault="000C261A">
      <w:pPr>
        <w:spacing w:line="480" w:lineRule="auto"/>
        <w:jc w:val="both"/>
        <w:rPr>
          <w:rFonts w:cs="FrankRuehl"/>
          <w:sz w:val="28"/>
          <w:szCs w:val="28"/>
          <w:rtl/>
        </w:rPr>
      </w:pPr>
      <w:r w:rsidRPr="000C261A">
        <w:rPr>
          <w:rFonts w:cs="FrankRuehl"/>
          <w:sz w:val="28"/>
          <w:szCs w:val="28"/>
          <w:rtl/>
        </w:rPr>
        <w:t>6.</w:t>
      </w:r>
      <w:r w:rsidRPr="000C261A">
        <w:rPr>
          <w:rFonts w:cs="FrankRuehl"/>
          <w:sz w:val="28"/>
          <w:szCs w:val="28"/>
          <w:rtl/>
        </w:rPr>
        <w:tab/>
        <w:t xml:space="preserve">הסנגור, עו"ד נ' זחאלקה, לא הקל ראש בחומרת העבירות, אך סבר כי העונש הראוי וההולם בנסיבות העניין הוא מאסר בפועל לריצוי בעבודות שירות. הוא גרס, כי מתחם הענישה ההולם בגין העבירה של החזקת נשק, נע בין שישה חודשי מאסר לריצוי בעבודות שירות לבין מספר חודשי מאסר לריצוי של ממש בין כותלי הכלא; והציג מספר פסקי-דין, שבהם הסתפקו בתי-המשפט בהטלת מאסר בעבודות שירות, רובם פסקי-דין מבתי-המשפט המחוזיים. בכל הנוגע לעונש המתאים בתוך מתחם העונש ההולם, עתר הסנגור לרף התחתון של המתחם, קרי – שישה חודשי מאסר לריצוי בעבודות שירות; זאת נוכח הודאתו של הנאשם, החרטה שהביע על מעשיו, נסיבותיו האישיות, ובפרט רמתו הקוגניטיבית שצוינה בתסקיר, וכן העובדה שהלה שהה בתנאים מגבילים במשך תקופה לא קצרה. </w:t>
      </w:r>
    </w:p>
    <w:p w14:paraId="33E1BF34" w14:textId="77777777" w:rsidR="00367DF8" w:rsidRPr="000C261A" w:rsidRDefault="00367DF8">
      <w:pPr>
        <w:spacing w:line="480" w:lineRule="auto"/>
        <w:jc w:val="both"/>
        <w:rPr>
          <w:rFonts w:cs="FrankRuehl"/>
          <w:sz w:val="28"/>
          <w:szCs w:val="28"/>
          <w:rtl/>
        </w:rPr>
      </w:pPr>
    </w:p>
    <w:p w14:paraId="7670EF26" w14:textId="77777777" w:rsidR="00367DF8" w:rsidRPr="000C261A" w:rsidRDefault="000C261A">
      <w:pPr>
        <w:spacing w:line="480" w:lineRule="auto"/>
        <w:jc w:val="both"/>
        <w:rPr>
          <w:rFonts w:cs="FrankRuehl"/>
          <w:sz w:val="28"/>
          <w:szCs w:val="28"/>
          <w:rtl/>
        </w:rPr>
      </w:pPr>
      <w:r w:rsidRPr="000C261A">
        <w:rPr>
          <w:rFonts w:cs="FrankRuehl"/>
          <w:sz w:val="28"/>
          <w:szCs w:val="28"/>
          <w:rtl/>
        </w:rPr>
        <w:tab/>
        <w:t xml:space="preserve">במסגרת דבריו האחרונים לעניין העונש הביע הנאשם צער וחרטה על מעשיו. </w:t>
      </w:r>
    </w:p>
    <w:p w14:paraId="65938D06" w14:textId="77777777" w:rsidR="00367DF8" w:rsidRPr="000C261A" w:rsidRDefault="00367DF8">
      <w:pPr>
        <w:spacing w:line="480" w:lineRule="auto"/>
        <w:jc w:val="both"/>
        <w:rPr>
          <w:rFonts w:cs="FrankRuehl"/>
          <w:sz w:val="28"/>
          <w:szCs w:val="28"/>
          <w:rtl/>
        </w:rPr>
      </w:pPr>
    </w:p>
    <w:p w14:paraId="689601B5" w14:textId="77777777" w:rsidR="00367DF8" w:rsidRPr="000C261A" w:rsidRDefault="000C261A">
      <w:pPr>
        <w:spacing w:line="480" w:lineRule="auto"/>
        <w:jc w:val="both"/>
        <w:rPr>
          <w:rFonts w:ascii="Franklin Gothic Medium" w:hAnsi="Franklin Gothic Medium" w:cs="FrankRuehl"/>
          <w:sz w:val="28"/>
          <w:szCs w:val="28"/>
          <w:rtl/>
        </w:rPr>
      </w:pPr>
      <w:r w:rsidRPr="000C261A">
        <w:rPr>
          <w:rFonts w:cs="FrankRuehl"/>
          <w:sz w:val="28"/>
          <w:szCs w:val="28"/>
          <w:rtl/>
        </w:rPr>
        <w:t>7.</w:t>
      </w:r>
      <w:r w:rsidRPr="000C261A">
        <w:rPr>
          <w:rFonts w:cs="FrankRuehl"/>
          <w:sz w:val="28"/>
          <w:szCs w:val="28"/>
          <w:rtl/>
        </w:rPr>
        <w:tab/>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חומרתן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והסיכון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לביטחון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עמדתי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לא</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אחת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בגזרי</w:t>
      </w:r>
      <w:r w:rsidRPr="000C261A">
        <w:rPr>
          <w:rFonts w:ascii="Franklin Gothic Medium" w:hAnsi="Franklin Gothic Medium" w:cs="FrankRuehl" w:hint="cs"/>
          <w:sz w:val="28"/>
          <w:szCs w:val="28"/>
          <w:rtl/>
        </w:rPr>
        <w:t>-</w:t>
      </w:r>
      <w:r w:rsidRPr="000C261A">
        <w:rPr>
          <w:rFonts w:ascii="Franklin Gothic Medium" w:hAnsi="Franklin Gothic Medium" w:cs="FrankRuehl" w:hint="eastAsia"/>
          <w:sz w:val="28"/>
          <w:szCs w:val="28"/>
          <w:rtl/>
        </w:rPr>
        <w:t>דין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אלו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כמו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החזקתו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הובלתו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ועשיית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עסקה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חמורות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מעצם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טיבן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ומהותן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זאת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נוכח</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הסיכון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הממשי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לחיי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אדם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ולביטחון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הסיכונים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הרבים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הנשקפים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עמד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בית</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המשפט</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העליון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w:t>
      </w:r>
      <w:hyperlink r:id="rId13"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2251/11</w:t>
        </w:r>
      </w:hyperlink>
      <w:r w:rsidRPr="000C261A">
        <w:rPr>
          <w:rFonts w:ascii="Franklin Gothic Medium" w:hAnsi="Franklin Gothic Medium" w:cs="FrankRuehl"/>
          <w:sz w:val="28"/>
          <w:szCs w:val="28"/>
          <w:rtl/>
        </w:rPr>
        <w:t xml:space="preserve"> </w:t>
      </w:r>
      <w:r w:rsidRPr="000C261A">
        <w:rPr>
          <w:rFonts w:ascii="Franklin Gothic Medium" w:hAnsi="Franklin Gothic Medium" w:cs="Miriam" w:hint="eastAsia"/>
          <w:rtl/>
        </w:rPr>
        <w:t>ג</w:t>
      </w:r>
      <w:r w:rsidRPr="000C261A">
        <w:rPr>
          <w:rFonts w:ascii="Franklin Gothic Medium" w:hAnsi="Franklin Gothic Medium" w:cs="Miriam"/>
          <w:rtl/>
        </w:rPr>
        <w:t>'</w:t>
      </w:r>
      <w:r w:rsidRPr="000C261A">
        <w:rPr>
          <w:rFonts w:ascii="Franklin Gothic Medium" w:hAnsi="Franklin Gothic Medium" w:cs="Miriam" w:hint="eastAsia"/>
          <w:rtl/>
        </w:rPr>
        <w:t>מאל</w:t>
      </w:r>
      <w:r w:rsidRPr="000C261A">
        <w:rPr>
          <w:rFonts w:ascii="Franklin Gothic Medium" w:hAnsi="Franklin Gothic Medium" w:cs="Miriam"/>
          <w:rtl/>
        </w:rPr>
        <w:t xml:space="preserve"> </w:t>
      </w:r>
      <w:r w:rsidRPr="000C261A">
        <w:rPr>
          <w:rFonts w:ascii="Franklin Gothic Medium" w:hAnsi="Franklin Gothic Medium" w:cs="Miriam" w:hint="eastAsia"/>
          <w:rtl/>
        </w:rPr>
        <w:t>נפאע</w:t>
      </w:r>
      <w:r w:rsidRPr="000C261A">
        <w:rPr>
          <w:rFonts w:ascii="Franklin Gothic Medium" w:hAnsi="Franklin Gothic Medium" w:cs="Miriam"/>
          <w:rtl/>
        </w:rPr>
        <w:t xml:space="preserve"> </w:t>
      </w:r>
      <w:r w:rsidRPr="000C261A">
        <w:rPr>
          <w:rFonts w:ascii="Franklin Gothic Medium" w:hAnsi="Franklin Gothic Medium" w:cs="Miriam" w:hint="eastAsia"/>
          <w:rtl/>
        </w:rPr>
        <w:t>נ</w:t>
      </w:r>
      <w:r w:rsidRPr="000C261A">
        <w:rPr>
          <w:rFonts w:ascii="Franklin Gothic Medium" w:hAnsi="Franklin Gothic Medium" w:cs="Miriam"/>
          <w:rtl/>
        </w:rPr>
        <w:t xml:space="preserve">' </w:t>
      </w:r>
      <w:r w:rsidRPr="000C261A">
        <w:rPr>
          <w:rFonts w:ascii="Franklin Gothic Medium" w:hAnsi="Franklin Gothic Medium" w:cs="Miriam" w:hint="eastAsia"/>
          <w:rtl/>
        </w:rPr>
        <w:t>מדינת</w:t>
      </w:r>
      <w:r w:rsidRPr="000C261A">
        <w:rPr>
          <w:rFonts w:ascii="Franklin Gothic Medium" w:hAnsi="Franklin Gothic Medium" w:cs="Miriam"/>
          <w:rtl/>
        </w:rPr>
        <w:t xml:space="preserve"> </w:t>
      </w:r>
      <w:r w:rsidRPr="000C261A">
        <w:rPr>
          <w:rFonts w:ascii="Franklin Gothic Medium" w:hAnsi="Franklin Gothic Medium" w:cs="Miriam" w:hint="eastAsia"/>
          <w:rtl/>
        </w:rPr>
        <w:t>ישראל</w:t>
      </w:r>
      <w:r w:rsidRPr="000C261A">
        <w:rPr>
          <w:rFonts w:ascii="Franklin Gothic Medium" w:hAnsi="Franklin Gothic Medium" w:cs="FrankRuehl"/>
          <w:sz w:val="28"/>
          <w:szCs w:val="28"/>
          <w:rtl/>
        </w:rPr>
        <w:t xml:space="preserve"> (4.12.11).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שהוא</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כלי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קטלני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מטבע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ברייתו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עלול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לעבור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מיד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ליד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ולהגיע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לידי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גורמים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שיבצעו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באמצעותו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פליליות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חמורות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ואף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לידי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ארגוני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טרור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שיעשו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שימוש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בפיגועים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כן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פוטנציאל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הסיכון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האמורות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מחייב</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הטלת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מחמירה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ומרתיעה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מבצעי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העבירות</w:t>
      </w:r>
      <w:r w:rsidRPr="000C261A">
        <w:rPr>
          <w:rFonts w:ascii="Franklin Gothic Medium" w:hAnsi="Franklin Gothic Medium" w:cs="FrankRuehl"/>
          <w:sz w:val="28"/>
          <w:szCs w:val="28"/>
          <w:rtl/>
        </w:rPr>
        <w:t xml:space="preserve"> – </w:t>
      </w:r>
      <w:r w:rsidRPr="000C261A">
        <w:rPr>
          <w:rFonts w:ascii="Franklin Gothic Medium" w:hAnsi="Franklin Gothic Medium" w:cs="FrankRuehl" w:hint="eastAsia"/>
          <w:sz w:val="28"/>
          <w:szCs w:val="28"/>
          <w:rtl/>
        </w:rPr>
        <w:t>בחוליות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השונות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בשרשרת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העברת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w:t>
      </w:r>
      <w:r w:rsidRPr="000C261A">
        <w:rPr>
          <w:rFonts w:ascii="Franklin Gothic Medium" w:hAnsi="Franklin Gothic Medium" w:cs="FrankRuehl"/>
          <w:sz w:val="28"/>
          <w:szCs w:val="28"/>
          <w:rtl/>
        </w:rPr>
        <w:t xml:space="preserve"> – </w:t>
      </w:r>
      <w:r w:rsidRPr="000C261A">
        <w:rPr>
          <w:rFonts w:ascii="Franklin Gothic Medium" w:hAnsi="Franklin Gothic Medium" w:cs="FrankRuehl" w:hint="eastAsia"/>
          <w:sz w:val="28"/>
          <w:szCs w:val="28"/>
          <w:rtl/>
        </w:rPr>
        <w:t>אינם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מודעים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לתכלית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השימוש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בנשק</w:t>
      </w:r>
      <w:r w:rsidRPr="000C261A">
        <w:rPr>
          <w:rFonts w:ascii="Franklin Gothic Medium" w:hAnsi="Franklin Gothic Medium" w:cs="FrankRuehl"/>
          <w:sz w:val="28"/>
          <w:szCs w:val="28"/>
          <w:rtl/>
        </w:rPr>
        <w:t xml:space="preserve"> (</w:t>
      </w:r>
      <w:hyperlink r:id="rId14"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5220/09</w:t>
        </w:r>
      </w:hyperlink>
      <w:r w:rsidRPr="000C261A">
        <w:rPr>
          <w:rFonts w:ascii="Franklin Gothic Medium" w:hAnsi="Franklin Gothic Medium" w:cs="FrankRuehl"/>
          <w:sz w:val="28"/>
          <w:szCs w:val="28"/>
          <w:rtl/>
        </w:rPr>
        <w:t xml:space="preserve"> </w:t>
      </w:r>
      <w:r w:rsidRPr="000C261A">
        <w:rPr>
          <w:rFonts w:ascii="Franklin Gothic Medium" w:hAnsi="Franklin Gothic Medium" w:cs="Miriam" w:hint="eastAsia"/>
          <w:rtl/>
        </w:rPr>
        <w:t>עוואודה</w:t>
      </w:r>
      <w:r w:rsidRPr="000C261A">
        <w:rPr>
          <w:rFonts w:ascii="Franklin Gothic Medium" w:hAnsi="Franklin Gothic Medium" w:cs="Miriam"/>
          <w:rtl/>
        </w:rPr>
        <w:t xml:space="preserve"> </w:t>
      </w:r>
      <w:r w:rsidRPr="000C261A">
        <w:rPr>
          <w:rFonts w:ascii="Franklin Gothic Medium" w:hAnsi="Franklin Gothic Medium" w:cs="Miriam" w:hint="eastAsia"/>
          <w:rtl/>
        </w:rPr>
        <w:t>נ</w:t>
      </w:r>
      <w:r w:rsidRPr="000C261A">
        <w:rPr>
          <w:rFonts w:ascii="Franklin Gothic Medium" w:hAnsi="Franklin Gothic Medium" w:cs="Miriam"/>
          <w:rtl/>
        </w:rPr>
        <w:t xml:space="preserve">' </w:t>
      </w:r>
      <w:r w:rsidRPr="000C261A">
        <w:rPr>
          <w:rFonts w:ascii="Franklin Gothic Medium" w:hAnsi="Franklin Gothic Medium" w:cs="Miriam" w:hint="eastAsia"/>
          <w:rtl/>
        </w:rPr>
        <w:t>מדינת</w:t>
      </w:r>
      <w:r w:rsidRPr="000C261A">
        <w:rPr>
          <w:rFonts w:ascii="Franklin Gothic Medium" w:hAnsi="Franklin Gothic Medium" w:cs="Miriam"/>
          <w:rtl/>
        </w:rPr>
        <w:t xml:space="preserve"> </w:t>
      </w:r>
      <w:r w:rsidRPr="000C261A">
        <w:rPr>
          <w:rFonts w:ascii="Franklin Gothic Medium" w:hAnsi="Franklin Gothic Medium" w:cs="Miriam" w:hint="eastAsia"/>
          <w:rtl/>
        </w:rPr>
        <w:t>ישראל</w:t>
      </w:r>
      <w:r w:rsidRPr="000C261A">
        <w:rPr>
          <w:rFonts w:ascii="Franklin Gothic Medium" w:hAnsi="Franklin Gothic Medium" w:cs="FrankRuehl"/>
          <w:sz w:val="28"/>
          <w:szCs w:val="28"/>
          <w:rtl/>
        </w:rPr>
        <w:t xml:space="preserve"> (30.12.09); </w:t>
      </w:r>
      <w:r w:rsidRPr="000C261A">
        <w:rPr>
          <w:rFonts w:ascii="Franklin Gothic Medium" w:hAnsi="Franklin Gothic Medium" w:cs="FrankRuehl" w:hint="eastAsia"/>
          <w:sz w:val="28"/>
          <w:szCs w:val="28"/>
          <w:rtl/>
        </w:rPr>
        <w:t>ו</w:t>
      </w:r>
      <w:hyperlink r:id="rId15"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9543/09</w:t>
        </w:r>
      </w:hyperlink>
      <w:r w:rsidRPr="000C261A">
        <w:rPr>
          <w:rFonts w:ascii="Franklin Gothic Medium" w:hAnsi="Franklin Gothic Medium" w:cs="FrankRuehl"/>
          <w:sz w:val="28"/>
          <w:szCs w:val="28"/>
          <w:rtl/>
        </w:rPr>
        <w:t xml:space="preserve"> </w:t>
      </w:r>
      <w:r w:rsidRPr="000C261A">
        <w:rPr>
          <w:rFonts w:ascii="Franklin Gothic Medium" w:hAnsi="Franklin Gothic Medium" w:cs="Miriam" w:hint="eastAsia"/>
          <w:rtl/>
        </w:rPr>
        <w:t>רחאל</w:t>
      </w:r>
      <w:r w:rsidRPr="000C261A">
        <w:rPr>
          <w:rFonts w:ascii="Franklin Gothic Medium" w:hAnsi="Franklin Gothic Medium" w:cs="Miriam"/>
          <w:rtl/>
        </w:rPr>
        <w:t xml:space="preserve"> </w:t>
      </w:r>
      <w:r w:rsidRPr="000C261A">
        <w:rPr>
          <w:rFonts w:ascii="Franklin Gothic Medium" w:hAnsi="Franklin Gothic Medium" w:cs="Miriam" w:hint="eastAsia"/>
          <w:rtl/>
        </w:rPr>
        <w:t>נ</w:t>
      </w:r>
      <w:r w:rsidRPr="000C261A">
        <w:rPr>
          <w:rFonts w:ascii="Franklin Gothic Medium" w:hAnsi="Franklin Gothic Medium" w:cs="Miriam"/>
          <w:rtl/>
        </w:rPr>
        <w:t xml:space="preserve">' </w:t>
      </w:r>
      <w:r w:rsidRPr="000C261A">
        <w:rPr>
          <w:rFonts w:ascii="Franklin Gothic Medium" w:hAnsi="Franklin Gothic Medium" w:cs="Miriam" w:hint="eastAsia"/>
          <w:rtl/>
        </w:rPr>
        <w:t>מדינת</w:t>
      </w:r>
      <w:r w:rsidRPr="000C261A">
        <w:rPr>
          <w:rFonts w:ascii="Franklin Gothic Medium" w:hAnsi="Franklin Gothic Medium" w:cs="Miriam"/>
          <w:rtl/>
        </w:rPr>
        <w:t xml:space="preserve"> </w:t>
      </w:r>
      <w:r w:rsidRPr="000C261A">
        <w:rPr>
          <w:rFonts w:ascii="Franklin Gothic Medium" w:hAnsi="Franklin Gothic Medium" w:cs="Miriam" w:hint="eastAsia"/>
          <w:rtl/>
        </w:rPr>
        <w:t>ישראל</w:t>
      </w:r>
      <w:r w:rsidRPr="000C261A">
        <w:rPr>
          <w:rFonts w:ascii="Franklin Gothic Medium" w:hAnsi="Franklin Gothic Medium" w:cs="Miriam"/>
          <w:rtl/>
        </w:rPr>
        <w:t xml:space="preserve"> </w:t>
      </w:r>
      <w:r w:rsidRPr="000C261A">
        <w:rPr>
          <w:rFonts w:ascii="Franklin Gothic Medium" w:hAnsi="Franklin Gothic Medium" w:cs="FrankRuehl"/>
          <w:sz w:val="28"/>
          <w:szCs w:val="28"/>
          <w:rtl/>
        </w:rPr>
        <w:t xml:space="preserve">(19.1.10)). </w:t>
      </w:r>
      <w:r w:rsidRPr="000C261A">
        <w:rPr>
          <w:rFonts w:ascii="Franklin Gothic Medium" w:hAnsi="Franklin Gothic Medium" w:cs="FrankRuehl" w:hint="eastAsia"/>
          <w:sz w:val="28"/>
          <w:szCs w:val="28"/>
          <w:rtl/>
        </w:rPr>
        <w:t>למותר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להכביר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מילים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הסיכון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הרב</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מהתופעה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cs"/>
          <w:sz w:val="28"/>
          <w:szCs w:val="28"/>
          <w:rtl/>
        </w:rPr>
        <w:t>שבגדרה מצטיידים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אנשים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חם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ובית</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המשפט</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העליון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כבר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עמד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הצורך</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בהכבדת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אלו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למען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יצא</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מסר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ברור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וחד</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משמעי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הרתעה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לרבים</w:t>
      </w:r>
      <w:r w:rsidRPr="000C261A">
        <w:rPr>
          <w:rFonts w:ascii="Franklin Gothic Medium" w:hAnsi="Franklin Gothic Medium" w:cs="FrankRuehl"/>
          <w:sz w:val="28"/>
          <w:szCs w:val="28"/>
          <w:rtl/>
        </w:rPr>
        <w:t xml:space="preserve"> (</w:t>
      </w:r>
      <w:hyperlink r:id="rId16"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2839/05</w:t>
        </w:r>
      </w:hyperlink>
      <w:r w:rsidRPr="000C261A">
        <w:rPr>
          <w:rFonts w:ascii="Franklin Gothic Medium" w:hAnsi="Franklin Gothic Medium" w:cs="FrankRuehl"/>
          <w:sz w:val="28"/>
          <w:szCs w:val="28"/>
          <w:rtl/>
        </w:rPr>
        <w:t xml:space="preserve"> </w:t>
      </w:r>
      <w:r w:rsidRPr="000C261A">
        <w:rPr>
          <w:rFonts w:ascii="Franklin Gothic Medium" w:hAnsi="Franklin Gothic Medium" w:cs="Miriam" w:hint="eastAsia"/>
          <w:rtl/>
        </w:rPr>
        <w:t>אלקאדר</w:t>
      </w:r>
      <w:r w:rsidRPr="000C261A">
        <w:rPr>
          <w:rFonts w:ascii="Franklin Gothic Medium" w:hAnsi="Franklin Gothic Medium" w:cs="Miriam"/>
          <w:rtl/>
        </w:rPr>
        <w:t xml:space="preserve"> </w:t>
      </w:r>
      <w:r w:rsidRPr="000C261A">
        <w:rPr>
          <w:rFonts w:ascii="Franklin Gothic Medium" w:hAnsi="Franklin Gothic Medium" w:cs="Miriam" w:hint="eastAsia"/>
          <w:rtl/>
        </w:rPr>
        <w:t>נ</w:t>
      </w:r>
      <w:r w:rsidRPr="000C261A">
        <w:rPr>
          <w:rFonts w:ascii="Franklin Gothic Medium" w:hAnsi="Franklin Gothic Medium" w:cs="Miriam"/>
          <w:rtl/>
        </w:rPr>
        <w:t xml:space="preserve">' </w:t>
      </w:r>
      <w:r w:rsidRPr="000C261A">
        <w:rPr>
          <w:rFonts w:ascii="Franklin Gothic Medium" w:hAnsi="Franklin Gothic Medium" w:cs="Miriam" w:hint="eastAsia"/>
          <w:rtl/>
        </w:rPr>
        <w:t>מדינת</w:t>
      </w:r>
      <w:r w:rsidRPr="000C261A">
        <w:rPr>
          <w:rFonts w:ascii="Franklin Gothic Medium" w:hAnsi="Franklin Gothic Medium" w:cs="Miriam"/>
          <w:rtl/>
        </w:rPr>
        <w:t xml:space="preserve"> </w:t>
      </w:r>
      <w:r w:rsidRPr="000C261A">
        <w:rPr>
          <w:rFonts w:ascii="Franklin Gothic Medium" w:hAnsi="Franklin Gothic Medium" w:cs="Miriam" w:hint="eastAsia"/>
          <w:rtl/>
        </w:rPr>
        <w:t>ישראל</w:t>
      </w:r>
      <w:r w:rsidRPr="000C261A">
        <w:rPr>
          <w:rFonts w:ascii="Franklin Gothic Medium" w:hAnsi="Franklin Gothic Medium" w:cs="Miriam"/>
          <w:rtl/>
        </w:rPr>
        <w:t xml:space="preserve"> </w:t>
      </w:r>
      <w:r w:rsidRPr="000C261A">
        <w:rPr>
          <w:rFonts w:ascii="Franklin Gothic Medium" w:hAnsi="Franklin Gothic Medium" w:cs="FrankRuehl"/>
          <w:sz w:val="28"/>
          <w:szCs w:val="28"/>
          <w:rtl/>
        </w:rPr>
        <w:t xml:space="preserve">(17.11.05)). </w:t>
      </w:r>
      <w:r w:rsidRPr="000C261A">
        <w:rPr>
          <w:rFonts w:ascii="Franklin Gothic Medium" w:hAnsi="Franklin Gothic Medium" w:cs="FrankRuehl" w:hint="eastAsia"/>
          <w:sz w:val="28"/>
          <w:szCs w:val="28"/>
          <w:rtl/>
        </w:rPr>
        <w:t>נוכח</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הסיכון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הממשי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הנדונות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לביטחון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מורה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הפסיקה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במסגרת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שיקולי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יינתן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בדרך</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כלל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משקל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נכבד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יותר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לאינטרס</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פני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נסיבותיו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האישיות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הנאשם</w:t>
      </w:r>
      <w:r w:rsidRPr="000C261A">
        <w:rPr>
          <w:rFonts w:ascii="Franklin Gothic Medium" w:hAnsi="Franklin Gothic Medium" w:cs="FrankRuehl"/>
          <w:sz w:val="28"/>
          <w:szCs w:val="28"/>
          <w:rtl/>
        </w:rPr>
        <w:t xml:space="preserve"> (</w:t>
      </w:r>
      <w:hyperlink r:id="rId17"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10499/02</w:t>
        </w:r>
      </w:hyperlink>
      <w:r w:rsidRPr="000C261A">
        <w:rPr>
          <w:rFonts w:ascii="Franklin Gothic Medium" w:hAnsi="Franklin Gothic Medium" w:cs="FrankRuehl"/>
          <w:sz w:val="28"/>
          <w:szCs w:val="28"/>
          <w:rtl/>
        </w:rPr>
        <w:t xml:space="preserve"> </w:t>
      </w:r>
      <w:r w:rsidRPr="000C261A">
        <w:rPr>
          <w:rFonts w:ascii="Franklin Gothic Medium" w:hAnsi="Franklin Gothic Medium" w:cs="Miriam" w:hint="eastAsia"/>
          <w:rtl/>
        </w:rPr>
        <w:t>מדינת</w:t>
      </w:r>
      <w:r w:rsidRPr="000C261A">
        <w:rPr>
          <w:rFonts w:ascii="Franklin Gothic Medium" w:hAnsi="Franklin Gothic Medium" w:cs="Miriam"/>
          <w:rtl/>
        </w:rPr>
        <w:t xml:space="preserve"> </w:t>
      </w:r>
      <w:r w:rsidRPr="000C261A">
        <w:rPr>
          <w:rFonts w:ascii="Franklin Gothic Medium" w:hAnsi="Franklin Gothic Medium" w:cs="Miriam" w:hint="eastAsia"/>
          <w:rtl/>
        </w:rPr>
        <w:t>ישראל</w:t>
      </w:r>
      <w:r w:rsidRPr="000C261A">
        <w:rPr>
          <w:rFonts w:ascii="Franklin Gothic Medium" w:hAnsi="Franklin Gothic Medium" w:cs="Miriam"/>
          <w:rtl/>
        </w:rPr>
        <w:t xml:space="preserve"> </w:t>
      </w:r>
      <w:r w:rsidRPr="000C261A">
        <w:rPr>
          <w:rFonts w:ascii="Franklin Gothic Medium" w:hAnsi="Franklin Gothic Medium" w:cs="Miriam" w:hint="eastAsia"/>
          <w:rtl/>
        </w:rPr>
        <w:t>נ</w:t>
      </w:r>
      <w:r w:rsidRPr="000C261A">
        <w:rPr>
          <w:rFonts w:ascii="Franklin Gothic Medium" w:hAnsi="Franklin Gothic Medium" w:cs="Miriam"/>
          <w:rtl/>
        </w:rPr>
        <w:t xml:space="preserve">' </w:t>
      </w:r>
      <w:r w:rsidRPr="000C261A">
        <w:rPr>
          <w:rFonts w:ascii="Franklin Gothic Medium" w:hAnsi="Franklin Gothic Medium" w:cs="Miriam" w:hint="eastAsia"/>
          <w:rtl/>
        </w:rPr>
        <w:t>אלמוג</w:t>
      </w:r>
      <w:r w:rsidRPr="000C261A">
        <w:rPr>
          <w:rFonts w:ascii="Franklin Gothic Medium" w:hAnsi="Franklin Gothic Medium" w:cs="Miriam"/>
          <w:rtl/>
        </w:rPr>
        <w:t xml:space="preserve"> </w:t>
      </w:r>
      <w:r w:rsidRPr="000C261A">
        <w:rPr>
          <w:rFonts w:ascii="Franklin Gothic Medium" w:hAnsi="Franklin Gothic Medium" w:cs="Miriam" w:hint="eastAsia"/>
          <w:rtl/>
        </w:rPr>
        <w:t>מיארה</w:t>
      </w:r>
      <w:r w:rsidRPr="000C261A">
        <w:rPr>
          <w:rFonts w:ascii="Franklin Gothic Medium" w:hAnsi="Franklin Gothic Medium" w:cs="Miriam"/>
          <w:rtl/>
        </w:rPr>
        <w:t xml:space="preserve"> </w:t>
      </w:r>
      <w:r w:rsidRPr="000C261A">
        <w:rPr>
          <w:rFonts w:ascii="Franklin Gothic Medium" w:hAnsi="Franklin Gothic Medium" w:cs="FrankRuehl"/>
          <w:sz w:val="28"/>
          <w:szCs w:val="28"/>
          <w:rtl/>
        </w:rPr>
        <w:t xml:space="preserve">(27.5.03)). </w:t>
      </w:r>
      <w:r w:rsidRPr="000C261A">
        <w:rPr>
          <w:rFonts w:ascii="Franklin Gothic Medium" w:hAnsi="Franklin Gothic Medium" w:cs="FrankRuehl" w:hint="eastAsia"/>
          <w:sz w:val="28"/>
          <w:szCs w:val="28"/>
          <w:rtl/>
        </w:rPr>
        <w:t>בהקשר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זה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ציין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בית</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המשפט</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העליון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לאחרונה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בדחותו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ערעור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הטלת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מאסר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בפועל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13 </w:t>
      </w:r>
      <w:r w:rsidRPr="000C261A">
        <w:rPr>
          <w:rFonts w:ascii="Franklin Gothic Medium" w:hAnsi="Franklin Gothic Medium" w:cs="FrankRuehl" w:hint="eastAsia"/>
          <w:sz w:val="28"/>
          <w:szCs w:val="28"/>
          <w:rtl/>
        </w:rPr>
        <w:t>חודשים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נאשם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שהחזיק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ברכבו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אקדח</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מחסנית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טעונה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בכדורים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ותחמושת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נוספת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כי</w:t>
      </w:r>
      <w:r w:rsidRPr="000C261A">
        <w:rPr>
          <w:rFonts w:ascii="Franklin Gothic Medium" w:hAnsi="Franklin Gothic Medium" w:cs="FrankRuehl"/>
          <w:sz w:val="28"/>
          <w:szCs w:val="28"/>
          <w:rtl/>
        </w:rPr>
        <w:t xml:space="preserve"> "</w:t>
      </w:r>
      <w:r w:rsidRPr="000C261A">
        <w:rPr>
          <w:rFonts w:cs="Miriam"/>
          <w:rtl/>
        </w:rPr>
        <w:t>לזמינות הבלתי נסבלת של נשק חם בידי מי שאינם מורשים לכך, יש פוטנציאל לשמש ל"חיסול חשבונות" ול"פתרון סכסוכים" כמו-גם לעבירות חמורות נוספות</w:t>
      </w:r>
      <w:r w:rsidRPr="000C261A">
        <w:rPr>
          <w:rFonts w:ascii="Franklin Gothic Medium" w:hAnsi="Franklin Gothic Medium" w:cs="FrankRuehl"/>
          <w:sz w:val="28"/>
          <w:szCs w:val="28"/>
          <w:rtl/>
        </w:rPr>
        <w:t xml:space="preserve">" – </w:t>
      </w:r>
      <w:r w:rsidRPr="000C261A">
        <w:rPr>
          <w:rFonts w:ascii="Franklin Gothic Medium" w:hAnsi="Franklin Gothic Medium" w:cs="FrankRuehl" w:hint="eastAsia"/>
          <w:sz w:val="28"/>
          <w:szCs w:val="28"/>
          <w:rtl/>
        </w:rPr>
        <w:t>וכי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אלו</w:t>
      </w:r>
      <w:r w:rsidRPr="000C261A">
        <w:rPr>
          <w:rFonts w:ascii="Franklin Gothic Medium" w:hAnsi="Franklin Gothic Medium" w:cs="FrankRuehl"/>
          <w:sz w:val="28"/>
          <w:szCs w:val="28"/>
          <w:rtl/>
        </w:rPr>
        <w:t xml:space="preserve"> "</w:t>
      </w:r>
      <w:r w:rsidRPr="000C261A">
        <w:rPr>
          <w:rFonts w:cs="Miriam"/>
          <w:rtl/>
        </w:rPr>
        <w:t>לשיקולי ההרתעה משקל של ממש</w:t>
      </w:r>
      <w:r w:rsidRPr="000C261A">
        <w:rPr>
          <w:rFonts w:ascii="Franklin Gothic Medium" w:hAnsi="Franklin Gothic Medium" w:cs="FrankRuehl"/>
          <w:sz w:val="28"/>
          <w:szCs w:val="28"/>
          <w:rtl/>
        </w:rPr>
        <w:t>" (</w:t>
      </w:r>
      <w:hyperlink r:id="rId18"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2398/14</w:t>
        </w:r>
      </w:hyperlink>
      <w:r w:rsidRPr="000C261A">
        <w:rPr>
          <w:rFonts w:ascii="Franklin Gothic Medium" w:hAnsi="Franklin Gothic Medium" w:cs="FrankRuehl"/>
          <w:sz w:val="28"/>
          <w:szCs w:val="28"/>
          <w:rtl/>
        </w:rPr>
        <w:t xml:space="preserve"> </w:t>
      </w:r>
      <w:r w:rsidRPr="000C261A">
        <w:rPr>
          <w:rFonts w:cs="Miriam"/>
          <w:rtl/>
        </w:rPr>
        <w:t>אלהזייל נ' מדינת ישראל</w:t>
      </w:r>
      <w:r w:rsidRPr="000C261A">
        <w:rPr>
          <w:rFonts w:ascii="Franklin Gothic Medium" w:hAnsi="Franklin Gothic Medium" w:cs="FrankRuehl"/>
          <w:sz w:val="28"/>
          <w:szCs w:val="28"/>
          <w:rtl/>
        </w:rPr>
        <w:t xml:space="preserve"> (8.7.14)).</w:t>
      </w:r>
    </w:p>
    <w:p w14:paraId="5DCC777C" w14:textId="77777777" w:rsidR="00367DF8" w:rsidRPr="000C261A" w:rsidRDefault="00367DF8">
      <w:pPr>
        <w:spacing w:line="480" w:lineRule="auto"/>
        <w:jc w:val="both"/>
        <w:rPr>
          <w:rFonts w:ascii="Franklin Gothic Medium" w:hAnsi="Franklin Gothic Medium" w:cs="FrankRuehl"/>
          <w:sz w:val="28"/>
          <w:szCs w:val="28"/>
          <w:rtl/>
        </w:rPr>
      </w:pPr>
    </w:p>
    <w:p w14:paraId="0810BE1F" w14:textId="77777777" w:rsidR="00367DF8" w:rsidRPr="000C261A" w:rsidRDefault="000C261A">
      <w:pPr>
        <w:spacing w:line="480" w:lineRule="auto"/>
        <w:jc w:val="both"/>
        <w:rPr>
          <w:rFonts w:cs="FrankRuehl"/>
          <w:sz w:val="28"/>
          <w:szCs w:val="28"/>
          <w:rtl/>
        </w:rPr>
      </w:pPr>
      <w:r w:rsidRPr="000C261A">
        <w:rPr>
          <w:rFonts w:ascii="Franklin Gothic Medium" w:hAnsi="Franklin Gothic Medium" w:cs="FrankRuehl"/>
          <w:sz w:val="28"/>
          <w:szCs w:val="28"/>
          <w:rtl/>
        </w:rPr>
        <w:tab/>
      </w:r>
      <w:r w:rsidRPr="000C261A">
        <w:rPr>
          <w:rFonts w:ascii="Franklin Gothic Medium" w:hAnsi="Franklin Gothic Medium" w:cs="FrankRuehl" w:hint="eastAsia"/>
          <w:sz w:val="28"/>
          <w:szCs w:val="28"/>
          <w:rtl/>
        </w:rPr>
        <w:t>הענישה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בגין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נגזרת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מחומרת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ביצוען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הפסיקה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סיווגה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במדרג</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חומרה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הכבד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הקל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מהחזקת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עסקאות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לביצוע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מעשים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המיועדים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לפגוע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בביטחון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המדינה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ובביטחון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וכלה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בהחזקת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שפג</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תוקף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רישיונו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החמורות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ראתה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הפסיקה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במקרים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ביצוע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לשם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פיגועים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לתכלית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פליליות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ספציפיות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ולצורך</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החזקת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עת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מצוא</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כדי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לאפשר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פעילות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פלילית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עתידית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ולצבירת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כלי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רקע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פעילות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אידיאולוגית</w:t>
      </w:r>
      <w:r w:rsidRPr="000C261A">
        <w:rPr>
          <w:rFonts w:ascii="Franklin Gothic Medium" w:hAnsi="Franklin Gothic Medium" w:cs="FrankRuehl"/>
          <w:sz w:val="28"/>
          <w:szCs w:val="28"/>
          <w:rtl/>
        </w:rPr>
        <w:t xml:space="preserve"> (</w:t>
      </w:r>
      <w:hyperlink r:id="rId19" w:history="1">
        <w:r w:rsidRPr="000C261A">
          <w:rPr>
            <w:rFonts w:ascii="Franklin Gothic Medium" w:hAnsi="Franklin Gothic Medium" w:cs="FrankRuehl" w:hint="eastAsia"/>
            <w:color w:val="0000FF"/>
            <w:sz w:val="28"/>
            <w:szCs w:val="28"/>
            <w:u w:val="single"/>
            <w:rtl/>
          </w:rPr>
          <w:t>ב</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ש</w:t>
        </w:r>
        <w:r w:rsidRPr="000C261A">
          <w:rPr>
            <w:rFonts w:ascii="Franklin Gothic Medium" w:hAnsi="Franklin Gothic Medium" w:cs="FrankRuehl"/>
            <w:color w:val="0000FF"/>
            <w:sz w:val="28"/>
            <w:szCs w:val="28"/>
            <w:u w:val="single"/>
            <w:rtl/>
          </w:rPr>
          <w:t xml:space="preserve"> 625/82 </w:t>
        </w:r>
        <w:r w:rsidRPr="000C261A">
          <w:rPr>
            <w:rFonts w:ascii="Franklin Gothic Medium" w:hAnsi="Franklin Gothic Medium" w:cs="FrankRuehl" w:hint="eastAsia"/>
            <w:color w:val="0000FF"/>
            <w:sz w:val="28"/>
            <w:szCs w:val="28"/>
            <w:u w:val="single"/>
            <w:rtl/>
          </w:rPr>
          <w:t>אבו</w:t>
        </w:r>
        <w:r w:rsidRPr="000C261A">
          <w:rPr>
            <w:rFonts w:ascii="Franklin Gothic Medium" w:hAnsi="Franklin Gothic Medium" w:cs="FrankRuehl"/>
            <w:color w:val="0000FF"/>
            <w:sz w:val="28"/>
            <w:szCs w:val="28"/>
            <w:u w:val="single"/>
            <w:rtl/>
          </w:rPr>
          <w:t xml:space="preserve"> </w:t>
        </w:r>
        <w:r w:rsidRPr="000C261A">
          <w:rPr>
            <w:rFonts w:ascii="Franklin Gothic Medium" w:hAnsi="Franklin Gothic Medium" w:cs="FrankRuehl" w:hint="eastAsia"/>
            <w:color w:val="0000FF"/>
            <w:sz w:val="28"/>
            <w:szCs w:val="28"/>
            <w:u w:val="single"/>
            <w:rtl/>
          </w:rPr>
          <w:t>מוך</w:t>
        </w:r>
        <w:r w:rsidRPr="000C261A">
          <w:rPr>
            <w:rFonts w:ascii="Franklin Gothic Medium" w:hAnsi="Franklin Gothic Medium" w:cs="FrankRuehl"/>
            <w:color w:val="0000FF"/>
            <w:sz w:val="28"/>
            <w:szCs w:val="28"/>
            <w:u w:val="single"/>
            <w:rtl/>
          </w:rPr>
          <w:t xml:space="preserve"> </w:t>
        </w:r>
        <w:r w:rsidRPr="000C261A">
          <w:rPr>
            <w:rFonts w:ascii="Franklin Gothic Medium" w:hAnsi="Franklin Gothic Medium" w:cs="FrankRuehl" w:hint="eastAsia"/>
            <w:color w:val="0000FF"/>
            <w:sz w:val="28"/>
            <w:szCs w:val="28"/>
            <w:u w:val="single"/>
            <w:rtl/>
          </w:rPr>
          <w:t>נ</w:t>
        </w:r>
        <w:r w:rsidRPr="000C261A">
          <w:rPr>
            <w:rFonts w:ascii="Franklin Gothic Medium" w:hAnsi="Franklin Gothic Medium" w:cs="FrankRuehl"/>
            <w:color w:val="0000FF"/>
            <w:sz w:val="28"/>
            <w:szCs w:val="28"/>
            <w:u w:val="single"/>
            <w:rtl/>
          </w:rPr>
          <w:t xml:space="preserve">' </w:t>
        </w:r>
        <w:r w:rsidRPr="000C261A">
          <w:rPr>
            <w:rFonts w:ascii="Franklin Gothic Medium" w:hAnsi="Franklin Gothic Medium" w:cs="FrankRuehl" w:hint="eastAsia"/>
            <w:color w:val="0000FF"/>
            <w:sz w:val="28"/>
            <w:szCs w:val="28"/>
            <w:u w:val="single"/>
            <w:rtl/>
          </w:rPr>
          <w:t>מדינת</w:t>
        </w:r>
        <w:r w:rsidRPr="000C261A">
          <w:rPr>
            <w:rFonts w:ascii="Franklin Gothic Medium" w:hAnsi="Franklin Gothic Medium" w:cs="FrankRuehl"/>
            <w:color w:val="0000FF"/>
            <w:sz w:val="28"/>
            <w:szCs w:val="28"/>
            <w:u w:val="single"/>
            <w:rtl/>
          </w:rPr>
          <w:t xml:space="preserve"> </w:t>
        </w:r>
        <w:r w:rsidRPr="000C261A">
          <w:rPr>
            <w:rFonts w:ascii="Franklin Gothic Medium" w:hAnsi="Franklin Gothic Medium" w:cs="FrankRuehl" w:hint="eastAsia"/>
            <w:color w:val="0000FF"/>
            <w:sz w:val="28"/>
            <w:szCs w:val="28"/>
            <w:u w:val="single"/>
            <w:rtl/>
          </w:rPr>
          <w:t>ישראל</w:t>
        </w:r>
        <w:r w:rsidRPr="000C261A">
          <w:rPr>
            <w:rFonts w:ascii="Franklin Gothic Medium" w:hAnsi="Franklin Gothic Medium" w:cs="FrankRuehl"/>
            <w:color w:val="0000FF"/>
            <w:sz w:val="28"/>
            <w:szCs w:val="28"/>
            <w:u w:val="single"/>
            <w:rtl/>
          </w:rPr>
          <w:t xml:space="preserve">, </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ד</w:t>
        </w:r>
        <w:r w:rsidRPr="000C261A">
          <w:rPr>
            <w:rFonts w:ascii="Franklin Gothic Medium" w:hAnsi="Franklin Gothic Medium" w:cs="FrankRuehl"/>
            <w:color w:val="0000FF"/>
            <w:sz w:val="28"/>
            <w:szCs w:val="28"/>
            <w:u w:val="single"/>
            <w:rtl/>
          </w:rPr>
          <w:t xml:space="preserve"> </w:t>
        </w:r>
        <w:r w:rsidRPr="000C261A">
          <w:rPr>
            <w:rFonts w:ascii="Franklin Gothic Medium" w:hAnsi="Franklin Gothic Medium" w:cs="FrankRuehl" w:hint="eastAsia"/>
            <w:color w:val="0000FF"/>
            <w:sz w:val="28"/>
            <w:szCs w:val="28"/>
            <w:u w:val="single"/>
            <w:rtl/>
          </w:rPr>
          <w:t>לז</w:t>
        </w:r>
      </w:hyperlink>
      <w:r w:rsidRPr="000C261A">
        <w:rPr>
          <w:rFonts w:ascii="Franklin Gothic Medium" w:hAnsi="Franklin Gothic Medium" w:cs="FrankRuehl"/>
          <w:sz w:val="28"/>
          <w:szCs w:val="28"/>
          <w:rtl/>
        </w:rPr>
        <w:t xml:space="preserve">(3) 668 (1982)).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רקע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האמור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שיקולים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גמול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הוקעת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המעשים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הגנה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ביטחון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והרתעה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אפקטיבית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מחייבים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ככלל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הטלת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מאסר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בפועל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לריצוי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ממש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בגין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החזקת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ותחמושת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שלא</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כדין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גם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שזו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הרשעתו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הראשונה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ראו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למשל</w:t>
      </w:r>
      <w:r w:rsidRPr="000C261A">
        <w:rPr>
          <w:rFonts w:ascii="Franklin Gothic Medium" w:hAnsi="Franklin Gothic Medium" w:cs="FrankRuehl"/>
          <w:sz w:val="28"/>
          <w:szCs w:val="28"/>
          <w:rtl/>
        </w:rPr>
        <w:t xml:space="preserve">: </w:t>
      </w:r>
      <w:hyperlink r:id="rId20" w:history="1">
        <w:r w:rsidRPr="000C261A">
          <w:rPr>
            <w:rFonts w:ascii="Franklin Gothic Medium" w:hAnsi="Franklin Gothic Medium" w:cs="FrankRuehl" w:hint="eastAsia"/>
            <w:color w:val="0000FF"/>
            <w:sz w:val="28"/>
            <w:szCs w:val="28"/>
            <w:u w:val="single"/>
            <w:rtl/>
          </w:rPr>
          <w:t>רע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2718/04</w:t>
        </w:r>
      </w:hyperlink>
      <w:r w:rsidRPr="000C261A">
        <w:rPr>
          <w:rFonts w:ascii="Franklin Gothic Medium" w:hAnsi="Franklin Gothic Medium" w:cs="FrankRuehl"/>
          <w:sz w:val="28"/>
          <w:szCs w:val="28"/>
          <w:rtl/>
        </w:rPr>
        <w:t xml:space="preserve"> </w:t>
      </w:r>
      <w:r w:rsidRPr="000C261A">
        <w:rPr>
          <w:rFonts w:cs="Miriam"/>
          <w:rtl/>
        </w:rPr>
        <w:t>אבו דחאל נ' מדינת ישראל</w:t>
      </w:r>
      <w:r w:rsidRPr="000C261A">
        <w:rPr>
          <w:rFonts w:ascii="Franklin Gothic Medium" w:hAnsi="Franklin Gothic Medium" w:cs="FrankRuehl"/>
          <w:sz w:val="28"/>
          <w:szCs w:val="28"/>
          <w:rtl/>
        </w:rPr>
        <w:t xml:space="preserve"> (29.3.04); </w:t>
      </w:r>
      <w:hyperlink r:id="rId21" w:history="1">
        <w:r w:rsidRPr="000C261A">
          <w:rPr>
            <w:rFonts w:ascii="Franklin Gothic Medium" w:hAnsi="Franklin Gothic Medium" w:cs="FrankRuehl" w:hint="eastAsia"/>
            <w:color w:val="0000FF"/>
            <w:sz w:val="28"/>
            <w:szCs w:val="28"/>
            <w:u w:val="single"/>
            <w:rtl/>
          </w:rPr>
          <w:t>רע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5921/08</w:t>
        </w:r>
      </w:hyperlink>
      <w:r w:rsidRPr="000C261A">
        <w:rPr>
          <w:rFonts w:ascii="Franklin Gothic Medium" w:hAnsi="Franklin Gothic Medium" w:cs="FrankRuehl"/>
          <w:sz w:val="28"/>
          <w:szCs w:val="28"/>
          <w:rtl/>
        </w:rPr>
        <w:t xml:space="preserve"> </w:t>
      </w:r>
      <w:r w:rsidRPr="000C261A">
        <w:rPr>
          <w:rFonts w:cs="Miriam" w:hint="cs"/>
          <w:rtl/>
        </w:rPr>
        <w:t>רביע רג'בי</w:t>
      </w:r>
      <w:r w:rsidRPr="000C261A">
        <w:rPr>
          <w:rFonts w:cs="Miriam"/>
          <w:rtl/>
        </w:rPr>
        <w:t xml:space="preserve"> נ' מדינת ישראל</w:t>
      </w:r>
      <w:r w:rsidRPr="000C261A">
        <w:rPr>
          <w:rFonts w:ascii="Franklin Gothic Medium" w:hAnsi="Franklin Gothic Medium" w:cs="FrankRuehl"/>
          <w:sz w:val="28"/>
          <w:szCs w:val="28"/>
          <w:rtl/>
        </w:rPr>
        <w:t xml:space="preserve"> (6.5.09); </w:t>
      </w:r>
      <w:hyperlink r:id="rId22"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6583/06</w:t>
        </w:r>
      </w:hyperlink>
      <w:r w:rsidRPr="000C261A">
        <w:rPr>
          <w:rFonts w:ascii="Franklin Gothic Medium" w:hAnsi="Franklin Gothic Medium" w:cs="FrankRuehl"/>
          <w:sz w:val="28"/>
          <w:szCs w:val="28"/>
          <w:rtl/>
        </w:rPr>
        <w:t xml:space="preserve"> </w:t>
      </w:r>
      <w:r w:rsidRPr="000C261A">
        <w:rPr>
          <w:rFonts w:cs="Miriam"/>
          <w:rtl/>
        </w:rPr>
        <w:t>אדהאם נ' מדינת ישראל</w:t>
      </w:r>
      <w:r w:rsidRPr="000C261A">
        <w:rPr>
          <w:rFonts w:ascii="Franklin Gothic Medium" w:hAnsi="Franklin Gothic Medium" w:cs="FrankRuehl"/>
          <w:sz w:val="28"/>
          <w:szCs w:val="28"/>
          <w:rtl/>
        </w:rPr>
        <w:t xml:space="preserve"> (5.12.06); </w:t>
      </w:r>
      <w:hyperlink r:id="rId23"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5220/09</w:t>
        </w:r>
      </w:hyperlink>
      <w:r w:rsidRPr="000C261A">
        <w:rPr>
          <w:rFonts w:ascii="Franklin Gothic Medium" w:hAnsi="Franklin Gothic Medium" w:cs="FrankRuehl" w:hint="cs"/>
          <w:sz w:val="28"/>
          <w:szCs w:val="28"/>
          <w:rtl/>
        </w:rPr>
        <w:t xml:space="preserve"> בעניין</w:t>
      </w:r>
      <w:r w:rsidRPr="000C261A">
        <w:rPr>
          <w:rFonts w:ascii="Franklin Gothic Medium" w:hAnsi="Franklin Gothic Medium" w:cs="FrankRuehl"/>
          <w:sz w:val="28"/>
          <w:szCs w:val="28"/>
          <w:rtl/>
        </w:rPr>
        <w:t xml:space="preserve"> </w:t>
      </w:r>
      <w:r w:rsidRPr="000C261A">
        <w:rPr>
          <w:rFonts w:cs="Miriam"/>
          <w:rtl/>
        </w:rPr>
        <w:t>עוואודה</w:t>
      </w:r>
      <w:r w:rsidRPr="000C261A">
        <w:rPr>
          <w:rFonts w:ascii="Franklin Gothic Medium" w:hAnsi="Franklin Gothic Medium" w:cs="FrankRuehl" w:hint="cs"/>
          <w:sz w:val="28"/>
          <w:szCs w:val="28"/>
          <w:rtl/>
        </w:rPr>
        <w:t>, לעיל</w:t>
      </w:r>
      <w:r w:rsidRPr="000C261A">
        <w:rPr>
          <w:rFonts w:ascii="Franklin Gothic Medium" w:hAnsi="Franklin Gothic Medium" w:cs="FrankRuehl"/>
          <w:sz w:val="28"/>
          <w:szCs w:val="28"/>
          <w:rtl/>
        </w:rPr>
        <w:t xml:space="preserve">; </w:t>
      </w:r>
      <w:hyperlink r:id="rId24"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6294/10</w:t>
        </w:r>
      </w:hyperlink>
      <w:r w:rsidRPr="000C261A">
        <w:rPr>
          <w:rFonts w:ascii="Franklin Gothic Medium" w:hAnsi="Franklin Gothic Medium" w:cs="FrankRuehl"/>
          <w:sz w:val="28"/>
          <w:szCs w:val="28"/>
          <w:rtl/>
        </w:rPr>
        <w:t xml:space="preserve"> </w:t>
      </w:r>
      <w:r w:rsidRPr="000C261A">
        <w:rPr>
          <w:rFonts w:cs="Miriam"/>
          <w:rtl/>
        </w:rPr>
        <w:t>אלקיעאן נ' מדינת ישראל</w:t>
      </w:r>
      <w:r w:rsidRPr="000C261A">
        <w:rPr>
          <w:rFonts w:ascii="Franklin Gothic Medium" w:hAnsi="Franklin Gothic Medium" w:cs="FrankRuehl"/>
          <w:sz w:val="28"/>
          <w:szCs w:val="28"/>
          <w:rtl/>
        </w:rPr>
        <w:t xml:space="preserve"> (13.2.11); </w:t>
      </w:r>
      <w:hyperlink r:id="rId25"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5604/11</w:t>
        </w:r>
      </w:hyperlink>
      <w:r w:rsidRPr="000C261A">
        <w:rPr>
          <w:rFonts w:cs="FrankRuehl"/>
          <w:sz w:val="28"/>
          <w:szCs w:val="28"/>
          <w:rtl/>
        </w:rPr>
        <w:t xml:space="preserve"> </w:t>
      </w:r>
      <w:r w:rsidRPr="000C261A">
        <w:rPr>
          <w:rFonts w:cs="Miriam"/>
          <w:rtl/>
        </w:rPr>
        <w:t>נידאל נאסר נ' מדינת ישראל</w:t>
      </w:r>
      <w:r w:rsidRPr="000C261A">
        <w:rPr>
          <w:rFonts w:cs="FrankRuehl"/>
          <w:sz w:val="28"/>
          <w:szCs w:val="28"/>
          <w:rtl/>
        </w:rPr>
        <w:t xml:space="preserve"> (5.10.11); </w:t>
      </w:r>
      <w:hyperlink r:id="rId26" w:history="1">
        <w:r w:rsidRPr="000C261A">
          <w:rPr>
            <w:rFonts w:cs="FrankRuehl"/>
            <w:color w:val="0000FF"/>
            <w:sz w:val="28"/>
            <w:szCs w:val="28"/>
            <w:u w:val="single"/>
            <w:rtl/>
          </w:rPr>
          <w:t>ע"פ 2398/14</w:t>
        </w:r>
      </w:hyperlink>
      <w:r w:rsidRPr="000C261A">
        <w:rPr>
          <w:rFonts w:cs="FrankRuehl"/>
          <w:sz w:val="28"/>
          <w:szCs w:val="28"/>
          <w:rtl/>
        </w:rPr>
        <w:t xml:space="preserve"> </w:t>
      </w:r>
      <w:r w:rsidRPr="000C261A">
        <w:rPr>
          <w:rFonts w:cs="Miriam"/>
          <w:rtl/>
        </w:rPr>
        <w:t>אלהזייל</w:t>
      </w:r>
      <w:r w:rsidRPr="000C261A">
        <w:rPr>
          <w:rFonts w:cs="FrankRuehl"/>
          <w:sz w:val="28"/>
          <w:szCs w:val="28"/>
          <w:rtl/>
        </w:rPr>
        <w:t>, לעיל; ו</w:t>
      </w:r>
      <w:hyperlink r:id="rId27" w:history="1">
        <w:r w:rsidRPr="000C261A">
          <w:rPr>
            <w:rFonts w:cs="FrankRuehl"/>
            <w:color w:val="0000FF"/>
            <w:sz w:val="28"/>
            <w:szCs w:val="28"/>
            <w:u w:val="single"/>
            <w:rtl/>
          </w:rPr>
          <w:t>ע"פ 3288/14</w:t>
        </w:r>
      </w:hyperlink>
      <w:r w:rsidRPr="000C261A">
        <w:rPr>
          <w:rFonts w:cs="FrankRuehl"/>
          <w:sz w:val="28"/>
          <w:szCs w:val="28"/>
          <w:rtl/>
        </w:rPr>
        <w:t xml:space="preserve"> </w:t>
      </w:r>
      <w:r w:rsidRPr="000C261A">
        <w:rPr>
          <w:rFonts w:cs="Miriam"/>
          <w:rtl/>
        </w:rPr>
        <w:t>מדינת ישראל נ' קריספיל</w:t>
      </w:r>
      <w:r w:rsidRPr="000C261A">
        <w:rPr>
          <w:rFonts w:cs="FrankRuehl"/>
          <w:sz w:val="28"/>
          <w:szCs w:val="28"/>
          <w:rtl/>
        </w:rPr>
        <w:t xml:space="preserve"> (24.8.14)). </w:t>
      </w:r>
    </w:p>
    <w:p w14:paraId="055A5839" w14:textId="77777777" w:rsidR="00367DF8" w:rsidRPr="000C261A" w:rsidRDefault="00367DF8">
      <w:pPr>
        <w:spacing w:line="480" w:lineRule="auto"/>
        <w:jc w:val="both"/>
        <w:rPr>
          <w:rFonts w:ascii="Franklin Gothic Medium" w:hAnsi="Franklin Gothic Medium" w:cs="FrankRuehl"/>
          <w:sz w:val="28"/>
          <w:szCs w:val="28"/>
          <w:rtl/>
        </w:rPr>
      </w:pPr>
    </w:p>
    <w:p w14:paraId="75F73595" w14:textId="77777777" w:rsidR="00367DF8" w:rsidRPr="000C261A" w:rsidRDefault="000C261A">
      <w:pPr>
        <w:spacing w:line="480" w:lineRule="auto"/>
        <w:jc w:val="both"/>
        <w:rPr>
          <w:rFonts w:ascii="Franklin Gothic Medium" w:hAnsi="Franklin Gothic Medium" w:cs="FrankRuehl"/>
          <w:sz w:val="28"/>
          <w:szCs w:val="28"/>
          <w:rtl/>
        </w:rPr>
      </w:pPr>
      <w:r w:rsidRPr="000C261A">
        <w:rPr>
          <w:rFonts w:ascii="Franklin Gothic Medium" w:hAnsi="Franklin Gothic Medium" w:cs="FrankRuehl"/>
          <w:sz w:val="28"/>
          <w:szCs w:val="28"/>
          <w:rtl/>
        </w:rPr>
        <w:t>8.</w:t>
      </w:r>
      <w:r w:rsidRPr="000C261A">
        <w:rPr>
          <w:rFonts w:ascii="Franklin Gothic Medium" w:hAnsi="Franklin Gothic Medium" w:cs="FrankRuehl"/>
          <w:sz w:val="28"/>
          <w:szCs w:val="28"/>
          <w:rtl/>
        </w:rPr>
        <w:tab/>
      </w:r>
      <w:r w:rsidRPr="000C261A">
        <w:rPr>
          <w:rFonts w:ascii="Franklin Gothic Medium" w:hAnsi="Franklin Gothic Medium" w:cs="FrankRuehl" w:hint="eastAsia"/>
          <w:sz w:val="28"/>
          <w:szCs w:val="28"/>
          <w:rtl/>
        </w:rPr>
        <w:t>בהתאם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לתיקון</w:t>
      </w:r>
      <w:r w:rsidRPr="000C261A">
        <w:rPr>
          <w:rFonts w:ascii="Franklin Gothic Medium" w:hAnsi="Franklin Gothic Medium" w:cs="FrankRuehl"/>
          <w:sz w:val="28"/>
          <w:szCs w:val="28"/>
          <w:rtl/>
        </w:rPr>
        <w:t xml:space="preserve"> 113 </w:t>
      </w:r>
      <w:r w:rsidRPr="000C261A">
        <w:rPr>
          <w:rFonts w:ascii="Franklin Gothic Medium" w:hAnsi="Franklin Gothic Medium" w:cs="FrankRuehl" w:hint="eastAsia"/>
          <w:sz w:val="28"/>
          <w:szCs w:val="28"/>
          <w:rtl/>
        </w:rPr>
        <w:t>לחוק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בית</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המשפט</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לקבוע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בגזר</w:t>
      </w:r>
      <w:r w:rsidRPr="000C261A">
        <w:rPr>
          <w:rFonts w:ascii="Franklin Gothic Medium" w:hAnsi="Franklin Gothic Medium" w:cs="FrankRuehl"/>
          <w:sz w:val="28"/>
          <w:szCs w:val="28"/>
          <w:rtl/>
        </w:rPr>
        <w:t>-</w:t>
      </w:r>
      <w:r w:rsidRPr="000C261A">
        <w:rPr>
          <w:rFonts w:ascii="Franklin Gothic Medium" w:hAnsi="Franklin Gothic Medium" w:cs="FrankRuehl" w:hint="eastAsia"/>
          <w:sz w:val="28"/>
          <w:szCs w:val="28"/>
          <w:rtl/>
        </w:rPr>
        <w:t>הדין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מתחם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העונש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ההולם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זאת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בהתאם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לעיקרון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המנחה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לרמת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הנהוגה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ולנסיבות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הקשורות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בביצוע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העבירה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ובהמשך</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לגזור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העונש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המתאים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לנאשם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בגדרי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מתחם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ההולם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תוך</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התייחסות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שאינן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קשורות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לביצוע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העבירה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אגב</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אפשרות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לסטות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מהמתחם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בנסיבות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חריגות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שצוינו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בחוק</w:t>
      </w:r>
      <w:r w:rsidRPr="000C261A">
        <w:rPr>
          <w:rFonts w:ascii="Franklin Gothic Medium" w:hAnsi="Franklin Gothic Medium" w:cs="FrankRuehl"/>
          <w:sz w:val="28"/>
          <w:szCs w:val="28"/>
          <w:rtl/>
        </w:rPr>
        <w:t xml:space="preserve">. </w:t>
      </w:r>
    </w:p>
    <w:p w14:paraId="27CF7BC8" w14:textId="77777777" w:rsidR="00367DF8" w:rsidRPr="000C261A" w:rsidRDefault="00367DF8">
      <w:pPr>
        <w:spacing w:line="480" w:lineRule="auto"/>
        <w:jc w:val="both"/>
        <w:rPr>
          <w:rFonts w:ascii="Franklin Gothic Medium" w:hAnsi="Franklin Gothic Medium" w:cs="FrankRuehl"/>
          <w:sz w:val="28"/>
          <w:szCs w:val="28"/>
          <w:rtl/>
        </w:rPr>
      </w:pPr>
    </w:p>
    <w:p w14:paraId="5DCC7BCD" w14:textId="77777777" w:rsidR="004A3260" w:rsidRDefault="000C261A">
      <w:pPr>
        <w:spacing w:line="480" w:lineRule="auto"/>
        <w:jc w:val="both"/>
        <w:rPr>
          <w:rFonts w:ascii="Franklin Gothic Medium" w:hAnsi="Franklin Gothic Medium" w:cs="FrankRuehl"/>
          <w:sz w:val="28"/>
          <w:szCs w:val="28"/>
          <w:rtl/>
        </w:rPr>
      </w:pPr>
      <w:r w:rsidRPr="000C261A">
        <w:rPr>
          <w:rFonts w:ascii="Franklin Gothic Medium" w:hAnsi="Franklin Gothic Medium" w:cs="FrankRuehl"/>
          <w:sz w:val="28"/>
          <w:szCs w:val="28"/>
          <w:rtl/>
        </w:rPr>
        <w:tab/>
      </w:r>
      <w:r w:rsidRPr="000C261A">
        <w:rPr>
          <w:rFonts w:ascii="Franklin Gothic Medium" w:hAnsi="Franklin Gothic Medium" w:cs="FrankRuehl" w:hint="eastAsia"/>
          <w:sz w:val="28"/>
          <w:szCs w:val="28"/>
          <w:rtl/>
        </w:rPr>
        <w:t>בכל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הנוגע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לקביעת</w:t>
      </w:r>
      <w:r w:rsidRPr="000C261A">
        <w:rPr>
          <w:rFonts w:ascii="Franklin Gothic Medium" w:hAnsi="Franklin Gothic Medium" w:cs="FrankRuehl"/>
          <w:sz w:val="28"/>
          <w:szCs w:val="28"/>
          <w:rtl/>
        </w:rPr>
        <w:t xml:space="preserve"> </w:t>
      </w:r>
      <w:r w:rsidRPr="000C261A">
        <w:rPr>
          <w:rFonts w:cs="Miriam"/>
          <w:rtl/>
        </w:rPr>
        <w:t>מתחם הענישה ההולם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יש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להתחשב</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בערכים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החברתיים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שנפגעו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מביצוע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העבירה</w:t>
      </w:r>
      <w:r w:rsidRPr="000C261A">
        <w:rPr>
          <w:rFonts w:ascii="Franklin Gothic Medium" w:hAnsi="Franklin Gothic Medium" w:cs="FrankRuehl"/>
          <w:sz w:val="28"/>
          <w:szCs w:val="28"/>
          <w:rtl/>
        </w:rPr>
        <w:t xml:space="preserve"> – </w:t>
      </w:r>
      <w:r w:rsidRPr="000C261A">
        <w:rPr>
          <w:rFonts w:ascii="Franklin Gothic Medium" w:hAnsi="Franklin Gothic Medium" w:cs="FrankRuehl" w:hint="eastAsia"/>
          <w:sz w:val="28"/>
          <w:szCs w:val="28"/>
          <w:rtl/>
        </w:rPr>
        <w:t>שמירת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החיים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ושלמות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הגוף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וההגנה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שלום</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וביטחונו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יש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להביא</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בחשבון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הסיכון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הרב</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הנשקף</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לציבור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הנשק</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והצורך</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בהחמרה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בענישה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בעבירות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אלו</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כפי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שתואר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בסקירת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הרקע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המשפטי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לעיל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ואת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העונש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המֵרבי</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שנקצב</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בצד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העבירה</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אשר</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עומד</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על</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שבע</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שנות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מאסר</w:t>
      </w:r>
      <w:r w:rsidRPr="000C261A">
        <w:rPr>
          <w:rFonts w:ascii="Franklin Gothic Medium" w:hAnsi="Franklin Gothic Medium" w:cs="FrankRuehl"/>
          <w:sz w:val="28"/>
          <w:szCs w:val="28"/>
          <w:rtl/>
        </w:rPr>
        <w:t xml:space="preserve"> – </w:t>
      </w:r>
      <w:r w:rsidRPr="000C261A">
        <w:rPr>
          <w:rFonts w:ascii="Franklin Gothic Medium" w:hAnsi="Franklin Gothic Medium" w:cs="FrankRuehl" w:hint="eastAsia"/>
          <w:sz w:val="28"/>
          <w:szCs w:val="28"/>
          <w:rtl/>
        </w:rPr>
        <w:t>בגין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cs"/>
          <w:sz w:val="28"/>
          <w:szCs w:val="28"/>
          <w:rtl/>
        </w:rPr>
        <w:t>ה</w:t>
      </w:r>
      <w:r w:rsidRPr="000C261A">
        <w:rPr>
          <w:rFonts w:ascii="Franklin Gothic Medium" w:hAnsi="Franklin Gothic Medium" w:cs="FrankRuehl" w:hint="eastAsia"/>
          <w:sz w:val="28"/>
          <w:szCs w:val="28"/>
          <w:rtl/>
        </w:rPr>
        <w:t>חזקת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האקדח</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ושלוש</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שנות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מאסר</w:t>
      </w:r>
      <w:r w:rsidRPr="000C261A">
        <w:rPr>
          <w:rFonts w:ascii="Franklin Gothic Medium" w:hAnsi="Franklin Gothic Medium" w:cs="FrankRuehl"/>
          <w:sz w:val="28"/>
          <w:szCs w:val="28"/>
          <w:rtl/>
        </w:rPr>
        <w:t xml:space="preserve"> – </w:t>
      </w:r>
      <w:r w:rsidRPr="000C261A">
        <w:rPr>
          <w:rFonts w:ascii="Franklin Gothic Medium" w:hAnsi="Franklin Gothic Medium" w:cs="FrankRuehl" w:hint="eastAsia"/>
          <w:sz w:val="28"/>
          <w:szCs w:val="28"/>
          <w:rtl/>
        </w:rPr>
        <w:t>בגין</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החזקת</w:t>
      </w:r>
      <w:r w:rsidRPr="000C261A">
        <w:rPr>
          <w:rFonts w:ascii="Franklin Gothic Medium" w:hAnsi="Franklin Gothic Medium" w:cs="FrankRuehl"/>
          <w:sz w:val="28"/>
          <w:szCs w:val="28"/>
          <w:rtl/>
        </w:rPr>
        <w:t xml:space="preserve"> </w:t>
      </w:r>
      <w:r w:rsidRPr="000C261A">
        <w:rPr>
          <w:rFonts w:ascii="Franklin Gothic Medium" w:hAnsi="Franklin Gothic Medium" w:cs="FrankRuehl" w:hint="eastAsia"/>
          <w:sz w:val="28"/>
          <w:szCs w:val="28"/>
          <w:rtl/>
        </w:rPr>
        <w:t>המחסנית</w:t>
      </w:r>
      <w:bookmarkStart w:id="7" w:name="LawTable"/>
      <w:bookmarkEnd w:id="7"/>
    </w:p>
    <w:p w14:paraId="08B640A4" w14:textId="77777777" w:rsidR="004A3260" w:rsidRPr="004A3260" w:rsidRDefault="004A3260" w:rsidP="004A3260">
      <w:pPr>
        <w:spacing w:after="120" w:line="240" w:lineRule="exact"/>
        <w:ind w:left="283" w:hanging="283"/>
        <w:jc w:val="both"/>
        <w:rPr>
          <w:rFonts w:ascii="FrankRuehl" w:hAnsi="FrankRuehl" w:cs="FrankRuehl"/>
          <w:rtl/>
        </w:rPr>
      </w:pPr>
    </w:p>
    <w:p w14:paraId="52DA8CE6" w14:textId="77777777" w:rsidR="004A3260" w:rsidRPr="004A3260" w:rsidRDefault="004A3260" w:rsidP="004A3260">
      <w:pPr>
        <w:spacing w:after="120" w:line="240" w:lineRule="exact"/>
        <w:ind w:left="283" w:hanging="283"/>
        <w:jc w:val="both"/>
        <w:rPr>
          <w:rFonts w:ascii="FrankRuehl" w:hAnsi="FrankRuehl" w:cs="FrankRuehl"/>
          <w:rtl/>
        </w:rPr>
      </w:pPr>
    </w:p>
    <w:p w14:paraId="255C2BAC" w14:textId="77777777" w:rsidR="000C261A" w:rsidRPr="000C261A" w:rsidRDefault="000C261A" w:rsidP="000C261A">
      <w:pPr>
        <w:spacing w:line="480" w:lineRule="auto"/>
        <w:jc w:val="center"/>
        <w:rPr>
          <w:rFonts w:ascii="Franklin Gothic Medium" w:hAnsi="Franklin Gothic Medium" w:cs="FrankRuehl"/>
          <w:bCs/>
          <w:sz w:val="28"/>
          <w:szCs w:val="28"/>
          <w:rtl/>
        </w:rPr>
      </w:pPr>
      <w:bookmarkStart w:id="8" w:name="LawTable_End"/>
      <w:bookmarkEnd w:id="0"/>
      <w:bookmarkEnd w:id="8"/>
      <w:r w:rsidRPr="000C261A">
        <w:rPr>
          <w:rFonts w:ascii="Franklin Gothic Medium" w:hAnsi="Franklin Gothic Medium" w:cs="FrankRuehl" w:hint="eastAsia"/>
          <w:bCs/>
          <w:sz w:val="28"/>
          <w:szCs w:val="28"/>
          <w:rtl/>
        </w:rPr>
        <w:t>והתחמושת</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בנוסף</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יש</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להתחשב</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בנסיבות</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הקשורות</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בביצוע</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העבירה</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עת</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החזיק</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הנאשם</w:t>
      </w:r>
      <w:r w:rsidRPr="000C261A">
        <w:rPr>
          <w:rFonts w:ascii="Franklin Gothic Medium" w:hAnsi="Franklin Gothic Medium" w:cs="FrankRuehl"/>
          <w:bCs/>
          <w:sz w:val="28"/>
          <w:szCs w:val="28"/>
          <w:rtl/>
        </w:rPr>
        <w:t xml:space="preserve"> </w:t>
      </w:r>
      <w:r w:rsidRPr="000C261A">
        <w:rPr>
          <w:rFonts w:ascii="Franklin Gothic Medium" w:hAnsi="Franklin Gothic Medium" w:cs="FrankRuehl" w:hint="eastAsia"/>
          <w:bCs/>
          <w:sz w:val="28"/>
          <w:szCs w:val="28"/>
          <w:rtl/>
        </w:rPr>
        <w:t>ברכבו</w:t>
      </w:r>
    </w:p>
    <w:p w14:paraId="5C043056" w14:textId="77777777" w:rsidR="00367DF8" w:rsidRDefault="000C261A">
      <w:p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בסמוך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לבית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המשמש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כמקום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למשחקי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הימורים</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אקדח</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שתי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מחסנית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w:t>
      </w:r>
      <w:r>
        <w:rPr>
          <w:rFonts w:ascii="Franklin Gothic Medium" w:hAnsi="Franklin Gothic Medium" w:cs="FrankRuehl"/>
          <w:sz w:val="28"/>
          <w:szCs w:val="28"/>
          <w:rtl/>
        </w:rPr>
        <w:t xml:space="preserve">-31 </w:t>
      </w:r>
      <w:r>
        <w:rPr>
          <w:rFonts w:ascii="Franklin Gothic Medium" w:hAnsi="Franklin Gothic Medium" w:cs="FrankRuehl" w:hint="eastAsia"/>
          <w:sz w:val="28"/>
          <w:szCs w:val="28"/>
          <w:rtl/>
        </w:rPr>
        <w:t>כדורים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כשהנשק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היה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טעון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ושעה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שהלה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החזיק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ובתחמושת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במשך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מספר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ימים</w:t>
      </w:r>
      <w:r>
        <w:rPr>
          <w:rFonts w:ascii="Franklin Gothic Medium" w:hAnsi="Franklin Gothic Medium" w:cs="FrankRuehl"/>
          <w:sz w:val="28"/>
          <w:szCs w:val="28"/>
          <w:rtl/>
        </w:rPr>
        <w:t xml:space="preserve">. </w:t>
      </w:r>
    </w:p>
    <w:p w14:paraId="27BF3EB1" w14:textId="77777777" w:rsidR="00367DF8" w:rsidRDefault="00367DF8">
      <w:pPr>
        <w:spacing w:line="480" w:lineRule="auto"/>
        <w:jc w:val="both"/>
        <w:rPr>
          <w:rFonts w:ascii="Franklin Gothic Medium" w:hAnsi="Franklin Gothic Medium" w:cs="FrankRuehl"/>
          <w:sz w:val="28"/>
          <w:szCs w:val="28"/>
          <w:rtl/>
        </w:rPr>
      </w:pPr>
    </w:p>
    <w:p w14:paraId="6ED4D1E8" w14:textId="77777777" w:rsidR="00367DF8" w:rsidRDefault="000C261A">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כאן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המקום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לציין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עתרה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המאשימה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cs="Miriam"/>
          <w:rtl/>
        </w:rPr>
        <w:t>החזקת 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קרי</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בין</w:t>
      </w:r>
      <w:r>
        <w:rPr>
          <w:rFonts w:ascii="Franklin Gothic Medium" w:hAnsi="Franklin Gothic Medium" w:cs="FrankRuehl"/>
          <w:sz w:val="28"/>
          <w:szCs w:val="28"/>
          <w:rtl/>
        </w:rPr>
        <w:t xml:space="preserve"> 18 </w:t>
      </w:r>
      <w:r>
        <w:rPr>
          <w:rFonts w:ascii="Franklin Gothic Medium" w:hAnsi="Franklin Gothic Medium" w:cs="FrankRuehl" w:hint="eastAsia"/>
          <w:sz w:val="28"/>
          <w:szCs w:val="28"/>
          <w:rtl/>
        </w:rPr>
        <w:t>ל</w:t>
      </w:r>
      <w:r>
        <w:rPr>
          <w:rFonts w:ascii="Franklin Gothic Medium" w:hAnsi="Franklin Gothic Medium" w:cs="FrankRuehl"/>
          <w:sz w:val="28"/>
          <w:szCs w:val="28"/>
          <w:rtl/>
        </w:rPr>
        <w:t xml:space="preserve">-36 </w:t>
      </w:r>
      <w:r>
        <w:rPr>
          <w:rFonts w:ascii="Franklin Gothic Medium" w:hAnsi="Franklin Gothic Medium" w:cs="FrankRuehl" w:hint="eastAsia"/>
          <w:sz w:val="28"/>
          <w:szCs w:val="28"/>
          <w:rtl/>
        </w:rPr>
        <w:t>חודשים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אינו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מתיישב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מדיניות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הנוהגת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כפי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שהיא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משתקפת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בפסיקת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בית</w:t>
      </w:r>
      <w:r>
        <w:rPr>
          <w:rFonts w:ascii="Franklin Gothic Medium" w:hAnsi="Franklin Gothic Medium" w:cs="FrankRuehl"/>
          <w:sz w:val="28"/>
          <w:szCs w:val="28"/>
          <w:rtl/>
        </w:rPr>
        <w:t>-</w:t>
      </w:r>
      <w:r>
        <w:rPr>
          <w:rFonts w:ascii="Franklin Gothic Medium" w:hAnsi="Franklin Gothic Medium" w:cs="FrankRuehl" w:hint="eastAsia"/>
          <w:sz w:val="28"/>
          <w:szCs w:val="28"/>
          <w:rtl/>
        </w:rPr>
        <w:t>המשפט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העליון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בפסיקת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נקבע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 xml:space="preserve"> </w:t>
      </w:r>
      <w:r>
        <w:rPr>
          <w:rFonts w:cs="Miriam"/>
          <w:rtl/>
        </w:rPr>
        <w:t>בעבירות של החזקת נשק אגב ביצוע עבירת נוספת של נשיאת 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בין</w:t>
      </w:r>
      <w:r>
        <w:rPr>
          <w:rFonts w:ascii="Franklin Gothic Medium" w:hAnsi="Franklin Gothic Medium" w:cs="FrankRuehl"/>
          <w:sz w:val="28"/>
          <w:szCs w:val="28"/>
          <w:rtl/>
        </w:rPr>
        <w:t xml:space="preserve"> 12 </w:t>
      </w:r>
      <w:r>
        <w:rPr>
          <w:rFonts w:ascii="Franklin Gothic Medium" w:hAnsi="Franklin Gothic Medium" w:cs="FrankRuehl" w:hint="eastAsia"/>
          <w:sz w:val="28"/>
          <w:szCs w:val="28"/>
          <w:rtl/>
        </w:rPr>
        <w:t>ל</w:t>
      </w:r>
      <w:r>
        <w:rPr>
          <w:rFonts w:ascii="Franklin Gothic Medium" w:hAnsi="Franklin Gothic Medium" w:cs="FrankRuehl"/>
          <w:sz w:val="28"/>
          <w:szCs w:val="28"/>
          <w:rtl/>
        </w:rPr>
        <w:t xml:space="preserve">-36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ראו</w:t>
      </w:r>
      <w:r>
        <w:rPr>
          <w:rFonts w:ascii="Franklin Gothic Medium" w:hAnsi="Franklin Gothic Medium" w:cs="FrankRuehl"/>
          <w:sz w:val="28"/>
          <w:szCs w:val="28"/>
          <w:rtl/>
        </w:rPr>
        <w:t xml:space="preserve">: </w:t>
      </w:r>
      <w:hyperlink r:id="rId28" w:history="1">
        <w:r w:rsidRPr="000C261A">
          <w:rPr>
            <w:rFonts w:ascii="Franklin Gothic Medium" w:hAnsi="Franklin Gothic Medium" w:cs="FrankRuehl" w:hint="eastAsia"/>
            <w:color w:val="0000FF"/>
            <w:sz w:val="28"/>
            <w:szCs w:val="28"/>
            <w:u w:val="single"/>
            <w:rtl/>
          </w:rPr>
          <w:t>ע</w:t>
        </w:r>
        <w:r w:rsidRPr="000C261A">
          <w:rPr>
            <w:rFonts w:ascii="Franklin Gothic Medium" w:hAnsi="Franklin Gothic Medium" w:cs="FrankRuehl"/>
            <w:color w:val="0000FF"/>
            <w:sz w:val="28"/>
            <w:szCs w:val="28"/>
            <w:u w:val="single"/>
            <w:rtl/>
          </w:rPr>
          <w:t>"</w:t>
        </w:r>
        <w:r w:rsidRPr="000C261A">
          <w:rPr>
            <w:rFonts w:ascii="Franklin Gothic Medium" w:hAnsi="Franklin Gothic Medium" w:cs="FrankRuehl" w:hint="eastAsia"/>
            <w:color w:val="0000FF"/>
            <w:sz w:val="28"/>
            <w:szCs w:val="28"/>
            <w:u w:val="single"/>
            <w:rtl/>
          </w:rPr>
          <w:t>פ</w:t>
        </w:r>
        <w:r w:rsidRPr="000C261A">
          <w:rPr>
            <w:rFonts w:ascii="Franklin Gothic Medium" w:hAnsi="Franklin Gothic Medium" w:cs="FrankRuehl"/>
            <w:color w:val="0000FF"/>
            <w:sz w:val="28"/>
            <w:szCs w:val="28"/>
            <w:u w:val="single"/>
            <w:rtl/>
          </w:rPr>
          <w:t xml:space="preserve"> 4945/13</w:t>
        </w:r>
      </w:hyperlink>
      <w:r>
        <w:rPr>
          <w:rFonts w:ascii="Franklin Gothic Medium" w:hAnsi="Franklin Gothic Medium" w:cs="FrankRuehl"/>
          <w:sz w:val="28"/>
          <w:szCs w:val="28"/>
          <w:rtl/>
        </w:rPr>
        <w:t xml:space="preserve"> </w:t>
      </w:r>
      <w:r>
        <w:rPr>
          <w:rFonts w:cs="Miriam"/>
          <w:rtl/>
        </w:rPr>
        <w:t>מדינת ישראל נ' סלימאן</w:t>
      </w:r>
      <w:r>
        <w:rPr>
          <w:rFonts w:ascii="Franklin Gothic Medium" w:hAnsi="Franklin Gothic Medium" w:cs="FrankRuehl"/>
          <w:sz w:val="28"/>
          <w:szCs w:val="28"/>
          <w:rtl/>
        </w:rPr>
        <w:t xml:space="preserve"> (19.1.14), </w:t>
      </w:r>
      <w:r>
        <w:rPr>
          <w:rFonts w:ascii="Franklin Gothic Medium" w:hAnsi="Franklin Gothic Medium" w:cs="FrankRuehl" w:hint="eastAsia"/>
          <w:sz w:val="28"/>
          <w:szCs w:val="28"/>
          <w:rtl/>
        </w:rPr>
        <w:t>והאסמכתאות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המצוינות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ואולם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בכל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הנוגע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cs="Miriam"/>
          <w:rtl/>
        </w:rPr>
        <w:t>החזקת 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אמור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להיות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ברף</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נמוך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יותר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כפי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שעולה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מפסיקת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בית</w:t>
      </w:r>
      <w:r>
        <w:rPr>
          <w:rFonts w:ascii="Franklin Gothic Medium" w:hAnsi="Franklin Gothic Medium" w:cs="FrankRuehl"/>
          <w:sz w:val="28"/>
          <w:szCs w:val="28"/>
          <w:rtl/>
        </w:rPr>
        <w:t>-</w:t>
      </w:r>
      <w:r>
        <w:rPr>
          <w:rFonts w:ascii="Franklin Gothic Medium" w:hAnsi="Franklin Gothic Medium" w:cs="FrankRuehl" w:hint="eastAsia"/>
          <w:sz w:val="28"/>
          <w:szCs w:val="28"/>
          <w:rtl/>
        </w:rPr>
        <w:t>המשפט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העליון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שצוינה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לעיל</w:t>
      </w:r>
      <w:r>
        <w:rPr>
          <w:rFonts w:ascii="Franklin Gothic Medium" w:hAnsi="Franklin Gothic Medium" w:cs="FrankRuehl"/>
          <w:sz w:val="28"/>
          <w:szCs w:val="28"/>
          <w:rtl/>
        </w:rPr>
        <w:t xml:space="preserve">, </w:t>
      </w:r>
      <w:r>
        <w:rPr>
          <w:rFonts w:cs="Miriam"/>
          <w:rtl/>
        </w:rPr>
        <w:t>מדיניות הענישה הנוהגת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בעניינם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נאשמים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נעדרי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הרשעות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קודמות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החזקת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הדומות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לעניינו</w:t>
      </w:r>
      <w:r>
        <w:rPr>
          <w:rFonts w:ascii="Franklin Gothic Medium" w:hAnsi="Franklin Gothic Medium" w:cs="FrankRuehl"/>
          <w:sz w:val="28"/>
          <w:szCs w:val="28"/>
          <w:rtl/>
        </w:rPr>
        <w:t xml:space="preserve"> – </w:t>
      </w:r>
      <w:r>
        <w:rPr>
          <w:rFonts w:cs="Miriam"/>
          <w:rtl/>
        </w:rPr>
        <w:t>במובחן ממתחם הענישה ההולם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מצביעה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מגמה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הטלת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בפועל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לריצוי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ממש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מתקופות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ספורים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ועד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לתקופה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כשנה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וחצי</w:t>
      </w:r>
      <w:r>
        <w:rPr>
          <w:rFonts w:ascii="Franklin Gothic Medium" w:hAnsi="Franklin Gothic Medium" w:cs="FrankRuehl"/>
          <w:sz w:val="28"/>
          <w:szCs w:val="28"/>
          <w:rtl/>
        </w:rPr>
        <w:t>.</w:t>
      </w:r>
    </w:p>
    <w:p w14:paraId="7585A7AA" w14:textId="77777777" w:rsidR="00367DF8" w:rsidRDefault="00367DF8">
      <w:pPr>
        <w:spacing w:line="480" w:lineRule="auto"/>
        <w:jc w:val="both"/>
        <w:rPr>
          <w:rFonts w:ascii="Franklin Gothic Medium" w:hAnsi="Franklin Gothic Medium" w:cs="FrankRuehl"/>
          <w:sz w:val="28"/>
          <w:szCs w:val="28"/>
          <w:rtl/>
        </w:rPr>
      </w:pPr>
    </w:p>
    <w:p w14:paraId="237E24AA" w14:textId="77777777" w:rsidR="00367DF8" w:rsidRDefault="000C261A">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בהתחשב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בעקרון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ההלימה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בפגיעה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בערכים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המוגנים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ביצוע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שתוארו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לעיל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וכן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במדיניות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הנוהגת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החזקת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אקדח</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ותחמושת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סבורני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בענייננו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בין</w:t>
      </w:r>
      <w:r>
        <w:rPr>
          <w:rFonts w:ascii="Franklin Gothic Medium" w:hAnsi="Franklin Gothic Medium" w:cs="FrankRuehl"/>
          <w:sz w:val="28"/>
          <w:szCs w:val="28"/>
          <w:rtl/>
        </w:rPr>
        <w:t xml:space="preserve"> 8 </w:t>
      </w:r>
      <w:r>
        <w:rPr>
          <w:rFonts w:ascii="Franklin Gothic Medium" w:hAnsi="Franklin Gothic Medium" w:cs="FrankRuehl" w:hint="eastAsia"/>
          <w:sz w:val="28"/>
          <w:szCs w:val="28"/>
          <w:rtl/>
        </w:rPr>
        <w:t>ל</w:t>
      </w:r>
      <w:r>
        <w:rPr>
          <w:rFonts w:ascii="Franklin Gothic Medium" w:hAnsi="Franklin Gothic Medium" w:cs="FrankRuehl"/>
          <w:sz w:val="28"/>
          <w:szCs w:val="28"/>
          <w:rtl/>
        </w:rPr>
        <w:t xml:space="preserve">-24 </w:t>
      </w:r>
      <w:r>
        <w:rPr>
          <w:rFonts w:ascii="Franklin Gothic Medium" w:hAnsi="Franklin Gothic Medium" w:cs="FrankRuehl" w:hint="eastAsia"/>
          <w:sz w:val="28"/>
          <w:szCs w:val="28"/>
          <w:rtl/>
        </w:rPr>
        <w:t>חודשים</w:t>
      </w:r>
      <w:r>
        <w:rPr>
          <w:rFonts w:ascii="Franklin Gothic Medium" w:hAnsi="Franklin Gothic Medium" w:cs="FrankRuehl"/>
          <w:sz w:val="28"/>
          <w:szCs w:val="28"/>
          <w:rtl/>
        </w:rPr>
        <w:t xml:space="preserve">. </w:t>
      </w:r>
    </w:p>
    <w:p w14:paraId="395143A2" w14:textId="77777777" w:rsidR="00367DF8" w:rsidRDefault="00367DF8">
      <w:pPr>
        <w:spacing w:line="480" w:lineRule="auto"/>
        <w:jc w:val="both"/>
        <w:rPr>
          <w:rFonts w:ascii="Franklin Gothic Medium" w:hAnsi="Franklin Gothic Medium" w:cs="FrankRuehl"/>
          <w:sz w:val="28"/>
          <w:szCs w:val="28"/>
          <w:rtl/>
        </w:rPr>
      </w:pPr>
    </w:p>
    <w:p w14:paraId="7D9C6854" w14:textId="77777777" w:rsidR="00367DF8" w:rsidRDefault="000C261A">
      <w:pPr>
        <w:spacing w:line="480" w:lineRule="auto"/>
        <w:jc w:val="both"/>
        <w:rPr>
          <w:rFonts w:ascii="Franklin Gothic Medium" w:hAnsi="Franklin Gothic Medium" w:cs="FrankRuehl"/>
          <w:sz w:val="28"/>
          <w:szCs w:val="28"/>
          <w:rtl/>
        </w:rPr>
      </w:pPr>
      <w:r>
        <w:rPr>
          <w:rFonts w:ascii="Franklin Gothic Medium" w:hAnsi="Franklin Gothic Medium" w:cs="FrankRuehl"/>
          <w:sz w:val="28"/>
          <w:szCs w:val="28"/>
          <w:rtl/>
        </w:rPr>
        <w:tab/>
      </w:r>
      <w:r>
        <w:rPr>
          <w:rFonts w:cs="Miriam"/>
          <w:rtl/>
        </w:rPr>
        <w:t>ומכאן לעונש המתאים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בגזירת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המתאים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שאינן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קשורות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בביצוע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בענייננו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לקולא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בהודאתו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שחסכה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זמן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שיפוטי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בחרטה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שהביע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מעשיו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בנסיבותיו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האישיות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שצוינו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בתסקירי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המבחן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ובטיעוני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הסנגור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בתפקודו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הנורמטיבי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פרט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למעידה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הפלילית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הנדונה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ובעובדה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שהלה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היה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נתון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במעצר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במשך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שבועיים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ולאחר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מכן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מעצר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במשך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כחמישה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מעצר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חלקי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היום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אלו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המתאים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יהיה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ברף</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התחתון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w:t>
      </w:r>
    </w:p>
    <w:p w14:paraId="745B4D7B" w14:textId="77777777" w:rsidR="00367DF8" w:rsidRDefault="00367DF8">
      <w:pPr>
        <w:spacing w:line="480" w:lineRule="auto"/>
        <w:jc w:val="both"/>
        <w:rPr>
          <w:rFonts w:ascii="Franklin Gothic Medium" w:hAnsi="Franklin Gothic Medium" w:cs="FrankRuehl"/>
          <w:sz w:val="28"/>
          <w:szCs w:val="28"/>
          <w:rtl/>
        </w:rPr>
      </w:pPr>
    </w:p>
    <w:p w14:paraId="6DB86855" w14:textId="77777777" w:rsidR="00367DF8" w:rsidRDefault="000C261A">
      <w:pPr>
        <w:spacing w:line="480" w:lineRule="auto"/>
        <w:jc w:val="both"/>
        <w:rPr>
          <w:rFonts w:ascii="Franklin Gothic Medium" w:hAnsi="Franklin Gothic Medium" w:cs="FrankRuehl"/>
          <w:sz w:val="28"/>
          <w:szCs w:val="28"/>
          <w:rtl/>
        </w:rPr>
      </w:pPr>
      <w:r>
        <w:rPr>
          <w:rFonts w:ascii="Franklin Gothic Medium" w:hAnsi="Franklin Gothic Medium" w:cs="FrankRuehl" w:hint="cs"/>
          <w:sz w:val="28"/>
          <w:szCs w:val="28"/>
          <w:rtl/>
        </w:rPr>
        <w:t>9</w:t>
      </w:r>
      <w:r>
        <w:rPr>
          <w:rFonts w:ascii="Franklin Gothic Medium" w:hAnsi="Franklin Gothic Medium" w:cs="FrankRuehl"/>
          <w:sz w:val="28"/>
          <w:szCs w:val="28"/>
          <w:rtl/>
        </w:rPr>
        <w:t>.</w:t>
      </w:r>
      <w:r>
        <w:rPr>
          <w:rFonts w:ascii="Franklin Gothic Medium" w:hAnsi="Franklin Gothic Medium" w:cs="FrankRuehl"/>
          <w:sz w:val="28"/>
          <w:szCs w:val="28"/>
          <w:rtl/>
        </w:rPr>
        <w:tab/>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האמור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לעיל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במכלול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טיעוני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הצדדים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לחומרה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ולקולא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כדלהלן</w:t>
      </w:r>
      <w:r>
        <w:rPr>
          <w:rFonts w:ascii="Franklin Gothic Medium" w:hAnsi="Franklin Gothic Medium" w:cs="FrankRuehl"/>
          <w:sz w:val="28"/>
          <w:szCs w:val="28"/>
          <w:rtl/>
        </w:rPr>
        <w:t>:</w:t>
      </w:r>
    </w:p>
    <w:p w14:paraId="5687806F" w14:textId="77777777" w:rsidR="00367DF8" w:rsidRDefault="00367DF8">
      <w:pPr>
        <w:spacing w:line="480" w:lineRule="auto"/>
        <w:jc w:val="both"/>
        <w:rPr>
          <w:rFonts w:ascii="Franklin Gothic Medium" w:hAnsi="Franklin Gothic Medium" w:cs="FrankRuehl"/>
          <w:sz w:val="28"/>
          <w:szCs w:val="28"/>
          <w:rtl/>
        </w:rPr>
      </w:pPr>
    </w:p>
    <w:p w14:paraId="27571065" w14:textId="77777777" w:rsidR="00367DF8" w:rsidRDefault="000C261A">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א</w:t>
      </w:r>
      <w:r>
        <w:rPr>
          <w:rFonts w:ascii="Franklin Gothic Medium" w:hAnsi="Franklin Gothic Medium" w:cs="FrankRuehl"/>
          <w:sz w:val="28"/>
          <w:szCs w:val="28"/>
          <w:rtl/>
        </w:rPr>
        <w:t>.</w:t>
      </w:r>
      <w:r>
        <w:rPr>
          <w:rFonts w:ascii="Franklin Gothic Medium" w:hAnsi="Franklin Gothic Medium" w:cs="FrankRuehl"/>
          <w:sz w:val="28"/>
          <w:szCs w:val="28"/>
          <w:rtl/>
        </w:rPr>
        <w:tab/>
      </w:r>
      <w:r>
        <w:rPr>
          <w:rFonts w:ascii="Franklin Gothic Medium" w:hAnsi="Franklin Gothic Medium" w:cs="FrankRuehl" w:hint="eastAsia"/>
          <w:sz w:val="28"/>
          <w:szCs w:val="28"/>
          <w:rtl/>
        </w:rPr>
        <w:t>לשמונה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בפועל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בניכוי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תקופת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מעצרו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מיום</w:t>
      </w:r>
      <w:r>
        <w:rPr>
          <w:rFonts w:ascii="Franklin Gothic Medium" w:hAnsi="Franklin Gothic Medium" w:cs="FrankRuehl"/>
          <w:sz w:val="28"/>
          <w:szCs w:val="28"/>
          <w:rtl/>
        </w:rPr>
        <w:t xml:space="preserve"> 31.1.13 </w:t>
      </w:r>
      <w:r>
        <w:rPr>
          <w:rFonts w:ascii="Franklin Gothic Medium" w:hAnsi="Franklin Gothic Medium" w:cs="FrankRuehl" w:hint="eastAsia"/>
          <w:sz w:val="28"/>
          <w:szCs w:val="28"/>
          <w:rtl/>
        </w:rPr>
        <w:t>עד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ליום</w:t>
      </w:r>
      <w:r>
        <w:rPr>
          <w:rFonts w:ascii="Franklin Gothic Medium" w:hAnsi="Franklin Gothic Medium" w:cs="FrankRuehl"/>
          <w:sz w:val="28"/>
          <w:szCs w:val="28"/>
          <w:rtl/>
        </w:rPr>
        <w:t xml:space="preserve"> 15.2.13.  </w:t>
      </w:r>
    </w:p>
    <w:p w14:paraId="521CC603" w14:textId="77777777" w:rsidR="00367DF8" w:rsidRDefault="000C261A">
      <w:pPr>
        <w:spacing w:line="480" w:lineRule="auto"/>
        <w:ind w:left="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ב</w:t>
      </w:r>
      <w:r>
        <w:rPr>
          <w:rFonts w:ascii="Franklin Gothic Medium" w:hAnsi="Franklin Gothic Medium" w:cs="FrankRuehl"/>
          <w:sz w:val="28"/>
          <w:szCs w:val="28"/>
          <w:rtl/>
        </w:rPr>
        <w:t>.</w:t>
      </w:r>
      <w:r>
        <w:rPr>
          <w:rFonts w:ascii="Franklin Gothic Medium" w:hAnsi="Franklin Gothic Medium" w:cs="FrankRuehl"/>
          <w:sz w:val="28"/>
          <w:szCs w:val="28"/>
          <w:rtl/>
        </w:rPr>
        <w:tab/>
      </w:r>
      <w:r>
        <w:rPr>
          <w:rFonts w:ascii="Franklin Gothic Medium" w:hAnsi="Franklin Gothic Medium" w:cs="FrankRuehl" w:hint="eastAsia"/>
          <w:sz w:val="28"/>
          <w:szCs w:val="28"/>
          <w:rtl/>
        </w:rPr>
        <w:t>לשמונה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יעבור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מיום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שחרורו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מהמאסר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מסוג</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פשע</w:t>
      </w:r>
      <w:r>
        <w:rPr>
          <w:rFonts w:ascii="Franklin Gothic Medium" w:hAnsi="Franklin Gothic Medium" w:cs="FrankRuehl"/>
          <w:sz w:val="28"/>
          <w:szCs w:val="28"/>
          <w:rtl/>
        </w:rPr>
        <w:t xml:space="preserve">. </w:t>
      </w:r>
    </w:p>
    <w:p w14:paraId="34E53A55" w14:textId="77777777" w:rsidR="00367DF8" w:rsidRDefault="00367DF8">
      <w:pPr>
        <w:spacing w:line="480" w:lineRule="auto"/>
        <w:jc w:val="both"/>
        <w:rPr>
          <w:rFonts w:cs="FrankRuehl"/>
          <w:sz w:val="28"/>
          <w:szCs w:val="28"/>
          <w:rtl/>
        </w:rPr>
      </w:pPr>
    </w:p>
    <w:p w14:paraId="58FB8F2B" w14:textId="77777777" w:rsidR="00367DF8" w:rsidRDefault="000C261A">
      <w:pPr>
        <w:spacing w:line="480" w:lineRule="auto"/>
        <w:jc w:val="both"/>
        <w:rPr>
          <w:rFonts w:cs="FrankRuehl"/>
          <w:sz w:val="28"/>
          <w:szCs w:val="28"/>
          <w:rtl/>
        </w:rPr>
      </w:pPr>
      <w:r>
        <w:rPr>
          <w:rFonts w:cs="FrankRuehl"/>
          <w:sz w:val="28"/>
          <w:szCs w:val="28"/>
          <w:rtl/>
        </w:rPr>
        <w:tab/>
        <w:t xml:space="preserve"> האקדח, המחסניות והתחמושת יחולטו למדינה.</w:t>
      </w:r>
    </w:p>
    <w:p w14:paraId="45B0389E" w14:textId="77777777" w:rsidR="00367DF8" w:rsidRDefault="00367DF8">
      <w:pPr>
        <w:spacing w:line="480" w:lineRule="auto"/>
        <w:jc w:val="both"/>
        <w:rPr>
          <w:rFonts w:cs="FrankRuehl"/>
          <w:sz w:val="28"/>
          <w:szCs w:val="28"/>
          <w:rtl/>
        </w:rPr>
      </w:pPr>
    </w:p>
    <w:p w14:paraId="1478D0A1" w14:textId="77777777" w:rsidR="00367DF8" w:rsidRDefault="000C261A">
      <w:pPr>
        <w:spacing w:line="480" w:lineRule="auto"/>
        <w:jc w:val="both"/>
        <w:rPr>
          <w:rFonts w:cs="FrankRuehl"/>
          <w:sz w:val="28"/>
          <w:szCs w:val="28"/>
          <w:rtl/>
        </w:rPr>
      </w:pPr>
      <w:r>
        <w:rPr>
          <w:rFonts w:cs="FrankRuehl"/>
          <w:sz w:val="28"/>
          <w:szCs w:val="28"/>
          <w:rtl/>
        </w:rPr>
        <w:tab/>
      </w:r>
      <w:r>
        <w:rPr>
          <w:rFonts w:cs="FrankRuehl"/>
          <w:b/>
          <w:bCs/>
          <w:sz w:val="28"/>
          <w:szCs w:val="28"/>
          <w:rtl/>
        </w:rPr>
        <w:t>זכות ערעור לבית-המשפט העליון בתוך 45 יום מהיום</w:t>
      </w:r>
      <w:r>
        <w:rPr>
          <w:rFonts w:cs="FrankRuehl"/>
          <w:sz w:val="28"/>
          <w:szCs w:val="28"/>
          <w:rtl/>
        </w:rPr>
        <w:t>.</w:t>
      </w:r>
    </w:p>
    <w:p w14:paraId="79E8720C" w14:textId="77777777" w:rsidR="00367DF8" w:rsidRDefault="00367DF8">
      <w:pPr>
        <w:spacing w:line="480" w:lineRule="auto"/>
        <w:jc w:val="both"/>
        <w:rPr>
          <w:rFonts w:cs="FrankRuehl"/>
          <w:sz w:val="28"/>
          <w:szCs w:val="28"/>
          <w:rtl/>
        </w:rPr>
      </w:pPr>
    </w:p>
    <w:p w14:paraId="656C3416" w14:textId="77777777" w:rsidR="00367DF8" w:rsidRDefault="000C261A">
      <w:pPr>
        <w:spacing w:line="480" w:lineRule="auto"/>
        <w:jc w:val="both"/>
        <w:rPr>
          <w:rFonts w:cs="FrankRuehl"/>
          <w:sz w:val="28"/>
          <w:szCs w:val="28"/>
        </w:rPr>
      </w:pPr>
      <w:r w:rsidRPr="000C261A">
        <w:rPr>
          <w:rFonts w:cs="FrankRuehl"/>
          <w:color w:val="FFFFFF"/>
          <w:sz w:val="2"/>
          <w:szCs w:val="2"/>
          <w:rtl/>
        </w:rPr>
        <w:t>5129371</w:t>
      </w:r>
      <w:r>
        <w:rPr>
          <w:rFonts w:cs="FrankRuehl"/>
          <w:sz w:val="28"/>
          <w:szCs w:val="28"/>
          <w:rtl/>
        </w:rPr>
        <w:t xml:space="preserve"> ניתן היום, כ"ג בכסלו התשע"ה, 15 בדצמבר 2014, בנוכחות ב"כ המאשימה, הנאשם </w:t>
      </w:r>
      <w:r>
        <w:rPr>
          <w:rFonts w:cs="FrankRuehl" w:hint="cs"/>
          <w:b/>
          <w:bCs/>
          <w:sz w:val="28"/>
          <w:szCs w:val="28"/>
          <w:rtl/>
        </w:rPr>
        <w:t>ובא-כוחו ומתורגמן בית-המשפט לשפה הערבית</w:t>
      </w:r>
      <w:r>
        <w:rPr>
          <w:rFonts w:cs="FrankRuehl" w:hint="cs"/>
          <w:sz w:val="28"/>
          <w:szCs w:val="28"/>
          <w:rtl/>
        </w:rPr>
        <w:t xml:space="preserve">.  </w:t>
      </w:r>
    </w:p>
    <w:tbl>
      <w:tblPr>
        <w:tblpPr w:leftFromText="180" w:rightFromText="180" w:vertAnchor="text" w:horzAnchor="margin" w:tblpY="563"/>
        <w:bidiVisual/>
        <w:tblW w:w="0" w:type="auto"/>
        <w:tblLook w:val="01E0" w:firstRow="1" w:lastRow="1" w:firstColumn="1" w:lastColumn="1" w:noHBand="0" w:noVBand="0"/>
      </w:tblPr>
      <w:tblGrid>
        <w:gridCol w:w="2520"/>
      </w:tblGrid>
      <w:tr w:rsidR="00367DF8" w14:paraId="2A75CD4A" w14:textId="77777777">
        <w:trPr>
          <w:trHeight w:val="1438"/>
        </w:trPr>
        <w:tc>
          <w:tcPr>
            <w:tcW w:w="2520" w:type="dxa"/>
            <w:tcBorders>
              <w:top w:val="nil"/>
              <w:left w:val="nil"/>
              <w:bottom w:val="single" w:sz="4" w:space="0" w:color="auto"/>
              <w:right w:val="nil"/>
            </w:tcBorders>
            <w:vAlign w:val="center"/>
          </w:tcPr>
          <w:p w14:paraId="03172868" w14:textId="77777777" w:rsidR="00367DF8" w:rsidRPr="000C261A" w:rsidRDefault="000C261A">
            <w:pPr>
              <w:jc w:val="center"/>
              <w:rPr>
                <w:rFonts w:ascii="Courier New" w:hAnsi="Courier New"/>
                <w:b/>
                <w:bCs/>
                <w:color w:val="FFFFFF"/>
                <w:sz w:val="2"/>
                <w:szCs w:val="2"/>
              </w:rPr>
            </w:pPr>
            <w:r w:rsidRPr="000C261A">
              <w:rPr>
                <w:rFonts w:ascii="Courier New" w:hAnsi="Courier New"/>
                <w:b/>
                <w:bCs/>
                <w:color w:val="FFFFFF"/>
                <w:sz w:val="2"/>
                <w:szCs w:val="2"/>
                <w:rtl/>
              </w:rPr>
              <w:t>54678313</w:t>
            </w:r>
          </w:p>
        </w:tc>
      </w:tr>
      <w:tr w:rsidR="00367DF8" w14:paraId="3D7DBE7E" w14:textId="77777777">
        <w:trPr>
          <w:trHeight w:val="527"/>
        </w:trPr>
        <w:tc>
          <w:tcPr>
            <w:tcW w:w="2520" w:type="dxa"/>
            <w:tcBorders>
              <w:top w:val="single" w:sz="4" w:space="0" w:color="auto"/>
              <w:left w:val="nil"/>
              <w:bottom w:val="nil"/>
              <w:right w:val="nil"/>
            </w:tcBorders>
          </w:tcPr>
          <w:p w14:paraId="04514982" w14:textId="77777777" w:rsidR="00367DF8" w:rsidRDefault="000C261A">
            <w:pPr>
              <w:jc w:val="center"/>
              <w:rPr>
                <w:rFonts w:cs="FrankRuehl"/>
                <w:b/>
                <w:bCs/>
                <w:sz w:val="28"/>
                <w:szCs w:val="28"/>
              </w:rPr>
            </w:pPr>
            <w:r>
              <w:rPr>
                <w:rFonts w:cs="FrankRuehl" w:hint="cs"/>
                <w:b/>
                <w:bCs/>
                <w:sz w:val="28"/>
                <w:szCs w:val="28"/>
                <w:rtl/>
              </w:rPr>
              <w:t>יורם נועם, שופט</w:t>
            </w:r>
          </w:p>
        </w:tc>
      </w:tr>
    </w:tbl>
    <w:p w14:paraId="1C01BF71" w14:textId="77777777" w:rsidR="00367DF8" w:rsidRDefault="00367DF8">
      <w:pPr>
        <w:spacing w:line="480" w:lineRule="auto"/>
        <w:jc w:val="both"/>
        <w:rPr>
          <w:rFonts w:cs="FrankRuehl"/>
          <w:sz w:val="28"/>
          <w:szCs w:val="28"/>
        </w:rPr>
      </w:pPr>
    </w:p>
    <w:p w14:paraId="0A1A1976" w14:textId="77777777" w:rsidR="00367DF8" w:rsidRDefault="00367DF8">
      <w:pPr>
        <w:jc w:val="center"/>
        <w:rPr>
          <w:rtl/>
        </w:rPr>
      </w:pPr>
    </w:p>
    <w:p w14:paraId="264F7B51" w14:textId="77777777" w:rsidR="00367DF8" w:rsidRDefault="00367DF8">
      <w:pPr>
        <w:spacing w:line="480" w:lineRule="auto"/>
        <w:jc w:val="both"/>
        <w:rPr>
          <w:rFonts w:cs="FrankRuehl"/>
          <w:sz w:val="28"/>
          <w:szCs w:val="28"/>
          <w:rtl/>
        </w:rPr>
      </w:pPr>
    </w:p>
    <w:p w14:paraId="523A95C9" w14:textId="77777777" w:rsidR="000C261A" w:rsidRPr="004A3260" w:rsidRDefault="004A3260" w:rsidP="000C261A">
      <w:pPr>
        <w:keepNext/>
        <w:rPr>
          <w:rFonts w:ascii="David" w:hAnsi="David"/>
          <w:color w:val="FFFFFF"/>
          <w:sz w:val="2"/>
          <w:szCs w:val="2"/>
          <w:rtl/>
        </w:rPr>
      </w:pPr>
      <w:r w:rsidRPr="004A3260">
        <w:rPr>
          <w:rFonts w:ascii="David" w:hAnsi="David"/>
          <w:color w:val="FFFFFF"/>
          <w:sz w:val="2"/>
          <w:szCs w:val="2"/>
          <w:rtl/>
        </w:rPr>
        <w:t>5129371</w:t>
      </w:r>
    </w:p>
    <w:p w14:paraId="2C91252D" w14:textId="77777777" w:rsidR="000C261A" w:rsidRDefault="000C261A" w:rsidP="000C261A">
      <w:r w:rsidRPr="000C261A">
        <w:rPr>
          <w:color w:val="000000"/>
          <w:rtl/>
        </w:rPr>
        <w:t>נוסח מסמך זה כפוף לשינויי ניסוח ועריכה</w:t>
      </w:r>
    </w:p>
    <w:p w14:paraId="574BEB10" w14:textId="77777777" w:rsidR="000C261A" w:rsidRDefault="000C261A" w:rsidP="000C261A">
      <w:pPr>
        <w:rPr>
          <w:rtl/>
        </w:rPr>
      </w:pPr>
    </w:p>
    <w:p w14:paraId="1685BC1A" w14:textId="77777777" w:rsidR="000C261A" w:rsidRDefault="000C261A" w:rsidP="000C261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38DEB84" w14:textId="77777777" w:rsidR="004A3260" w:rsidRPr="004A3260" w:rsidRDefault="004A3260" w:rsidP="004A3260">
      <w:pPr>
        <w:keepNext/>
        <w:rPr>
          <w:rFonts w:ascii="David" w:hAnsi="David"/>
          <w:color w:val="000000"/>
          <w:sz w:val="22"/>
          <w:szCs w:val="22"/>
          <w:rtl/>
        </w:rPr>
      </w:pPr>
    </w:p>
    <w:p w14:paraId="1690F807" w14:textId="77777777" w:rsidR="004A3260" w:rsidRPr="004A3260" w:rsidRDefault="004A3260" w:rsidP="004A3260">
      <w:pPr>
        <w:keepNext/>
        <w:rPr>
          <w:rFonts w:ascii="David" w:hAnsi="David"/>
          <w:color w:val="000000"/>
          <w:sz w:val="22"/>
          <w:szCs w:val="22"/>
          <w:rtl/>
        </w:rPr>
      </w:pPr>
      <w:r w:rsidRPr="004A3260">
        <w:rPr>
          <w:rFonts w:ascii="David" w:hAnsi="David"/>
          <w:color w:val="000000"/>
          <w:sz w:val="22"/>
          <w:szCs w:val="22"/>
          <w:rtl/>
        </w:rPr>
        <w:t>י' נועם 54678313-/</w:t>
      </w:r>
    </w:p>
    <w:sectPr w:rsidR="004A3260" w:rsidRPr="004A3260" w:rsidSect="004A3260">
      <w:headerReference w:type="even" r:id="rId30"/>
      <w:headerReference w:type="default" r:id="rId31"/>
      <w:footerReference w:type="even" r:id="rId32"/>
      <w:footerReference w:type="default" r:id="rId3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C3A00" w14:textId="77777777" w:rsidR="00912C68" w:rsidRPr="00BB4371" w:rsidRDefault="00912C68">
      <w:pPr>
        <w:rPr>
          <w:rFonts w:cs="Arial"/>
          <w:szCs w:val="20"/>
        </w:rPr>
      </w:pPr>
      <w:r>
        <w:separator/>
      </w:r>
    </w:p>
  </w:endnote>
  <w:endnote w:type="continuationSeparator" w:id="0">
    <w:p w14:paraId="310585BF" w14:textId="77777777" w:rsidR="00912C68" w:rsidRPr="00BB4371" w:rsidRDefault="00912C6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9DA07" w14:textId="77777777" w:rsidR="004A3260" w:rsidRDefault="004A3260" w:rsidP="004A32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3AE2604" w14:textId="77777777" w:rsidR="00367DF8" w:rsidRPr="004A3260" w:rsidRDefault="004A3260" w:rsidP="004A3260">
    <w:pPr>
      <w:pStyle w:val="a5"/>
      <w:pBdr>
        <w:top w:val="single" w:sz="4" w:space="1" w:color="auto"/>
        <w:between w:val="single" w:sz="4" w:space="0" w:color="auto"/>
      </w:pBdr>
      <w:spacing w:after="60"/>
      <w:jc w:val="center"/>
      <w:rPr>
        <w:rFonts w:ascii="FrankRuehl" w:hAnsi="FrankRuehl" w:cs="FrankRuehl"/>
        <w:color w:val="000000"/>
      </w:rPr>
    </w:pPr>
    <w:r w:rsidRPr="004A32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353EC" w14:textId="77777777" w:rsidR="004A3260" w:rsidRDefault="004A3260" w:rsidP="004A32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5E76">
      <w:rPr>
        <w:rFonts w:ascii="FrankRuehl" w:hAnsi="FrankRuehl" w:cs="FrankRuehl"/>
        <w:rtl/>
      </w:rPr>
      <w:t>1</w:t>
    </w:r>
    <w:r>
      <w:rPr>
        <w:rFonts w:ascii="FrankRuehl" w:hAnsi="FrankRuehl" w:cs="FrankRuehl"/>
        <w:rtl/>
      </w:rPr>
      <w:fldChar w:fldCharType="end"/>
    </w:r>
  </w:p>
  <w:p w14:paraId="54A74A6B" w14:textId="77777777" w:rsidR="00367DF8" w:rsidRPr="004A3260" w:rsidRDefault="004A3260" w:rsidP="004A3260">
    <w:pPr>
      <w:pStyle w:val="a5"/>
      <w:pBdr>
        <w:top w:val="single" w:sz="4" w:space="1" w:color="auto"/>
        <w:between w:val="single" w:sz="4" w:space="0" w:color="auto"/>
      </w:pBdr>
      <w:spacing w:after="60"/>
      <w:jc w:val="center"/>
      <w:rPr>
        <w:rFonts w:ascii="FrankRuehl" w:hAnsi="FrankRuehl" w:cs="FrankRuehl"/>
        <w:color w:val="000000"/>
      </w:rPr>
    </w:pPr>
    <w:r w:rsidRPr="004A3260">
      <w:rPr>
        <w:rFonts w:ascii="FrankRuehl" w:hAnsi="FrankRuehl" w:cs="FrankRuehl"/>
        <w:color w:val="000000"/>
      </w:rPr>
      <w:pict w14:anchorId="1F4DA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AA60E" w14:textId="77777777" w:rsidR="00912C68" w:rsidRPr="00BB4371" w:rsidRDefault="00912C68">
      <w:pPr>
        <w:rPr>
          <w:rFonts w:cs="Arial"/>
          <w:szCs w:val="20"/>
        </w:rPr>
      </w:pPr>
      <w:r>
        <w:separator/>
      </w:r>
    </w:p>
  </w:footnote>
  <w:footnote w:type="continuationSeparator" w:id="0">
    <w:p w14:paraId="63653341" w14:textId="77777777" w:rsidR="00912C68" w:rsidRPr="00BB4371" w:rsidRDefault="00912C6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DA161" w14:textId="77777777" w:rsidR="000C261A" w:rsidRPr="004A3260" w:rsidRDefault="004A3260" w:rsidP="004A32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13481-02-13</w:t>
    </w:r>
    <w:r>
      <w:rPr>
        <w:rFonts w:ascii="David" w:hAnsi="David"/>
        <w:color w:val="000000"/>
        <w:sz w:val="22"/>
        <w:szCs w:val="22"/>
        <w:rtl/>
      </w:rPr>
      <w:tab/>
      <w:t xml:space="preserve"> מדינת ישראל נ' מחמד אבו סנינה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A415" w14:textId="77777777" w:rsidR="000C261A" w:rsidRPr="004A3260" w:rsidRDefault="004A3260" w:rsidP="004A32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13481-02-13</w:t>
    </w:r>
    <w:r>
      <w:rPr>
        <w:rFonts w:ascii="David" w:hAnsi="David"/>
        <w:color w:val="000000"/>
        <w:sz w:val="22"/>
        <w:szCs w:val="22"/>
        <w:rtl/>
      </w:rPr>
      <w:tab/>
      <w:t xml:space="preserve"> מדינת ישראל נ' מחמד אבו סנינה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7DF8"/>
    <w:rsid w:val="000C261A"/>
    <w:rsid w:val="00367DF8"/>
    <w:rsid w:val="004A3260"/>
    <w:rsid w:val="007E2482"/>
    <w:rsid w:val="00912C68"/>
    <w:rsid w:val="00DF7EEB"/>
    <w:rsid w:val="00EC5E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3B0922"/>
  <w15:chartTrackingRefBased/>
  <w15:docId w15:val="{799A9146-A8D6-464A-8EBC-83E304EE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7DF8"/>
    <w:pPr>
      <w:bidi/>
    </w:pPr>
    <w:rPr>
      <w:rFonts w:cs="David"/>
      <w:noProof/>
      <w:sz w:val="24"/>
      <w:szCs w:val="24"/>
    </w:rPr>
  </w:style>
  <w:style w:type="paragraph" w:styleId="4">
    <w:name w:val="heading 4"/>
    <w:basedOn w:val="a"/>
    <w:next w:val="a"/>
    <w:qFormat/>
    <w:rsid w:val="00367DF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67DF8"/>
    <w:pPr>
      <w:tabs>
        <w:tab w:val="center" w:pos="4153"/>
        <w:tab w:val="right" w:pos="8306"/>
      </w:tabs>
    </w:pPr>
  </w:style>
  <w:style w:type="paragraph" w:styleId="a5">
    <w:name w:val="footer"/>
    <w:basedOn w:val="a"/>
    <w:rsid w:val="00367DF8"/>
    <w:pPr>
      <w:tabs>
        <w:tab w:val="center" w:pos="4153"/>
        <w:tab w:val="right" w:pos="8306"/>
      </w:tabs>
    </w:pPr>
  </w:style>
  <w:style w:type="paragraph" w:customStyle="1" w:styleId="a6">
    <w:name w:val="סעיפים"/>
    <w:basedOn w:val="a"/>
    <w:rsid w:val="00367DF8"/>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367DF8"/>
    <w:rPr>
      <w:rFonts w:cs="Times New Roman"/>
      <w:noProof w:val="0"/>
    </w:rPr>
  </w:style>
  <w:style w:type="character" w:styleId="a8">
    <w:name w:val="annotation reference"/>
    <w:basedOn w:val="a0"/>
    <w:rsid w:val="00367DF8"/>
    <w:rPr>
      <w:sz w:val="16"/>
      <w:szCs w:val="16"/>
    </w:rPr>
  </w:style>
  <w:style w:type="paragraph" w:styleId="a9">
    <w:name w:val="Balloon Text"/>
    <w:basedOn w:val="a"/>
    <w:rsid w:val="00367DF8"/>
    <w:rPr>
      <w:rFonts w:ascii="Tahoma" w:hAnsi="Tahoma" w:cs="Tahoma"/>
      <w:sz w:val="16"/>
      <w:szCs w:val="16"/>
    </w:rPr>
  </w:style>
  <w:style w:type="table" w:styleId="aa">
    <w:name w:val="Table Grid"/>
    <w:basedOn w:val="a1"/>
    <w:rsid w:val="00367DF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367DF8"/>
  </w:style>
  <w:style w:type="character" w:styleId="ac">
    <w:name w:val="page number"/>
    <w:basedOn w:val="a0"/>
    <w:rsid w:val="00367DF8"/>
  </w:style>
  <w:style w:type="table" w:customStyle="1" w:styleId="1">
    <w:name w:val="טבלת רשת1"/>
    <w:basedOn w:val="a1"/>
    <w:next w:val="aa"/>
    <w:rsid w:val="00367DF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
    <w:name w:val="סגנון (לטיני) Arial מיושר לשני הצדדים מרווח בין שורות:  שורה וחצי"/>
    <w:basedOn w:val="a"/>
    <w:rsid w:val="00367DF8"/>
    <w:pPr>
      <w:spacing w:line="480" w:lineRule="auto"/>
      <w:jc w:val="both"/>
    </w:pPr>
    <w:rPr>
      <w:rFonts w:ascii="Arial" w:hAnsi="Arial" w:cs="FrankRuehl"/>
      <w:szCs w:val="28"/>
    </w:rPr>
  </w:style>
  <w:style w:type="paragraph" w:customStyle="1" w:styleId="Arial0">
    <w:name w:val="סגנון (לטיני) Arial מיושר לשני הצדדים מרווח בין שורות:  כפול"/>
    <w:basedOn w:val="a"/>
    <w:rsid w:val="00367DF8"/>
    <w:pPr>
      <w:spacing w:line="480" w:lineRule="auto"/>
      <w:jc w:val="both"/>
    </w:pPr>
    <w:rPr>
      <w:rFonts w:ascii="Arial" w:hAnsi="Arial" w:cs="FrankRuehl"/>
      <w:szCs w:val="28"/>
    </w:rPr>
  </w:style>
  <w:style w:type="character" w:customStyle="1" w:styleId="PlaceholderText">
    <w:name w:val="Placeholder Text"/>
    <w:basedOn w:val="a0"/>
    <w:rsid w:val="00367DF8"/>
    <w:rPr>
      <w:color w:val="808080"/>
    </w:rPr>
  </w:style>
  <w:style w:type="character" w:customStyle="1" w:styleId="a4">
    <w:name w:val="כותרת עליונה תו"/>
    <w:basedOn w:val="a0"/>
    <w:link w:val="a3"/>
    <w:locked/>
    <w:rsid w:val="00367DF8"/>
    <w:rPr>
      <w:rFonts w:cs="David"/>
      <w:noProof/>
      <w:sz w:val="24"/>
      <w:szCs w:val="24"/>
      <w:lang w:val="en-US" w:eastAsia="en-US" w:bidi="he-IL"/>
    </w:rPr>
  </w:style>
  <w:style w:type="character" w:styleId="Hyperlink">
    <w:name w:val="Hyperlink"/>
    <w:basedOn w:val="a0"/>
    <w:rsid w:val="000C2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21327" TargetMode="External"/><Relationship Id="rId18" Type="http://schemas.openxmlformats.org/officeDocument/2006/relationships/hyperlink" Target="http://www.nevo.co.il/case/13093744" TargetMode="External"/><Relationship Id="rId26" Type="http://schemas.openxmlformats.org/officeDocument/2006/relationships/hyperlink" Target="http://www.nevo.co.il/case/13093744" TargetMode="External"/><Relationship Id="rId3" Type="http://schemas.openxmlformats.org/officeDocument/2006/relationships/webSettings" Target="webSettings.xml"/><Relationship Id="rId21" Type="http://schemas.openxmlformats.org/officeDocument/2006/relationships/hyperlink" Target="http://www.nevo.co.il/case/6040482" TargetMode="External"/><Relationship Id="rId34" Type="http://schemas.openxmlformats.org/officeDocument/2006/relationships/fontTable" Target="fontTable.xml"/><Relationship Id="rId7" Type="http://schemas.openxmlformats.org/officeDocument/2006/relationships/hyperlink" Target="http://www.nevo.co.il/law/70301/144.a"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6171019" TargetMode="External"/><Relationship Id="rId25" Type="http://schemas.openxmlformats.org/officeDocument/2006/relationships/hyperlink" Target="http://www.nevo.co.il/case/6024035"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859902" TargetMode="External"/><Relationship Id="rId20" Type="http://schemas.openxmlformats.org/officeDocument/2006/relationships/hyperlink" Target="http://www.nevo.co.il/case/5852404"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05875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764932"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7791493"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7929065"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6000182" TargetMode="External"/><Relationship Id="rId22" Type="http://schemas.openxmlformats.org/officeDocument/2006/relationships/hyperlink" Target="http://www.nevo.co.il/case/6072945" TargetMode="External"/><Relationship Id="rId27" Type="http://schemas.openxmlformats.org/officeDocument/2006/relationships/hyperlink" Target="http://www.nevo.co.il/case/1691373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2060</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12339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3670132</vt:i4>
      </vt:variant>
      <vt:variant>
        <vt:i4>63</vt:i4>
      </vt:variant>
      <vt:variant>
        <vt:i4>0</vt:i4>
      </vt:variant>
      <vt:variant>
        <vt:i4>5</vt:i4>
      </vt:variant>
      <vt:variant>
        <vt:lpwstr>http://www.nevo.co.il/case/16913730</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3211379</vt:i4>
      </vt:variant>
      <vt:variant>
        <vt:i4>57</vt:i4>
      </vt:variant>
      <vt:variant>
        <vt:i4>0</vt:i4>
      </vt:variant>
      <vt:variant>
        <vt:i4>5</vt:i4>
      </vt:variant>
      <vt:variant>
        <vt:lpwstr>http://www.nevo.co.il/case/6024035</vt:lpwstr>
      </vt:variant>
      <vt:variant>
        <vt:lpwstr/>
      </vt:variant>
      <vt:variant>
        <vt:i4>3342457</vt:i4>
      </vt:variant>
      <vt:variant>
        <vt:i4>54</vt:i4>
      </vt:variant>
      <vt:variant>
        <vt:i4>0</vt:i4>
      </vt:variant>
      <vt:variant>
        <vt:i4>5</vt:i4>
      </vt:variant>
      <vt:variant>
        <vt:lpwstr>http://www.nevo.co.il/case/6058757</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3997810</vt:i4>
      </vt:variant>
      <vt:variant>
        <vt:i4>48</vt:i4>
      </vt:variant>
      <vt:variant>
        <vt:i4>0</vt:i4>
      </vt:variant>
      <vt:variant>
        <vt:i4>5</vt:i4>
      </vt:variant>
      <vt:variant>
        <vt:lpwstr>http://www.nevo.co.il/case/6072945</vt:lpwstr>
      </vt:variant>
      <vt:variant>
        <vt:lpwstr/>
      </vt:variant>
      <vt:variant>
        <vt:i4>3407996</vt:i4>
      </vt:variant>
      <vt:variant>
        <vt:i4>45</vt:i4>
      </vt:variant>
      <vt:variant>
        <vt:i4>0</vt:i4>
      </vt:variant>
      <vt:variant>
        <vt:i4>5</vt:i4>
      </vt:variant>
      <vt:variant>
        <vt:lpwstr>http://www.nevo.co.il/case/6040482</vt:lpwstr>
      </vt:variant>
      <vt:variant>
        <vt:lpwstr/>
      </vt:variant>
      <vt:variant>
        <vt:i4>3145854</vt:i4>
      </vt:variant>
      <vt:variant>
        <vt:i4>42</vt:i4>
      </vt:variant>
      <vt:variant>
        <vt:i4>0</vt:i4>
      </vt:variant>
      <vt:variant>
        <vt:i4>5</vt:i4>
      </vt:variant>
      <vt:variant>
        <vt:lpwstr>http://www.nevo.co.il/case/5852404</vt:lpwstr>
      </vt:variant>
      <vt:variant>
        <vt:lpwstr/>
      </vt:variant>
      <vt:variant>
        <vt:i4>3604593</vt:i4>
      </vt:variant>
      <vt:variant>
        <vt:i4>39</vt:i4>
      </vt:variant>
      <vt:variant>
        <vt:i4>0</vt:i4>
      </vt:variant>
      <vt:variant>
        <vt:i4>5</vt:i4>
      </vt:variant>
      <vt:variant>
        <vt:lpwstr>http://www.nevo.co.il/case/17929065</vt:lpwstr>
      </vt:variant>
      <vt:variant>
        <vt:lpwstr/>
      </vt:variant>
      <vt:variant>
        <vt:i4>3539065</vt:i4>
      </vt:variant>
      <vt:variant>
        <vt:i4>36</vt:i4>
      </vt:variant>
      <vt:variant>
        <vt:i4>0</vt:i4>
      </vt:variant>
      <vt:variant>
        <vt:i4>5</vt:i4>
      </vt:variant>
      <vt:variant>
        <vt:lpwstr>http://www.nevo.co.il/case/13093744</vt:lpwstr>
      </vt:variant>
      <vt:variant>
        <vt:lpwstr/>
      </vt:variant>
      <vt:variant>
        <vt:i4>3670133</vt:i4>
      </vt:variant>
      <vt:variant>
        <vt:i4>33</vt:i4>
      </vt:variant>
      <vt:variant>
        <vt:i4>0</vt:i4>
      </vt:variant>
      <vt:variant>
        <vt:i4>5</vt:i4>
      </vt:variant>
      <vt:variant>
        <vt:lpwstr>http://www.nevo.co.il/case/6171019</vt:lpwstr>
      </vt:variant>
      <vt:variant>
        <vt:lpwstr/>
      </vt:variant>
      <vt:variant>
        <vt:i4>3866741</vt:i4>
      </vt:variant>
      <vt:variant>
        <vt:i4>30</vt:i4>
      </vt:variant>
      <vt:variant>
        <vt:i4>0</vt:i4>
      </vt:variant>
      <vt:variant>
        <vt:i4>5</vt:i4>
      </vt:variant>
      <vt:variant>
        <vt:lpwstr>http://www.nevo.co.il/case/5859902</vt:lpwstr>
      </vt:variant>
      <vt:variant>
        <vt:lpwstr/>
      </vt:variant>
      <vt:variant>
        <vt:i4>3670132</vt:i4>
      </vt:variant>
      <vt:variant>
        <vt:i4>27</vt:i4>
      </vt:variant>
      <vt:variant>
        <vt:i4>0</vt:i4>
      </vt:variant>
      <vt:variant>
        <vt:i4>5</vt:i4>
      </vt:variant>
      <vt:variant>
        <vt:lpwstr>http://www.nevo.co.il/case/5764932</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3342463</vt:i4>
      </vt:variant>
      <vt:variant>
        <vt:i4>21</vt:i4>
      </vt:variant>
      <vt:variant>
        <vt:i4>0</vt:i4>
      </vt:variant>
      <vt:variant>
        <vt:i4>5</vt:i4>
      </vt:variant>
      <vt:variant>
        <vt:lpwstr>http://www.nevo.co.il/case/5821327</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13481</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ישראל;פרקליטות מחוז ירושלים</vt:lpwstr>
  </property>
  <property fmtid="{D5CDD505-2E9C-101B-9397-08002B2CF9AE}" pid="9" name="APPELLEE">
    <vt:lpwstr>מחמד אבו סנינה;עמאד נאצר אלדין </vt:lpwstr>
  </property>
  <property fmtid="{D5CDD505-2E9C-101B-9397-08002B2CF9AE}" pid="10" name="LAWYER">
    <vt:lpwstr>נאיל זחאלקה;</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20141215</vt:lpwstr>
  </property>
  <property fmtid="{D5CDD505-2E9C-101B-9397-08002B2CF9AE}" pid="14" name="TYPE_N_DATE">
    <vt:lpwstr>39020141215</vt:lpwstr>
  </property>
  <property fmtid="{D5CDD505-2E9C-101B-9397-08002B2CF9AE}" pid="15" name="CASESLISTTMP1">
    <vt:lpwstr>5821327;6000182:2;5764932;5859902;6171019;13093744:2;17929065;5852404;6040482;6072945;6058757;6024035;16913730;7791493</vt:lpwstr>
  </property>
  <property fmtid="{D5CDD505-2E9C-101B-9397-08002B2CF9AE}" pid="16" name="WORDNUMPAGES">
    <vt:lpwstr>8</vt:lpwstr>
  </property>
  <property fmtid="{D5CDD505-2E9C-101B-9397-08002B2CF9AE}" pid="17" name="TYPE_ABS_DATE">
    <vt:lpwstr>390020141215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70301/144.a:3;144.b</vt:lpwstr>
  </property>
</Properties>
</file>