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677B0" w:rsidRPr="00D677B0" w14:paraId="142579D5" w14:textId="77777777">
        <w:trPr>
          <w:trHeight w:hRule="exact" w:val="418"/>
          <w:jc w:val="center"/>
        </w:trPr>
        <w:tc>
          <w:tcPr>
            <w:tcW w:w="8721" w:type="dxa"/>
            <w:gridSpan w:val="2"/>
          </w:tcPr>
          <w:p w14:paraId="186C7732" w14:textId="77777777" w:rsidR="00D677B0" w:rsidRPr="00D677B0" w:rsidRDefault="00D677B0" w:rsidP="00D677B0">
            <w:pPr>
              <w:pStyle w:val="a3"/>
              <w:jc w:val="center"/>
              <w:rPr>
                <w:rFonts w:ascii="Tahoma" w:hAnsi="Tahoma" w:cs="Tahoma"/>
                <w:color w:val="000080"/>
                <w:rtl/>
              </w:rPr>
            </w:pPr>
            <w:bookmarkStart w:id="0" w:name="FirstLawyer"/>
            <w:r w:rsidRPr="00D677B0">
              <w:rPr>
                <w:rFonts w:ascii="Tahoma" w:hAnsi="Tahoma" w:cs="Tahoma"/>
                <w:b/>
                <w:bCs/>
                <w:color w:val="000080"/>
                <w:rtl/>
              </w:rPr>
              <w:t>בית המשפט המחוזי בחיפה</w:t>
            </w:r>
          </w:p>
        </w:tc>
      </w:tr>
      <w:tr w:rsidR="00D677B0" w:rsidRPr="00D677B0" w14:paraId="76AEED66" w14:textId="77777777">
        <w:trPr>
          <w:trHeight w:val="337"/>
          <w:jc w:val="center"/>
        </w:trPr>
        <w:tc>
          <w:tcPr>
            <w:tcW w:w="5054" w:type="dxa"/>
          </w:tcPr>
          <w:p w14:paraId="7CBF8A7C" w14:textId="77777777" w:rsidR="00D677B0" w:rsidRPr="00F47304" w:rsidRDefault="00D677B0" w:rsidP="00D677B0">
            <w:pPr>
              <w:rPr>
                <w:rFonts w:cs="FrankRuehl"/>
                <w:b/>
                <w:bCs/>
                <w:sz w:val="28"/>
                <w:szCs w:val="28"/>
                <w:rtl/>
              </w:rPr>
            </w:pPr>
            <w:r w:rsidRPr="00F47304">
              <w:rPr>
                <w:rFonts w:cs="FrankRuehl"/>
                <w:b/>
                <w:bCs/>
                <w:sz w:val="28"/>
                <w:szCs w:val="28"/>
                <w:rtl/>
              </w:rPr>
              <w:t>תפ"ח</w:t>
            </w:r>
            <w:r w:rsidRPr="00F47304">
              <w:rPr>
                <w:rFonts w:cs="FrankRuehl" w:hint="cs"/>
                <w:b/>
                <w:bCs/>
                <w:sz w:val="28"/>
                <w:szCs w:val="28"/>
                <w:rtl/>
              </w:rPr>
              <w:t xml:space="preserve"> </w:t>
            </w:r>
            <w:r w:rsidRPr="00F47304">
              <w:rPr>
                <w:rFonts w:cs="FrankRuehl"/>
                <w:b/>
                <w:bCs/>
                <w:sz w:val="28"/>
                <w:szCs w:val="28"/>
                <w:rtl/>
              </w:rPr>
              <w:t>15741-02-13</w:t>
            </w:r>
            <w:r w:rsidRPr="00F47304">
              <w:rPr>
                <w:rFonts w:cs="FrankRuehl" w:hint="cs"/>
                <w:b/>
                <w:bCs/>
                <w:sz w:val="28"/>
                <w:szCs w:val="28"/>
                <w:rtl/>
              </w:rPr>
              <w:t xml:space="preserve"> </w:t>
            </w:r>
            <w:r w:rsidRPr="00F47304">
              <w:rPr>
                <w:rFonts w:cs="FrankRuehl"/>
                <w:b/>
                <w:bCs/>
                <w:sz w:val="28"/>
                <w:szCs w:val="28"/>
                <w:rtl/>
              </w:rPr>
              <w:t>מדינת ישראל נ' כיאל</w:t>
            </w:r>
          </w:p>
          <w:p w14:paraId="5B30BA65" w14:textId="77777777" w:rsidR="00D677B0" w:rsidRPr="00D677B0" w:rsidRDefault="00D677B0" w:rsidP="00D677B0">
            <w:pPr>
              <w:pStyle w:val="a3"/>
              <w:rPr>
                <w:rFonts w:cs="FrankRuehl"/>
                <w:sz w:val="28"/>
                <w:szCs w:val="28"/>
                <w:rtl/>
              </w:rPr>
            </w:pPr>
          </w:p>
        </w:tc>
        <w:tc>
          <w:tcPr>
            <w:tcW w:w="3667" w:type="dxa"/>
          </w:tcPr>
          <w:p w14:paraId="776B9E90" w14:textId="77777777" w:rsidR="00D677B0" w:rsidRPr="00D677B0" w:rsidRDefault="00D677B0" w:rsidP="00D677B0">
            <w:pPr>
              <w:pStyle w:val="a3"/>
              <w:jc w:val="right"/>
              <w:rPr>
                <w:rFonts w:cs="FrankRuehl"/>
                <w:sz w:val="28"/>
                <w:szCs w:val="28"/>
                <w:rtl/>
              </w:rPr>
            </w:pPr>
          </w:p>
        </w:tc>
      </w:tr>
    </w:tbl>
    <w:p w14:paraId="2FD66242" w14:textId="77777777" w:rsidR="00D677B0" w:rsidRPr="00D677B0" w:rsidRDefault="00D677B0" w:rsidP="00F47304">
      <w:pPr>
        <w:pStyle w:val="a3"/>
        <w:rPr>
          <w:rtl/>
        </w:rPr>
      </w:pPr>
      <w:r w:rsidRPr="00D677B0">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677B0" w:rsidRPr="00D677B0" w14:paraId="287A3B7A" w14:textId="77777777">
        <w:trPr>
          <w:trHeight w:val="295"/>
          <w:jc w:val="center"/>
        </w:trPr>
        <w:tc>
          <w:tcPr>
            <w:tcW w:w="923" w:type="dxa"/>
            <w:tcBorders>
              <w:top w:val="nil"/>
              <w:left w:val="nil"/>
              <w:bottom w:val="nil"/>
              <w:right w:val="nil"/>
            </w:tcBorders>
            <w:shd w:val="clear" w:color="auto" w:fill="auto"/>
          </w:tcPr>
          <w:p w14:paraId="4E844FB9" w14:textId="77777777" w:rsidR="00D677B0" w:rsidRPr="00F47304" w:rsidRDefault="00D677B0" w:rsidP="00F47304">
            <w:pPr>
              <w:spacing w:before="120" w:after="120" w:line="360" w:lineRule="auto"/>
              <w:jc w:val="both"/>
              <w:rPr>
                <w:rFonts w:ascii="Arial" w:hAnsi="Arial"/>
                <w:b/>
                <w:bCs/>
                <w:sz w:val="26"/>
                <w:szCs w:val="26"/>
              </w:rPr>
            </w:pPr>
            <w:r w:rsidRPr="00F47304">
              <w:rPr>
                <w:rFonts w:ascii="Arial" w:hAnsi="Arial" w:hint="cs"/>
                <w:b/>
                <w:bCs/>
                <w:sz w:val="26"/>
                <w:szCs w:val="26"/>
                <w:rtl/>
              </w:rPr>
              <w:t>ב</w:t>
            </w:r>
            <w:r w:rsidRPr="00F47304">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44F34C91" w14:textId="77777777" w:rsidR="00D677B0" w:rsidRPr="00F47304" w:rsidRDefault="00D677B0" w:rsidP="00F47304">
            <w:pPr>
              <w:spacing w:before="120" w:after="120" w:line="360" w:lineRule="auto"/>
              <w:rPr>
                <w:rFonts w:ascii="Arial" w:hAnsi="Arial"/>
                <w:b/>
                <w:bCs/>
                <w:sz w:val="26"/>
                <w:szCs w:val="26"/>
                <w:rtl/>
              </w:rPr>
            </w:pPr>
            <w:r w:rsidRPr="00F47304">
              <w:rPr>
                <w:rFonts w:ascii="Arial" w:hAnsi="Arial" w:hint="cs"/>
                <w:b/>
                <w:bCs/>
                <w:sz w:val="26"/>
                <w:szCs w:val="26"/>
                <w:rtl/>
              </w:rPr>
              <w:t>כב' השופט יוסף אלרון, נשיא [אב"ד]</w:t>
            </w:r>
          </w:p>
          <w:p w14:paraId="44CD20C8" w14:textId="77777777" w:rsidR="00D677B0" w:rsidRPr="00F47304" w:rsidRDefault="00D677B0" w:rsidP="00F47304">
            <w:pPr>
              <w:spacing w:before="120" w:after="120" w:line="360" w:lineRule="auto"/>
              <w:rPr>
                <w:rFonts w:ascii="Arial" w:hAnsi="Arial"/>
                <w:b/>
                <w:bCs/>
                <w:sz w:val="26"/>
                <w:szCs w:val="26"/>
                <w:rtl/>
              </w:rPr>
            </w:pPr>
            <w:r w:rsidRPr="00F47304">
              <w:rPr>
                <w:rFonts w:ascii="Arial" w:hAnsi="Arial" w:hint="cs"/>
                <w:b/>
                <w:bCs/>
                <w:sz w:val="26"/>
                <w:szCs w:val="26"/>
                <w:rtl/>
              </w:rPr>
              <w:t>כב' השופט משה גלעד</w:t>
            </w:r>
          </w:p>
          <w:p w14:paraId="0C6F64C9" w14:textId="77777777" w:rsidR="00D677B0" w:rsidRPr="00F47304" w:rsidRDefault="00D677B0" w:rsidP="00F47304">
            <w:pPr>
              <w:spacing w:before="120" w:after="120" w:line="360" w:lineRule="auto"/>
              <w:rPr>
                <w:rFonts w:ascii="Arial" w:hAnsi="Arial"/>
                <w:b/>
                <w:bCs/>
                <w:sz w:val="26"/>
                <w:szCs w:val="26"/>
              </w:rPr>
            </w:pPr>
            <w:r w:rsidRPr="00F47304">
              <w:rPr>
                <w:rFonts w:ascii="Arial" w:hAnsi="Arial" w:hint="cs"/>
                <w:b/>
                <w:bCs/>
                <w:sz w:val="26"/>
                <w:szCs w:val="26"/>
                <w:rtl/>
              </w:rPr>
              <w:t>כב' השופט ד"ר מנחם רניאל</w:t>
            </w:r>
          </w:p>
        </w:tc>
      </w:tr>
      <w:tr w:rsidR="00D677B0" w:rsidRPr="00D677B0" w14:paraId="08D94493" w14:textId="77777777">
        <w:trPr>
          <w:trHeight w:val="355"/>
          <w:jc w:val="center"/>
        </w:trPr>
        <w:tc>
          <w:tcPr>
            <w:tcW w:w="923" w:type="dxa"/>
            <w:tcBorders>
              <w:top w:val="nil"/>
              <w:left w:val="nil"/>
              <w:bottom w:val="nil"/>
              <w:right w:val="nil"/>
            </w:tcBorders>
            <w:shd w:val="clear" w:color="auto" w:fill="auto"/>
          </w:tcPr>
          <w:p w14:paraId="74488398" w14:textId="77777777" w:rsidR="00D677B0" w:rsidRPr="00F47304" w:rsidRDefault="00D677B0" w:rsidP="00F47304">
            <w:pPr>
              <w:spacing w:before="120" w:after="120" w:line="360" w:lineRule="auto"/>
              <w:jc w:val="both"/>
              <w:rPr>
                <w:rFonts w:ascii="Arial" w:hAnsi="Arial"/>
                <w:b/>
                <w:bCs/>
                <w:sz w:val="26"/>
                <w:szCs w:val="26"/>
              </w:rPr>
            </w:pPr>
            <w:bookmarkStart w:id="1" w:name="FirstAppellant"/>
            <w:bookmarkStart w:id="2" w:name="LastJudge"/>
            <w:bookmarkEnd w:id="2"/>
            <w:r w:rsidRPr="00F47304">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1CED5AFA" w14:textId="77777777" w:rsidR="00D677B0" w:rsidRPr="00F47304" w:rsidRDefault="00D677B0" w:rsidP="00F47304">
            <w:pPr>
              <w:spacing w:before="120" w:after="120" w:line="360" w:lineRule="auto"/>
              <w:rPr>
                <w:b/>
                <w:bCs/>
                <w:sz w:val="26"/>
                <w:szCs w:val="26"/>
              </w:rPr>
            </w:pPr>
            <w:r w:rsidRPr="00F47304">
              <w:rPr>
                <w:rFonts w:ascii="Arial" w:hAnsi="Arial"/>
                <w:b/>
                <w:bCs/>
                <w:sz w:val="26"/>
                <w:szCs w:val="26"/>
                <w:rtl/>
                <w:lang w:eastAsia="he-IL"/>
              </w:rPr>
              <w:t>מדינת ישראל</w:t>
            </w:r>
            <w:r w:rsidRPr="00F47304">
              <w:rPr>
                <w:rFonts w:ascii="Arial" w:hAnsi="Arial"/>
                <w:b/>
                <w:bCs/>
                <w:sz w:val="26"/>
                <w:szCs w:val="26"/>
                <w:rtl/>
                <w:lang w:eastAsia="he-IL"/>
              </w:rPr>
              <w:br/>
              <w:t>באמצעות פמ"ח</w:t>
            </w:r>
            <w:r w:rsidRPr="00F47304">
              <w:rPr>
                <w:rFonts w:ascii="Arial" w:hAnsi="Arial"/>
                <w:b/>
                <w:bCs/>
                <w:sz w:val="26"/>
                <w:szCs w:val="26"/>
                <w:rtl/>
                <w:lang w:eastAsia="he-IL"/>
              </w:rPr>
              <w:br/>
              <w:t>ע"י ב"כ עו"ד צ. נמירובסקי</w:t>
            </w:r>
          </w:p>
        </w:tc>
        <w:tc>
          <w:tcPr>
            <w:tcW w:w="3771" w:type="dxa"/>
            <w:tcBorders>
              <w:top w:val="nil"/>
              <w:left w:val="nil"/>
              <w:bottom w:val="nil"/>
              <w:right w:val="nil"/>
            </w:tcBorders>
            <w:shd w:val="clear" w:color="auto" w:fill="auto"/>
          </w:tcPr>
          <w:p w14:paraId="58C7ECEE" w14:textId="77777777" w:rsidR="00D677B0" w:rsidRPr="00F47304" w:rsidRDefault="00D677B0" w:rsidP="00F47304">
            <w:pPr>
              <w:spacing w:before="120" w:after="120" w:line="360" w:lineRule="auto"/>
              <w:jc w:val="both"/>
              <w:rPr>
                <w:rFonts w:ascii="Arial" w:hAnsi="Arial"/>
                <w:b/>
                <w:bCs/>
                <w:sz w:val="26"/>
                <w:szCs w:val="26"/>
              </w:rPr>
            </w:pPr>
          </w:p>
        </w:tc>
      </w:tr>
      <w:bookmarkEnd w:id="1"/>
      <w:tr w:rsidR="00D677B0" w:rsidRPr="00D677B0" w14:paraId="2480BC99" w14:textId="77777777">
        <w:trPr>
          <w:trHeight w:val="355"/>
          <w:jc w:val="center"/>
        </w:trPr>
        <w:tc>
          <w:tcPr>
            <w:tcW w:w="923" w:type="dxa"/>
            <w:tcBorders>
              <w:top w:val="nil"/>
              <w:left w:val="nil"/>
              <w:bottom w:val="nil"/>
              <w:right w:val="nil"/>
            </w:tcBorders>
            <w:shd w:val="clear" w:color="auto" w:fill="auto"/>
          </w:tcPr>
          <w:p w14:paraId="12287447" w14:textId="77777777" w:rsidR="00D677B0" w:rsidRPr="00F47304" w:rsidRDefault="00D677B0" w:rsidP="00F47304">
            <w:pPr>
              <w:spacing w:before="120" w:after="120" w:line="360" w:lineRule="auto"/>
              <w:jc w:val="both"/>
              <w:rPr>
                <w:rFonts w:ascii="Arial" w:hAnsi="Arial"/>
                <w:b/>
                <w:bCs/>
                <w:sz w:val="26"/>
                <w:szCs w:val="26"/>
                <w:rtl/>
              </w:rPr>
            </w:pPr>
          </w:p>
        </w:tc>
        <w:tc>
          <w:tcPr>
            <w:tcW w:w="4126" w:type="dxa"/>
            <w:tcBorders>
              <w:top w:val="nil"/>
              <w:left w:val="nil"/>
              <w:bottom w:val="nil"/>
              <w:right w:val="nil"/>
            </w:tcBorders>
            <w:shd w:val="clear" w:color="auto" w:fill="auto"/>
          </w:tcPr>
          <w:p w14:paraId="3501761A" w14:textId="77777777" w:rsidR="00D677B0" w:rsidRPr="00F47304" w:rsidRDefault="00D677B0" w:rsidP="00F47304">
            <w:pPr>
              <w:spacing w:before="120" w:after="120" w:line="360" w:lineRule="auto"/>
              <w:jc w:val="both"/>
              <w:rPr>
                <w:b/>
                <w:bCs/>
                <w:sz w:val="26"/>
                <w:szCs w:val="26"/>
                <w:rtl/>
              </w:rPr>
            </w:pPr>
          </w:p>
        </w:tc>
        <w:tc>
          <w:tcPr>
            <w:tcW w:w="3771" w:type="dxa"/>
            <w:tcBorders>
              <w:top w:val="nil"/>
              <w:left w:val="nil"/>
              <w:bottom w:val="nil"/>
              <w:right w:val="nil"/>
            </w:tcBorders>
            <w:shd w:val="clear" w:color="auto" w:fill="auto"/>
          </w:tcPr>
          <w:p w14:paraId="141C80AA" w14:textId="77777777" w:rsidR="00D677B0" w:rsidRPr="00F47304" w:rsidRDefault="00D677B0" w:rsidP="00F47304">
            <w:pPr>
              <w:spacing w:before="120" w:after="120" w:line="360" w:lineRule="auto"/>
              <w:jc w:val="right"/>
              <w:rPr>
                <w:rFonts w:ascii="Arial" w:hAnsi="Arial"/>
                <w:b/>
                <w:bCs/>
                <w:sz w:val="26"/>
                <w:szCs w:val="26"/>
                <w:rtl/>
              </w:rPr>
            </w:pPr>
            <w:r w:rsidRPr="00F47304">
              <w:rPr>
                <w:rFonts w:ascii="Arial" w:hAnsi="Arial" w:hint="cs"/>
                <w:b/>
                <w:bCs/>
                <w:sz w:val="26"/>
                <w:szCs w:val="26"/>
                <w:rtl/>
              </w:rPr>
              <w:t>ה</w:t>
            </w:r>
            <w:r w:rsidRPr="00F47304">
              <w:rPr>
                <w:rFonts w:ascii="Arial" w:hAnsi="Arial"/>
                <w:b/>
                <w:bCs/>
                <w:sz w:val="26"/>
                <w:szCs w:val="26"/>
                <w:rtl/>
              </w:rPr>
              <w:t>מאשימה</w:t>
            </w:r>
          </w:p>
        </w:tc>
      </w:tr>
      <w:tr w:rsidR="00D677B0" w:rsidRPr="00D677B0" w14:paraId="5097B77D" w14:textId="77777777">
        <w:trPr>
          <w:trHeight w:val="355"/>
          <w:jc w:val="center"/>
        </w:trPr>
        <w:tc>
          <w:tcPr>
            <w:tcW w:w="923" w:type="dxa"/>
            <w:tcBorders>
              <w:top w:val="nil"/>
              <w:left w:val="nil"/>
              <w:bottom w:val="nil"/>
              <w:right w:val="nil"/>
            </w:tcBorders>
            <w:shd w:val="clear" w:color="auto" w:fill="auto"/>
          </w:tcPr>
          <w:p w14:paraId="79CFEDF4" w14:textId="77777777" w:rsidR="00D677B0" w:rsidRPr="00F47304" w:rsidRDefault="00D677B0" w:rsidP="00F47304">
            <w:pPr>
              <w:spacing w:before="120" w:after="120" w:line="360" w:lineRule="auto"/>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38E8A892" w14:textId="77777777" w:rsidR="00D677B0" w:rsidRPr="00F47304" w:rsidRDefault="00D677B0" w:rsidP="00F47304">
            <w:pPr>
              <w:spacing w:before="120" w:after="120" w:line="360" w:lineRule="auto"/>
              <w:jc w:val="center"/>
              <w:rPr>
                <w:rFonts w:ascii="Arial" w:hAnsi="Arial" w:hint="cs"/>
                <w:b/>
                <w:bCs/>
                <w:sz w:val="26"/>
                <w:szCs w:val="26"/>
              </w:rPr>
            </w:pPr>
            <w:r w:rsidRPr="00F47304">
              <w:rPr>
                <w:rFonts w:ascii="Arial" w:hAnsi="Arial"/>
                <w:b/>
                <w:bCs/>
                <w:sz w:val="26"/>
                <w:szCs w:val="26"/>
                <w:rtl/>
              </w:rPr>
              <w:t>נגד</w:t>
            </w:r>
          </w:p>
        </w:tc>
      </w:tr>
      <w:tr w:rsidR="00D677B0" w:rsidRPr="00D677B0" w14:paraId="70C30F4D" w14:textId="77777777">
        <w:trPr>
          <w:trHeight w:val="355"/>
          <w:jc w:val="center"/>
        </w:trPr>
        <w:tc>
          <w:tcPr>
            <w:tcW w:w="923" w:type="dxa"/>
            <w:tcBorders>
              <w:top w:val="nil"/>
              <w:left w:val="nil"/>
              <w:bottom w:val="nil"/>
              <w:right w:val="nil"/>
            </w:tcBorders>
            <w:shd w:val="clear" w:color="auto" w:fill="auto"/>
          </w:tcPr>
          <w:p w14:paraId="67671711" w14:textId="77777777" w:rsidR="00D677B0" w:rsidRPr="00F47304" w:rsidRDefault="00D677B0" w:rsidP="00F47304">
            <w:pPr>
              <w:spacing w:before="120" w:after="120" w:line="360" w:lineRule="auto"/>
              <w:rPr>
                <w:rFonts w:ascii="Arial" w:hAnsi="Arial"/>
                <w:b/>
                <w:bCs/>
                <w:sz w:val="26"/>
                <w:szCs w:val="26"/>
                <w:rtl/>
              </w:rPr>
            </w:pPr>
          </w:p>
        </w:tc>
        <w:tc>
          <w:tcPr>
            <w:tcW w:w="4126" w:type="dxa"/>
            <w:tcBorders>
              <w:top w:val="nil"/>
              <w:left w:val="nil"/>
              <w:bottom w:val="nil"/>
              <w:right w:val="nil"/>
            </w:tcBorders>
            <w:shd w:val="clear" w:color="auto" w:fill="auto"/>
          </w:tcPr>
          <w:p w14:paraId="78ECCD26" w14:textId="77777777" w:rsidR="00D677B0" w:rsidRPr="00F47304" w:rsidRDefault="00D677B0" w:rsidP="00F47304">
            <w:pPr>
              <w:spacing w:before="120" w:after="120" w:line="360" w:lineRule="auto"/>
              <w:rPr>
                <w:b/>
                <w:bCs/>
                <w:sz w:val="26"/>
                <w:szCs w:val="26"/>
                <w:rtl/>
              </w:rPr>
            </w:pPr>
            <w:r w:rsidRPr="00F47304">
              <w:rPr>
                <w:b/>
                <w:bCs/>
                <w:sz w:val="26"/>
                <w:szCs w:val="26"/>
                <w:rtl/>
              </w:rPr>
              <w:t xml:space="preserve">עבד אלסאלם כיאל </w:t>
            </w:r>
            <w:r w:rsidRPr="00F47304">
              <w:rPr>
                <w:b/>
                <w:bCs/>
                <w:sz w:val="26"/>
                <w:szCs w:val="26"/>
                <w:rtl/>
              </w:rPr>
              <w:br/>
              <w:t>ע"י ב"כ עוה"ד א. פלדמן והגב' ע. שמעוני</w:t>
            </w:r>
          </w:p>
        </w:tc>
        <w:tc>
          <w:tcPr>
            <w:tcW w:w="3771" w:type="dxa"/>
            <w:tcBorders>
              <w:top w:val="nil"/>
              <w:left w:val="nil"/>
              <w:bottom w:val="nil"/>
              <w:right w:val="nil"/>
            </w:tcBorders>
            <w:shd w:val="clear" w:color="auto" w:fill="auto"/>
          </w:tcPr>
          <w:p w14:paraId="2F87332D" w14:textId="77777777" w:rsidR="00D677B0" w:rsidRPr="00F47304" w:rsidRDefault="00D677B0" w:rsidP="00F47304">
            <w:pPr>
              <w:spacing w:before="120" w:after="120" w:line="360" w:lineRule="auto"/>
              <w:jc w:val="right"/>
              <w:rPr>
                <w:rFonts w:ascii="Arial" w:hAnsi="Arial"/>
                <w:b/>
                <w:bCs/>
                <w:sz w:val="26"/>
                <w:szCs w:val="26"/>
              </w:rPr>
            </w:pPr>
          </w:p>
        </w:tc>
      </w:tr>
      <w:tr w:rsidR="00D677B0" w:rsidRPr="00D677B0" w14:paraId="0E878E71" w14:textId="77777777">
        <w:trPr>
          <w:trHeight w:val="355"/>
          <w:jc w:val="center"/>
        </w:trPr>
        <w:tc>
          <w:tcPr>
            <w:tcW w:w="923" w:type="dxa"/>
            <w:tcBorders>
              <w:top w:val="nil"/>
              <w:left w:val="nil"/>
              <w:bottom w:val="nil"/>
              <w:right w:val="nil"/>
            </w:tcBorders>
            <w:shd w:val="clear" w:color="auto" w:fill="auto"/>
          </w:tcPr>
          <w:p w14:paraId="062EE188" w14:textId="77777777" w:rsidR="00D677B0" w:rsidRPr="00F47304" w:rsidRDefault="00D677B0" w:rsidP="00F47304">
            <w:pPr>
              <w:spacing w:before="120" w:after="120" w:line="360" w:lineRule="auto"/>
              <w:jc w:val="both"/>
              <w:rPr>
                <w:rFonts w:ascii="Arial" w:hAnsi="Arial"/>
                <w:b/>
                <w:bCs/>
                <w:sz w:val="26"/>
                <w:szCs w:val="26"/>
                <w:rtl/>
              </w:rPr>
            </w:pPr>
          </w:p>
        </w:tc>
        <w:tc>
          <w:tcPr>
            <w:tcW w:w="4126" w:type="dxa"/>
            <w:tcBorders>
              <w:top w:val="nil"/>
              <w:left w:val="nil"/>
              <w:bottom w:val="nil"/>
              <w:right w:val="nil"/>
            </w:tcBorders>
            <w:shd w:val="clear" w:color="auto" w:fill="auto"/>
          </w:tcPr>
          <w:p w14:paraId="4F8EC8E4" w14:textId="77777777" w:rsidR="00D677B0" w:rsidRPr="00F47304" w:rsidRDefault="00D677B0" w:rsidP="00F47304">
            <w:pPr>
              <w:spacing w:before="120" w:after="120" w:line="360" w:lineRule="auto"/>
              <w:jc w:val="both"/>
              <w:rPr>
                <w:b/>
                <w:bCs/>
                <w:sz w:val="26"/>
                <w:szCs w:val="26"/>
                <w:rtl/>
              </w:rPr>
            </w:pPr>
          </w:p>
        </w:tc>
        <w:tc>
          <w:tcPr>
            <w:tcW w:w="3771" w:type="dxa"/>
            <w:tcBorders>
              <w:top w:val="nil"/>
              <w:left w:val="nil"/>
              <w:bottom w:val="nil"/>
              <w:right w:val="nil"/>
            </w:tcBorders>
            <w:shd w:val="clear" w:color="auto" w:fill="auto"/>
          </w:tcPr>
          <w:p w14:paraId="33BDAC4B" w14:textId="77777777" w:rsidR="00D677B0" w:rsidRPr="00F47304" w:rsidRDefault="00D677B0" w:rsidP="00F47304">
            <w:pPr>
              <w:spacing w:before="120" w:after="120" w:line="360" w:lineRule="auto"/>
              <w:jc w:val="right"/>
              <w:rPr>
                <w:rFonts w:ascii="Arial" w:hAnsi="Arial"/>
                <w:b/>
                <w:bCs/>
                <w:sz w:val="26"/>
                <w:szCs w:val="26"/>
              </w:rPr>
            </w:pPr>
            <w:r w:rsidRPr="00F47304">
              <w:rPr>
                <w:rFonts w:ascii="Arial" w:hAnsi="Arial" w:hint="cs"/>
                <w:b/>
                <w:bCs/>
                <w:sz w:val="26"/>
                <w:szCs w:val="26"/>
                <w:rtl/>
              </w:rPr>
              <w:t>הנאשם</w:t>
            </w:r>
          </w:p>
        </w:tc>
      </w:tr>
    </w:tbl>
    <w:p w14:paraId="01704CB0" w14:textId="77777777" w:rsidR="00D677B0" w:rsidRDefault="00D677B0" w:rsidP="00724163">
      <w:pPr>
        <w:spacing w:line="360" w:lineRule="auto"/>
        <w:rPr>
          <w:rtl/>
        </w:rPr>
      </w:pPr>
      <w:bookmarkStart w:id="3" w:name="Links_Kitvei_Start"/>
    </w:p>
    <w:bookmarkEnd w:id="3"/>
    <w:p w14:paraId="4C3AA1ED" w14:textId="77777777" w:rsidR="00D677B0" w:rsidRPr="00D677B0" w:rsidRDefault="00D677B0" w:rsidP="00D677B0">
      <w:pPr>
        <w:spacing w:after="120" w:line="240" w:lineRule="exact"/>
        <w:ind w:left="283" w:hanging="283"/>
        <w:jc w:val="both"/>
        <w:rPr>
          <w:rStyle w:val="Hyperlink"/>
          <w:rFonts w:ascii="FrankRuehl" w:hAnsi="FrankRuehl" w:cs="FrankRuehl"/>
          <w:rtl/>
        </w:rPr>
      </w:pPr>
      <w:r w:rsidRPr="00D677B0">
        <w:rPr>
          <w:rFonts w:ascii="FrankRuehl" w:hAnsi="FrankRuehl" w:cs="FrankRuehl"/>
          <w:rtl/>
        </w:rPr>
        <w:t>כתבי עת:</w:t>
      </w:r>
      <w:r w:rsidRPr="00D677B0">
        <w:rPr>
          <w:rFonts w:ascii="FrankRuehl" w:hAnsi="FrankRuehl" w:cs="FrankRuehl"/>
          <w:u w:val="single"/>
          <w:rtl/>
        </w:rPr>
        <w:fldChar w:fldCharType="begin"/>
      </w:r>
      <w:r w:rsidRPr="00D677B0">
        <w:rPr>
          <w:rFonts w:ascii="FrankRuehl" w:hAnsi="FrankRuehl" w:cs="FrankRuehl"/>
          <w:u w:val="single"/>
          <w:rtl/>
        </w:rPr>
        <w:instrText xml:space="preserve"> </w:instrText>
      </w:r>
      <w:r w:rsidRPr="00D677B0">
        <w:rPr>
          <w:rFonts w:ascii="FrankRuehl" w:hAnsi="FrankRuehl" w:cs="FrankRuehl"/>
          <w:u w:val="single"/>
        </w:rPr>
        <w:instrText>HYPERLINK</w:instrText>
      </w:r>
      <w:r w:rsidRPr="00D677B0">
        <w:rPr>
          <w:rFonts w:ascii="FrankRuehl" w:hAnsi="FrankRuehl" w:cs="FrankRuehl"/>
          <w:u w:val="single"/>
          <w:rtl/>
        </w:rPr>
        <w:instrText xml:space="preserve"> "</w:instrText>
      </w:r>
      <w:r w:rsidRPr="00D677B0">
        <w:rPr>
          <w:rFonts w:ascii="FrankRuehl" w:hAnsi="FrankRuehl" w:cs="FrankRuehl"/>
          <w:u w:val="single"/>
        </w:rPr>
        <w:instrText>http://www.nevo.co.il/safrut/book/987</w:instrText>
      </w:r>
      <w:r w:rsidRPr="00D677B0">
        <w:rPr>
          <w:rFonts w:ascii="FrankRuehl" w:hAnsi="FrankRuehl" w:cs="FrankRuehl"/>
          <w:u w:val="single"/>
          <w:rtl/>
        </w:rPr>
        <w:instrText xml:space="preserve">" </w:instrText>
      </w:r>
      <w:r w:rsidRPr="00D677B0">
        <w:rPr>
          <w:rFonts w:ascii="FrankRuehl" w:hAnsi="FrankRuehl" w:cs="FrankRuehl"/>
          <w:u w:val="single"/>
        </w:rPr>
      </w:r>
      <w:r w:rsidRPr="00D677B0">
        <w:rPr>
          <w:rFonts w:ascii="FrankRuehl" w:hAnsi="FrankRuehl" w:cs="FrankRuehl"/>
          <w:u w:val="single"/>
          <w:rtl/>
        </w:rPr>
        <w:fldChar w:fldCharType="separate"/>
      </w:r>
    </w:p>
    <w:p w14:paraId="0062DE77" w14:textId="77777777" w:rsidR="00D677B0" w:rsidRPr="00D677B0" w:rsidRDefault="00D677B0" w:rsidP="00D677B0">
      <w:pPr>
        <w:spacing w:after="120" w:line="240" w:lineRule="exact"/>
        <w:ind w:left="283" w:hanging="283"/>
        <w:jc w:val="both"/>
        <w:rPr>
          <w:rFonts w:ascii="FrankRuehl" w:hAnsi="FrankRuehl" w:cs="FrankRuehl"/>
          <w:rtl/>
        </w:rPr>
      </w:pPr>
      <w:r w:rsidRPr="00D677B0">
        <w:rPr>
          <w:rStyle w:val="Hyperlink"/>
          <w:rFonts w:ascii="FrankRuehl" w:hAnsi="FrankRuehl" w:cs="FrankRuehl"/>
          <w:rtl/>
        </w:rPr>
        <w:t>דב לוין, "גוזרים את הדין", המשפט, כרך א (תשנ"ג) 185</w:t>
      </w:r>
      <w:r w:rsidRPr="00D677B0">
        <w:rPr>
          <w:rFonts w:ascii="FrankRuehl" w:hAnsi="FrankRuehl" w:cs="FrankRuehl"/>
          <w:u w:val="single"/>
          <w:rtl/>
        </w:rPr>
        <w:fldChar w:fldCharType="end"/>
      </w:r>
    </w:p>
    <w:p w14:paraId="6BFD203E" w14:textId="77777777" w:rsidR="00D677B0" w:rsidRPr="00D677B0" w:rsidRDefault="00D677B0" w:rsidP="00D677B0">
      <w:pPr>
        <w:spacing w:after="120" w:line="240" w:lineRule="exact"/>
        <w:ind w:left="283" w:hanging="283"/>
        <w:jc w:val="both"/>
        <w:rPr>
          <w:rFonts w:ascii="FrankRuehl" w:hAnsi="FrankRuehl" w:cs="FrankRuehl"/>
          <w:rtl/>
        </w:rPr>
      </w:pPr>
      <w:hyperlink r:id="rId8" w:history="1">
        <w:r w:rsidRPr="00D677B0">
          <w:rPr>
            <w:rStyle w:val="Hyperlink"/>
            <w:rFonts w:ascii="FrankRuehl" w:hAnsi="FrankRuehl" w:cs="FrankRuehl"/>
            <w:rtl/>
          </w:rPr>
          <w:t>יניב ואקי, יורם רבין, "הבניית שיקול הדעת השיפוטי", הפרקליט, נב (תשע"ד) 413</w:t>
        </w:r>
      </w:hyperlink>
    </w:p>
    <w:p w14:paraId="68CAE063" w14:textId="77777777" w:rsidR="00D677B0" w:rsidRDefault="00D677B0" w:rsidP="00724163">
      <w:pPr>
        <w:spacing w:line="360" w:lineRule="auto"/>
        <w:rPr>
          <w:rFonts w:hint="cs"/>
          <w:rtl/>
        </w:rPr>
      </w:pPr>
      <w:bookmarkStart w:id="4" w:name="Links_Kitvei_End"/>
      <w:bookmarkEnd w:id="4"/>
    </w:p>
    <w:p w14:paraId="4A0F138D" w14:textId="77777777" w:rsidR="00F47304" w:rsidRDefault="00F47304" w:rsidP="00F47304">
      <w:pPr>
        <w:pStyle w:val="ac"/>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bookmarkStart w:id="5" w:name="ABSTRACT_START"/>
      <w:bookmarkEnd w:id="5"/>
      <w:r>
        <w:rPr>
          <w:rFonts w:ascii="Times New Roman" w:hAnsi="Times New Roman" w:cs="FrankRuehl"/>
          <w:sz w:val="24"/>
          <w:szCs w:val="26"/>
          <w:rtl/>
        </w:rPr>
        <w:t>מיני-רציו:</w:t>
      </w:r>
    </w:p>
    <w:p w14:paraId="3F6DDD0B" w14:textId="77777777" w:rsidR="00F47304" w:rsidRPr="00F47304" w:rsidRDefault="00F47304" w:rsidP="00F47304">
      <w:pPr>
        <w:pStyle w:val="ac"/>
        <w:pBdr>
          <w:top w:val="single" w:sz="4" w:space="1" w:color="auto"/>
          <w:bottom w:val="single" w:sz="4" w:space="1" w:color="auto"/>
        </w:pBdr>
        <w:spacing w:after="120" w:line="320" w:lineRule="exact"/>
        <w:ind w:left="0"/>
        <w:jc w:val="both"/>
        <w:rPr>
          <w:rFonts w:ascii="Times New Roman" w:hAnsi="Times New Roman" w:cs="FrankRuehl" w:hint="cs"/>
          <w:sz w:val="24"/>
          <w:szCs w:val="26"/>
        </w:rPr>
      </w:pPr>
      <w:r>
        <w:rPr>
          <w:rFonts w:ascii="Times New Roman" w:hAnsi="Times New Roman" w:cs="FrankRuehl" w:hint="cs"/>
          <w:sz w:val="24"/>
          <w:szCs w:val="26"/>
          <w:rtl/>
        </w:rPr>
        <w:t xml:space="preserve">* </w:t>
      </w:r>
      <w:r w:rsidRPr="00F47304">
        <w:rPr>
          <w:rFonts w:ascii="Times New Roman" w:hAnsi="Times New Roman" w:cs="FrankRuehl" w:hint="cs"/>
          <w:sz w:val="24"/>
          <w:szCs w:val="26"/>
          <w:rtl/>
        </w:rPr>
        <w:t xml:space="preserve">בית המשפט אישר הסדר טיעון שכלל טווחי ענישה, והשית על הנאשם, בגין הרשעתו בסיוע להריגה ובחבלה בכוונה מחמירה, 19 שנות מאסר, שני מאסרים על תנאי ופיצוי בסך 60,000 ₪.  </w:t>
      </w:r>
    </w:p>
    <w:p w14:paraId="74C5BA25" w14:textId="77777777" w:rsidR="00F47304" w:rsidRDefault="00F47304" w:rsidP="00F47304">
      <w:pPr>
        <w:pStyle w:val="ac"/>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עונשין – ענישה – הסדר טיעון</w:t>
      </w:r>
    </w:p>
    <w:p w14:paraId="608324C3" w14:textId="77777777" w:rsidR="00F47304" w:rsidRDefault="00F47304" w:rsidP="00F47304">
      <w:pPr>
        <w:pStyle w:val="ac"/>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עונשין – ענישה – מתחם הענישה</w:t>
      </w:r>
    </w:p>
    <w:p w14:paraId="2226287B" w14:textId="77777777" w:rsidR="00F47304" w:rsidRDefault="00F47304" w:rsidP="00F47304">
      <w:pPr>
        <w:pStyle w:val="ac"/>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sz w:val="24"/>
          <w:szCs w:val="26"/>
          <w:rtl/>
        </w:rPr>
        <w:t>* דיון פלילי – הסדר טיעון – כיבודו</w:t>
      </w:r>
    </w:p>
    <w:p w14:paraId="2CEBAFC8" w14:textId="77777777" w:rsidR="00F47304" w:rsidRDefault="00F47304" w:rsidP="00F47304">
      <w:pPr>
        <w:pStyle w:val="ac"/>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w:t>
      </w:r>
    </w:p>
    <w:p w14:paraId="68C34EDD" w14:textId="77777777" w:rsidR="00354E14" w:rsidRPr="00F47304" w:rsidRDefault="00354E14" w:rsidP="00F47304">
      <w:pPr>
        <w:pBdr>
          <w:top w:val="single" w:sz="4" w:space="1" w:color="auto"/>
          <w:bottom w:val="single" w:sz="4" w:space="1" w:color="auto"/>
        </w:pBdr>
        <w:spacing w:after="120" w:line="320" w:lineRule="exact"/>
        <w:jc w:val="both"/>
        <w:rPr>
          <w:rFonts w:cs="FrankRuehl" w:hint="cs"/>
          <w:szCs w:val="26"/>
          <w:rtl/>
        </w:rPr>
      </w:pPr>
      <w:r w:rsidRPr="00F47304">
        <w:rPr>
          <w:rFonts w:cs="FrankRuehl" w:hint="cs"/>
          <w:szCs w:val="26"/>
          <w:rtl/>
        </w:rPr>
        <w:lastRenderedPageBreak/>
        <w:t>הנאשם הורשע במסגרת הסדר טיעון בעבירות סיוע להריגה וחבלה בכוונה מחמירה. הצדדים הסכימו לעתור לטווחי ענישה שבין 12-15 שנות מאסר בגין האישום הראשון, ובין 6-8 שנות מאסר, בגין האישום השני, במצטבר.</w:t>
      </w:r>
    </w:p>
    <w:p w14:paraId="27B571DE" w14:textId="77777777" w:rsidR="00F47304" w:rsidRDefault="00F47304" w:rsidP="00F4730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6DE159B" w14:textId="77777777" w:rsidR="00354E14" w:rsidRPr="00F47304" w:rsidRDefault="00354E14" w:rsidP="00F47304">
      <w:pPr>
        <w:pBdr>
          <w:top w:val="single" w:sz="4" w:space="1" w:color="auto"/>
          <w:bottom w:val="single" w:sz="4" w:space="1" w:color="auto"/>
        </w:pBdr>
        <w:spacing w:after="120" w:line="320" w:lineRule="exact"/>
        <w:jc w:val="both"/>
        <w:rPr>
          <w:rFonts w:cs="FrankRuehl" w:hint="cs"/>
          <w:szCs w:val="26"/>
          <w:rtl/>
        </w:rPr>
      </w:pPr>
      <w:r w:rsidRPr="00F47304">
        <w:rPr>
          <w:rFonts w:cs="FrankRuehl"/>
          <w:szCs w:val="26"/>
          <w:rtl/>
        </w:rPr>
        <w:t>בית המשפט המחוזי</w:t>
      </w:r>
      <w:r w:rsidRPr="00F47304">
        <w:rPr>
          <w:rFonts w:cs="FrankRuehl" w:hint="cs"/>
          <w:szCs w:val="26"/>
          <w:rtl/>
        </w:rPr>
        <w:t xml:space="preserve"> אישר את הסדר הטיעון ופסק:</w:t>
      </w:r>
    </w:p>
    <w:p w14:paraId="40EFD1D8" w14:textId="77777777" w:rsidR="00354E14" w:rsidRPr="00F47304" w:rsidRDefault="00354E14" w:rsidP="00F47304">
      <w:pPr>
        <w:pBdr>
          <w:top w:val="single" w:sz="4" w:space="1" w:color="auto"/>
          <w:bottom w:val="single" w:sz="4" w:space="1" w:color="auto"/>
        </w:pBdr>
        <w:spacing w:after="120" w:line="320" w:lineRule="exact"/>
        <w:jc w:val="both"/>
        <w:rPr>
          <w:rFonts w:cs="FrankRuehl"/>
          <w:szCs w:val="26"/>
          <w:rtl/>
        </w:rPr>
      </w:pPr>
      <w:r w:rsidRPr="00F47304">
        <w:rPr>
          <w:rFonts w:cs="FrankRuehl" w:hint="cs"/>
          <w:szCs w:val="26"/>
          <w:rtl/>
        </w:rPr>
        <w:t xml:space="preserve">בעוד טווח הענישה שבהסדר טיעון נובע מהסכמת הצדדים בלבד, מתחם העונש ההולם מהווה "קביעה נורמטיבית" של ביהמ"ש באשר לטווח הענישה הראוי בנסיבות. ככלל, יש לכבד הסדרי טיעון העומדים ב"מבחן האיזון" בין ההקלה שניתנה לנאשם לבין התועלת הציבורית שבעריכת הסדר, גם אם טווח הענישה המוסכם נמוך מ"מתחם העונש ההולם". במקרה זה, טווחי הענישה המוסכמים תואמים את מתחמי העונש ההולמים וההסדר עומד בהלכת האיזון. בהתחשב בכל השיקולים והנסיבות, נגזרו על הנאשם 13 שנות מאסר בגין האישום ראשון, 6 שנות מאסר בגין האישום השני </w:t>
      </w:r>
      <w:r w:rsidR="00F47304">
        <w:rPr>
          <w:rFonts w:cs="FrankRuehl" w:hint="cs"/>
          <w:szCs w:val="26"/>
          <w:rtl/>
        </w:rPr>
        <w:t>–</w:t>
      </w:r>
      <w:r w:rsidRPr="00F47304">
        <w:rPr>
          <w:rFonts w:cs="FrankRuehl" w:hint="cs"/>
          <w:szCs w:val="26"/>
          <w:rtl/>
        </w:rPr>
        <w:t xml:space="preserve"> במצטבר, שני מאסרים על תנאי ופיצוי הורי המנוח בסך 60,000 ₪.  </w:t>
      </w:r>
    </w:p>
    <w:p w14:paraId="4B523318" w14:textId="77777777" w:rsidR="00354E14" w:rsidRPr="00D677B0" w:rsidRDefault="00354E14" w:rsidP="00724163">
      <w:pPr>
        <w:spacing w:line="360" w:lineRule="auto"/>
        <w:rPr>
          <w:rFonts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677B0" w:rsidRPr="00724163" w14:paraId="426C46C9" w14:textId="77777777">
        <w:trPr>
          <w:trHeight w:val="355"/>
          <w:jc w:val="center"/>
        </w:trPr>
        <w:tc>
          <w:tcPr>
            <w:tcW w:w="8820" w:type="dxa"/>
            <w:tcBorders>
              <w:top w:val="nil"/>
              <w:left w:val="nil"/>
              <w:bottom w:val="nil"/>
              <w:right w:val="nil"/>
            </w:tcBorders>
            <w:shd w:val="clear" w:color="auto" w:fill="auto"/>
          </w:tcPr>
          <w:p w14:paraId="2B7F0194" w14:textId="77777777" w:rsidR="00D677B0" w:rsidRPr="00D677B0" w:rsidRDefault="00D677B0" w:rsidP="00D677B0">
            <w:pPr>
              <w:spacing w:line="360" w:lineRule="auto"/>
              <w:jc w:val="center"/>
              <w:rPr>
                <w:rFonts w:ascii="Arial" w:hAnsi="Arial"/>
                <w:bCs/>
                <w:u w:val="single"/>
                <w:rtl/>
              </w:rPr>
            </w:pPr>
            <w:bookmarkStart w:id="7" w:name="PsakDin" w:colFirst="0" w:colLast="0"/>
            <w:bookmarkEnd w:id="0"/>
            <w:r w:rsidRPr="00D677B0">
              <w:rPr>
                <w:rFonts w:ascii="Arial" w:hAnsi="Arial"/>
                <w:b/>
                <w:bCs/>
                <w:u w:val="single"/>
                <w:rtl/>
              </w:rPr>
              <w:t>גזר דין</w:t>
            </w:r>
          </w:p>
        </w:tc>
      </w:tr>
      <w:bookmarkEnd w:id="7"/>
    </w:tbl>
    <w:p w14:paraId="4EE45374" w14:textId="77777777" w:rsidR="00507694" w:rsidRPr="00724163" w:rsidRDefault="00507694" w:rsidP="00724163">
      <w:pPr>
        <w:spacing w:line="360" w:lineRule="auto"/>
        <w:rPr>
          <w:rtl/>
        </w:rPr>
      </w:pPr>
    </w:p>
    <w:p w14:paraId="28625917" w14:textId="77777777" w:rsidR="00724163" w:rsidRPr="00724163" w:rsidRDefault="00724163" w:rsidP="00724163">
      <w:pPr>
        <w:spacing w:line="360" w:lineRule="auto"/>
        <w:jc w:val="both"/>
        <w:rPr>
          <w:b/>
          <w:bCs/>
          <w:u w:val="single"/>
          <w:rtl/>
        </w:rPr>
      </w:pPr>
      <w:r w:rsidRPr="00724163">
        <w:rPr>
          <w:rFonts w:hint="cs"/>
          <w:b/>
          <w:bCs/>
          <w:rtl/>
        </w:rPr>
        <w:t>א.</w:t>
      </w:r>
      <w:r w:rsidRPr="00724163">
        <w:rPr>
          <w:rFonts w:hint="cs"/>
          <w:b/>
          <w:bCs/>
          <w:rtl/>
        </w:rPr>
        <w:tab/>
      </w:r>
      <w:r w:rsidRPr="00724163">
        <w:rPr>
          <w:rFonts w:hint="cs"/>
          <w:b/>
          <w:bCs/>
          <w:u w:val="single"/>
          <w:rtl/>
        </w:rPr>
        <w:t>מבוא</w:t>
      </w:r>
    </w:p>
    <w:p w14:paraId="600099ED" w14:textId="77777777" w:rsidR="00724163" w:rsidRPr="00724163" w:rsidRDefault="00724163" w:rsidP="00724163">
      <w:pPr>
        <w:spacing w:line="360" w:lineRule="auto"/>
        <w:jc w:val="both"/>
        <w:rPr>
          <w:b/>
          <w:bCs/>
          <w:u w:val="single"/>
          <w:rtl/>
        </w:rPr>
      </w:pPr>
    </w:p>
    <w:p w14:paraId="121DF962" w14:textId="77777777" w:rsidR="00724163" w:rsidRPr="00724163" w:rsidRDefault="00724163" w:rsidP="00724163">
      <w:pPr>
        <w:spacing w:line="360" w:lineRule="auto"/>
        <w:jc w:val="both"/>
        <w:rPr>
          <w:rtl/>
        </w:rPr>
      </w:pPr>
      <w:r w:rsidRPr="00724163">
        <w:rPr>
          <w:rFonts w:hint="cs"/>
          <w:rtl/>
        </w:rPr>
        <w:t>ביום 21.9.14, לאחר שמיעת הראיות בתיק</w:t>
      </w:r>
      <w:r w:rsidR="007E0D10">
        <w:rPr>
          <w:rFonts w:hint="cs"/>
          <w:rtl/>
        </w:rPr>
        <w:t>,</w:t>
      </w:r>
      <w:r w:rsidRPr="00724163">
        <w:rPr>
          <w:rFonts w:hint="cs"/>
          <w:rtl/>
        </w:rPr>
        <w:t xml:space="preserve"> ולאחר שניתן צו לסיכומים, הגיעו הצדדים להסדר טיעון (סומן ב/1), במסגרתו הוגש כתב אישום מתוקן (סומן ב/2, להלן: </w:t>
      </w:r>
      <w:r w:rsidRPr="00724163">
        <w:rPr>
          <w:rFonts w:cs="Miriam" w:hint="cs"/>
          <w:rtl/>
        </w:rPr>
        <w:t>"כתב האישום"</w:t>
      </w:r>
      <w:r w:rsidRPr="00724163">
        <w:rPr>
          <w:rFonts w:hint="cs"/>
          <w:rtl/>
        </w:rPr>
        <w:t xml:space="preserve">). התיקון העיקרי בכתב האישום בעקבות ההסדר נסב סביב המרת עבירת הרצח שיוחסה לנאשם באישום הראשון לעבירה של </w:t>
      </w:r>
      <w:r w:rsidRPr="00724163">
        <w:rPr>
          <w:rFonts w:hint="cs"/>
          <w:b/>
          <w:bCs/>
          <w:rtl/>
        </w:rPr>
        <w:t>סיוע להריגה</w:t>
      </w:r>
      <w:r w:rsidRPr="00724163">
        <w:rPr>
          <w:rFonts w:hint="cs"/>
          <w:rtl/>
        </w:rPr>
        <w:t xml:space="preserve">, ביטול העבירה של ניסיון לרצח אשר יוחסה לנאשם באישום השני והמרתה בעבירה של </w:t>
      </w:r>
      <w:r w:rsidRPr="00724163">
        <w:rPr>
          <w:rFonts w:hint="cs"/>
          <w:b/>
          <w:bCs/>
          <w:rtl/>
        </w:rPr>
        <w:t>חבלה בכוונה מחמירה</w:t>
      </w:r>
      <w:r w:rsidRPr="00724163">
        <w:rPr>
          <w:rFonts w:hint="cs"/>
          <w:rtl/>
        </w:rPr>
        <w:t xml:space="preserve">. </w:t>
      </w:r>
    </w:p>
    <w:p w14:paraId="22F4E7BD" w14:textId="77777777" w:rsidR="00724163" w:rsidRPr="00724163" w:rsidRDefault="00724163" w:rsidP="00724163">
      <w:pPr>
        <w:spacing w:line="360" w:lineRule="auto"/>
        <w:rPr>
          <w:rtl/>
        </w:rPr>
      </w:pPr>
    </w:p>
    <w:p w14:paraId="286B0DE9" w14:textId="77777777" w:rsidR="00724163" w:rsidRDefault="00724163" w:rsidP="00724163">
      <w:pPr>
        <w:spacing w:line="360" w:lineRule="auto"/>
        <w:jc w:val="both"/>
        <w:rPr>
          <w:b/>
          <w:bCs/>
          <w:u w:val="single"/>
          <w:rtl/>
        </w:rPr>
      </w:pPr>
      <w:r w:rsidRPr="00724163">
        <w:rPr>
          <w:rFonts w:hint="cs"/>
          <w:b/>
          <w:bCs/>
          <w:rtl/>
        </w:rPr>
        <w:t>ב.</w:t>
      </w:r>
      <w:r w:rsidRPr="00724163">
        <w:rPr>
          <w:rFonts w:hint="cs"/>
          <w:b/>
          <w:bCs/>
          <w:rtl/>
        </w:rPr>
        <w:tab/>
      </w:r>
      <w:r w:rsidRPr="00724163">
        <w:rPr>
          <w:rFonts w:hint="cs"/>
          <w:b/>
          <w:bCs/>
          <w:u w:val="single"/>
          <w:rtl/>
        </w:rPr>
        <w:t>הסדר הטיעון</w:t>
      </w:r>
    </w:p>
    <w:p w14:paraId="2E016BBA" w14:textId="77777777" w:rsidR="00724163" w:rsidRPr="00724163" w:rsidRDefault="00724163" w:rsidP="00724163">
      <w:pPr>
        <w:spacing w:line="360" w:lineRule="auto"/>
        <w:jc w:val="both"/>
        <w:rPr>
          <w:b/>
          <w:bCs/>
          <w:u w:val="single"/>
        </w:rPr>
      </w:pPr>
    </w:p>
    <w:p w14:paraId="078E8E5F" w14:textId="77777777" w:rsidR="00724163" w:rsidRPr="00724163" w:rsidRDefault="00724163" w:rsidP="00724163">
      <w:pPr>
        <w:spacing w:line="360" w:lineRule="auto"/>
        <w:jc w:val="both"/>
        <w:rPr>
          <w:rtl/>
        </w:rPr>
      </w:pPr>
      <w:r w:rsidRPr="00724163">
        <w:rPr>
          <w:rFonts w:hint="cs"/>
          <w:rtl/>
        </w:rPr>
        <w:t xml:space="preserve">הסדר הטיעון כלל הסדר לעניין טווחי ענישה ולפיו הצדדים יעתרו לטווחי ענישה שבין </w:t>
      </w:r>
      <w:r w:rsidRPr="00724163">
        <w:rPr>
          <w:rFonts w:hint="cs"/>
          <w:b/>
          <w:bCs/>
          <w:u w:val="single"/>
          <w:rtl/>
        </w:rPr>
        <w:t xml:space="preserve">12-15 </w:t>
      </w:r>
      <w:r w:rsidRPr="00724163">
        <w:rPr>
          <w:rFonts w:hint="cs"/>
          <w:b/>
          <w:bCs/>
          <w:rtl/>
        </w:rPr>
        <w:t>שנות מאסר בפועל</w:t>
      </w:r>
      <w:r w:rsidRPr="00724163">
        <w:rPr>
          <w:rFonts w:hint="cs"/>
          <w:rtl/>
        </w:rPr>
        <w:t xml:space="preserve"> בגין האישום הראשון, ובין </w:t>
      </w:r>
      <w:r w:rsidRPr="00724163">
        <w:rPr>
          <w:rFonts w:hint="cs"/>
          <w:b/>
          <w:bCs/>
          <w:u w:val="single"/>
          <w:rtl/>
        </w:rPr>
        <w:t>6-8</w:t>
      </w:r>
      <w:r w:rsidRPr="00724163">
        <w:rPr>
          <w:rFonts w:hint="cs"/>
          <w:b/>
          <w:bCs/>
          <w:rtl/>
        </w:rPr>
        <w:t xml:space="preserve"> שנות מאסר בפועל</w:t>
      </w:r>
      <w:r w:rsidRPr="00724163">
        <w:rPr>
          <w:rFonts w:hint="cs"/>
          <w:rtl/>
        </w:rPr>
        <w:t>, בגין האישום השני.</w:t>
      </w:r>
    </w:p>
    <w:p w14:paraId="02F89726" w14:textId="77777777" w:rsidR="00724163" w:rsidRPr="00724163" w:rsidRDefault="00724163" w:rsidP="00724163">
      <w:pPr>
        <w:spacing w:line="360" w:lineRule="auto"/>
        <w:jc w:val="both"/>
        <w:rPr>
          <w:u w:val="single"/>
          <w:rtl/>
        </w:rPr>
      </w:pPr>
    </w:p>
    <w:p w14:paraId="15CB4EF8" w14:textId="77777777" w:rsidR="00724163" w:rsidRPr="00724163" w:rsidRDefault="00724163" w:rsidP="00724163">
      <w:pPr>
        <w:spacing w:line="360" w:lineRule="auto"/>
        <w:jc w:val="both"/>
        <w:rPr>
          <w:rtl/>
        </w:rPr>
      </w:pPr>
      <w:r w:rsidRPr="00724163">
        <w:rPr>
          <w:rFonts w:hint="cs"/>
          <w:rtl/>
        </w:rPr>
        <w:t xml:space="preserve">עוד הוסכם בין הצדדים, כי המאשימה תעתור להשית על הנאשם את הרף העליון שבהסדר, דהיינו 15 שנות מאסר בגין האישום הראשון ו-8 שנות מאסר בגין האירוע השני, ואילו ההגנה תטען להטלת הרף התחתון שבהסדר, דהיינו 12 שנות מאסר בגין האישום הראשון ו-6 שנות מאסר באישום השני. </w:t>
      </w:r>
    </w:p>
    <w:p w14:paraId="33A1427C" w14:textId="77777777" w:rsidR="00724163" w:rsidRDefault="00724163" w:rsidP="00724163">
      <w:pPr>
        <w:spacing w:line="360" w:lineRule="auto"/>
        <w:jc w:val="both"/>
        <w:rPr>
          <w:rtl/>
        </w:rPr>
      </w:pPr>
    </w:p>
    <w:p w14:paraId="4C8056FA" w14:textId="77777777" w:rsidR="00724163" w:rsidRPr="00724163" w:rsidRDefault="00724163" w:rsidP="007E0D10">
      <w:pPr>
        <w:spacing w:line="360" w:lineRule="auto"/>
        <w:jc w:val="both"/>
        <w:rPr>
          <w:rtl/>
        </w:rPr>
      </w:pPr>
      <w:r w:rsidRPr="00724163">
        <w:rPr>
          <w:rFonts w:hint="cs"/>
          <w:rtl/>
        </w:rPr>
        <w:t xml:space="preserve">הצדדים הסכימו ביניהם כי עונשי המאסר שיוטלו על-ידי בית המשפט בכל אחד מן האישומים </w:t>
      </w:r>
      <w:r w:rsidRPr="00724163">
        <w:rPr>
          <w:rFonts w:hint="cs"/>
          <w:b/>
          <w:bCs/>
          <w:u w:val="single"/>
          <w:rtl/>
        </w:rPr>
        <w:t>יצטברו זה לזה</w:t>
      </w:r>
      <w:r w:rsidRPr="00724163">
        <w:rPr>
          <w:rFonts w:hint="cs"/>
          <w:rtl/>
        </w:rPr>
        <w:t xml:space="preserve">. כן הוסכם, כי הטיעון בקשר ליתר רכיבי העונש – מאסר מותנה ופיצויים - יהא טיעון "פתוח".  </w:t>
      </w:r>
    </w:p>
    <w:p w14:paraId="72959D0B" w14:textId="77777777" w:rsidR="00724163" w:rsidRPr="00724163" w:rsidRDefault="00724163" w:rsidP="00724163">
      <w:pPr>
        <w:tabs>
          <w:tab w:val="right" w:pos="7946"/>
        </w:tabs>
        <w:spacing w:line="360" w:lineRule="auto"/>
        <w:ind w:left="26" w:right="360"/>
        <w:jc w:val="both"/>
        <w:rPr>
          <w:rFonts w:ascii="Arial" w:hAnsi="Arial"/>
          <w:rtl/>
        </w:rPr>
      </w:pPr>
    </w:p>
    <w:p w14:paraId="70B6A23C" w14:textId="77777777" w:rsidR="00724163" w:rsidRPr="00724163" w:rsidRDefault="00724163" w:rsidP="00724163">
      <w:pPr>
        <w:tabs>
          <w:tab w:val="right" w:pos="7946"/>
        </w:tabs>
        <w:spacing w:line="360" w:lineRule="auto"/>
        <w:ind w:left="26" w:right="360"/>
        <w:jc w:val="both"/>
        <w:rPr>
          <w:rFonts w:ascii="Arial" w:hAnsi="Arial"/>
          <w:rtl/>
        </w:rPr>
      </w:pPr>
      <w:r w:rsidRPr="00724163">
        <w:rPr>
          <w:rFonts w:ascii="Arial" w:hAnsi="Arial" w:hint="cs"/>
          <w:rtl/>
        </w:rPr>
        <w:t xml:space="preserve">ב"כ המאשימה הודיעה, כי הסדר הטיעון נערך בידיעת משפחת המנוח ובהסכמתה. </w:t>
      </w:r>
    </w:p>
    <w:p w14:paraId="297ABFB9" w14:textId="77777777" w:rsidR="00724163" w:rsidRPr="00724163" w:rsidRDefault="00724163" w:rsidP="00724163">
      <w:pPr>
        <w:spacing w:line="360" w:lineRule="auto"/>
        <w:jc w:val="both"/>
        <w:rPr>
          <w:rtl/>
        </w:rPr>
      </w:pPr>
    </w:p>
    <w:p w14:paraId="6519F3A5" w14:textId="77777777" w:rsidR="00724163" w:rsidRDefault="00724163" w:rsidP="00724163">
      <w:pPr>
        <w:spacing w:line="360" w:lineRule="auto"/>
        <w:jc w:val="both"/>
        <w:rPr>
          <w:b/>
          <w:bCs/>
          <w:u w:val="single"/>
          <w:rtl/>
        </w:rPr>
      </w:pPr>
      <w:r w:rsidRPr="00724163">
        <w:rPr>
          <w:rFonts w:hint="cs"/>
          <w:b/>
          <w:bCs/>
          <w:rtl/>
        </w:rPr>
        <w:t>ג.</w:t>
      </w:r>
      <w:r w:rsidRPr="00724163">
        <w:rPr>
          <w:rFonts w:hint="cs"/>
          <w:b/>
          <w:bCs/>
          <w:rtl/>
        </w:rPr>
        <w:tab/>
      </w:r>
      <w:r w:rsidRPr="00724163">
        <w:rPr>
          <w:rFonts w:hint="cs"/>
          <w:b/>
          <w:bCs/>
          <w:u w:val="single"/>
          <w:rtl/>
        </w:rPr>
        <w:t>עובדות כתב האישום</w:t>
      </w:r>
    </w:p>
    <w:p w14:paraId="2FA5002C" w14:textId="77777777" w:rsidR="00724163" w:rsidRPr="00724163" w:rsidRDefault="00724163" w:rsidP="00724163">
      <w:pPr>
        <w:spacing w:line="360" w:lineRule="auto"/>
        <w:jc w:val="both"/>
        <w:rPr>
          <w:b/>
          <w:bCs/>
          <w:u w:val="single"/>
          <w:rtl/>
        </w:rPr>
      </w:pPr>
    </w:p>
    <w:p w14:paraId="68045BCB" w14:textId="77777777" w:rsidR="00724163" w:rsidRPr="00724163" w:rsidRDefault="00724163" w:rsidP="00724163">
      <w:pPr>
        <w:spacing w:line="360" w:lineRule="auto"/>
        <w:jc w:val="both"/>
        <w:rPr>
          <w:rtl/>
        </w:rPr>
      </w:pPr>
      <w:r w:rsidRPr="00724163">
        <w:rPr>
          <w:rFonts w:hint="cs"/>
          <w:rtl/>
        </w:rPr>
        <w:t xml:space="preserve">הרקע לעבירות הינו סכסוך משפחתי בין משפחת הנאשם לבין המנוח, על רקע הפעלת בתי קפה/נרגילות בכפר ג'דיידה-מכר וחשדם של הנאשם ובני משפחתו כי המנוח היה מעורב במותו של ילד בן 12 בשם אנס, ממשפחת כיאל, ביום 19.12.11. </w:t>
      </w:r>
    </w:p>
    <w:p w14:paraId="0A426359" w14:textId="77777777" w:rsidR="00724163" w:rsidRPr="00724163" w:rsidRDefault="00724163" w:rsidP="00724163">
      <w:pPr>
        <w:spacing w:line="360" w:lineRule="auto"/>
        <w:jc w:val="both"/>
        <w:rPr>
          <w:rtl/>
        </w:rPr>
      </w:pPr>
    </w:p>
    <w:p w14:paraId="2FEA16B0" w14:textId="77777777" w:rsidR="00724163" w:rsidRPr="00724163" w:rsidRDefault="00724163" w:rsidP="00724163">
      <w:pPr>
        <w:spacing w:line="360" w:lineRule="auto"/>
        <w:jc w:val="both"/>
        <w:rPr>
          <w:rtl/>
        </w:rPr>
      </w:pPr>
      <w:r w:rsidRPr="00724163">
        <w:rPr>
          <w:rFonts w:hint="cs"/>
          <w:rtl/>
        </w:rPr>
        <w:t xml:space="preserve">על-פי </w:t>
      </w:r>
      <w:r w:rsidRPr="00724163">
        <w:rPr>
          <w:rFonts w:cs="Miriam" w:hint="cs"/>
          <w:rtl/>
        </w:rPr>
        <w:t>האישום הראשון</w:t>
      </w:r>
      <w:r w:rsidRPr="00724163">
        <w:rPr>
          <w:rFonts w:hint="cs"/>
          <w:rtl/>
        </w:rPr>
        <w:t xml:space="preserve"> סייע הנאשם ליאסר כיאל </w:t>
      </w:r>
      <w:r w:rsidRPr="00724163">
        <w:rPr>
          <w:rFonts w:cs="Miriam" w:hint="cs"/>
          <w:rtl/>
        </w:rPr>
        <w:t>("יאסר"),</w:t>
      </w:r>
      <w:r w:rsidRPr="00724163">
        <w:rPr>
          <w:rFonts w:hint="cs"/>
          <w:rtl/>
        </w:rPr>
        <w:t xml:space="preserve"> סוהיל כיאל </w:t>
      </w:r>
      <w:r w:rsidRPr="00776D8D">
        <w:rPr>
          <w:rFonts w:cs="Miriam" w:hint="cs"/>
          <w:rtl/>
        </w:rPr>
        <w:t>("סוהיל")</w:t>
      </w:r>
      <w:r w:rsidRPr="00724163">
        <w:rPr>
          <w:rFonts w:hint="cs"/>
          <w:rtl/>
        </w:rPr>
        <w:t>, מחמוד שאמי (</w:t>
      </w:r>
      <w:r w:rsidRPr="00776D8D">
        <w:rPr>
          <w:rFonts w:cs="Miriam" w:hint="cs"/>
          <w:rtl/>
        </w:rPr>
        <w:t>"מחמוד"</w:t>
      </w:r>
      <w:r w:rsidRPr="00724163">
        <w:rPr>
          <w:rFonts w:hint="cs"/>
          <w:rtl/>
        </w:rPr>
        <w:t xml:space="preserve">), עומר שאפעי </w:t>
      </w:r>
      <w:r w:rsidRPr="00776D8D">
        <w:rPr>
          <w:rFonts w:cs="Miriam" w:hint="cs"/>
          <w:rtl/>
        </w:rPr>
        <w:t>("עומר")</w:t>
      </w:r>
      <w:r w:rsidRPr="00724163">
        <w:rPr>
          <w:rFonts w:hint="cs"/>
          <w:rtl/>
        </w:rPr>
        <w:t xml:space="preserve"> ואחמד חטיב </w:t>
      </w:r>
      <w:r w:rsidRPr="00776D8D">
        <w:rPr>
          <w:rFonts w:cs="Miriam" w:hint="cs"/>
          <w:rtl/>
        </w:rPr>
        <w:t>("אחמד"),</w:t>
      </w:r>
      <w:r w:rsidRPr="00724163">
        <w:rPr>
          <w:rFonts w:hint="cs"/>
          <w:rtl/>
        </w:rPr>
        <w:t xml:space="preserve"> בגרימת מותו של המנוח, ג'סוב הנבוזי, וזאת לאחר שהנאשם קשר עמם קשר לחבול בו באמצעות נשק.</w:t>
      </w:r>
    </w:p>
    <w:p w14:paraId="4275311C" w14:textId="77777777" w:rsidR="00724163" w:rsidRPr="00724163" w:rsidRDefault="00724163" w:rsidP="00724163">
      <w:pPr>
        <w:spacing w:line="360" w:lineRule="auto"/>
        <w:jc w:val="both"/>
        <w:rPr>
          <w:rtl/>
        </w:rPr>
      </w:pPr>
    </w:p>
    <w:p w14:paraId="24E9CA7A" w14:textId="77777777" w:rsidR="00724163" w:rsidRPr="00724163" w:rsidRDefault="00724163" w:rsidP="007E0D10">
      <w:pPr>
        <w:spacing w:line="360" w:lineRule="auto"/>
        <w:jc w:val="both"/>
        <w:rPr>
          <w:rtl/>
        </w:rPr>
      </w:pPr>
      <w:r w:rsidRPr="00724163">
        <w:rPr>
          <w:rFonts w:hint="cs"/>
          <w:rtl/>
        </w:rPr>
        <w:t xml:space="preserve">על פי התוכנית המקורית, לה היה שותף הנאשם, בתאריך 12.9.12, היו אמורים מחמוד, עומר ואחמד להמתין למנוח בכניסה לכפר ולירות לעברו. על פי התכנון, </w:t>
      </w:r>
      <w:r w:rsidR="007E0D10">
        <w:rPr>
          <w:rFonts w:hint="cs"/>
          <w:rtl/>
        </w:rPr>
        <w:t xml:space="preserve">הנאשם </w:t>
      </w:r>
      <w:r w:rsidRPr="00724163">
        <w:rPr>
          <w:rFonts w:hint="cs"/>
          <w:rtl/>
        </w:rPr>
        <w:t xml:space="preserve">היה אמור להמתין ליד מגרש הכדורגל (להלן: </w:t>
      </w:r>
      <w:r w:rsidRPr="00776D8D">
        <w:rPr>
          <w:rFonts w:cs="Miriam" w:hint="cs"/>
          <w:rtl/>
        </w:rPr>
        <w:t xml:space="preserve">"המגרש") </w:t>
      </w:r>
      <w:r w:rsidRPr="00724163">
        <w:rPr>
          <w:rFonts w:hint="cs"/>
          <w:rtl/>
        </w:rPr>
        <w:t>ברכב מאזדה אותו יקבל מהם, ולמלט אותם מהמקום לאחר הירי. לצורך כך, הצטיידו מחמוד, עומר ואחמד בשני אקדחים ובתחמושת.</w:t>
      </w:r>
    </w:p>
    <w:p w14:paraId="380972DA" w14:textId="77777777" w:rsidR="00724163" w:rsidRPr="00724163" w:rsidRDefault="00724163" w:rsidP="00724163">
      <w:pPr>
        <w:spacing w:line="360" w:lineRule="auto"/>
        <w:jc w:val="both"/>
        <w:rPr>
          <w:rtl/>
        </w:rPr>
      </w:pPr>
    </w:p>
    <w:p w14:paraId="5D87E870" w14:textId="77777777" w:rsidR="00724163" w:rsidRPr="00724163" w:rsidRDefault="00724163" w:rsidP="00724163">
      <w:pPr>
        <w:spacing w:line="360" w:lineRule="auto"/>
        <w:jc w:val="both"/>
        <w:rPr>
          <w:rtl/>
        </w:rPr>
      </w:pPr>
      <w:r w:rsidRPr="00724163">
        <w:rPr>
          <w:rFonts w:hint="cs"/>
          <w:rtl/>
        </w:rPr>
        <w:t xml:space="preserve">במסגרת הקשר נפגש הנאשם עם מחמוד, עומר ואחמד, שהיו מצוידים באקדחים והמתינו בכפר </w:t>
      </w:r>
      <w:r w:rsidR="007E0D10">
        <w:rPr>
          <w:rFonts w:hint="cs"/>
          <w:rtl/>
        </w:rPr>
        <w:t>-</w:t>
      </w:r>
      <w:r w:rsidRPr="00724163">
        <w:rPr>
          <w:rFonts w:hint="cs"/>
          <w:rtl/>
        </w:rPr>
        <w:t xml:space="preserve">ברכב גנוב מסוג הונדה </w:t>
      </w:r>
      <w:r w:rsidR="007E0D10">
        <w:rPr>
          <w:rFonts w:hint="cs"/>
          <w:rtl/>
        </w:rPr>
        <w:t xml:space="preserve">- </w:t>
      </w:r>
      <w:r w:rsidRPr="00724163">
        <w:rPr>
          <w:rFonts w:hint="cs"/>
          <w:rtl/>
        </w:rPr>
        <w:t>להגעתו של המנוח. הנאשם נכנס לרכב המאזדה והמתין להוראות.</w:t>
      </w:r>
    </w:p>
    <w:p w14:paraId="41ED0952" w14:textId="77777777" w:rsidR="00724163" w:rsidRPr="00724163" w:rsidRDefault="00724163" w:rsidP="00724163">
      <w:pPr>
        <w:spacing w:line="360" w:lineRule="auto"/>
        <w:jc w:val="both"/>
        <w:rPr>
          <w:rtl/>
        </w:rPr>
      </w:pPr>
    </w:p>
    <w:p w14:paraId="3D8B7990" w14:textId="77777777" w:rsidR="00724163" w:rsidRPr="00724163" w:rsidRDefault="00724163" w:rsidP="007E0D10">
      <w:pPr>
        <w:spacing w:line="360" w:lineRule="auto"/>
        <w:jc w:val="both"/>
        <w:rPr>
          <w:rtl/>
        </w:rPr>
      </w:pPr>
      <w:r w:rsidRPr="00724163">
        <w:rPr>
          <w:rFonts w:hint="cs"/>
          <w:rtl/>
        </w:rPr>
        <w:t>בהמשך, בעקבות שיבושים בתוכנית המקורית, הגיע הנאשם ברכב המאזדה אל צומת הכניסה לכפר כשתפקידו לדווח לאחרים על הגעת המנוח חזרה לכפר, לעקוב אחר המכונית מסוג טויוטה בה נסע המנוח יחד עם חברו ולדווח טלפונית לאחרים, על התקדמות הנסיעה של המנוח.</w:t>
      </w:r>
    </w:p>
    <w:p w14:paraId="2AC35CEF" w14:textId="77777777" w:rsidR="00724163" w:rsidRPr="00724163" w:rsidRDefault="00724163" w:rsidP="00724163">
      <w:pPr>
        <w:spacing w:line="360" w:lineRule="auto"/>
        <w:jc w:val="both"/>
        <w:rPr>
          <w:rtl/>
        </w:rPr>
      </w:pPr>
    </w:p>
    <w:p w14:paraId="23D10B93" w14:textId="77777777" w:rsidR="00724163" w:rsidRPr="00724163" w:rsidRDefault="00724163" w:rsidP="00724163">
      <w:pPr>
        <w:spacing w:line="360" w:lineRule="auto"/>
        <w:jc w:val="both"/>
        <w:rPr>
          <w:rtl/>
        </w:rPr>
      </w:pPr>
      <w:r w:rsidRPr="00724163">
        <w:rPr>
          <w:rFonts w:hint="cs"/>
          <w:rtl/>
        </w:rPr>
        <w:t>בעקבות דיווחי הנאשם זיהו האחרים שישבו ב"הונדה" את רכב הטויוטה בו נסע המנוח והחלו גם הם בנסיעה</w:t>
      </w:r>
      <w:r w:rsidR="00A520A5">
        <w:rPr>
          <w:rFonts w:hint="cs"/>
          <w:rtl/>
        </w:rPr>
        <w:t>,</w:t>
      </w:r>
      <w:r w:rsidRPr="00724163">
        <w:rPr>
          <w:rFonts w:hint="cs"/>
          <w:rtl/>
        </w:rPr>
        <w:t xml:space="preserve"> תוך שהשתלבו בין רכב הטויוטה של המנוח לבין רכב המאזדה בו נהג הנאשם. שני הרכבים, המאזדה וההונדה, המשיכו לעקוב אחר רכב הטויוטה שבו היה המנוח. </w:t>
      </w:r>
    </w:p>
    <w:p w14:paraId="25B5DC92" w14:textId="77777777" w:rsidR="00724163" w:rsidRPr="00724163" w:rsidRDefault="00724163" w:rsidP="00724163">
      <w:pPr>
        <w:spacing w:line="360" w:lineRule="auto"/>
        <w:jc w:val="both"/>
        <w:rPr>
          <w:rtl/>
        </w:rPr>
      </w:pPr>
    </w:p>
    <w:p w14:paraId="4CDBA288" w14:textId="77777777" w:rsidR="00724163" w:rsidRPr="00724163" w:rsidRDefault="00724163" w:rsidP="00A520A5">
      <w:pPr>
        <w:spacing w:line="360" w:lineRule="auto"/>
        <w:jc w:val="both"/>
        <w:rPr>
          <w:rtl/>
        </w:rPr>
      </w:pPr>
      <w:r w:rsidRPr="00724163">
        <w:rPr>
          <w:rFonts w:hint="cs"/>
          <w:rtl/>
        </w:rPr>
        <w:t>כאשר עצר רכב הטויוטה ליד בית חברו של המנוח</w:t>
      </w:r>
      <w:r w:rsidR="00A520A5">
        <w:rPr>
          <w:rFonts w:hint="cs"/>
          <w:rtl/>
        </w:rPr>
        <w:t xml:space="preserve"> -</w:t>
      </w:r>
      <w:r w:rsidRPr="00724163">
        <w:rPr>
          <w:rFonts w:hint="cs"/>
          <w:rtl/>
        </w:rPr>
        <w:t xml:space="preserve"> והחבר שנהג עד לשלב זה ברכב המשיך לדרכו</w:t>
      </w:r>
      <w:r w:rsidR="00A520A5">
        <w:rPr>
          <w:rFonts w:hint="cs"/>
          <w:rtl/>
        </w:rPr>
        <w:t xml:space="preserve"> -</w:t>
      </w:r>
      <w:r w:rsidRPr="00724163">
        <w:rPr>
          <w:rFonts w:hint="cs"/>
          <w:rtl/>
        </w:rPr>
        <w:t xml:space="preserve"> ירד המנוח מהרכב במטרה לעבור למושב הנהג. בשלב זה, בהתאם לתוכנית, התקרב רכב ההונדה בו נהג אחמד אל המנוח שעמד סמוך לטויוטה ומחמוד ועומר ירו באקדחים לעברו וגרמו למותו. </w:t>
      </w:r>
    </w:p>
    <w:p w14:paraId="20F71EEA" w14:textId="77777777" w:rsidR="00724163" w:rsidRPr="00724163" w:rsidRDefault="00724163" w:rsidP="00724163">
      <w:pPr>
        <w:spacing w:line="360" w:lineRule="auto"/>
        <w:jc w:val="both"/>
        <w:rPr>
          <w:rtl/>
        </w:rPr>
      </w:pPr>
    </w:p>
    <w:p w14:paraId="4369B2E0" w14:textId="77777777" w:rsidR="00724163" w:rsidRDefault="00724163" w:rsidP="00724163">
      <w:pPr>
        <w:spacing w:line="360" w:lineRule="auto"/>
        <w:jc w:val="both"/>
        <w:rPr>
          <w:rtl/>
        </w:rPr>
      </w:pPr>
      <w:r w:rsidRPr="00724163">
        <w:rPr>
          <w:rFonts w:hint="cs"/>
          <w:rtl/>
        </w:rPr>
        <w:t>בהמשך, רכב ההונדה ורכב המאזדה בו נהג הנאשם נמלטו למגרש. בהגיעם לאזור המגרש, שרפו נוסעי ההונדה את הרכב, במטרה להעלים ראיות, ולאחר מכן נכנסו לרכב הנאשם</w:t>
      </w:r>
      <w:r w:rsidR="00005B31">
        <w:rPr>
          <w:rFonts w:hint="cs"/>
          <w:rtl/>
        </w:rPr>
        <w:t xml:space="preserve"> </w:t>
      </w:r>
      <w:r w:rsidR="00005B31">
        <w:rPr>
          <w:rtl/>
        </w:rPr>
        <w:t>–</w:t>
      </w:r>
      <w:r w:rsidR="00005B31">
        <w:rPr>
          <w:rFonts w:hint="cs"/>
          <w:rtl/>
        </w:rPr>
        <w:t xml:space="preserve"> המאזדה -</w:t>
      </w:r>
      <w:r w:rsidRPr="00724163">
        <w:rPr>
          <w:rFonts w:hint="cs"/>
          <w:rtl/>
        </w:rPr>
        <w:t xml:space="preserve"> ונמלטו מהמקום.  יום למחרת קיבל הנאשם מיאסר מעטפה ובה סכום של 40,000 ₪, אותו היה עליו למסור למחמוד עבור ביצוע התוכנית ומחמוד היה צריך לחלוק סכום זה עם עומר ואחמד, בתמורה לחלקם באירוע. הנאשם אכן מסר סכום זה, למחרת היום, למחמוד. </w:t>
      </w:r>
    </w:p>
    <w:p w14:paraId="49001A3C" w14:textId="77777777" w:rsidR="00776D8D" w:rsidRPr="00724163" w:rsidRDefault="00776D8D" w:rsidP="00724163">
      <w:pPr>
        <w:spacing w:line="360" w:lineRule="auto"/>
        <w:jc w:val="both"/>
        <w:rPr>
          <w:rtl/>
        </w:rPr>
      </w:pPr>
    </w:p>
    <w:p w14:paraId="23FB47FD" w14:textId="77777777" w:rsidR="00724163" w:rsidRPr="00724163" w:rsidRDefault="00724163" w:rsidP="000C647D">
      <w:pPr>
        <w:spacing w:line="360" w:lineRule="auto"/>
        <w:jc w:val="both"/>
        <w:rPr>
          <w:rtl/>
        </w:rPr>
      </w:pPr>
      <w:r w:rsidRPr="00724163">
        <w:rPr>
          <w:rFonts w:hint="cs"/>
          <w:rtl/>
        </w:rPr>
        <w:t>בגין האמור לעיל, הורשע הנאשם בעבירות של</w:t>
      </w:r>
      <w:r w:rsidRPr="00724163">
        <w:rPr>
          <w:rFonts w:hint="cs"/>
          <w:b/>
          <w:bCs/>
          <w:rtl/>
        </w:rPr>
        <w:t xml:space="preserve"> </w:t>
      </w:r>
      <w:r w:rsidRPr="00724163">
        <w:rPr>
          <w:rFonts w:hint="cs"/>
          <w:rtl/>
        </w:rPr>
        <w:t xml:space="preserve">קשירת קשר לבצע פשע (חבלה), סיוע להריגה, עבירות בנשק, הצתה ושיבוש מהלכי משפט, לפי סעיפים 499(א)(1), 298 + 31, 144(א) +(ב) + 29, 448(א)רישא + 29  ו- 244 + 29 לחוק העונשין, התשל"ז – 1977 (להלן: </w:t>
      </w:r>
      <w:r w:rsidRPr="00776D8D">
        <w:rPr>
          <w:rFonts w:cs="Miriam" w:hint="cs"/>
          <w:rtl/>
        </w:rPr>
        <w:t>"חוק העונשין"</w:t>
      </w:r>
      <w:r w:rsidRPr="00724163">
        <w:rPr>
          <w:rFonts w:hint="cs"/>
          <w:rtl/>
        </w:rPr>
        <w:t xml:space="preserve">). </w:t>
      </w:r>
    </w:p>
    <w:p w14:paraId="7A0586BB" w14:textId="77777777" w:rsidR="00724163" w:rsidRDefault="00724163" w:rsidP="00724163">
      <w:pPr>
        <w:spacing w:line="360" w:lineRule="auto"/>
        <w:jc w:val="both"/>
        <w:rPr>
          <w:rtl/>
        </w:rPr>
      </w:pPr>
    </w:p>
    <w:p w14:paraId="410E9B43" w14:textId="77777777" w:rsidR="000C647D" w:rsidRPr="00724163" w:rsidRDefault="000C647D" w:rsidP="000C647D">
      <w:pPr>
        <w:spacing w:line="360" w:lineRule="auto"/>
        <w:jc w:val="both"/>
        <w:rPr>
          <w:rtl/>
        </w:rPr>
      </w:pPr>
      <w:r w:rsidRPr="00724163">
        <w:rPr>
          <w:rFonts w:hint="cs"/>
          <w:rtl/>
        </w:rPr>
        <w:t xml:space="preserve">יצוין, כי נגד סוהיל, יאסר, עומר, מחמוד ואחמד הוגש </w:t>
      </w:r>
      <w:r w:rsidR="00606C76">
        <w:rPr>
          <w:rFonts w:hint="cs"/>
          <w:rtl/>
        </w:rPr>
        <w:t xml:space="preserve">בגין האירוע המתואר באישום הראשון, </w:t>
      </w:r>
      <w:r w:rsidRPr="00724163">
        <w:rPr>
          <w:rFonts w:hint="cs"/>
          <w:rtl/>
        </w:rPr>
        <w:t>כתב אישום נפרד אשר נדון בפני הרכב השופטים: ח. הורביץ [אב"ד], א. טובי ות. נתנאל-שרון, ב</w:t>
      </w:r>
      <w:hyperlink r:id="rId9" w:history="1">
        <w:r w:rsidR="00D677B0" w:rsidRPr="00D677B0">
          <w:rPr>
            <w:color w:val="0000FF"/>
            <w:u w:val="single"/>
            <w:rtl/>
          </w:rPr>
          <w:t>תפ"ח (חי') 15791-02-13</w:t>
        </w:r>
      </w:hyperlink>
      <w:r w:rsidRPr="00724163">
        <w:rPr>
          <w:rFonts w:hint="cs"/>
          <w:rtl/>
        </w:rPr>
        <w:t xml:space="preserve"> </w:t>
      </w:r>
      <w:r w:rsidR="00F47304" w:rsidRPr="00F47304">
        <w:rPr>
          <w:sz w:val="22"/>
          <w:rtl/>
        </w:rPr>
        <w:t xml:space="preserve">[פורסם בנבו] </w:t>
      </w:r>
      <w:r w:rsidRPr="00724163">
        <w:rPr>
          <w:rFonts w:hint="cs"/>
          <w:rtl/>
        </w:rPr>
        <w:t xml:space="preserve">(להלן: </w:t>
      </w:r>
      <w:r w:rsidRPr="00B1214A">
        <w:rPr>
          <w:rFonts w:cs="Miriam" w:hint="cs"/>
          <w:rtl/>
        </w:rPr>
        <w:t>"התיק המקביל"</w:t>
      </w:r>
      <w:r w:rsidRPr="00724163">
        <w:rPr>
          <w:rFonts w:hint="cs"/>
          <w:rtl/>
        </w:rPr>
        <w:t>). באותו תיק נחתם הסדר טיעון עם הנאשמים ביום 14.9.14, (ט/4) ואולם נכון למועד זה  טרם נגזר דינם.</w:t>
      </w:r>
    </w:p>
    <w:p w14:paraId="68671F65" w14:textId="77777777" w:rsidR="000C647D" w:rsidRPr="00724163" w:rsidRDefault="000C647D" w:rsidP="00724163">
      <w:pPr>
        <w:spacing w:line="360" w:lineRule="auto"/>
        <w:jc w:val="both"/>
        <w:rPr>
          <w:rtl/>
        </w:rPr>
      </w:pPr>
    </w:p>
    <w:p w14:paraId="572C5F86" w14:textId="77777777" w:rsidR="00724163" w:rsidRPr="00724163" w:rsidRDefault="00724163" w:rsidP="00776D8D">
      <w:pPr>
        <w:spacing w:line="360" w:lineRule="auto"/>
        <w:jc w:val="both"/>
        <w:rPr>
          <w:rtl/>
        </w:rPr>
      </w:pPr>
      <w:r w:rsidRPr="00724163">
        <w:rPr>
          <w:rFonts w:hint="cs"/>
          <w:rtl/>
        </w:rPr>
        <w:t xml:space="preserve">על-פי </w:t>
      </w:r>
      <w:r w:rsidRPr="00724163">
        <w:rPr>
          <w:rFonts w:cs="Miriam" w:hint="cs"/>
          <w:rtl/>
        </w:rPr>
        <w:t>האישום השני</w:t>
      </w:r>
      <w:r w:rsidRPr="00724163">
        <w:rPr>
          <w:rFonts w:hint="cs"/>
          <w:rtl/>
        </w:rPr>
        <w:t xml:space="preserve">, בתאריך 28.5.12, כשלושה וחצי חודשים קודם לאירוע המוזכר באישום הראשון, ירה הנאשם ביחד עם אחרים, מספר כדורים לעבר המנוח בכוונה לגרום לו לחבלה חמורה. הנאשם והאחרים נמלטו, אך כשהבחינו במנוח אשר הגיע לקבל טיפול במוקד הרפואי, ירו לעברו פעם נוספת. כתוצאה מהירי נפגע המנוח משני קליעים בעכוז, הובהל לבית החולים ושם טופל ונותח. </w:t>
      </w:r>
    </w:p>
    <w:p w14:paraId="5C597EDB" w14:textId="77777777" w:rsidR="00724163" w:rsidRPr="00724163" w:rsidRDefault="00724163" w:rsidP="00724163">
      <w:pPr>
        <w:spacing w:line="360" w:lineRule="auto"/>
        <w:jc w:val="both"/>
        <w:rPr>
          <w:rtl/>
        </w:rPr>
      </w:pPr>
    </w:p>
    <w:p w14:paraId="706475F7" w14:textId="77777777" w:rsidR="00724163" w:rsidRPr="00724163" w:rsidRDefault="00724163" w:rsidP="00724163">
      <w:pPr>
        <w:spacing w:line="360" w:lineRule="auto"/>
        <w:jc w:val="both"/>
        <w:rPr>
          <w:rtl/>
        </w:rPr>
      </w:pPr>
      <w:r w:rsidRPr="00724163">
        <w:rPr>
          <w:rFonts w:hint="cs"/>
          <w:rtl/>
        </w:rPr>
        <w:t xml:space="preserve">בגין האמור לעיל, הורשע הנאשם </w:t>
      </w:r>
      <w:r w:rsidR="00606C76">
        <w:rPr>
          <w:rFonts w:hint="cs"/>
          <w:rtl/>
        </w:rPr>
        <w:t xml:space="preserve">באישום השני </w:t>
      </w:r>
      <w:r w:rsidRPr="00724163">
        <w:rPr>
          <w:rFonts w:hint="cs"/>
          <w:rtl/>
        </w:rPr>
        <w:t>בעבירות של חבלה בכוונה מחמירה ועבירות בנשק, לפי סעיפים 329 +29 ו- 144(א) +(ב) +29 לחוק העונשין.</w:t>
      </w:r>
    </w:p>
    <w:p w14:paraId="590E7FD6" w14:textId="77777777" w:rsidR="00724163" w:rsidRDefault="00724163" w:rsidP="00724163">
      <w:pPr>
        <w:spacing w:line="360" w:lineRule="auto"/>
        <w:jc w:val="both"/>
        <w:rPr>
          <w:rtl/>
        </w:rPr>
      </w:pPr>
    </w:p>
    <w:p w14:paraId="1C4B1F5E" w14:textId="77777777" w:rsidR="00724163" w:rsidRDefault="00724163" w:rsidP="00724163">
      <w:pPr>
        <w:spacing w:line="360" w:lineRule="auto"/>
        <w:jc w:val="both"/>
        <w:rPr>
          <w:u w:val="single"/>
          <w:rtl/>
        </w:rPr>
      </w:pPr>
      <w:r w:rsidRPr="00724163">
        <w:rPr>
          <w:rFonts w:hint="cs"/>
          <w:rtl/>
        </w:rPr>
        <w:t xml:space="preserve">ד. </w:t>
      </w:r>
      <w:r w:rsidRPr="00724163">
        <w:rPr>
          <w:rFonts w:hint="cs"/>
          <w:rtl/>
        </w:rPr>
        <w:tab/>
      </w:r>
      <w:r w:rsidRPr="00724163">
        <w:rPr>
          <w:rFonts w:hint="cs"/>
          <w:b/>
          <w:bCs/>
          <w:u w:val="single"/>
          <w:rtl/>
        </w:rPr>
        <w:t>ראיות לעונש</w:t>
      </w:r>
    </w:p>
    <w:p w14:paraId="08FF1ED6" w14:textId="77777777" w:rsidR="00B1214A" w:rsidRPr="00724163" w:rsidRDefault="00B1214A" w:rsidP="00140C6B">
      <w:pPr>
        <w:jc w:val="both"/>
        <w:rPr>
          <w:u w:val="single"/>
          <w:rtl/>
        </w:rPr>
      </w:pPr>
    </w:p>
    <w:p w14:paraId="3E4EA85F" w14:textId="77777777" w:rsidR="00B1214A" w:rsidRDefault="00724163" w:rsidP="000213C2">
      <w:pPr>
        <w:spacing w:line="360" w:lineRule="auto"/>
        <w:jc w:val="both"/>
        <w:rPr>
          <w:rtl/>
        </w:rPr>
      </w:pPr>
      <w:r w:rsidRPr="00724163">
        <w:rPr>
          <w:rFonts w:hint="cs"/>
          <w:rtl/>
        </w:rPr>
        <w:t xml:space="preserve">מטעם המאשימה הוגש גיליון הרישום הפלילי של נאשם (ט/1), ממנו עולה כי לנאשם הרשעה בעבירה של החזקת סכין, בגינה </w:t>
      </w:r>
      <w:r w:rsidR="000213C2">
        <w:rPr>
          <w:rFonts w:hint="cs"/>
          <w:rtl/>
        </w:rPr>
        <w:t xml:space="preserve">נגזר </w:t>
      </w:r>
      <w:r w:rsidRPr="00724163">
        <w:rPr>
          <w:rFonts w:hint="cs"/>
          <w:rtl/>
        </w:rPr>
        <w:t xml:space="preserve">עליו מאסר בפועל בן חודשיים, אותו הוא מרצה החל מיום 19.9.14. כן הוגש מכתב מטעם הורי המנוח (ט/2), אשר העדיפו שלא להתייצב לדיון כדי שלא להעמיק את הסכסוך הקיים בין המשפחות שלפי תיאורם, גבה קורבנות בעבר וקיים חשש שיגבה קורבנות נוספים בעתיד. </w:t>
      </w:r>
    </w:p>
    <w:p w14:paraId="6A9E19ED" w14:textId="77777777" w:rsidR="00B1214A" w:rsidRDefault="00B1214A" w:rsidP="00724163">
      <w:pPr>
        <w:spacing w:line="360" w:lineRule="auto"/>
        <w:jc w:val="both"/>
        <w:rPr>
          <w:rtl/>
        </w:rPr>
      </w:pPr>
    </w:p>
    <w:p w14:paraId="4E559BFF" w14:textId="77777777" w:rsidR="00724163" w:rsidRPr="00724163" w:rsidRDefault="00724163" w:rsidP="00724163">
      <w:pPr>
        <w:spacing w:line="360" w:lineRule="auto"/>
        <w:jc w:val="both"/>
        <w:rPr>
          <w:rtl/>
        </w:rPr>
      </w:pPr>
      <w:r w:rsidRPr="00724163">
        <w:rPr>
          <w:rFonts w:hint="cs"/>
          <w:rtl/>
        </w:rPr>
        <w:t xml:space="preserve">עוד עולה מהמכתב, כי בני משפחת המנוח קיבלו את הסדר הטיעון והשלימו עמו, אך היו מעדיפים כי האחראים למות בנם יהיו כלואים מאחורי סורג ובריח עד סוף ימי חייהם. לבסוף, ביקשו ההורים כי בית המשפט יגזור את העונש הראוי לכל אותם אלה שגוזלים חייהם של אנשים תמימים. </w:t>
      </w:r>
    </w:p>
    <w:p w14:paraId="454E6BFD" w14:textId="77777777" w:rsidR="00724163" w:rsidRPr="00724163" w:rsidRDefault="00724163" w:rsidP="00724163">
      <w:pPr>
        <w:spacing w:line="360" w:lineRule="auto"/>
        <w:jc w:val="both"/>
        <w:rPr>
          <w:rtl/>
        </w:rPr>
      </w:pPr>
    </w:p>
    <w:p w14:paraId="6C91A764" w14:textId="77777777" w:rsidR="00B1214A" w:rsidRDefault="00724163" w:rsidP="000213C2">
      <w:pPr>
        <w:spacing w:line="360" w:lineRule="auto"/>
        <w:jc w:val="both"/>
        <w:rPr>
          <w:rtl/>
        </w:rPr>
      </w:pPr>
      <w:r w:rsidRPr="00724163">
        <w:rPr>
          <w:rFonts w:hint="cs"/>
          <w:rtl/>
        </w:rPr>
        <w:t xml:space="preserve">מטעם ההגנה הוגשה אסופת מכתבים (ס/1), וביניהם מכתב מטעם מנהלת הקהילה של הישוב טל-אל, </w:t>
      </w:r>
      <w:r w:rsidRPr="00724163">
        <w:rPr>
          <w:rFonts w:hint="cs"/>
          <w:b/>
          <w:bCs/>
          <w:rtl/>
        </w:rPr>
        <w:t>הגב' אורנה דיין</w:t>
      </w:r>
      <w:r w:rsidRPr="00724163">
        <w:rPr>
          <w:rFonts w:hint="cs"/>
          <w:rtl/>
        </w:rPr>
        <w:t xml:space="preserve">, אשר הכירה את הנאשם באמצעות אביו </w:t>
      </w:r>
      <w:r w:rsidR="000213C2">
        <w:rPr>
          <w:rFonts w:hint="cs"/>
          <w:rtl/>
        </w:rPr>
        <w:t>ה</w:t>
      </w:r>
      <w:r w:rsidRPr="00724163">
        <w:rPr>
          <w:rFonts w:hint="cs"/>
          <w:rtl/>
        </w:rPr>
        <w:t xml:space="preserve">משמש כקבלן חשמל והנאשם סייע לו בעבודתו. על פי תיאורה, הנאשם הוא בחור אחראי, מסור וחרוץ, בעל יחסי אנוש טובים ומכבד את הזולת. </w:t>
      </w:r>
    </w:p>
    <w:p w14:paraId="2ACFA968" w14:textId="77777777" w:rsidR="00B1214A" w:rsidRDefault="00B1214A" w:rsidP="00724163">
      <w:pPr>
        <w:spacing w:line="360" w:lineRule="auto"/>
        <w:jc w:val="both"/>
        <w:rPr>
          <w:rtl/>
        </w:rPr>
      </w:pPr>
    </w:p>
    <w:p w14:paraId="7BA2BAD7" w14:textId="77777777" w:rsidR="00724163" w:rsidRPr="00724163" w:rsidRDefault="00724163" w:rsidP="00724163">
      <w:pPr>
        <w:spacing w:line="360" w:lineRule="auto"/>
        <w:jc w:val="both"/>
        <w:rPr>
          <w:rtl/>
        </w:rPr>
      </w:pPr>
      <w:r w:rsidRPr="00724163">
        <w:rPr>
          <w:rFonts w:hint="cs"/>
          <w:rtl/>
        </w:rPr>
        <w:t xml:space="preserve">כן הוגש מכתב מטעם </w:t>
      </w:r>
      <w:r w:rsidRPr="00724163">
        <w:rPr>
          <w:rFonts w:hint="cs"/>
          <w:b/>
          <w:bCs/>
          <w:rtl/>
        </w:rPr>
        <w:t xml:space="preserve">הגב' פרידה בכובסקי, </w:t>
      </w:r>
      <w:r w:rsidRPr="00724163">
        <w:rPr>
          <w:rFonts w:hint="cs"/>
          <w:rtl/>
        </w:rPr>
        <w:t>אשר תיארה כי הכירה את הנאשם בעת שסייע לאביו בעבודות חשמל בביתה. לדבריה, הנאשם היה צייתן, מופנם, סבלני ורגיש.</w:t>
      </w:r>
    </w:p>
    <w:p w14:paraId="2CE6D5EC" w14:textId="77777777" w:rsidR="00724163" w:rsidRPr="00724163" w:rsidRDefault="00724163" w:rsidP="00724163">
      <w:pPr>
        <w:spacing w:line="360" w:lineRule="auto"/>
        <w:jc w:val="both"/>
        <w:rPr>
          <w:rtl/>
        </w:rPr>
      </w:pPr>
    </w:p>
    <w:p w14:paraId="2EA9967A" w14:textId="77777777" w:rsidR="00724163" w:rsidRPr="00724163" w:rsidRDefault="00724163" w:rsidP="00724163">
      <w:pPr>
        <w:spacing w:line="360" w:lineRule="auto"/>
        <w:jc w:val="both"/>
        <w:rPr>
          <w:rtl/>
        </w:rPr>
      </w:pPr>
      <w:r w:rsidRPr="00724163">
        <w:rPr>
          <w:rFonts w:hint="cs"/>
          <w:rtl/>
        </w:rPr>
        <w:t xml:space="preserve">עוד הוגש, מכתבו של </w:t>
      </w:r>
      <w:r w:rsidRPr="00724163">
        <w:rPr>
          <w:rFonts w:hint="cs"/>
          <w:b/>
          <w:bCs/>
          <w:rtl/>
        </w:rPr>
        <w:t>מר יואל בן הרוש</w:t>
      </w:r>
      <w:r w:rsidRPr="00724163">
        <w:rPr>
          <w:rFonts w:hint="cs"/>
          <w:rtl/>
        </w:rPr>
        <w:t>, אשר הכיר אף הוא את הנאשם דרך אביו, וציין כי מדובר בבחור שקט וחרוץ, אשר ביצע את עבודתו על הצד הטוב ביותר ובאחריות רבה.</w:t>
      </w:r>
    </w:p>
    <w:p w14:paraId="3AFE94B2" w14:textId="77777777" w:rsidR="00724163" w:rsidRPr="00724163" w:rsidRDefault="00724163" w:rsidP="00724163">
      <w:pPr>
        <w:spacing w:line="360" w:lineRule="auto"/>
        <w:jc w:val="both"/>
        <w:rPr>
          <w:rtl/>
        </w:rPr>
      </w:pPr>
    </w:p>
    <w:p w14:paraId="539B4A5A" w14:textId="77777777" w:rsidR="00724163" w:rsidRPr="00724163" w:rsidRDefault="00724163" w:rsidP="00724163">
      <w:pPr>
        <w:spacing w:line="360" w:lineRule="auto"/>
        <w:jc w:val="both"/>
        <w:rPr>
          <w:rtl/>
        </w:rPr>
      </w:pPr>
      <w:r w:rsidRPr="00724163">
        <w:rPr>
          <w:rFonts w:hint="cs"/>
          <w:rtl/>
        </w:rPr>
        <w:t xml:space="preserve">בנוסף, הוגש מכתבו של </w:t>
      </w:r>
      <w:r w:rsidRPr="00724163">
        <w:rPr>
          <w:rFonts w:hint="cs"/>
          <w:b/>
          <w:bCs/>
          <w:rtl/>
        </w:rPr>
        <w:t>מר מיכאל הרפז</w:t>
      </w:r>
      <w:r w:rsidRPr="00724163">
        <w:rPr>
          <w:rFonts w:hint="cs"/>
          <w:rtl/>
        </w:rPr>
        <w:t xml:space="preserve">, טייס בעברו ומנהלה של חברה קבלנית לעבודות הנדסה. במכתבו ציין מר הרפז, כי הוא מכיר את הנאשם מזה כ 5-6 שנים, דרך עבודתו עם אביו, והתרשם כי מדובר בבחור שקט, חרוץ, חכם וממושמע. </w:t>
      </w:r>
    </w:p>
    <w:p w14:paraId="078048CC" w14:textId="77777777" w:rsidR="00B1214A" w:rsidRDefault="00B1214A" w:rsidP="00724163">
      <w:pPr>
        <w:spacing w:line="360" w:lineRule="auto"/>
        <w:jc w:val="both"/>
        <w:rPr>
          <w:rtl/>
        </w:rPr>
      </w:pPr>
    </w:p>
    <w:p w14:paraId="5F757560" w14:textId="77777777" w:rsidR="00724163" w:rsidRPr="00724163" w:rsidRDefault="00724163" w:rsidP="00724163">
      <w:pPr>
        <w:spacing w:line="360" w:lineRule="auto"/>
        <w:jc w:val="both"/>
        <w:rPr>
          <w:rtl/>
        </w:rPr>
      </w:pPr>
      <w:r w:rsidRPr="00724163">
        <w:rPr>
          <w:rFonts w:hint="cs"/>
          <w:rtl/>
        </w:rPr>
        <w:t xml:space="preserve">לפי תיאורו, בזמן עבודתו של הנאשם יחד עם אביו, שמע מהנאשם כי הוא התארס ונרשם ללימודים, והתרשם כי מדובר בבחור נורמטיבי שהעולם העברייני זר לו.  </w:t>
      </w:r>
    </w:p>
    <w:p w14:paraId="3824D7B7" w14:textId="77777777" w:rsidR="00724163" w:rsidRPr="00724163" w:rsidRDefault="00724163" w:rsidP="00724163">
      <w:pPr>
        <w:spacing w:line="360" w:lineRule="auto"/>
        <w:jc w:val="both"/>
        <w:rPr>
          <w:rtl/>
        </w:rPr>
      </w:pPr>
    </w:p>
    <w:p w14:paraId="78745A46" w14:textId="77777777" w:rsidR="00724163" w:rsidRPr="00724163" w:rsidRDefault="00724163" w:rsidP="00724163">
      <w:pPr>
        <w:spacing w:line="360" w:lineRule="auto"/>
        <w:jc w:val="both"/>
        <w:rPr>
          <w:rtl/>
        </w:rPr>
      </w:pPr>
      <w:r w:rsidRPr="00724163">
        <w:rPr>
          <w:rFonts w:hint="cs"/>
          <w:rtl/>
        </w:rPr>
        <w:t>מר הרפז תיאר את משפחת הנאשם, אותה הוא מכיר משנת 1996, כמשפחה שומרת חוק, משכילה אוהבת ותומכת, כאשר לדבריו, מהיכרותו את הנאשם ובני משפחתו, מסקנתו היא כי הסתבכותו של הנאשם היא בגדר מעידה חד-פעמית הנובעת מ"היגררות" אחר מנהיגים שליליים בכפר.</w:t>
      </w:r>
    </w:p>
    <w:p w14:paraId="22B8249F" w14:textId="77777777" w:rsidR="00724163" w:rsidRPr="00724163" w:rsidRDefault="00724163" w:rsidP="00724163">
      <w:pPr>
        <w:spacing w:line="360" w:lineRule="auto"/>
        <w:jc w:val="both"/>
        <w:rPr>
          <w:rtl/>
        </w:rPr>
      </w:pPr>
    </w:p>
    <w:p w14:paraId="0D619E8A" w14:textId="77777777" w:rsidR="00724163" w:rsidRPr="00724163" w:rsidRDefault="00724163" w:rsidP="00724163">
      <w:pPr>
        <w:spacing w:line="360" w:lineRule="auto"/>
        <w:jc w:val="both"/>
        <w:rPr>
          <w:rtl/>
        </w:rPr>
      </w:pPr>
      <w:r w:rsidRPr="00724163">
        <w:rPr>
          <w:rFonts w:hint="cs"/>
          <w:rtl/>
        </w:rPr>
        <w:t>כן טען מר הרפז, כי הסתבכותו ומעצרו של הנאשם, ובעקבות זאת ההתחייבות הכספית הגבוהה שלקחו על עצמם הוריו כדי לממן את הגנתו, מהווים עונש כבד מנשוא על המשפחה כולה.</w:t>
      </w:r>
    </w:p>
    <w:p w14:paraId="750BBF24" w14:textId="77777777" w:rsidR="00724163" w:rsidRPr="00724163" w:rsidRDefault="00724163" w:rsidP="00724163">
      <w:pPr>
        <w:spacing w:line="360" w:lineRule="auto"/>
        <w:jc w:val="both"/>
        <w:rPr>
          <w:rtl/>
        </w:rPr>
      </w:pPr>
    </w:p>
    <w:p w14:paraId="5EB0ABF5" w14:textId="77777777" w:rsidR="00724163" w:rsidRPr="00724163" w:rsidRDefault="00724163" w:rsidP="00724163">
      <w:pPr>
        <w:spacing w:line="360" w:lineRule="auto"/>
        <w:jc w:val="both"/>
        <w:rPr>
          <w:rtl/>
        </w:rPr>
      </w:pPr>
      <w:r w:rsidRPr="00724163">
        <w:rPr>
          <w:rFonts w:hint="cs"/>
          <w:rtl/>
        </w:rPr>
        <w:t>לסיכום, ביקש מר הרפז כי בית המשפט יטה רחמיו על הנאשם ובני משפחתו, יסתפק בתקופת מעצרו של הנאשם ויאפשר לו לשקם את חייו.</w:t>
      </w:r>
    </w:p>
    <w:p w14:paraId="3AC1B4CA" w14:textId="77777777" w:rsidR="00724163" w:rsidRDefault="00724163" w:rsidP="00724163">
      <w:pPr>
        <w:spacing w:line="360" w:lineRule="auto"/>
        <w:jc w:val="both"/>
        <w:rPr>
          <w:rtl/>
        </w:rPr>
      </w:pPr>
    </w:p>
    <w:p w14:paraId="34417A9B" w14:textId="77777777" w:rsidR="00140C6B" w:rsidRPr="00724163" w:rsidRDefault="00140C6B" w:rsidP="00724163">
      <w:pPr>
        <w:spacing w:line="360" w:lineRule="auto"/>
        <w:jc w:val="both"/>
        <w:rPr>
          <w:rtl/>
        </w:rPr>
      </w:pPr>
    </w:p>
    <w:p w14:paraId="4F096240" w14:textId="77777777" w:rsidR="00724163" w:rsidRPr="00724163" w:rsidRDefault="00724163" w:rsidP="00724163">
      <w:pPr>
        <w:spacing w:line="360" w:lineRule="auto"/>
        <w:jc w:val="both"/>
        <w:rPr>
          <w:rtl/>
        </w:rPr>
      </w:pPr>
      <w:r w:rsidRPr="00724163">
        <w:rPr>
          <w:rFonts w:hint="cs"/>
          <w:rtl/>
        </w:rPr>
        <w:t>ה.</w:t>
      </w:r>
      <w:r w:rsidRPr="00724163">
        <w:rPr>
          <w:rFonts w:hint="cs"/>
          <w:rtl/>
        </w:rPr>
        <w:tab/>
      </w:r>
      <w:r w:rsidRPr="00724163">
        <w:rPr>
          <w:rFonts w:hint="cs"/>
          <w:b/>
          <w:bCs/>
          <w:u w:val="single"/>
          <w:rtl/>
        </w:rPr>
        <w:t>הטיעונים לעונש</w:t>
      </w:r>
    </w:p>
    <w:p w14:paraId="360B1834" w14:textId="77777777" w:rsidR="00724163" w:rsidRPr="00724163" w:rsidRDefault="00724163" w:rsidP="00724163">
      <w:pPr>
        <w:spacing w:line="360" w:lineRule="auto"/>
        <w:jc w:val="both"/>
        <w:rPr>
          <w:rtl/>
        </w:rPr>
      </w:pPr>
    </w:p>
    <w:p w14:paraId="62AC4C65" w14:textId="77777777" w:rsidR="00724163" w:rsidRPr="00724163" w:rsidRDefault="00724163" w:rsidP="00724163">
      <w:pPr>
        <w:spacing w:line="360" w:lineRule="auto"/>
        <w:jc w:val="both"/>
        <w:rPr>
          <w:u w:val="single"/>
          <w:rtl/>
        </w:rPr>
      </w:pPr>
      <w:r w:rsidRPr="00724163">
        <w:rPr>
          <w:rFonts w:hint="cs"/>
          <w:u w:val="single"/>
          <w:rtl/>
        </w:rPr>
        <w:t>טיעוני המאשימה</w:t>
      </w:r>
    </w:p>
    <w:p w14:paraId="06FB9FCD" w14:textId="77777777" w:rsidR="00724163" w:rsidRPr="00724163" w:rsidRDefault="00724163" w:rsidP="00724163">
      <w:pPr>
        <w:spacing w:line="360" w:lineRule="auto"/>
        <w:jc w:val="both"/>
        <w:rPr>
          <w:rtl/>
        </w:rPr>
      </w:pPr>
      <w:r w:rsidRPr="00724163">
        <w:rPr>
          <w:rFonts w:hint="cs"/>
          <w:rtl/>
        </w:rPr>
        <w:t xml:space="preserve">בטיעוניו בכתב (ט/3) ובעל-פה עתר ב"כ המאשימה להטיל על הנאשם את העונש המקסימאלי על-פי הסדר הטיעון, וזאת משום שלא מתקיימים במקרה זה טעמים המצדיקים הקלה בעונשו. </w:t>
      </w:r>
    </w:p>
    <w:p w14:paraId="7E2E3E88" w14:textId="77777777" w:rsidR="00724163" w:rsidRPr="00724163" w:rsidRDefault="00724163" w:rsidP="00724163">
      <w:pPr>
        <w:spacing w:line="360" w:lineRule="auto"/>
        <w:jc w:val="both"/>
        <w:rPr>
          <w:rtl/>
        </w:rPr>
      </w:pPr>
    </w:p>
    <w:p w14:paraId="4F21D70C" w14:textId="77777777" w:rsidR="00724163" w:rsidRPr="00724163" w:rsidRDefault="000213C2" w:rsidP="007469E5">
      <w:pPr>
        <w:spacing w:line="360" w:lineRule="auto"/>
        <w:jc w:val="both"/>
        <w:rPr>
          <w:rtl/>
        </w:rPr>
      </w:pPr>
      <w:r>
        <w:rPr>
          <w:rFonts w:hint="cs"/>
          <w:rtl/>
        </w:rPr>
        <w:t>ב</w:t>
      </w:r>
      <w:r w:rsidR="00724163" w:rsidRPr="00724163">
        <w:rPr>
          <w:rFonts w:hint="cs"/>
          <w:rtl/>
        </w:rPr>
        <w:t>טיעוני</w:t>
      </w:r>
      <w:r w:rsidR="007469E5">
        <w:rPr>
          <w:rFonts w:hint="cs"/>
          <w:rtl/>
        </w:rPr>
        <w:t>ו</w:t>
      </w:r>
      <w:r w:rsidR="00724163" w:rsidRPr="00724163">
        <w:rPr>
          <w:rFonts w:hint="cs"/>
          <w:rtl/>
        </w:rPr>
        <w:t xml:space="preserve"> בעל-פה הטעי</w:t>
      </w:r>
      <w:r w:rsidR="007469E5">
        <w:rPr>
          <w:rFonts w:hint="cs"/>
          <w:rtl/>
        </w:rPr>
        <w:t>ם</w:t>
      </w:r>
      <w:r w:rsidR="00724163" w:rsidRPr="00724163">
        <w:rPr>
          <w:rFonts w:hint="cs"/>
          <w:rtl/>
        </w:rPr>
        <w:t xml:space="preserve"> ב"כ המאשימה, כי הטווחים עליהם הסכימו הצדדים במסגרת ההסדר, הם גם מתחמי הענישה ההולמים בנסיבות המקרה. </w:t>
      </w:r>
    </w:p>
    <w:p w14:paraId="6043DA13" w14:textId="77777777" w:rsidR="00724163" w:rsidRPr="00724163" w:rsidRDefault="00724163" w:rsidP="00724163">
      <w:pPr>
        <w:spacing w:line="360" w:lineRule="auto"/>
        <w:jc w:val="both"/>
        <w:rPr>
          <w:rtl/>
        </w:rPr>
      </w:pPr>
    </w:p>
    <w:p w14:paraId="2611E844" w14:textId="77777777" w:rsidR="00724163" w:rsidRPr="00724163" w:rsidRDefault="00724163" w:rsidP="00724163">
      <w:pPr>
        <w:spacing w:line="360" w:lineRule="auto"/>
        <w:jc w:val="both"/>
        <w:rPr>
          <w:rtl/>
        </w:rPr>
      </w:pPr>
      <w:r w:rsidRPr="00724163">
        <w:rPr>
          <w:rFonts w:hint="cs"/>
          <w:rtl/>
        </w:rPr>
        <w:t>ב"כ המאשימה הפנתה לגילו הצעיר של המנוח, אשר היה כבן 27 בלבד במותו.</w:t>
      </w:r>
    </w:p>
    <w:p w14:paraId="1808389F" w14:textId="77777777" w:rsidR="00724163" w:rsidRPr="00724163" w:rsidRDefault="00724163" w:rsidP="00724163">
      <w:pPr>
        <w:spacing w:line="360" w:lineRule="auto"/>
        <w:jc w:val="both"/>
        <w:rPr>
          <w:rtl/>
        </w:rPr>
      </w:pPr>
    </w:p>
    <w:p w14:paraId="0E70DCEB" w14:textId="77777777" w:rsidR="00724163" w:rsidRPr="00724163" w:rsidRDefault="00724163" w:rsidP="00724163">
      <w:pPr>
        <w:spacing w:line="360" w:lineRule="auto"/>
        <w:jc w:val="both"/>
        <w:rPr>
          <w:rtl/>
        </w:rPr>
      </w:pPr>
      <w:r w:rsidRPr="00724163">
        <w:rPr>
          <w:rFonts w:hint="cs"/>
          <w:rtl/>
        </w:rPr>
        <w:t xml:space="preserve">בטיעוניו באשר לאישום הראשון בו הורשע הנאשם, הדגיש ב"כ המאשימה את חומרת עבירת ההריגה הפוגעת בערך המקודש ביותר והוא קדושת חיי אדם. כן הוטעם, כי העונש הקבוע בצד העבירה הוא 20 שנות מאסר, ובגין סיוע לביצועה, עומד העונש על 10 שנות מאסר. </w:t>
      </w:r>
    </w:p>
    <w:p w14:paraId="1AD7DCD8" w14:textId="77777777" w:rsidR="00B1214A" w:rsidRDefault="00B1214A" w:rsidP="00724163">
      <w:pPr>
        <w:spacing w:line="360" w:lineRule="auto"/>
        <w:jc w:val="both"/>
        <w:rPr>
          <w:rtl/>
        </w:rPr>
      </w:pPr>
    </w:p>
    <w:p w14:paraId="66400A28" w14:textId="77777777" w:rsidR="00724163" w:rsidRPr="00724163" w:rsidRDefault="00724163" w:rsidP="00724163">
      <w:pPr>
        <w:spacing w:line="360" w:lineRule="auto"/>
        <w:jc w:val="both"/>
        <w:rPr>
          <w:rtl/>
        </w:rPr>
      </w:pPr>
      <w:r w:rsidRPr="00724163">
        <w:rPr>
          <w:rFonts w:hint="cs"/>
          <w:rtl/>
        </w:rPr>
        <w:t>נטען, כי לצד הסיוע להריגה הורשע הנאשם בעבירות חמורות נוספות שהצטברות העונשים הקבועים בצידן מגיעה עד 45 שנות מאסר.</w:t>
      </w:r>
    </w:p>
    <w:p w14:paraId="41D28982" w14:textId="77777777" w:rsidR="00724163" w:rsidRPr="00724163" w:rsidRDefault="00724163" w:rsidP="00724163">
      <w:pPr>
        <w:spacing w:line="360" w:lineRule="auto"/>
        <w:jc w:val="both"/>
        <w:rPr>
          <w:rtl/>
        </w:rPr>
      </w:pPr>
    </w:p>
    <w:p w14:paraId="44F2060F" w14:textId="77777777" w:rsidR="00724163" w:rsidRPr="00724163" w:rsidRDefault="00724163" w:rsidP="00724163">
      <w:pPr>
        <w:spacing w:line="360" w:lineRule="auto"/>
        <w:jc w:val="both"/>
        <w:rPr>
          <w:rtl/>
        </w:rPr>
      </w:pPr>
      <w:r w:rsidRPr="00724163">
        <w:rPr>
          <w:rFonts w:hint="cs"/>
          <w:rtl/>
        </w:rPr>
        <w:t>ב"כ המאשימה הפנה לתכנון המוקדם של הנאשם יחד עם האחרים לפגוע במנוח, ולחלקו המרכזי בהוצאת התוכנית אל הפועל. לדבריו, ללא מעורבות הנאשם, לא היה מי שיעקוב אחר המנוח וימלט את החוליה המבצעת, ומכאן שמבלי תרומתו המשמעותית, המנוח היה היום בין החיים.</w:t>
      </w:r>
    </w:p>
    <w:p w14:paraId="13DF5261" w14:textId="77777777" w:rsidR="00724163" w:rsidRPr="00724163" w:rsidRDefault="00724163" w:rsidP="00724163">
      <w:pPr>
        <w:spacing w:line="360" w:lineRule="auto"/>
        <w:jc w:val="both"/>
        <w:rPr>
          <w:rtl/>
        </w:rPr>
      </w:pPr>
    </w:p>
    <w:p w14:paraId="79682069" w14:textId="77777777" w:rsidR="00724163" w:rsidRPr="00724163" w:rsidRDefault="00724163" w:rsidP="00724163">
      <w:pPr>
        <w:spacing w:line="360" w:lineRule="auto"/>
        <w:jc w:val="both"/>
        <w:rPr>
          <w:rtl/>
        </w:rPr>
      </w:pPr>
      <w:r w:rsidRPr="00724163">
        <w:rPr>
          <w:rFonts w:hint="cs"/>
          <w:rtl/>
        </w:rPr>
        <w:t xml:space="preserve">זאת ועוד, ב"כ המאשימה הפנה לנזק החמור שנגרם עם מותו של המנוח, אשר הותיר אחריו זוג הורים וחמישה אחים שאיבדו את היקר להם מכל. </w:t>
      </w:r>
    </w:p>
    <w:p w14:paraId="2AB05FCC" w14:textId="77777777" w:rsidR="00724163" w:rsidRPr="00724163" w:rsidRDefault="00724163" w:rsidP="00724163">
      <w:pPr>
        <w:spacing w:line="360" w:lineRule="auto"/>
        <w:jc w:val="both"/>
        <w:rPr>
          <w:rtl/>
        </w:rPr>
      </w:pPr>
    </w:p>
    <w:p w14:paraId="4B57CE21" w14:textId="77777777" w:rsidR="00B1214A" w:rsidRDefault="00724163" w:rsidP="00724163">
      <w:pPr>
        <w:spacing w:line="360" w:lineRule="auto"/>
        <w:jc w:val="both"/>
        <w:rPr>
          <w:rtl/>
        </w:rPr>
      </w:pPr>
      <w:r w:rsidRPr="00724163">
        <w:rPr>
          <w:rFonts w:hint="cs"/>
          <w:rtl/>
        </w:rPr>
        <w:t xml:space="preserve">ב"כ המאשימה ביקש שלא לראות בסכסוך בין המשפחות – שלא הגיעו ל"סולחה" -  נסיבה לקולא. </w:t>
      </w:r>
    </w:p>
    <w:p w14:paraId="028BAA99" w14:textId="77777777" w:rsidR="00724163" w:rsidRDefault="00724163" w:rsidP="00724163">
      <w:pPr>
        <w:spacing w:line="360" w:lineRule="auto"/>
        <w:jc w:val="both"/>
        <w:rPr>
          <w:rtl/>
        </w:rPr>
      </w:pPr>
      <w:r w:rsidRPr="00724163">
        <w:rPr>
          <w:rFonts w:hint="cs"/>
          <w:rtl/>
        </w:rPr>
        <w:t>לטענתו, אף אם הנאשם חשש שהמנוח יקדים לפגוע בו, אין זה נימוק להקלה בעונשו,  שכן סכסוכים מעין אלה אסור שיביאו להקלה בעונש.</w:t>
      </w:r>
    </w:p>
    <w:p w14:paraId="431C648E" w14:textId="77777777" w:rsidR="00140C6B" w:rsidRPr="00724163" w:rsidRDefault="00140C6B" w:rsidP="00724163">
      <w:pPr>
        <w:spacing w:line="360" w:lineRule="auto"/>
        <w:jc w:val="both"/>
        <w:rPr>
          <w:rtl/>
        </w:rPr>
      </w:pPr>
    </w:p>
    <w:p w14:paraId="334A858A" w14:textId="77777777" w:rsidR="00724163" w:rsidRPr="00724163" w:rsidRDefault="00724163" w:rsidP="00724163">
      <w:pPr>
        <w:spacing w:line="360" w:lineRule="auto"/>
        <w:jc w:val="both"/>
        <w:rPr>
          <w:rtl/>
        </w:rPr>
      </w:pPr>
      <w:r w:rsidRPr="00724163">
        <w:rPr>
          <w:rFonts w:hint="cs"/>
          <w:rtl/>
        </w:rPr>
        <w:t>לשיטתו, אין לסטות ממתחם הענישה משיקולי שיקום, שכן ניתן ללמוד מהסתבכותו של הנאשם בעבירה של החזקת סכין בזמן מעצרו כי הוא אינו פונה לכיוון של שיקום.</w:t>
      </w:r>
    </w:p>
    <w:p w14:paraId="4CF1C378" w14:textId="77777777" w:rsidR="00724163" w:rsidRPr="00724163" w:rsidRDefault="00724163" w:rsidP="00724163">
      <w:pPr>
        <w:spacing w:line="360" w:lineRule="auto"/>
        <w:jc w:val="both"/>
        <w:rPr>
          <w:rtl/>
        </w:rPr>
      </w:pPr>
    </w:p>
    <w:p w14:paraId="71E49F3E" w14:textId="77777777" w:rsidR="00724163" w:rsidRPr="00724163" w:rsidRDefault="00724163" w:rsidP="00724163">
      <w:pPr>
        <w:spacing w:line="360" w:lineRule="auto"/>
        <w:jc w:val="both"/>
        <w:rPr>
          <w:rtl/>
        </w:rPr>
      </w:pPr>
      <w:r w:rsidRPr="00724163">
        <w:rPr>
          <w:rFonts w:hint="cs"/>
          <w:rtl/>
        </w:rPr>
        <w:t>עוד ביקש ב"כ המאשימה להתחשב בשיקולי הרתעת היחיד והרבים וטען כי ענישה ברף המקסימאלי של הסדר הטיעון תעביר לנאשם, לציבור ככלל, ולתושבי הסביבה בפרט, מסר לפיו כי בכל הקשור לעבירות אלימות ונשק לא יגלה בית המשפט מידה של רחמים.</w:t>
      </w:r>
    </w:p>
    <w:p w14:paraId="6ABE06C1" w14:textId="77777777" w:rsidR="00724163" w:rsidRPr="00724163" w:rsidRDefault="00724163" w:rsidP="00724163">
      <w:pPr>
        <w:spacing w:line="360" w:lineRule="auto"/>
        <w:jc w:val="both"/>
        <w:rPr>
          <w:rtl/>
        </w:rPr>
      </w:pPr>
    </w:p>
    <w:p w14:paraId="1716166C" w14:textId="77777777" w:rsidR="00724163" w:rsidRPr="00724163" w:rsidRDefault="00724163" w:rsidP="00724163">
      <w:pPr>
        <w:spacing w:line="360" w:lineRule="auto"/>
        <w:jc w:val="both"/>
        <w:rPr>
          <w:rtl/>
        </w:rPr>
      </w:pPr>
      <w:r w:rsidRPr="00724163">
        <w:rPr>
          <w:rFonts w:hint="cs"/>
          <w:rtl/>
        </w:rPr>
        <w:t xml:space="preserve">באשר לאישום השני נטען, כי מדובר באירוע הדומה באופיו לאירוע נשוא האישום הראשון; ברקע המעשה עמד אותו סכסוך בין המשפחות, הנשקים בחלקם הם אותם נשקים ששימשו לאחר מכן באירוע ההמתה, וכן נעשה שימוש ברכב גנוב באותו אופן בו נעשה באירוע ההמתה. </w:t>
      </w:r>
    </w:p>
    <w:p w14:paraId="4566EDD3" w14:textId="77777777" w:rsidR="00724163" w:rsidRPr="00724163" w:rsidRDefault="00724163" w:rsidP="00724163">
      <w:pPr>
        <w:spacing w:line="360" w:lineRule="auto"/>
        <w:jc w:val="both"/>
        <w:rPr>
          <w:rtl/>
        </w:rPr>
      </w:pPr>
    </w:p>
    <w:p w14:paraId="18BE8129" w14:textId="77777777" w:rsidR="00724163" w:rsidRPr="00724163" w:rsidRDefault="00724163" w:rsidP="00724163">
      <w:pPr>
        <w:spacing w:line="360" w:lineRule="auto"/>
        <w:jc w:val="both"/>
        <w:rPr>
          <w:rtl/>
        </w:rPr>
      </w:pPr>
      <w:r w:rsidRPr="00724163">
        <w:rPr>
          <w:rFonts w:hint="cs"/>
          <w:rtl/>
        </w:rPr>
        <w:t>לדבריו, הנסיבות לחומרא שפורטו ביחס לאירוע נשוא האישום הראשון מתקיימות גם כאן, דהיינו השימוש בנשק, האכזריות, האובססיביות לחבול במנוח, הירי ממכונית חולפת וככלל</w:t>
      </w:r>
      <w:r w:rsidR="007469E5">
        <w:rPr>
          <w:rFonts w:hint="cs"/>
          <w:rtl/>
        </w:rPr>
        <w:t>,</w:t>
      </w:r>
      <w:r w:rsidRPr="00724163">
        <w:rPr>
          <w:rFonts w:hint="cs"/>
          <w:rtl/>
        </w:rPr>
        <w:t xml:space="preserve"> התעוזה הרבה בביצוע המעשים. יתירה מכך, באירוע נשוא האישום השני, לא הסתפקו הנאשם והאחרים בירי הראשוני במנוח וכשהבחינו בו סמוך למוקד הרפואי אליו הגיע לקבל טיפול, החלו לירות לעברו פעם נוספת, כל זאת במקום ציבורי ותוך סיכון חפים מפשע. </w:t>
      </w:r>
    </w:p>
    <w:p w14:paraId="5F6DBCA3" w14:textId="77777777" w:rsidR="00724163" w:rsidRPr="00724163" w:rsidRDefault="00724163" w:rsidP="00724163">
      <w:pPr>
        <w:spacing w:line="360" w:lineRule="auto"/>
        <w:jc w:val="both"/>
        <w:rPr>
          <w:rtl/>
        </w:rPr>
      </w:pPr>
    </w:p>
    <w:p w14:paraId="0FEAA2A4" w14:textId="77777777" w:rsidR="00724163" w:rsidRPr="00724163" w:rsidRDefault="00724163" w:rsidP="00724163">
      <w:pPr>
        <w:spacing w:line="360" w:lineRule="auto"/>
        <w:jc w:val="both"/>
        <w:rPr>
          <w:rtl/>
        </w:rPr>
      </w:pPr>
      <w:r w:rsidRPr="00724163">
        <w:rPr>
          <w:rFonts w:hint="cs"/>
          <w:rtl/>
        </w:rPr>
        <w:t xml:space="preserve">כן הדגיש ב"כ המאשימה כי אף על פי שמדובר בסכסוך מתמשך, אין להתעלם מכך שהוא מורכב משני אירועי ירי נפרדים. </w:t>
      </w:r>
    </w:p>
    <w:p w14:paraId="376E36DC" w14:textId="77777777" w:rsidR="00724163" w:rsidRPr="00724163" w:rsidRDefault="00724163" w:rsidP="00724163">
      <w:pPr>
        <w:spacing w:line="360" w:lineRule="auto"/>
        <w:jc w:val="both"/>
        <w:rPr>
          <w:rtl/>
        </w:rPr>
      </w:pPr>
    </w:p>
    <w:p w14:paraId="1A3B6220" w14:textId="77777777" w:rsidR="00724163" w:rsidRPr="00724163" w:rsidRDefault="00724163" w:rsidP="00724163">
      <w:pPr>
        <w:spacing w:line="360" w:lineRule="auto"/>
        <w:jc w:val="both"/>
        <w:rPr>
          <w:rtl/>
        </w:rPr>
      </w:pPr>
      <w:r w:rsidRPr="00724163">
        <w:rPr>
          <w:rFonts w:hint="cs"/>
          <w:rtl/>
        </w:rPr>
        <w:t>לנוכח הנסיבות המנויות לעיל, עתרה ב"כ המאשימה להשית על הנאשם עונש ברף העליון של הטווח המוסכם גם באשר לאירוע השני.</w:t>
      </w:r>
    </w:p>
    <w:p w14:paraId="7330350C" w14:textId="77777777" w:rsidR="00724163" w:rsidRPr="00724163" w:rsidRDefault="00724163" w:rsidP="00724163">
      <w:pPr>
        <w:spacing w:line="360" w:lineRule="auto"/>
        <w:jc w:val="both"/>
        <w:rPr>
          <w:rtl/>
        </w:rPr>
      </w:pPr>
      <w:r w:rsidRPr="00724163">
        <w:rPr>
          <w:rFonts w:hint="cs"/>
          <w:rtl/>
        </w:rPr>
        <w:t xml:space="preserve"> </w:t>
      </w:r>
    </w:p>
    <w:p w14:paraId="1B6FFBE2" w14:textId="77777777" w:rsidR="00724163" w:rsidRPr="00724163" w:rsidRDefault="00724163" w:rsidP="00724163">
      <w:pPr>
        <w:spacing w:line="360" w:lineRule="auto"/>
        <w:jc w:val="both"/>
        <w:rPr>
          <w:rtl/>
        </w:rPr>
      </w:pPr>
      <w:r w:rsidRPr="00724163">
        <w:rPr>
          <w:rFonts w:hint="cs"/>
          <w:rtl/>
        </w:rPr>
        <w:t>בסיכום הדברים, ביקש ב"כ המאשימה כי בית המשפט יכבד את הסדר הטיעון וישית על הנאשם עונש של 23 שנות מאסר, תוך צבירת העונשים בגין שני האירועים, בתוספת מאסר מותנה מרתיע, פיצוי מקסימאלי על-פי החוק ושלילת רישיונו של הנאשם לתקופה ארוכה.</w:t>
      </w:r>
    </w:p>
    <w:p w14:paraId="321EBD95" w14:textId="77777777" w:rsidR="00724163" w:rsidRPr="00724163" w:rsidRDefault="00724163" w:rsidP="00724163">
      <w:pPr>
        <w:spacing w:line="360" w:lineRule="auto"/>
        <w:jc w:val="both"/>
        <w:rPr>
          <w:rtl/>
        </w:rPr>
      </w:pPr>
    </w:p>
    <w:p w14:paraId="605BC49C" w14:textId="77777777" w:rsidR="00724163" w:rsidRPr="00724163" w:rsidRDefault="00724163" w:rsidP="007469E5">
      <w:pPr>
        <w:spacing w:line="360" w:lineRule="auto"/>
        <w:jc w:val="both"/>
        <w:rPr>
          <w:rtl/>
        </w:rPr>
      </w:pPr>
      <w:r w:rsidRPr="00724163">
        <w:rPr>
          <w:rFonts w:hint="cs"/>
          <w:rtl/>
        </w:rPr>
        <w:t>לביסוס טיעוניו, הפנ</w:t>
      </w:r>
      <w:r w:rsidR="007469E5">
        <w:rPr>
          <w:rFonts w:hint="cs"/>
          <w:rtl/>
        </w:rPr>
        <w:t>ה</w:t>
      </w:r>
      <w:r w:rsidRPr="00724163">
        <w:rPr>
          <w:rFonts w:hint="cs"/>
          <w:rtl/>
        </w:rPr>
        <w:t xml:space="preserve"> ב"כ המאשימה לפסיקה התומכת בעמד</w:t>
      </w:r>
      <w:r w:rsidR="007469E5">
        <w:rPr>
          <w:rFonts w:hint="cs"/>
          <w:rtl/>
        </w:rPr>
        <w:t>תו</w:t>
      </w:r>
      <w:r w:rsidRPr="00724163">
        <w:rPr>
          <w:rFonts w:hint="cs"/>
          <w:rtl/>
        </w:rPr>
        <w:t xml:space="preserve"> העונשית. </w:t>
      </w:r>
    </w:p>
    <w:p w14:paraId="3B927973" w14:textId="77777777" w:rsidR="00724163" w:rsidRPr="00724163" w:rsidRDefault="00724163" w:rsidP="00724163">
      <w:pPr>
        <w:spacing w:line="360" w:lineRule="auto"/>
        <w:jc w:val="both"/>
        <w:rPr>
          <w:u w:val="single"/>
          <w:rtl/>
        </w:rPr>
      </w:pPr>
    </w:p>
    <w:p w14:paraId="7D4A1660" w14:textId="77777777" w:rsidR="00724163" w:rsidRPr="00724163" w:rsidRDefault="00724163" w:rsidP="00724163">
      <w:pPr>
        <w:spacing w:line="360" w:lineRule="auto"/>
        <w:jc w:val="both"/>
        <w:rPr>
          <w:u w:val="single"/>
          <w:rtl/>
        </w:rPr>
      </w:pPr>
      <w:r w:rsidRPr="00724163">
        <w:rPr>
          <w:rFonts w:hint="cs"/>
          <w:u w:val="single"/>
          <w:rtl/>
        </w:rPr>
        <w:t>טיעוני ההגנה</w:t>
      </w:r>
    </w:p>
    <w:p w14:paraId="1E496CC5" w14:textId="77777777" w:rsidR="00724163" w:rsidRPr="00724163" w:rsidRDefault="00724163" w:rsidP="00724163">
      <w:pPr>
        <w:spacing w:line="360" w:lineRule="auto"/>
        <w:jc w:val="both"/>
        <w:rPr>
          <w:rtl/>
        </w:rPr>
      </w:pPr>
      <w:r w:rsidRPr="00724163">
        <w:rPr>
          <w:rFonts w:hint="cs"/>
          <w:rtl/>
        </w:rPr>
        <w:t>בטיעוני ההגנה לעונש, עתר ב"כ הנאשם לאמץ את הסדר הטיעון ולהשית על הנאשם את העונש המצטבר המינימאלי על-פי ההסדר, דהיינו 18 שנות מאסר</w:t>
      </w:r>
      <w:r w:rsidR="00B10AD3">
        <w:rPr>
          <w:rFonts w:hint="cs"/>
          <w:rtl/>
        </w:rPr>
        <w:t xml:space="preserve"> בפועל</w:t>
      </w:r>
      <w:r w:rsidRPr="00724163">
        <w:rPr>
          <w:rFonts w:hint="cs"/>
          <w:rtl/>
        </w:rPr>
        <w:t>.</w:t>
      </w:r>
    </w:p>
    <w:p w14:paraId="01DE79D7" w14:textId="77777777" w:rsidR="00724163" w:rsidRPr="00724163" w:rsidRDefault="00724163" w:rsidP="00724163">
      <w:pPr>
        <w:spacing w:line="360" w:lineRule="auto"/>
        <w:jc w:val="both"/>
        <w:rPr>
          <w:rtl/>
        </w:rPr>
      </w:pPr>
    </w:p>
    <w:p w14:paraId="4EF4F064" w14:textId="77777777" w:rsidR="009C7B5C" w:rsidRDefault="00724163" w:rsidP="00724163">
      <w:pPr>
        <w:spacing w:line="360" w:lineRule="auto"/>
        <w:jc w:val="both"/>
        <w:rPr>
          <w:rtl/>
        </w:rPr>
      </w:pPr>
      <w:r w:rsidRPr="00724163">
        <w:rPr>
          <w:rFonts w:hint="cs"/>
          <w:rtl/>
        </w:rPr>
        <w:t xml:space="preserve">הסניגור הטעים בטיעוניו, כי טווחי הענישה המוצעים במסגרת ההסדר הם טווחים חמורים ביחס לנסיבות המקרה, שכן העבירה העיקרית החמורה ביותר בה הורשע הנאשם באישום הראשון היא עבירה של סיוע להריגה, שבצידה עונש של 10 שנות מאסר ואילו הטווח שהוסכם עליו בגין אישום זה, נע בין 12-15 שנות מאסר. </w:t>
      </w:r>
    </w:p>
    <w:p w14:paraId="25B70A84" w14:textId="77777777" w:rsidR="009C7B5C" w:rsidRDefault="009C7B5C" w:rsidP="00724163">
      <w:pPr>
        <w:spacing w:line="360" w:lineRule="auto"/>
        <w:jc w:val="both"/>
        <w:rPr>
          <w:rtl/>
        </w:rPr>
      </w:pPr>
    </w:p>
    <w:p w14:paraId="7A1B40CB" w14:textId="77777777" w:rsidR="00724163" w:rsidRPr="00724163" w:rsidRDefault="00724163" w:rsidP="00724163">
      <w:pPr>
        <w:spacing w:line="360" w:lineRule="auto"/>
        <w:jc w:val="both"/>
        <w:rPr>
          <w:rtl/>
        </w:rPr>
      </w:pPr>
      <w:r w:rsidRPr="00724163">
        <w:rPr>
          <w:rFonts w:hint="cs"/>
          <w:rtl/>
        </w:rPr>
        <w:t>כן יש להתחשב, לטענתו, בכך שבעבירות הנלוות לעבירת הסיוע להריגה, חלקו של הנאשם הצטמצם לנוכחותו במקום, ומכאן שחומרת מעשיו מצויה  ברף התחתון.</w:t>
      </w:r>
    </w:p>
    <w:p w14:paraId="02919998" w14:textId="77777777" w:rsidR="00724163" w:rsidRPr="00724163" w:rsidRDefault="00724163" w:rsidP="00724163">
      <w:pPr>
        <w:spacing w:line="360" w:lineRule="auto"/>
        <w:jc w:val="both"/>
        <w:rPr>
          <w:rtl/>
        </w:rPr>
      </w:pPr>
    </w:p>
    <w:p w14:paraId="26BE1AC9" w14:textId="77777777" w:rsidR="00724163" w:rsidRPr="00724163" w:rsidRDefault="00724163" w:rsidP="00724163">
      <w:pPr>
        <w:spacing w:line="360" w:lineRule="auto"/>
        <w:jc w:val="both"/>
        <w:rPr>
          <w:rtl/>
        </w:rPr>
      </w:pPr>
      <w:r w:rsidRPr="00724163">
        <w:rPr>
          <w:rFonts w:hint="cs"/>
          <w:rtl/>
        </w:rPr>
        <w:t xml:space="preserve">גם באשר לאישום השני נטען, כי 6 שנות מאסר </w:t>
      </w:r>
      <w:r w:rsidR="00B10AD3">
        <w:rPr>
          <w:rFonts w:hint="cs"/>
          <w:rtl/>
        </w:rPr>
        <w:t xml:space="preserve">בפועל </w:t>
      </w:r>
      <w:r w:rsidRPr="00724163">
        <w:rPr>
          <w:rFonts w:hint="cs"/>
          <w:rtl/>
        </w:rPr>
        <w:t>הוא עונש הממצה את חומרת העבירה בנסיבות המקרה, בהתחשב בכך שהמנוח לא נפגע קשה באותו אירוע והעונש אינו סוטה מרמת הענישה הנהוגה במקרים דומים.</w:t>
      </w:r>
    </w:p>
    <w:p w14:paraId="66165E32" w14:textId="77777777" w:rsidR="00724163" w:rsidRPr="00724163" w:rsidRDefault="00724163" w:rsidP="00724163">
      <w:pPr>
        <w:spacing w:line="360" w:lineRule="auto"/>
        <w:jc w:val="both"/>
        <w:rPr>
          <w:rtl/>
        </w:rPr>
      </w:pPr>
    </w:p>
    <w:p w14:paraId="03289875" w14:textId="77777777" w:rsidR="00724163" w:rsidRPr="00724163" w:rsidRDefault="00724163" w:rsidP="00B10AD3">
      <w:pPr>
        <w:spacing w:line="360" w:lineRule="auto"/>
        <w:jc w:val="both"/>
        <w:rPr>
          <w:rtl/>
        </w:rPr>
      </w:pPr>
      <w:r w:rsidRPr="00724163">
        <w:rPr>
          <w:rFonts w:hint="cs"/>
          <w:rtl/>
        </w:rPr>
        <w:t>הסניגור העלה את הנסיבות לקולא במקרה זה, ובראשן הודאת הנאשם במסגרת הסדר טיעון. לשיטתו, לעובדה שההודאה באה בשלב מאוחר של המשפט יש יתרון בכך שבית המשפט מכיר את התיק ויכול להתחשב בשיקולים שלא יכול היה לשוקלם אלמלא שמע את הראיות.</w:t>
      </w:r>
    </w:p>
    <w:p w14:paraId="476D7062" w14:textId="77777777" w:rsidR="00724163" w:rsidRPr="00724163" w:rsidRDefault="00724163" w:rsidP="00724163">
      <w:pPr>
        <w:spacing w:line="360" w:lineRule="auto"/>
        <w:jc w:val="both"/>
        <w:rPr>
          <w:rtl/>
        </w:rPr>
      </w:pPr>
    </w:p>
    <w:p w14:paraId="4C7D3C11" w14:textId="77777777" w:rsidR="00724163" w:rsidRPr="00724163" w:rsidRDefault="00724163" w:rsidP="00724163">
      <w:pPr>
        <w:spacing w:line="360" w:lineRule="auto"/>
        <w:jc w:val="both"/>
        <w:rPr>
          <w:rtl/>
        </w:rPr>
      </w:pPr>
      <w:r w:rsidRPr="00724163">
        <w:rPr>
          <w:rFonts w:hint="cs"/>
          <w:rtl/>
        </w:rPr>
        <w:t xml:space="preserve">הסנגור הדגיש את תרומת הנאשם בגילוי המעורבים בפרשה, אשר חלקם בני משפחתו, דבר שהביא להגשת כתבי אישום נגדם. בהקשר זה נטען, כי למשטרה לא היה "קצה חוט" לפתרון הפרשה והחקירה אף הלכה לכיוון מוטעה. לדבריו, יש להתחשב בשיקול זה ביתר שאת במקרה שלפנינו, לנוכח העובדה שהנאשם לא התוודה תחילה בפני המדובב ואף לא בהמשך בחקירתו. </w:t>
      </w:r>
    </w:p>
    <w:p w14:paraId="7B762832" w14:textId="77777777" w:rsidR="00724163" w:rsidRPr="00724163" w:rsidRDefault="00724163" w:rsidP="00724163">
      <w:pPr>
        <w:spacing w:line="360" w:lineRule="auto"/>
        <w:jc w:val="both"/>
        <w:rPr>
          <w:rtl/>
        </w:rPr>
      </w:pPr>
    </w:p>
    <w:p w14:paraId="7EF10610" w14:textId="77777777" w:rsidR="00724163" w:rsidRPr="00724163" w:rsidRDefault="00724163" w:rsidP="00B10AD3">
      <w:pPr>
        <w:spacing w:line="360" w:lineRule="auto"/>
        <w:jc w:val="both"/>
        <w:rPr>
          <w:rtl/>
        </w:rPr>
      </w:pPr>
      <w:r w:rsidRPr="00724163">
        <w:rPr>
          <w:rFonts w:hint="cs"/>
          <w:rtl/>
        </w:rPr>
        <w:t>כן הפנה הסנגור לעונשים שהוסכמו במסגרת הסדר הטיעון (ט/4) שנערך עם המעורבים האחרים בתיק המקביל וכלל טווחי ענישה שונים</w:t>
      </w:r>
      <w:r w:rsidR="00B10AD3">
        <w:rPr>
          <w:rFonts w:hint="cs"/>
          <w:rtl/>
        </w:rPr>
        <w:t>,</w:t>
      </w:r>
      <w:r w:rsidRPr="00724163">
        <w:rPr>
          <w:rFonts w:hint="cs"/>
          <w:rtl/>
        </w:rPr>
        <w:t xml:space="preserve"> כמעט לכל אחד מן הנאשמים</w:t>
      </w:r>
      <w:r w:rsidR="00B10AD3">
        <w:rPr>
          <w:rFonts w:hint="cs"/>
          <w:rtl/>
        </w:rPr>
        <w:t>,</w:t>
      </w:r>
      <w:r w:rsidRPr="00724163">
        <w:rPr>
          <w:rFonts w:hint="cs"/>
          <w:rtl/>
        </w:rPr>
        <w:t xml:space="preserve"> שנע</w:t>
      </w:r>
      <w:r w:rsidR="00B10AD3">
        <w:rPr>
          <w:rFonts w:hint="cs"/>
          <w:rtl/>
        </w:rPr>
        <w:t>ים</w:t>
      </w:r>
      <w:r w:rsidRPr="00724163">
        <w:rPr>
          <w:rFonts w:hint="cs"/>
          <w:rtl/>
        </w:rPr>
        <w:t xml:space="preserve"> מ- 7-8 עד 17-23 שנות מאסר בפועל, כל נאשם לפי חלקו. עוד הוסכם שם, על "טיעון חופשי" באשר ליתר רכיבי הענישה.</w:t>
      </w:r>
    </w:p>
    <w:p w14:paraId="7F829669" w14:textId="77777777" w:rsidR="00724163" w:rsidRPr="00724163" w:rsidRDefault="00724163" w:rsidP="00724163">
      <w:pPr>
        <w:spacing w:line="360" w:lineRule="auto"/>
        <w:jc w:val="both"/>
        <w:rPr>
          <w:rtl/>
        </w:rPr>
      </w:pPr>
    </w:p>
    <w:p w14:paraId="4FD12B10" w14:textId="77777777" w:rsidR="009C7B5C" w:rsidRDefault="00724163" w:rsidP="00724163">
      <w:pPr>
        <w:spacing w:line="360" w:lineRule="auto"/>
        <w:jc w:val="both"/>
        <w:rPr>
          <w:rtl/>
        </w:rPr>
      </w:pPr>
      <w:r w:rsidRPr="00724163">
        <w:rPr>
          <w:rFonts w:hint="cs"/>
          <w:rtl/>
        </w:rPr>
        <w:t xml:space="preserve">לטענת הסנגור, נוכח הסדר הטיעון עם המעורבים האחרים, מתחזקת המסקנה כי הטווח שהוסכם בין הצדדים במקרה זה, בגין האישום הראשון, הוא טווח ענישה גבוה, ולמעשה הרף המינימאלי של ההסכם בעניינו של הנאשם גבוה מהרף המקסימאלי שהוסכם באשר לנאשם 5 בתיק המקביל, אשר היה זה שנהג ברכב בו נסעו היורים והאט אותו סמוך למנוח כדי שהיורים יוכלו לירות לכיוונו, והורשע אף הוא בסיוע להריגה. </w:t>
      </w:r>
    </w:p>
    <w:p w14:paraId="266DD477" w14:textId="77777777" w:rsidR="00825DC0" w:rsidRDefault="00825DC0" w:rsidP="00724163">
      <w:pPr>
        <w:spacing w:line="360" w:lineRule="auto"/>
        <w:jc w:val="both"/>
        <w:rPr>
          <w:rtl/>
        </w:rPr>
      </w:pPr>
    </w:p>
    <w:p w14:paraId="5E7C8FED" w14:textId="77777777" w:rsidR="00724163" w:rsidRPr="00724163" w:rsidRDefault="00724163" w:rsidP="00724163">
      <w:pPr>
        <w:spacing w:line="360" w:lineRule="auto"/>
        <w:jc w:val="both"/>
        <w:rPr>
          <w:rtl/>
        </w:rPr>
      </w:pPr>
      <w:r w:rsidRPr="00724163">
        <w:rPr>
          <w:rFonts w:hint="cs"/>
          <w:rtl/>
        </w:rPr>
        <w:t>כן נטען, כי אף אם יוטל על הנאשם בענייננו עונש המאסר המינימאלי בטווחים שהוסכם עליהם בגין שני האישומים, עדיין יוטלו על הנאשם 18 שנות מאסר בפועל, דהיינו עונש חמור ביחס לזה שהוסכם באשר למי שהיו היורים באירוע.</w:t>
      </w:r>
    </w:p>
    <w:p w14:paraId="6BAA67DD" w14:textId="77777777" w:rsidR="00724163" w:rsidRPr="00724163" w:rsidRDefault="00724163" w:rsidP="00724163">
      <w:pPr>
        <w:spacing w:line="360" w:lineRule="auto"/>
        <w:jc w:val="both"/>
        <w:rPr>
          <w:rtl/>
        </w:rPr>
      </w:pPr>
    </w:p>
    <w:p w14:paraId="035F714A" w14:textId="77777777" w:rsidR="00724163" w:rsidRPr="00724163" w:rsidRDefault="00724163" w:rsidP="00724163">
      <w:pPr>
        <w:spacing w:line="360" w:lineRule="auto"/>
        <w:jc w:val="both"/>
        <w:rPr>
          <w:rtl/>
        </w:rPr>
      </w:pPr>
      <w:r w:rsidRPr="00724163">
        <w:rPr>
          <w:rFonts w:hint="cs"/>
          <w:rtl/>
        </w:rPr>
        <w:t>עוד נטען, כי יש להתחשב בגילו הצעיר של הנאשם שהיה כבן 21 ו-8 חודשים בלבד בעת ביצוע המעשים, ויש לראותו כ"בגיר צעיר", וכן בהיעדר עבר פלילי קודם לחובתו של הנאשם לפני האירוע נשוא כתב האישום. כן נטען, כי גם הסתבכותו של הנאשם בהחזקת סכין בבית הסוהר היתה בנסיבות של הגנה עצמית.</w:t>
      </w:r>
    </w:p>
    <w:p w14:paraId="7F89DBDA" w14:textId="77777777" w:rsidR="00724163" w:rsidRPr="00724163" w:rsidRDefault="00724163" w:rsidP="00724163">
      <w:pPr>
        <w:spacing w:line="360" w:lineRule="auto"/>
        <w:jc w:val="both"/>
        <w:rPr>
          <w:rtl/>
        </w:rPr>
      </w:pPr>
    </w:p>
    <w:p w14:paraId="66C42E55" w14:textId="77777777" w:rsidR="00724163" w:rsidRPr="00724163" w:rsidRDefault="00724163" w:rsidP="00825DC0">
      <w:pPr>
        <w:spacing w:line="360" w:lineRule="auto"/>
        <w:jc w:val="both"/>
        <w:rPr>
          <w:rtl/>
        </w:rPr>
      </w:pPr>
      <w:r w:rsidRPr="00724163">
        <w:rPr>
          <w:rFonts w:hint="cs"/>
          <w:rtl/>
        </w:rPr>
        <w:t>הסנגור הסכים כי גם טווח הענישה המוסכם על ההגנה בהסדר הטיעון הוא מתחם עונש הולם בנסיבות המקרה אם כי</w:t>
      </w:r>
      <w:r w:rsidR="00825DC0">
        <w:rPr>
          <w:rFonts w:hint="cs"/>
          <w:rtl/>
        </w:rPr>
        <w:t>,</w:t>
      </w:r>
      <w:r w:rsidRPr="00724163">
        <w:rPr>
          <w:rFonts w:hint="cs"/>
          <w:rtl/>
        </w:rPr>
        <w:t xml:space="preserve"> </w:t>
      </w:r>
      <w:r w:rsidR="00825DC0">
        <w:rPr>
          <w:rFonts w:hint="cs"/>
          <w:rtl/>
        </w:rPr>
        <w:t xml:space="preserve">לדעתו </w:t>
      </w:r>
      <w:r w:rsidRPr="00724163">
        <w:rPr>
          <w:rFonts w:hint="cs"/>
          <w:rtl/>
        </w:rPr>
        <w:t xml:space="preserve">גם טווח זה, הוא טווח מחמיר. </w:t>
      </w:r>
    </w:p>
    <w:p w14:paraId="0F3261B3" w14:textId="77777777" w:rsidR="00724163" w:rsidRPr="00724163" w:rsidRDefault="00724163" w:rsidP="00724163">
      <w:pPr>
        <w:spacing w:line="360" w:lineRule="auto"/>
        <w:jc w:val="both"/>
        <w:rPr>
          <w:rtl/>
        </w:rPr>
      </w:pPr>
    </w:p>
    <w:p w14:paraId="1ADADC4F" w14:textId="77777777" w:rsidR="00724163" w:rsidRPr="00724163" w:rsidRDefault="00724163" w:rsidP="00724163">
      <w:pPr>
        <w:spacing w:line="360" w:lineRule="auto"/>
        <w:jc w:val="both"/>
        <w:rPr>
          <w:rtl/>
        </w:rPr>
      </w:pPr>
      <w:r w:rsidRPr="00724163">
        <w:rPr>
          <w:rFonts w:hint="cs"/>
          <w:rtl/>
        </w:rPr>
        <w:t xml:space="preserve">הסנגור ביקש כי בית המשפט יתחשב בעת פסיקת הפיצויים, בפיצוי שיושת לטובת משפחת הקורבן בהליך המקביל, שבו עומדים לדין 5 נאשמים. </w:t>
      </w:r>
    </w:p>
    <w:p w14:paraId="594272BA" w14:textId="77777777" w:rsidR="00724163" w:rsidRPr="00724163" w:rsidRDefault="00724163" w:rsidP="00724163">
      <w:pPr>
        <w:spacing w:line="360" w:lineRule="auto"/>
        <w:jc w:val="both"/>
        <w:rPr>
          <w:rtl/>
        </w:rPr>
      </w:pPr>
    </w:p>
    <w:p w14:paraId="653833F7" w14:textId="77777777" w:rsidR="00724163" w:rsidRPr="00724163" w:rsidRDefault="00724163" w:rsidP="00724163">
      <w:pPr>
        <w:spacing w:line="360" w:lineRule="auto"/>
        <w:jc w:val="both"/>
        <w:rPr>
          <w:rtl/>
        </w:rPr>
      </w:pPr>
      <w:r w:rsidRPr="00724163">
        <w:rPr>
          <w:rFonts w:hint="cs"/>
          <w:rtl/>
        </w:rPr>
        <w:t xml:space="preserve">הסנגור הפנה אף הוא לפסיקה התומכת </w:t>
      </w:r>
      <w:r w:rsidR="00825DC0">
        <w:rPr>
          <w:rFonts w:hint="cs"/>
          <w:rtl/>
        </w:rPr>
        <w:t xml:space="preserve">לדעתו </w:t>
      </w:r>
      <w:r w:rsidRPr="00724163">
        <w:rPr>
          <w:rFonts w:hint="cs"/>
          <w:rtl/>
        </w:rPr>
        <w:t xml:space="preserve">בעמדתו העונשית. </w:t>
      </w:r>
    </w:p>
    <w:p w14:paraId="382E883C" w14:textId="77777777" w:rsidR="00724163" w:rsidRPr="00724163" w:rsidRDefault="00724163" w:rsidP="00724163">
      <w:pPr>
        <w:spacing w:line="360" w:lineRule="auto"/>
        <w:jc w:val="both"/>
        <w:rPr>
          <w:rtl/>
        </w:rPr>
      </w:pPr>
    </w:p>
    <w:p w14:paraId="6C2D4926" w14:textId="77777777" w:rsidR="00724163" w:rsidRPr="00724163" w:rsidRDefault="00724163" w:rsidP="009C7B5C">
      <w:pPr>
        <w:spacing w:line="360" w:lineRule="auto"/>
        <w:ind w:left="720" w:hanging="720"/>
        <w:jc w:val="both"/>
        <w:rPr>
          <w:rtl/>
        </w:rPr>
      </w:pPr>
      <w:r w:rsidRPr="00724163">
        <w:rPr>
          <w:rFonts w:hint="cs"/>
          <w:b/>
          <w:bCs/>
          <w:rtl/>
        </w:rPr>
        <w:t>ו.</w:t>
      </w:r>
      <w:r w:rsidR="009C7B5C">
        <w:rPr>
          <w:rFonts w:hint="cs"/>
          <w:b/>
          <w:bCs/>
          <w:rtl/>
        </w:rPr>
        <w:tab/>
      </w:r>
      <w:r w:rsidRPr="00724163">
        <w:rPr>
          <w:rFonts w:hint="cs"/>
          <w:b/>
          <w:bCs/>
          <w:rtl/>
        </w:rPr>
        <w:t>הנאשם בפנותו לבית המשפט</w:t>
      </w:r>
      <w:r w:rsidRPr="00724163">
        <w:rPr>
          <w:rFonts w:hint="cs"/>
          <w:rtl/>
        </w:rPr>
        <w:t xml:space="preserve"> אמר כי אין לו מה לומר.</w:t>
      </w:r>
    </w:p>
    <w:p w14:paraId="205C3177" w14:textId="77777777" w:rsidR="00724163" w:rsidRPr="00724163" w:rsidRDefault="00724163" w:rsidP="00724163">
      <w:pPr>
        <w:spacing w:line="360" w:lineRule="auto"/>
        <w:jc w:val="both"/>
        <w:rPr>
          <w:b/>
          <w:bCs/>
          <w:u w:val="single"/>
          <w:rtl/>
        </w:rPr>
      </w:pPr>
    </w:p>
    <w:p w14:paraId="0BE2630C" w14:textId="77777777" w:rsidR="00724163" w:rsidRPr="00724163" w:rsidRDefault="00724163" w:rsidP="009C7B5C">
      <w:pPr>
        <w:spacing w:line="360" w:lineRule="auto"/>
        <w:ind w:left="720" w:hanging="720"/>
        <w:jc w:val="both"/>
        <w:rPr>
          <w:b/>
          <w:bCs/>
          <w:u w:val="single"/>
          <w:rtl/>
        </w:rPr>
      </w:pPr>
      <w:r w:rsidRPr="00724163">
        <w:rPr>
          <w:rFonts w:hint="cs"/>
          <w:b/>
          <w:bCs/>
          <w:rtl/>
        </w:rPr>
        <w:t>ז.</w:t>
      </w:r>
      <w:r w:rsidR="009C7B5C">
        <w:rPr>
          <w:rFonts w:hint="cs"/>
          <w:b/>
          <w:bCs/>
          <w:rtl/>
        </w:rPr>
        <w:tab/>
      </w:r>
      <w:r w:rsidRPr="00724163">
        <w:rPr>
          <w:rFonts w:hint="cs"/>
          <w:b/>
          <w:bCs/>
          <w:u w:val="single"/>
          <w:rtl/>
        </w:rPr>
        <w:t>דיון</w:t>
      </w:r>
    </w:p>
    <w:p w14:paraId="06FE7B69" w14:textId="77777777" w:rsidR="00724163" w:rsidRPr="00724163" w:rsidRDefault="00724163" w:rsidP="00724163">
      <w:pPr>
        <w:spacing w:line="360" w:lineRule="auto"/>
        <w:jc w:val="both"/>
        <w:rPr>
          <w:rtl/>
        </w:rPr>
      </w:pPr>
    </w:p>
    <w:p w14:paraId="6BD11986" w14:textId="77777777" w:rsidR="00724163" w:rsidRPr="00724163" w:rsidRDefault="00724163" w:rsidP="00724163">
      <w:pPr>
        <w:spacing w:line="360" w:lineRule="auto"/>
        <w:jc w:val="both"/>
        <w:rPr>
          <w:rtl/>
        </w:rPr>
      </w:pPr>
      <w:r w:rsidRPr="00724163">
        <w:rPr>
          <w:rFonts w:hint="cs"/>
          <w:rtl/>
        </w:rPr>
        <w:t>כאשר בית המשפט מרשיע נאשם במספר עבירות המהוות מספר אירועים, עליו לקבוע מתחם עונש הולם לכל אירוע בנפרד, ולאחר מכן רשאי הוא לגזור עונש נפרד לכל אירוע, או עונש כולל לכל האירועים (</w:t>
      </w:r>
      <w:r w:rsidRPr="00D677B0">
        <w:rPr>
          <w:rFonts w:hint="cs"/>
          <w:color w:val="000000"/>
          <w:rtl/>
        </w:rPr>
        <w:t>סעיף 40יג(ב)</w:t>
      </w:r>
      <w:r w:rsidRPr="00724163">
        <w:rPr>
          <w:rFonts w:hint="cs"/>
          <w:rtl/>
        </w:rPr>
        <w:t xml:space="preserve"> ל</w:t>
      </w:r>
      <w:r w:rsidRPr="00D677B0">
        <w:rPr>
          <w:rFonts w:hint="cs"/>
          <w:color w:val="000000"/>
          <w:rtl/>
        </w:rPr>
        <w:t>חוק העונשין</w:t>
      </w:r>
      <w:r w:rsidRPr="00724163">
        <w:rPr>
          <w:rFonts w:hint="cs"/>
          <w:rtl/>
        </w:rPr>
        <w:t xml:space="preserve">). </w:t>
      </w:r>
    </w:p>
    <w:p w14:paraId="4FCD143A" w14:textId="77777777" w:rsidR="00724163" w:rsidRPr="00724163" w:rsidRDefault="00724163" w:rsidP="00724163">
      <w:pPr>
        <w:spacing w:line="360" w:lineRule="auto"/>
        <w:jc w:val="both"/>
        <w:rPr>
          <w:rtl/>
        </w:rPr>
      </w:pPr>
    </w:p>
    <w:p w14:paraId="098DDA4D" w14:textId="77777777" w:rsidR="00724163" w:rsidRPr="00724163" w:rsidRDefault="00724163" w:rsidP="00724163">
      <w:pPr>
        <w:spacing w:line="360" w:lineRule="auto"/>
        <w:jc w:val="both"/>
        <w:rPr>
          <w:rtl/>
        </w:rPr>
      </w:pPr>
      <w:r w:rsidRPr="00724163">
        <w:rPr>
          <w:rFonts w:hint="cs"/>
          <w:rtl/>
        </w:rPr>
        <w:t xml:space="preserve">גם אם גזר בית המשפט עונש כולל בגין כמה אירועים, עליו לשמור על יחס הולם בין חומרת מכלול המעשים ומידת אשמו של הנאשם, לבין העונש שייגזר עליו, תוך התחשבות במספר העבירות, תדירותן והזיקה ביניהן (סעיף 40יג.(ג) לחוק העונשין). </w:t>
      </w:r>
    </w:p>
    <w:p w14:paraId="21FC7EA9" w14:textId="77777777" w:rsidR="00724163" w:rsidRPr="00724163" w:rsidRDefault="00724163" w:rsidP="00724163">
      <w:pPr>
        <w:spacing w:line="360" w:lineRule="auto"/>
        <w:jc w:val="both"/>
        <w:rPr>
          <w:rtl/>
        </w:rPr>
      </w:pPr>
    </w:p>
    <w:p w14:paraId="6E93E632" w14:textId="77777777" w:rsidR="00724163" w:rsidRDefault="00724163" w:rsidP="00724163">
      <w:pPr>
        <w:pStyle w:val="aa"/>
        <w:rPr>
          <w:rFonts w:ascii="Arial" w:hAnsi="Arial"/>
          <w:b w:val="0"/>
          <w:bCs w:val="0"/>
          <w:sz w:val="24"/>
          <w:rtl/>
        </w:rPr>
      </w:pPr>
      <w:r w:rsidRPr="00724163">
        <w:rPr>
          <w:rFonts w:hint="cs"/>
          <w:b w:val="0"/>
          <w:bCs w:val="0"/>
          <w:sz w:val="24"/>
          <w:rtl/>
        </w:rPr>
        <w:t>בענייננו</w:t>
      </w:r>
      <w:r w:rsidR="00D72A01">
        <w:rPr>
          <w:rFonts w:hint="cs"/>
          <w:b w:val="0"/>
          <w:bCs w:val="0"/>
          <w:sz w:val="24"/>
          <w:rtl/>
        </w:rPr>
        <w:t>, אף שמדובר באותו קרבן,</w:t>
      </w:r>
      <w:r w:rsidRPr="00724163">
        <w:rPr>
          <w:rFonts w:hint="cs"/>
          <w:b w:val="0"/>
          <w:bCs w:val="0"/>
          <w:sz w:val="24"/>
          <w:rtl/>
        </w:rPr>
        <w:t xml:space="preserve"> נחלקות העבירות לשני אירועים שבוצעו בזמנים שונים. לנוכח האמור, </w:t>
      </w:r>
      <w:r w:rsidRPr="00724163">
        <w:rPr>
          <w:rFonts w:ascii="Arial" w:hAnsi="Arial" w:hint="cs"/>
          <w:b w:val="0"/>
          <w:bCs w:val="0"/>
          <w:sz w:val="24"/>
          <w:rtl/>
        </w:rPr>
        <w:t xml:space="preserve">הסדר הטיעון שנערך בין הצדדים – בדין - כלל הסכמה לעניין טווחי הענישה בגין כל אחד מהאירועים. בנוסף, כלל ההסדר, כאמור, גם הסכמה </w:t>
      </w:r>
      <w:r w:rsidRPr="00724163">
        <w:rPr>
          <w:rFonts w:ascii="Arial" w:hAnsi="Arial" w:hint="cs"/>
          <w:b w:val="0"/>
          <w:bCs w:val="0"/>
          <w:sz w:val="24"/>
          <w:u w:val="single"/>
          <w:rtl/>
        </w:rPr>
        <w:t>להצטברות</w:t>
      </w:r>
      <w:r w:rsidRPr="00724163">
        <w:rPr>
          <w:rFonts w:ascii="Arial" w:hAnsi="Arial" w:hint="cs"/>
          <w:b w:val="0"/>
          <w:bCs w:val="0"/>
          <w:sz w:val="24"/>
          <w:rtl/>
        </w:rPr>
        <w:t xml:space="preserve"> העונשים שיוטלו בגין כל אחד מן האירועים. </w:t>
      </w:r>
    </w:p>
    <w:p w14:paraId="3AF2ECF9" w14:textId="77777777" w:rsidR="009C7B5C" w:rsidRPr="00724163" w:rsidRDefault="009C7B5C" w:rsidP="00724163">
      <w:pPr>
        <w:pStyle w:val="aa"/>
        <w:rPr>
          <w:rFonts w:ascii="Arial" w:hAnsi="Arial"/>
          <w:b w:val="0"/>
          <w:bCs w:val="0"/>
          <w:sz w:val="24"/>
          <w:rtl/>
        </w:rPr>
      </w:pPr>
    </w:p>
    <w:p w14:paraId="1479DA03" w14:textId="77777777" w:rsidR="00724163" w:rsidRPr="00724163" w:rsidRDefault="00724163" w:rsidP="00724163">
      <w:pPr>
        <w:pStyle w:val="aa"/>
        <w:rPr>
          <w:b w:val="0"/>
          <w:bCs w:val="0"/>
          <w:sz w:val="24"/>
          <w:highlight w:val="yellow"/>
          <w:rtl/>
        </w:rPr>
      </w:pPr>
      <w:r w:rsidRPr="00724163">
        <w:rPr>
          <w:rFonts w:ascii="Arial" w:hAnsi="Arial" w:hint="cs"/>
          <w:b w:val="0"/>
          <w:bCs w:val="0"/>
          <w:sz w:val="24"/>
          <w:rtl/>
        </w:rPr>
        <w:t xml:space="preserve">המחלוקת בין הצדדים נותרה בשאלת עונש המאסר בפועל הכולל שייגזר על הנאשם; בעוד המאשימה עותרת לעונש מאסר בפועל של 23 שנים, עותרת ההגנה לעונש מאסר בפועל של 18 שנים. </w:t>
      </w:r>
    </w:p>
    <w:p w14:paraId="21AD587E" w14:textId="77777777" w:rsidR="00724163" w:rsidRPr="00724163" w:rsidRDefault="00724163" w:rsidP="00724163">
      <w:pPr>
        <w:pStyle w:val="aa"/>
        <w:rPr>
          <w:b w:val="0"/>
          <w:bCs w:val="0"/>
          <w:sz w:val="24"/>
          <w:highlight w:val="yellow"/>
          <w:rtl/>
        </w:rPr>
      </w:pPr>
    </w:p>
    <w:p w14:paraId="1228A47B" w14:textId="77777777" w:rsidR="00724163" w:rsidRDefault="00724163" w:rsidP="00724163">
      <w:pPr>
        <w:pStyle w:val="aa"/>
        <w:rPr>
          <w:b w:val="0"/>
          <w:bCs w:val="0"/>
          <w:sz w:val="24"/>
          <w:rtl/>
        </w:rPr>
      </w:pPr>
      <w:r w:rsidRPr="00724163">
        <w:rPr>
          <w:rFonts w:hint="cs"/>
          <w:b w:val="0"/>
          <w:bCs w:val="0"/>
          <w:sz w:val="24"/>
          <w:rtl/>
        </w:rPr>
        <w:t>ב</w:t>
      </w:r>
      <w:hyperlink r:id="rId10" w:history="1">
        <w:r w:rsidR="00D677B0" w:rsidRPr="00D677B0">
          <w:rPr>
            <w:b w:val="0"/>
            <w:bCs w:val="0"/>
            <w:color w:val="0000FF"/>
            <w:sz w:val="24"/>
            <w:u w:val="single"/>
            <w:rtl/>
          </w:rPr>
          <w:t>ע"פ 512/13</w:t>
        </w:r>
      </w:hyperlink>
      <w:r w:rsidRPr="00724163">
        <w:rPr>
          <w:rFonts w:hint="cs"/>
          <w:b w:val="0"/>
          <w:bCs w:val="0"/>
          <w:sz w:val="24"/>
          <w:rtl/>
        </w:rPr>
        <w:t xml:space="preserve"> </w:t>
      </w:r>
      <w:r w:rsidRPr="00724163">
        <w:rPr>
          <w:rFonts w:hint="cs"/>
          <w:sz w:val="24"/>
          <w:rtl/>
        </w:rPr>
        <w:t>פלוני נ' מדינת ישראל</w:t>
      </w:r>
      <w:r w:rsidRPr="00724163">
        <w:rPr>
          <w:rFonts w:hint="cs"/>
          <w:b w:val="0"/>
          <w:bCs w:val="0"/>
          <w:sz w:val="24"/>
          <w:rtl/>
        </w:rPr>
        <w:t xml:space="preserve"> </w:t>
      </w:r>
      <w:r w:rsidR="00F47304" w:rsidRPr="00F47304">
        <w:rPr>
          <w:b w:val="0"/>
          <w:bCs w:val="0"/>
          <w:rtl/>
        </w:rPr>
        <w:t xml:space="preserve">[פורסם בנבו] </w:t>
      </w:r>
      <w:r w:rsidRPr="00724163">
        <w:rPr>
          <w:rFonts w:hint="cs"/>
          <w:b w:val="0"/>
          <w:bCs w:val="0"/>
          <w:sz w:val="24"/>
          <w:rtl/>
        </w:rPr>
        <w:t xml:space="preserve">(4.12.13), נדון המיתאם שבין </w:t>
      </w:r>
      <w:r w:rsidRPr="009C7B5C">
        <w:rPr>
          <w:rFonts w:cs="Miriam" w:hint="cs"/>
          <w:b w:val="0"/>
          <w:bCs w:val="0"/>
          <w:sz w:val="24"/>
          <w:rtl/>
        </w:rPr>
        <w:t>"מתחם העונש ההולם"</w:t>
      </w:r>
      <w:r w:rsidRPr="00724163">
        <w:rPr>
          <w:rFonts w:hint="cs"/>
          <w:b w:val="0"/>
          <w:bCs w:val="0"/>
          <w:sz w:val="24"/>
          <w:rtl/>
        </w:rPr>
        <w:t xml:space="preserve"> לבין טווח הענישה המוצע לבית המשפט במסגרת הסדר טיעון ונקבע שלא מדובר במושגים זהים. </w:t>
      </w:r>
    </w:p>
    <w:p w14:paraId="3C3AB9D5" w14:textId="77777777" w:rsidR="009C7B5C" w:rsidRPr="00724163" w:rsidRDefault="009C7B5C" w:rsidP="00724163">
      <w:pPr>
        <w:pStyle w:val="aa"/>
        <w:rPr>
          <w:b w:val="0"/>
          <w:bCs w:val="0"/>
          <w:sz w:val="24"/>
          <w:rtl/>
        </w:rPr>
      </w:pPr>
    </w:p>
    <w:p w14:paraId="33F7EE3B" w14:textId="77777777" w:rsidR="009C7B5C" w:rsidRDefault="00724163" w:rsidP="00724163">
      <w:pPr>
        <w:pStyle w:val="aa"/>
        <w:rPr>
          <w:sz w:val="24"/>
          <w:rtl/>
        </w:rPr>
      </w:pPr>
      <w:r w:rsidRPr="00724163">
        <w:rPr>
          <w:rFonts w:hint="cs"/>
          <w:b w:val="0"/>
          <w:bCs w:val="0"/>
          <w:sz w:val="24"/>
          <w:rtl/>
        </w:rPr>
        <w:t>בעוד טווח הענישה שבהסדר טיעון נובע מהסכמה בין הצדדים</w:t>
      </w:r>
      <w:r w:rsidRPr="00724163">
        <w:rPr>
          <w:rFonts w:hint="cs"/>
          <w:sz w:val="24"/>
          <w:rtl/>
        </w:rPr>
        <w:t xml:space="preserve"> </w:t>
      </w:r>
      <w:r w:rsidRPr="00724163">
        <w:rPr>
          <w:rFonts w:hint="cs"/>
          <w:b w:val="0"/>
          <w:bCs w:val="0"/>
          <w:sz w:val="24"/>
          <w:rtl/>
        </w:rPr>
        <w:t>בלבד ומביא לידי ביטוי, בין היתר, את שיקולי התביעה (כגון: אינטרס הציבור בענישה הולמת ומהירה למעשי עבירה, חסכון במשאבים, קשיים ראיתיים, ואף נסיבות ספציפיות של הנאשם לקולא וכו'), למול שיקולי הנאשם (כגון: רצון להביא להפחתה באישומים, הקלה בעונש או הימנעות מניהול הליך משפטי ארוך ויקר שלא לצורך), הרי שמתחם העונש ההולם מהווה "קביעה נורמטיבית" של בית המשפט באשר לטווח הענישה הראוי בגין העבירה בנסיבותיה, מידת אשמו של הנאשם וסוג ומידת העונש המוטל עליו.</w:t>
      </w:r>
      <w:r w:rsidRPr="00724163">
        <w:rPr>
          <w:rFonts w:hint="cs"/>
          <w:sz w:val="24"/>
          <w:rtl/>
        </w:rPr>
        <w:t xml:space="preserve"> </w:t>
      </w:r>
    </w:p>
    <w:p w14:paraId="497B1CB5" w14:textId="77777777" w:rsidR="009C7B5C" w:rsidRDefault="009C7B5C" w:rsidP="00724163">
      <w:pPr>
        <w:pStyle w:val="aa"/>
        <w:rPr>
          <w:sz w:val="24"/>
          <w:rtl/>
        </w:rPr>
      </w:pPr>
    </w:p>
    <w:p w14:paraId="13092C57" w14:textId="77777777" w:rsidR="00724163" w:rsidRPr="00724163" w:rsidRDefault="00724163" w:rsidP="00724163">
      <w:pPr>
        <w:pStyle w:val="aa"/>
        <w:rPr>
          <w:b w:val="0"/>
          <w:bCs w:val="0"/>
          <w:sz w:val="24"/>
          <w:rtl/>
        </w:rPr>
      </w:pPr>
      <w:r w:rsidRPr="00724163">
        <w:rPr>
          <w:rFonts w:hint="cs"/>
          <w:b w:val="0"/>
          <w:bCs w:val="0"/>
          <w:sz w:val="24"/>
          <w:rtl/>
        </w:rPr>
        <w:t xml:space="preserve">לשם קביעת העונש ההולם על בית המשפט להתחשב בערך החברתי שנפגע מביצוע העבירה, במידת הפגיעה בו, במדיניות הענישה הנהוגה ובנסיבות הקשורות בביצוע העבירה, הכל כאמור בסימן א'-1 לחוק העונשין שכותרתו </w:t>
      </w:r>
      <w:r w:rsidRPr="00D24B1D">
        <w:rPr>
          <w:rFonts w:cs="Miriam" w:hint="cs"/>
          <w:b w:val="0"/>
          <w:bCs w:val="0"/>
          <w:sz w:val="24"/>
          <w:rtl/>
        </w:rPr>
        <w:t>"הבניית שיקול הדעת השיפוטי בענישה",</w:t>
      </w:r>
      <w:r w:rsidRPr="00724163">
        <w:rPr>
          <w:rFonts w:hint="cs"/>
          <w:b w:val="0"/>
          <w:bCs w:val="0"/>
          <w:sz w:val="24"/>
          <w:rtl/>
        </w:rPr>
        <w:t xml:space="preserve"> והורתו בתיקון מספר 113 לחוק העונשין. </w:t>
      </w:r>
    </w:p>
    <w:p w14:paraId="61F6BE40" w14:textId="77777777" w:rsidR="00724163" w:rsidRPr="00724163" w:rsidRDefault="00724163" w:rsidP="00140C6B">
      <w:pPr>
        <w:pStyle w:val="aa"/>
        <w:spacing w:line="240" w:lineRule="auto"/>
        <w:rPr>
          <w:sz w:val="24"/>
          <w:rtl/>
        </w:rPr>
      </w:pPr>
    </w:p>
    <w:p w14:paraId="51ED8360" w14:textId="77777777" w:rsidR="00724163" w:rsidRPr="00724163" w:rsidRDefault="00724163" w:rsidP="00724163">
      <w:pPr>
        <w:pStyle w:val="aa"/>
        <w:rPr>
          <w:b w:val="0"/>
          <w:bCs w:val="0"/>
          <w:sz w:val="24"/>
          <w:rtl/>
        </w:rPr>
      </w:pPr>
      <w:r w:rsidRPr="00724163">
        <w:rPr>
          <w:rFonts w:hint="cs"/>
          <w:b w:val="0"/>
          <w:bCs w:val="0"/>
          <w:sz w:val="24"/>
          <w:rtl/>
        </w:rPr>
        <w:t>על אף שתיקון מס' 113 ל</w:t>
      </w:r>
      <w:r w:rsidRPr="00D677B0">
        <w:rPr>
          <w:rFonts w:hint="cs"/>
          <w:b w:val="0"/>
          <w:bCs w:val="0"/>
          <w:color w:val="000000"/>
          <w:sz w:val="24"/>
          <w:rtl/>
        </w:rPr>
        <w:t>חוק העונשין</w:t>
      </w:r>
      <w:r w:rsidRPr="00724163">
        <w:rPr>
          <w:rFonts w:hint="cs"/>
          <w:b w:val="0"/>
          <w:bCs w:val="0"/>
          <w:sz w:val="24"/>
          <w:rtl/>
        </w:rPr>
        <w:t xml:space="preserve"> לא קבע מהו היחס הראוי בין מתחם העונש ההולם לטווח ענישה המוצע בהסדר טיעון, עדיין, יש בדרך כלל לכבד הסדרי טיעון במידה והם עומדים ב"מבחן האיזון" אשר נקבע ב</w:t>
      </w:r>
      <w:hyperlink r:id="rId11" w:history="1">
        <w:r w:rsidR="00D677B0" w:rsidRPr="00D677B0">
          <w:rPr>
            <w:b w:val="0"/>
            <w:bCs w:val="0"/>
            <w:color w:val="0000FF"/>
            <w:sz w:val="24"/>
            <w:u w:val="single"/>
            <w:rtl/>
          </w:rPr>
          <w:t>ע"פ 1958/98 פלוני נ' מדינת ישראל, פ"ד נז</w:t>
        </w:r>
      </w:hyperlink>
      <w:r w:rsidRPr="00724163">
        <w:rPr>
          <w:rFonts w:hint="cs"/>
          <w:b w:val="0"/>
          <w:bCs w:val="0"/>
          <w:sz w:val="24"/>
          <w:rtl/>
        </w:rPr>
        <w:t xml:space="preserve">(1), 577. (להלן: </w:t>
      </w:r>
      <w:r w:rsidRPr="009C7B5C">
        <w:rPr>
          <w:rFonts w:cs="Miriam" w:hint="cs"/>
          <w:b w:val="0"/>
          <w:bCs w:val="0"/>
          <w:sz w:val="24"/>
          <w:rtl/>
        </w:rPr>
        <w:t>"הלכת האיזון"</w:t>
      </w:r>
      <w:r w:rsidRPr="00724163">
        <w:rPr>
          <w:rFonts w:hint="cs"/>
          <w:b w:val="0"/>
          <w:bCs w:val="0"/>
          <w:sz w:val="24"/>
          <w:rtl/>
        </w:rPr>
        <w:t xml:space="preserve">).  למעשה, גם אם טווח הענישה המוצע בהסדר הטיעון נמוך מ"מתחם העונש ההולם", עדיין יש לכבד את ההסדר אם התביעה ערכה איזון מתאים בין ההקלה שניתנה לנאשם לבין התועלת הציבורית שהייתה כרוכה בעריכת הסדר הטיעון, ו"הלכת האיזון" שנקבעה </w:t>
      </w:r>
      <w:r w:rsidRPr="00724163">
        <w:rPr>
          <w:rFonts w:hint="cs"/>
          <w:b w:val="0"/>
          <w:bCs w:val="0"/>
          <w:sz w:val="24"/>
          <w:u w:val="single"/>
          <w:rtl/>
        </w:rPr>
        <w:t>בפסק הדין פלוני</w:t>
      </w:r>
      <w:r w:rsidRPr="00724163">
        <w:rPr>
          <w:rFonts w:hint="cs"/>
          <w:b w:val="0"/>
          <w:bCs w:val="0"/>
          <w:sz w:val="24"/>
          <w:rtl/>
        </w:rPr>
        <w:t xml:space="preserve"> הנ"ל, בהרכב מורחב של 9 שופטים, אינה עומדת בסתירה  לתיקון 113 ל</w:t>
      </w:r>
      <w:r w:rsidRPr="00D677B0">
        <w:rPr>
          <w:rFonts w:hint="cs"/>
          <w:b w:val="0"/>
          <w:bCs w:val="0"/>
          <w:color w:val="000000"/>
          <w:sz w:val="24"/>
          <w:rtl/>
        </w:rPr>
        <w:t>חוק העונשין</w:t>
      </w:r>
      <w:r w:rsidRPr="00724163">
        <w:rPr>
          <w:rFonts w:hint="cs"/>
          <w:b w:val="0"/>
          <w:bCs w:val="0"/>
          <w:sz w:val="24"/>
          <w:rtl/>
        </w:rPr>
        <w:t>.</w:t>
      </w:r>
    </w:p>
    <w:p w14:paraId="1FD5E9D2" w14:textId="77777777" w:rsidR="00724163" w:rsidRPr="00724163" w:rsidRDefault="00724163" w:rsidP="00140C6B">
      <w:pPr>
        <w:pStyle w:val="aa"/>
        <w:spacing w:line="240" w:lineRule="auto"/>
        <w:rPr>
          <w:b w:val="0"/>
          <w:bCs w:val="0"/>
          <w:sz w:val="24"/>
          <w:highlight w:val="yellow"/>
          <w:rtl/>
        </w:rPr>
      </w:pPr>
    </w:p>
    <w:p w14:paraId="6C77DF00" w14:textId="77777777" w:rsidR="00724163" w:rsidRDefault="00724163" w:rsidP="009C7B5C">
      <w:pPr>
        <w:pStyle w:val="aa"/>
        <w:jc w:val="left"/>
        <w:rPr>
          <w:b w:val="0"/>
          <w:bCs w:val="0"/>
          <w:sz w:val="24"/>
          <w:rtl/>
        </w:rPr>
      </w:pPr>
      <w:r w:rsidRPr="00724163">
        <w:rPr>
          <w:rFonts w:hint="cs"/>
          <w:b w:val="0"/>
          <w:bCs w:val="0"/>
          <w:sz w:val="24"/>
          <w:rtl/>
        </w:rPr>
        <w:t>ב</w:t>
      </w:r>
      <w:hyperlink r:id="rId12" w:history="1">
        <w:r w:rsidR="00D677B0" w:rsidRPr="00D677B0">
          <w:rPr>
            <w:b w:val="0"/>
            <w:bCs w:val="0"/>
            <w:color w:val="0000FF"/>
            <w:sz w:val="24"/>
            <w:u w:val="single"/>
            <w:rtl/>
          </w:rPr>
          <w:t>ע"פ 3856/13</w:t>
        </w:r>
      </w:hyperlink>
      <w:r w:rsidRPr="00724163">
        <w:rPr>
          <w:rFonts w:hint="cs"/>
          <w:b w:val="0"/>
          <w:bCs w:val="0"/>
          <w:sz w:val="24"/>
          <w:rtl/>
        </w:rPr>
        <w:t xml:space="preserve"> </w:t>
      </w:r>
      <w:r w:rsidRPr="00724163">
        <w:rPr>
          <w:rFonts w:hint="cs"/>
          <w:sz w:val="24"/>
          <w:rtl/>
        </w:rPr>
        <w:t>שי גוני נ' מדינת ישראל</w:t>
      </w:r>
      <w:r w:rsidRPr="00724163">
        <w:rPr>
          <w:rFonts w:hint="cs"/>
          <w:b w:val="0"/>
          <w:bCs w:val="0"/>
          <w:sz w:val="24"/>
          <w:rtl/>
        </w:rPr>
        <w:t xml:space="preserve"> </w:t>
      </w:r>
      <w:r w:rsidR="00F47304" w:rsidRPr="00F47304">
        <w:rPr>
          <w:b w:val="0"/>
          <w:bCs w:val="0"/>
          <w:rtl/>
        </w:rPr>
        <w:t xml:space="preserve">[פורסם בנבו] </w:t>
      </w:r>
      <w:r w:rsidRPr="00724163">
        <w:rPr>
          <w:rFonts w:hint="cs"/>
          <w:b w:val="0"/>
          <w:bCs w:val="0"/>
          <w:sz w:val="24"/>
          <w:rtl/>
        </w:rPr>
        <w:t>(3.2.14) וב</w:t>
      </w:r>
      <w:hyperlink r:id="rId13" w:history="1">
        <w:r w:rsidR="00D677B0" w:rsidRPr="00D677B0">
          <w:rPr>
            <w:b w:val="0"/>
            <w:bCs w:val="0"/>
            <w:color w:val="0000FF"/>
            <w:sz w:val="24"/>
            <w:u w:val="single"/>
            <w:rtl/>
          </w:rPr>
          <w:t>ע"פ 9246/12</w:t>
        </w:r>
      </w:hyperlink>
      <w:r w:rsidRPr="00724163">
        <w:rPr>
          <w:rFonts w:hint="cs"/>
          <w:b w:val="0"/>
          <w:bCs w:val="0"/>
          <w:sz w:val="24"/>
          <w:rtl/>
        </w:rPr>
        <w:t xml:space="preserve"> </w:t>
      </w:r>
      <w:r w:rsidRPr="00724163">
        <w:rPr>
          <w:rFonts w:hint="cs"/>
          <w:sz w:val="24"/>
          <w:rtl/>
        </w:rPr>
        <w:t>עמר וסלמן חמאיסה נ' מדינת ישראל</w:t>
      </w:r>
      <w:r w:rsidRPr="00724163">
        <w:rPr>
          <w:rFonts w:hint="cs"/>
          <w:b w:val="0"/>
          <w:bCs w:val="0"/>
          <w:sz w:val="24"/>
          <w:rtl/>
        </w:rPr>
        <w:t xml:space="preserve"> </w:t>
      </w:r>
      <w:r w:rsidR="00F47304" w:rsidRPr="00F47304">
        <w:rPr>
          <w:b w:val="0"/>
          <w:bCs w:val="0"/>
          <w:rtl/>
        </w:rPr>
        <w:t xml:space="preserve">[פורסם בנבו] </w:t>
      </w:r>
      <w:r w:rsidRPr="00724163">
        <w:rPr>
          <w:rFonts w:hint="cs"/>
          <w:b w:val="0"/>
          <w:bCs w:val="0"/>
          <w:sz w:val="24"/>
          <w:rtl/>
        </w:rPr>
        <w:t>(24.3.14), נתקבלה עמדת כב' השופט מלצר ב</w:t>
      </w:r>
      <w:hyperlink r:id="rId14" w:history="1">
        <w:r w:rsidR="00D677B0" w:rsidRPr="00D677B0">
          <w:rPr>
            <w:b w:val="0"/>
            <w:bCs w:val="0"/>
            <w:color w:val="0000FF"/>
            <w:sz w:val="24"/>
            <w:u w:val="single"/>
            <w:rtl/>
          </w:rPr>
          <w:t>ע"פ 512/13</w:t>
        </w:r>
      </w:hyperlink>
      <w:r w:rsidRPr="00724163">
        <w:rPr>
          <w:rFonts w:hint="cs"/>
          <w:b w:val="0"/>
          <w:bCs w:val="0"/>
          <w:sz w:val="24"/>
          <w:rtl/>
        </w:rPr>
        <w:t xml:space="preserve"> הנ"ל</w:t>
      </w:r>
      <w:r w:rsidRPr="00724163">
        <w:rPr>
          <w:rFonts w:hint="cs"/>
          <w:sz w:val="24"/>
          <w:rtl/>
        </w:rPr>
        <w:t xml:space="preserve"> </w:t>
      </w:r>
      <w:r w:rsidRPr="00724163">
        <w:rPr>
          <w:rFonts w:hint="cs"/>
          <w:b w:val="0"/>
          <w:bCs w:val="0"/>
          <w:sz w:val="24"/>
          <w:rtl/>
        </w:rPr>
        <w:t>ולפיה:</w:t>
      </w:r>
    </w:p>
    <w:p w14:paraId="4DB2E84D" w14:textId="77777777" w:rsidR="009C7B5C" w:rsidRPr="00724163" w:rsidRDefault="009C7B5C" w:rsidP="00140C6B">
      <w:pPr>
        <w:pStyle w:val="aa"/>
        <w:spacing w:line="240" w:lineRule="auto"/>
        <w:jc w:val="left"/>
        <w:rPr>
          <w:b w:val="0"/>
          <w:bCs w:val="0"/>
          <w:sz w:val="24"/>
          <w:rtl/>
        </w:rPr>
      </w:pPr>
    </w:p>
    <w:p w14:paraId="6386C1FD" w14:textId="77777777" w:rsidR="00724163" w:rsidRPr="00724163" w:rsidRDefault="00724163" w:rsidP="009C7B5C">
      <w:pPr>
        <w:pStyle w:val="aa"/>
        <w:tabs>
          <w:tab w:val="left" w:pos="7046"/>
        </w:tabs>
        <w:spacing w:line="240" w:lineRule="auto"/>
        <w:ind w:left="1106" w:right="1260"/>
        <w:rPr>
          <w:b w:val="0"/>
          <w:bCs w:val="0"/>
          <w:sz w:val="24"/>
          <w:rtl/>
        </w:rPr>
      </w:pPr>
      <w:r w:rsidRPr="00724163">
        <w:rPr>
          <w:rFonts w:cs="Miriam" w:hint="cs"/>
          <w:b w:val="0"/>
          <w:bCs w:val="0"/>
          <w:sz w:val="24"/>
          <w:rtl/>
        </w:rPr>
        <w:t>"...אין למתוח קו של זהות בין הסדרי טיעון לבין מתחם הענישה אלא יש לִיְלֵך במתווה... לפיו תחילה באה קביעת מתחם ענישה לפי תיקון 113 כנתינתו, אחר כך השוואתה לטווח בהסדר הטיעון וככל שהטווח אושר – קביעת העונש גם בהתחשב בהסדר הטיעון</w:t>
      </w:r>
      <w:r w:rsidRPr="00724163">
        <w:rPr>
          <w:rFonts w:hint="cs"/>
          <w:b w:val="0"/>
          <w:bCs w:val="0"/>
          <w:sz w:val="24"/>
          <w:rtl/>
        </w:rPr>
        <w:t xml:space="preserve">".  </w:t>
      </w:r>
    </w:p>
    <w:p w14:paraId="43CCF5F4" w14:textId="77777777" w:rsidR="00724163" w:rsidRPr="00724163" w:rsidRDefault="00724163" w:rsidP="00724163">
      <w:pPr>
        <w:pStyle w:val="aa"/>
        <w:tabs>
          <w:tab w:val="left" w:pos="7046"/>
        </w:tabs>
        <w:ind w:left="1106" w:right="1260"/>
        <w:rPr>
          <w:b w:val="0"/>
          <w:bCs w:val="0"/>
          <w:sz w:val="24"/>
          <w:rtl/>
        </w:rPr>
      </w:pPr>
    </w:p>
    <w:p w14:paraId="290472D3" w14:textId="77777777" w:rsidR="00724163" w:rsidRDefault="00724163" w:rsidP="00140C6B">
      <w:pPr>
        <w:pStyle w:val="aa"/>
        <w:tabs>
          <w:tab w:val="left" w:pos="7046"/>
        </w:tabs>
        <w:spacing w:line="240" w:lineRule="auto"/>
        <w:rPr>
          <w:b w:val="0"/>
          <w:bCs w:val="0"/>
          <w:sz w:val="24"/>
          <w:rtl/>
        </w:rPr>
      </w:pPr>
      <w:r w:rsidRPr="00724163">
        <w:rPr>
          <w:rFonts w:hint="cs"/>
          <w:b w:val="0"/>
          <w:bCs w:val="0"/>
          <w:sz w:val="24"/>
          <w:rtl/>
        </w:rPr>
        <w:t>ב</w:t>
      </w:r>
      <w:hyperlink r:id="rId15" w:history="1">
        <w:r w:rsidR="00D677B0" w:rsidRPr="00D677B0">
          <w:rPr>
            <w:b w:val="0"/>
            <w:bCs w:val="0"/>
            <w:color w:val="0000FF"/>
            <w:sz w:val="24"/>
            <w:u w:val="single"/>
            <w:rtl/>
          </w:rPr>
          <w:t>ע"פ 3856/13</w:t>
        </w:r>
      </w:hyperlink>
      <w:r w:rsidRPr="00724163">
        <w:rPr>
          <w:rFonts w:hint="cs"/>
          <w:b w:val="0"/>
          <w:bCs w:val="0"/>
          <w:sz w:val="24"/>
          <w:rtl/>
        </w:rPr>
        <w:t xml:space="preserve"> הנ"ל, נקבע כי בתיקון 113 אין כדי לשנות מן המדיניות המשפטית הנוהגת: </w:t>
      </w:r>
    </w:p>
    <w:p w14:paraId="2AB5D2AF" w14:textId="77777777" w:rsidR="009C7B5C" w:rsidRPr="00724163" w:rsidRDefault="009C7B5C" w:rsidP="009C7B5C">
      <w:pPr>
        <w:pStyle w:val="aa"/>
        <w:tabs>
          <w:tab w:val="left" w:pos="7046"/>
        </w:tabs>
        <w:rPr>
          <w:b w:val="0"/>
          <w:bCs w:val="0"/>
          <w:sz w:val="24"/>
          <w:rtl/>
        </w:rPr>
      </w:pPr>
    </w:p>
    <w:p w14:paraId="1C6048BC" w14:textId="77777777" w:rsidR="00724163" w:rsidRPr="00724163" w:rsidRDefault="00724163" w:rsidP="009C7B5C">
      <w:pPr>
        <w:pStyle w:val="aa"/>
        <w:tabs>
          <w:tab w:val="left" w:pos="6866"/>
        </w:tabs>
        <w:spacing w:line="240" w:lineRule="auto"/>
        <w:ind w:left="1106" w:right="1440"/>
        <w:rPr>
          <w:b w:val="0"/>
          <w:bCs w:val="0"/>
          <w:sz w:val="24"/>
          <w:rtl/>
        </w:rPr>
      </w:pPr>
      <w:r w:rsidRPr="00724163">
        <w:rPr>
          <w:rFonts w:cs="Miriam" w:hint="cs"/>
          <w:b w:val="0"/>
          <w:bCs w:val="0"/>
          <w:sz w:val="24"/>
          <w:rtl/>
        </w:rPr>
        <w:t xml:space="preserve">"לפיה בית המשפט אינו כבול לעונש עליו הסכימו הצדדים במסגרת הסדר הטיעון, ועליו לבחנו בהתאם לאמות המידה המקובלות, כאשר אליהן יתווספו </w:t>
      </w:r>
      <w:r w:rsidRPr="00724163">
        <w:rPr>
          <w:rFonts w:cs="Miriam" w:hint="cs"/>
          <w:b w:val="0"/>
          <w:bCs w:val="0"/>
          <w:sz w:val="24"/>
          <w:u w:val="single"/>
          <w:rtl/>
        </w:rPr>
        <w:t>ואף יקבלו מקום מרכזי</w:t>
      </w:r>
      <w:r w:rsidRPr="00724163">
        <w:rPr>
          <w:rFonts w:cs="Miriam" w:hint="cs"/>
          <w:b w:val="0"/>
          <w:bCs w:val="0"/>
          <w:sz w:val="24"/>
          <w:rtl/>
        </w:rPr>
        <w:t>, השיקולים המתחייבים מקיומו של הסדר טיעון"</w:t>
      </w:r>
      <w:r w:rsidRPr="00724163">
        <w:rPr>
          <w:rFonts w:hint="cs"/>
          <w:b w:val="0"/>
          <w:bCs w:val="0"/>
          <w:sz w:val="24"/>
          <w:rtl/>
        </w:rPr>
        <w:t xml:space="preserve"> (ראו גם </w:t>
      </w:r>
      <w:r w:rsidRPr="00D677B0">
        <w:rPr>
          <w:rFonts w:hint="cs"/>
          <w:b w:val="0"/>
          <w:bCs w:val="0"/>
          <w:color w:val="000000"/>
          <w:sz w:val="24"/>
          <w:rtl/>
        </w:rPr>
        <w:t>ע"פ 8802/13</w:t>
      </w:r>
      <w:r w:rsidRPr="00724163">
        <w:rPr>
          <w:rFonts w:hint="cs"/>
          <w:b w:val="0"/>
          <w:bCs w:val="0"/>
          <w:sz w:val="24"/>
          <w:rtl/>
        </w:rPr>
        <w:t xml:space="preserve"> </w:t>
      </w:r>
      <w:r w:rsidRPr="00724163">
        <w:rPr>
          <w:rFonts w:hint="cs"/>
          <w:sz w:val="24"/>
          <w:rtl/>
        </w:rPr>
        <w:t>דורון לוי נ' מדינת ישראל</w:t>
      </w:r>
      <w:r w:rsidRPr="00724163">
        <w:rPr>
          <w:rFonts w:hint="cs"/>
          <w:b w:val="0"/>
          <w:bCs w:val="0"/>
          <w:sz w:val="24"/>
          <w:rtl/>
        </w:rPr>
        <w:t xml:space="preserve"> (10.3.14); </w:t>
      </w:r>
      <w:hyperlink r:id="rId16" w:history="1">
        <w:r w:rsidR="00D677B0" w:rsidRPr="00D677B0">
          <w:rPr>
            <w:b w:val="0"/>
            <w:bCs w:val="0"/>
            <w:color w:val="0000FF"/>
            <w:sz w:val="24"/>
            <w:u w:val="single"/>
            <w:rtl/>
          </w:rPr>
          <w:t>ע"פ 3659/13</w:t>
        </w:r>
      </w:hyperlink>
      <w:r w:rsidRPr="00724163">
        <w:rPr>
          <w:rFonts w:hint="cs"/>
          <w:b w:val="0"/>
          <w:bCs w:val="0"/>
          <w:sz w:val="24"/>
          <w:rtl/>
        </w:rPr>
        <w:t xml:space="preserve"> </w:t>
      </w:r>
      <w:r w:rsidRPr="00724163">
        <w:rPr>
          <w:rFonts w:hint="cs"/>
          <w:sz w:val="24"/>
          <w:rtl/>
        </w:rPr>
        <w:t>פלוני נ' מדינת ישראל</w:t>
      </w:r>
      <w:r w:rsidRPr="00724163">
        <w:rPr>
          <w:rFonts w:hint="cs"/>
          <w:b w:val="0"/>
          <w:bCs w:val="0"/>
          <w:sz w:val="24"/>
          <w:rtl/>
        </w:rPr>
        <w:t xml:space="preserve"> </w:t>
      </w:r>
      <w:r w:rsidR="00F47304" w:rsidRPr="00F47304">
        <w:rPr>
          <w:b w:val="0"/>
          <w:bCs w:val="0"/>
          <w:rtl/>
        </w:rPr>
        <w:t xml:space="preserve">[פורסם בנבו] </w:t>
      </w:r>
      <w:r w:rsidRPr="00724163">
        <w:rPr>
          <w:rFonts w:hint="cs"/>
          <w:b w:val="0"/>
          <w:bCs w:val="0"/>
          <w:sz w:val="24"/>
          <w:rtl/>
        </w:rPr>
        <w:t xml:space="preserve">(24.3.14); </w:t>
      </w:r>
      <w:hyperlink r:id="rId17" w:history="1">
        <w:r w:rsidR="00D677B0" w:rsidRPr="00D677B0">
          <w:rPr>
            <w:color w:val="0000FF"/>
            <w:sz w:val="24"/>
            <w:u w:val="single"/>
            <w:rtl/>
          </w:rPr>
          <w:t>ע"פ 7777/12</w:t>
        </w:r>
      </w:hyperlink>
      <w:r w:rsidRPr="00724163">
        <w:rPr>
          <w:rFonts w:hint="cs"/>
          <w:sz w:val="24"/>
          <w:rtl/>
        </w:rPr>
        <w:t xml:space="preserve"> יעקב בלקאר נ' מדינת ישראל</w:t>
      </w:r>
      <w:r w:rsidRPr="00724163">
        <w:rPr>
          <w:rFonts w:hint="cs"/>
          <w:b w:val="0"/>
          <w:bCs w:val="0"/>
          <w:sz w:val="24"/>
          <w:rtl/>
        </w:rPr>
        <w:t xml:space="preserve"> </w:t>
      </w:r>
      <w:r w:rsidR="00F47304" w:rsidRPr="00F47304">
        <w:rPr>
          <w:b w:val="0"/>
          <w:bCs w:val="0"/>
          <w:rtl/>
        </w:rPr>
        <w:t xml:space="preserve">[פורסם בנבו] </w:t>
      </w:r>
      <w:r w:rsidRPr="00724163">
        <w:rPr>
          <w:rFonts w:hint="cs"/>
          <w:b w:val="0"/>
          <w:bCs w:val="0"/>
          <w:sz w:val="24"/>
          <w:rtl/>
        </w:rPr>
        <w:t xml:space="preserve">(25.3.14)). </w:t>
      </w:r>
    </w:p>
    <w:p w14:paraId="34D320E0" w14:textId="77777777" w:rsidR="00724163" w:rsidRPr="00724163" w:rsidRDefault="00724163" w:rsidP="00724163">
      <w:pPr>
        <w:pStyle w:val="aa"/>
        <w:rPr>
          <w:b w:val="0"/>
          <w:bCs w:val="0"/>
          <w:sz w:val="24"/>
          <w:rtl/>
        </w:rPr>
      </w:pPr>
    </w:p>
    <w:p w14:paraId="22A0FD48" w14:textId="77777777" w:rsidR="00724163" w:rsidRPr="00724163" w:rsidRDefault="00724163" w:rsidP="009C7B5C">
      <w:pPr>
        <w:pStyle w:val="aa"/>
        <w:spacing w:line="240" w:lineRule="auto"/>
        <w:rPr>
          <w:b w:val="0"/>
          <w:bCs w:val="0"/>
          <w:sz w:val="24"/>
          <w:u w:val="single"/>
          <w:rtl/>
        </w:rPr>
      </w:pPr>
      <w:r w:rsidRPr="00724163">
        <w:rPr>
          <w:rFonts w:hint="cs"/>
          <w:b w:val="0"/>
          <w:bCs w:val="0"/>
          <w:sz w:val="24"/>
          <w:u w:val="single"/>
          <w:rtl/>
        </w:rPr>
        <w:t>מתחם העונש ההולם בגין האירוע הראשון</w:t>
      </w:r>
    </w:p>
    <w:p w14:paraId="152166B6" w14:textId="77777777" w:rsidR="009C7B5C" w:rsidRDefault="009C7B5C" w:rsidP="009C7B5C">
      <w:pPr>
        <w:pStyle w:val="10"/>
        <w:tabs>
          <w:tab w:val="left" w:pos="7406"/>
        </w:tabs>
        <w:spacing w:line="240" w:lineRule="auto"/>
        <w:ind w:left="0" w:right="0"/>
        <w:rPr>
          <w:rFonts w:cs="David"/>
          <w:sz w:val="24"/>
          <w:rtl/>
        </w:rPr>
      </w:pPr>
    </w:p>
    <w:p w14:paraId="3D6E0665" w14:textId="77777777" w:rsidR="00724163" w:rsidRPr="00724163" w:rsidRDefault="00724163" w:rsidP="00724163">
      <w:pPr>
        <w:pStyle w:val="10"/>
        <w:tabs>
          <w:tab w:val="left" w:pos="7406"/>
        </w:tabs>
        <w:spacing w:line="360" w:lineRule="auto"/>
        <w:ind w:left="0" w:right="0"/>
        <w:rPr>
          <w:rFonts w:cs="David"/>
          <w:sz w:val="24"/>
          <w:rtl/>
        </w:rPr>
      </w:pPr>
      <w:r w:rsidRPr="00724163">
        <w:rPr>
          <w:rFonts w:cs="David" w:hint="cs"/>
          <w:sz w:val="24"/>
          <w:rtl/>
        </w:rPr>
        <w:t xml:space="preserve">על החומרה שיש לראות במעשי אלימות שבמהלכם קופדו חיי אדם עמדו בתי המשפט לא אחת, תוך הדגשת קדושת החיים כערך עליון.  </w:t>
      </w:r>
    </w:p>
    <w:p w14:paraId="40F825F6" w14:textId="77777777" w:rsidR="00724163" w:rsidRDefault="00724163" w:rsidP="009C7B5C">
      <w:pPr>
        <w:jc w:val="both"/>
        <w:rPr>
          <w:rtl/>
        </w:rPr>
      </w:pPr>
      <w:r w:rsidRPr="00724163">
        <w:rPr>
          <w:rFonts w:hint="cs"/>
          <w:rtl/>
        </w:rPr>
        <w:t xml:space="preserve">כך למשל נפסק כי: </w:t>
      </w:r>
    </w:p>
    <w:p w14:paraId="0AD51CF8" w14:textId="77777777" w:rsidR="009C7B5C" w:rsidRPr="00724163" w:rsidRDefault="009C7B5C" w:rsidP="00724163">
      <w:pPr>
        <w:spacing w:line="360" w:lineRule="auto"/>
        <w:jc w:val="both"/>
        <w:rPr>
          <w:rtl/>
        </w:rPr>
      </w:pPr>
    </w:p>
    <w:p w14:paraId="2CC51E53" w14:textId="77777777" w:rsidR="00724163" w:rsidRPr="00724163" w:rsidRDefault="00724163" w:rsidP="009C7B5C">
      <w:pPr>
        <w:ind w:left="1134" w:right="1134"/>
        <w:jc w:val="both"/>
        <w:rPr>
          <w:rFonts w:cs="Times New Roman"/>
          <w:rtl/>
        </w:rPr>
      </w:pPr>
      <w:r w:rsidRPr="00724163">
        <w:rPr>
          <w:rFonts w:cs="Miriam" w:hint="cs"/>
          <w:rtl/>
        </w:rPr>
        <w:t>"קדושת החיים היא שהניעה את המחוקק לקבוע עונש של מאסר עולם - חובה - לצידה של עבירת הרצח; והיא העומדת בבסיס של קביעת עונש של עשרים שנים מאסר - שהיא התקופה הקצובה בחוק למאסר עולם שאינו עונש חובה – לצידה של עבירת ההריגה. השמירה על קדושת החיים – לרבות קביעתה של קדושה זו בהכרת הכל - היא העומדת בראש תכליות הענישה, במקום שמדובר בנטילת חיי אדם; ועל בית המשפט לשוות זאת לנגד עיניו בגוזרו את הדין בעבירות רצח  והריגה..."</w:t>
      </w:r>
      <w:r w:rsidRPr="00724163">
        <w:rPr>
          <w:rFonts w:hint="cs"/>
          <w:rtl/>
        </w:rPr>
        <w:t xml:space="preserve">. </w:t>
      </w:r>
    </w:p>
    <w:p w14:paraId="212933E4" w14:textId="77777777" w:rsidR="00724163" w:rsidRPr="00724163" w:rsidRDefault="00724163" w:rsidP="00724163">
      <w:pPr>
        <w:spacing w:line="360" w:lineRule="auto"/>
        <w:ind w:left="1134" w:right="1134"/>
        <w:jc w:val="both"/>
        <w:rPr>
          <w:rtl/>
        </w:rPr>
      </w:pPr>
      <w:r w:rsidRPr="00724163">
        <w:rPr>
          <w:rFonts w:hint="cs"/>
          <w:rtl/>
        </w:rPr>
        <w:t>(</w:t>
      </w:r>
      <w:hyperlink r:id="rId18" w:history="1">
        <w:r w:rsidR="00D677B0" w:rsidRPr="00D677B0">
          <w:rPr>
            <w:color w:val="0000FF"/>
            <w:u w:val="single"/>
            <w:rtl/>
          </w:rPr>
          <w:t>ע"פ 4419/95 שחר חדד נ' מדינת ישראל, פ"ד נ</w:t>
        </w:r>
      </w:hyperlink>
      <w:r w:rsidRPr="00724163">
        <w:rPr>
          <w:rFonts w:hint="cs"/>
          <w:rtl/>
        </w:rPr>
        <w:t xml:space="preserve">(2) 752; ראו גם </w:t>
      </w:r>
      <w:hyperlink r:id="rId19" w:history="1">
        <w:r w:rsidR="00D677B0" w:rsidRPr="00D677B0">
          <w:rPr>
            <w:color w:val="0000FF"/>
            <w:u w:val="single"/>
            <w:rtl/>
          </w:rPr>
          <w:t>ע"פ 8314/03</w:t>
        </w:r>
      </w:hyperlink>
      <w:r w:rsidRPr="00724163">
        <w:rPr>
          <w:rFonts w:hint="cs"/>
          <w:rtl/>
        </w:rPr>
        <w:t xml:space="preserve"> </w:t>
      </w:r>
      <w:r w:rsidRPr="00724163">
        <w:rPr>
          <w:rFonts w:hint="cs"/>
          <w:b/>
          <w:bCs/>
          <w:rtl/>
        </w:rPr>
        <w:t>רג'אח שיהד בן עווד נ' מדינת ישראל</w:t>
      </w:r>
      <w:r w:rsidRPr="00724163">
        <w:rPr>
          <w:rFonts w:hint="cs"/>
          <w:rtl/>
        </w:rPr>
        <w:t xml:space="preserve">, </w:t>
      </w:r>
      <w:r w:rsidR="00F47304" w:rsidRPr="00F47304">
        <w:rPr>
          <w:sz w:val="22"/>
          <w:rtl/>
        </w:rPr>
        <w:t xml:space="preserve">[פורסם בנבו] </w:t>
      </w:r>
      <w:r w:rsidRPr="00724163">
        <w:rPr>
          <w:rFonts w:hint="cs"/>
          <w:rtl/>
        </w:rPr>
        <w:t xml:space="preserve">תק-על 2005(2) 3016, 3017). </w:t>
      </w:r>
    </w:p>
    <w:p w14:paraId="44B86E38" w14:textId="77777777" w:rsidR="00724163" w:rsidRPr="00724163" w:rsidRDefault="00724163" w:rsidP="009C7B5C">
      <w:pPr>
        <w:jc w:val="both"/>
        <w:rPr>
          <w:rFonts w:cs="Times New Roman"/>
          <w:rtl/>
        </w:rPr>
      </w:pPr>
    </w:p>
    <w:p w14:paraId="7269439E" w14:textId="77777777" w:rsidR="00724163" w:rsidRPr="00724163" w:rsidRDefault="00724163" w:rsidP="00724163">
      <w:pPr>
        <w:spacing w:line="360" w:lineRule="auto"/>
        <w:jc w:val="both"/>
        <w:rPr>
          <w:rtl/>
        </w:rPr>
      </w:pPr>
      <w:r w:rsidRPr="00724163">
        <w:rPr>
          <w:rFonts w:hint="cs"/>
          <w:rtl/>
        </w:rPr>
        <w:t>יחד עם זאת, לרגע לא נעלם מעינינו כי במקרה זה העבירה החמורה ביותר בין אלה בהן הורשע הנאשם הינה עבירה של "</w:t>
      </w:r>
      <w:r w:rsidRPr="00724163">
        <w:rPr>
          <w:rFonts w:hint="cs"/>
          <w:b/>
          <w:bCs/>
          <w:rtl/>
        </w:rPr>
        <w:t>סיוע להריגה</w:t>
      </w:r>
      <w:r w:rsidRPr="00724163">
        <w:rPr>
          <w:rFonts w:hint="cs"/>
          <w:rtl/>
        </w:rPr>
        <w:t xml:space="preserve">" שהעונש המירבי בגינה הינו מחצית מן העונש המירבי הנקוב בצידה של עבירת ההריגה המושלמת, דהיינו, 10 שנות מאסר ולא 20 (סע' 32 לחוק העונשין). </w:t>
      </w:r>
    </w:p>
    <w:p w14:paraId="4B53E61B" w14:textId="77777777" w:rsidR="00724163" w:rsidRPr="00724163" w:rsidRDefault="00724163" w:rsidP="00724163">
      <w:pPr>
        <w:spacing w:line="360" w:lineRule="auto"/>
        <w:jc w:val="both"/>
        <w:rPr>
          <w:rtl/>
        </w:rPr>
      </w:pPr>
    </w:p>
    <w:p w14:paraId="6CAF6E40" w14:textId="77777777" w:rsidR="00724163" w:rsidRPr="00724163" w:rsidRDefault="00724163" w:rsidP="00724163">
      <w:pPr>
        <w:spacing w:line="360" w:lineRule="auto"/>
        <w:jc w:val="both"/>
        <w:rPr>
          <w:rtl/>
        </w:rPr>
      </w:pPr>
      <w:r w:rsidRPr="00724163">
        <w:rPr>
          <w:rFonts w:hint="cs"/>
          <w:rtl/>
        </w:rPr>
        <w:t xml:space="preserve">לנוכח ריבוי המקרים בהם בקלות יתרה ובלתי נסבלת נעשה שימוש בנשק חם לצורך פתרון סכסוכים של מה בכך או כמעשי נקמנות גרידא, נקבע בפסיקה כי יש לנקוט ברמת ענישה מחמירה, באותם מקרים של "שפיכות דמים" והוא הדין אף כאשר מדובר "רק" בעבירות בנשק. (ראו </w:t>
      </w:r>
      <w:hyperlink r:id="rId20" w:history="1">
        <w:r w:rsidR="00D677B0" w:rsidRPr="00D677B0">
          <w:rPr>
            <w:color w:val="0000FF"/>
            <w:u w:val="single"/>
            <w:rtl/>
          </w:rPr>
          <w:t>ע"פ 7147/96 אזואלוס נ' מדינת ישראל פ"ד נב</w:t>
        </w:r>
      </w:hyperlink>
      <w:r w:rsidRPr="00724163">
        <w:rPr>
          <w:rFonts w:hint="cs"/>
          <w:rtl/>
        </w:rPr>
        <w:t xml:space="preserve">(2) 412). </w:t>
      </w:r>
    </w:p>
    <w:p w14:paraId="2125824A" w14:textId="77777777" w:rsidR="00724163" w:rsidRPr="00724163" w:rsidRDefault="00724163" w:rsidP="00724163">
      <w:pPr>
        <w:spacing w:line="360" w:lineRule="auto"/>
        <w:jc w:val="both"/>
        <w:rPr>
          <w:rtl/>
        </w:rPr>
      </w:pPr>
    </w:p>
    <w:p w14:paraId="3704203C" w14:textId="77777777" w:rsidR="00724163" w:rsidRPr="00724163" w:rsidRDefault="00724163" w:rsidP="00724163">
      <w:pPr>
        <w:spacing w:line="360" w:lineRule="auto"/>
        <w:jc w:val="both"/>
        <w:rPr>
          <w:rtl/>
        </w:rPr>
      </w:pPr>
      <w:r w:rsidRPr="00724163">
        <w:rPr>
          <w:rFonts w:ascii="Arial" w:hAnsi="Arial" w:hint="cs"/>
          <w:rtl/>
        </w:rPr>
        <w:t>איננו יכולים להתעלם מחומרת נסיבות ביצוע העבירות במקרה זה. מעשיו של הנאשם אינם פרי פיתוי רגעי או "מעידה חד-פעמית", שכן הנאשם תכנן יחד עם אחרים לפרטי פרטים ובקור רוח את הפגיעה במנוח</w:t>
      </w:r>
      <w:r w:rsidR="00D24B1D">
        <w:rPr>
          <w:rFonts w:ascii="Arial" w:hAnsi="Arial" w:hint="cs"/>
          <w:rtl/>
        </w:rPr>
        <w:t>,</w:t>
      </w:r>
      <w:r w:rsidRPr="00724163">
        <w:rPr>
          <w:rFonts w:ascii="Arial" w:hAnsi="Arial" w:hint="cs"/>
          <w:rtl/>
        </w:rPr>
        <w:t xml:space="preserve"> בשתי הזדמנויות שונות. ניתן ללמוד על התכנון המחושב והשקול של המעשה, מהעובדות שפורטו בהרחבה באישום הראשון שבכתב האישום וכן מהעובדה שלא היתה זו הפעם הראשונה שהנאשם ניסה לפגוע במנוח</w:t>
      </w:r>
      <w:r w:rsidRPr="00724163">
        <w:rPr>
          <w:rFonts w:hint="cs"/>
          <w:rtl/>
        </w:rPr>
        <w:t>.</w:t>
      </w:r>
    </w:p>
    <w:p w14:paraId="34555EFC" w14:textId="77777777" w:rsidR="00724163" w:rsidRPr="00724163" w:rsidRDefault="00724163" w:rsidP="00FB4DCE">
      <w:pPr>
        <w:jc w:val="both"/>
        <w:rPr>
          <w:rtl/>
        </w:rPr>
      </w:pPr>
    </w:p>
    <w:p w14:paraId="4A29C46F" w14:textId="77777777" w:rsidR="00724163" w:rsidRPr="00724163" w:rsidRDefault="00724163" w:rsidP="00724163">
      <w:pPr>
        <w:spacing w:line="360" w:lineRule="auto"/>
        <w:jc w:val="both"/>
        <w:rPr>
          <w:rtl/>
        </w:rPr>
      </w:pPr>
      <w:r w:rsidRPr="00724163">
        <w:rPr>
          <w:rFonts w:hint="cs"/>
          <w:rtl/>
        </w:rPr>
        <w:t>עם זאת, חלקו של הנאשם בביצוע העבירה באירוע</w:t>
      </w:r>
      <w:r w:rsidR="00961AA7">
        <w:rPr>
          <w:rFonts w:hint="cs"/>
          <w:rtl/>
        </w:rPr>
        <w:t xml:space="preserve"> שבאישום</w:t>
      </w:r>
      <w:r w:rsidRPr="00724163">
        <w:rPr>
          <w:rFonts w:hint="cs"/>
          <w:rtl/>
        </w:rPr>
        <w:t xml:space="preserve"> הראשון היה כ"מסייע", ובאופן כללי חלקו קטן יותר מזה של היורים בפועל. </w:t>
      </w:r>
    </w:p>
    <w:p w14:paraId="3F61BCD4" w14:textId="77777777" w:rsidR="00724163" w:rsidRPr="00724163" w:rsidRDefault="00724163" w:rsidP="00FB4DCE">
      <w:pPr>
        <w:jc w:val="both"/>
        <w:rPr>
          <w:rtl/>
        </w:rPr>
      </w:pPr>
    </w:p>
    <w:p w14:paraId="2395D713" w14:textId="77777777" w:rsidR="00724163" w:rsidRPr="00724163" w:rsidRDefault="00724163" w:rsidP="00724163">
      <w:pPr>
        <w:spacing w:line="360" w:lineRule="auto"/>
        <w:jc w:val="both"/>
        <w:rPr>
          <w:rtl/>
        </w:rPr>
      </w:pPr>
      <w:r w:rsidRPr="00724163">
        <w:rPr>
          <w:rFonts w:hint="cs"/>
          <w:rtl/>
        </w:rPr>
        <w:t xml:space="preserve">אף שאמרנו כי עונשו המירבי של מסייע להריגה הינו מחצית מן העונש בגין העבירה המושלמת, הרי בקשר לקביעת מתחם ענישה הולם בעניינו של ה"מסייע", נקבע כי:  </w:t>
      </w:r>
    </w:p>
    <w:p w14:paraId="4668C75F" w14:textId="77777777" w:rsidR="00724163" w:rsidRPr="00724163" w:rsidRDefault="00724163" w:rsidP="00FB4DCE">
      <w:pPr>
        <w:jc w:val="both"/>
        <w:rPr>
          <w:rFonts w:cs="Times New Roman"/>
          <w:rtl/>
        </w:rPr>
      </w:pPr>
    </w:p>
    <w:p w14:paraId="3CB56EB0" w14:textId="77777777" w:rsidR="00724163" w:rsidRPr="00724163" w:rsidRDefault="00724163" w:rsidP="00FB4DCE">
      <w:pPr>
        <w:ind w:left="1106" w:right="1260"/>
        <w:jc w:val="both"/>
        <w:rPr>
          <w:rtl/>
        </w:rPr>
      </w:pPr>
      <w:r w:rsidRPr="00724163">
        <w:rPr>
          <w:rFonts w:cs="Miriam" w:hint="cs"/>
          <w:rtl/>
        </w:rPr>
        <w:t>"[...] כידוע, תרומתו של המסייע היא עקיפה ומשנית, משום שאין הוא נוטל חלק בביצוע העיקרי של העבירה ואין הוא אלא שותף זוטר למבצע העיקרי (</w:t>
      </w:r>
      <w:r w:rsidRPr="00D677B0">
        <w:rPr>
          <w:rFonts w:cs="Miriam" w:hint="cs"/>
          <w:color w:val="000000"/>
          <w:rtl/>
        </w:rPr>
        <w:t>ע"</w:t>
      </w:r>
      <w:hyperlink r:id="rId21" w:history="1">
        <w:r w:rsidR="00D677B0" w:rsidRPr="00D677B0">
          <w:rPr>
            <w:rFonts w:cs="Miriam"/>
            <w:color w:val="0000FF"/>
            <w:u w:val="single"/>
            <w:rtl/>
          </w:rPr>
          <w:t>פ 320/99 פלונית נ' מדינת ישראל, פ"ד נה</w:t>
        </w:r>
      </w:hyperlink>
      <w:r w:rsidRPr="00724163">
        <w:rPr>
          <w:rFonts w:cs="Miriam" w:hint="cs"/>
          <w:rtl/>
        </w:rPr>
        <w:t>(3) 22, 34-33 (2001)). סעיף 40ט(א) ל</w:t>
      </w:r>
      <w:r w:rsidRPr="00D677B0">
        <w:rPr>
          <w:rFonts w:cs="Miriam" w:hint="cs"/>
          <w:color w:val="000000"/>
          <w:rtl/>
        </w:rPr>
        <w:t>חוק העונשין</w:t>
      </w:r>
      <w:r w:rsidRPr="00724163">
        <w:rPr>
          <w:rFonts w:cs="Miriam" w:hint="cs"/>
          <w:rtl/>
        </w:rPr>
        <w:t xml:space="preserve"> מונה רשימה פתוחה של נסיבות שיש להתחשב בהן לעניין קביעת מתחם העונש ההולם של העבירה העומדת לדיון. </w:t>
      </w:r>
      <w:r w:rsidRPr="00724163">
        <w:rPr>
          <w:rFonts w:cs="Miriam" w:hint="cs"/>
          <w:u w:val="single"/>
          <w:rtl/>
        </w:rPr>
        <w:t>הנסיבות המנויות בסעיף זה נשקלות, בשינויים המחויבים, גם כשמדובר בעבירת סיוע, שהיא כאמור עבירה העומדת לעצמה, השונה במאפייניה ופחותה בחומרתה מהעבירה העיקרית</w:t>
      </w:r>
      <w:r w:rsidRPr="00724163">
        <w:rPr>
          <w:rFonts w:cs="Miriam" w:hint="cs"/>
          <w:rtl/>
        </w:rPr>
        <w:t>. מבלי למצות, מתחם העונש של עבירת סיוע ייגזר מהנסיבות הבאות: אם מדובר בסיוע במעשה או סיוע במחדל; אם הסיוע קדם לביצוע העבירה העיקרית (סיוע בתכנון) או סיוע שניתן בעת ביצועה של העבירה העיקרית; מידת תרומתו של הסיוע לביצוע העבירה העיקרית; תרומת הסיוע לנזק שהיה צפוי להיגרם ולנזק שנגרם בפועל; יכולתו של הנאשם להבין את שהוא עושה, את הפסול במעשהו או את משמעותו, לרבות בשל גילו, ועוד..."</w:t>
      </w:r>
      <w:r w:rsidR="00FB4DCE">
        <w:rPr>
          <w:rFonts w:hint="cs"/>
          <w:rtl/>
        </w:rPr>
        <w:t xml:space="preserve"> </w:t>
      </w:r>
      <w:r w:rsidRPr="00724163">
        <w:rPr>
          <w:rFonts w:hint="cs"/>
          <w:rtl/>
        </w:rPr>
        <w:t>(</w:t>
      </w:r>
      <w:hyperlink r:id="rId22" w:history="1">
        <w:r w:rsidR="00D677B0" w:rsidRPr="00D677B0">
          <w:rPr>
            <w:color w:val="0000FF"/>
            <w:u w:val="single"/>
            <w:rtl/>
          </w:rPr>
          <w:t>ע"פ 5214/13</w:t>
        </w:r>
      </w:hyperlink>
      <w:r w:rsidRPr="00724163">
        <w:rPr>
          <w:rFonts w:hint="cs"/>
          <w:rtl/>
        </w:rPr>
        <w:t xml:space="preserve"> </w:t>
      </w:r>
      <w:r w:rsidRPr="00724163">
        <w:rPr>
          <w:rFonts w:hint="cs"/>
          <w:b/>
          <w:bCs/>
          <w:rtl/>
        </w:rPr>
        <w:t>מחמוד סירחאן נ' מדינת ישראל</w:t>
      </w:r>
      <w:r w:rsidRPr="00724163">
        <w:rPr>
          <w:rFonts w:hint="cs"/>
          <w:rtl/>
        </w:rPr>
        <w:t xml:space="preserve"> </w:t>
      </w:r>
      <w:r w:rsidR="00F47304" w:rsidRPr="00F47304">
        <w:rPr>
          <w:sz w:val="22"/>
          <w:rtl/>
        </w:rPr>
        <w:t xml:space="preserve">[פורסם בנבו] </w:t>
      </w:r>
      <w:r w:rsidRPr="00724163">
        <w:rPr>
          <w:rFonts w:hint="cs"/>
          <w:rtl/>
        </w:rPr>
        <w:t>(30.12.2013).</w:t>
      </w:r>
    </w:p>
    <w:p w14:paraId="1764345A" w14:textId="77777777" w:rsidR="00724163" w:rsidRPr="00724163" w:rsidRDefault="00724163" w:rsidP="00FB4DCE">
      <w:pPr>
        <w:jc w:val="both"/>
        <w:rPr>
          <w:rFonts w:cs="Times New Roman"/>
          <w:rtl/>
        </w:rPr>
      </w:pPr>
    </w:p>
    <w:p w14:paraId="7A390F13" w14:textId="77777777" w:rsidR="00724163" w:rsidRPr="00724163" w:rsidRDefault="00724163" w:rsidP="00724163">
      <w:pPr>
        <w:spacing w:line="360" w:lineRule="auto"/>
        <w:jc w:val="both"/>
        <w:rPr>
          <w:rtl/>
        </w:rPr>
      </w:pPr>
      <w:r w:rsidRPr="00724163">
        <w:rPr>
          <w:rFonts w:hint="cs"/>
          <w:rtl/>
        </w:rPr>
        <w:t>בענייננו, חלקו של הנאשם בסיוע לביצוע העבירה היה משמעותי. הנאשם לקח חלק בכל שלבי האירוע, החל מהתכנון שקדם לו, בהמשך גם במעקב אחר המנוח ודיווח לחוליה המבצעת על צעדיו ובסיום האירוע, לאחר הצתת הרכב, מילוט המעורבים מהמקום.</w:t>
      </w:r>
    </w:p>
    <w:p w14:paraId="7A043672" w14:textId="77777777" w:rsidR="00724163" w:rsidRPr="00724163" w:rsidRDefault="00724163" w:rsidP="00FB4DCE">
      <w:pPr>
        <w:jc w:val="both"/>
        <w:rPr>
          <w:rtl/>
        </w:rPr>
      </w:pPr>
    </w:p>
    <w:p w14:paraId="0EA9BF02" w14:textId="77777777" w:rsidR="00724163" w:rsidRPr="00724163" w:rsidRDefault="00724163" w:rsidP="00724163">
      <w:pPr>
        <w:spacing w:line="360" w:lineRule="auto"/>
        <w:jc w:val="both"/>
        <w:rPr>
          <w:rtl/>
        </w:rPr>
      </w:pPr>
      <w:r w:rsidRPr="00724163">
        <w:rPr>
          <w:rFonts w:hint="cs"/>
          <w:rtl/>
        </w:rPr>
        <w:t xml:space="preserve">בנסיבות אלה ברור אפוא, כי הנאשם בחר באופן מודע ושקול בדרך עבריינית כדי לנקום במנוח ובסופו של דבר גרם, יחד עם אחרים, למותו של צעיר כבן 27 בלבד. </w:t>
      </w:r>
    </w:p>
    <w:p w14:paraId="2111727D" w14:textId="77777777" w:rsidR="00724163" w:rsidRPr="00724163" w:rsidRDefault="00724163" w:rsidP="00FB4DCE">
      <w:pPr>
        <w:jc w:val="both"/>
        <w:rPr>
          <w:rtl/>
        </w:rPr>
      </w:pPr>
    </w:p>
    <w:p w14:paraId="3561F92E" w14:textId="77777777" w:rsidR="00724163" w:rsidRDefault="00724163" w:rsidP="00724163">
      <w:pPr>
        <w:spacing w:line="360" w:lineRule="auto"/>
        <w:jc w:val="both"/>
        <w:rPr>
          <w:rtl/>
        </w:rPr>
      </w:pPr>
      <w:r w:rsidRPr="00724163">
        <w:rPr>
          <w:rFonts w:hint="cs"/>
          <w:rtl/>
        </w:rPr>
        <w:t>כן יש להתחשב בכך כי לצד העבירה של סיוע להריגה אותה ביצע הנאשם על פי האישום הראשון עומדות עבירות חמורות נוספות של קשירת קשר, הצתה, עבירות בנשק ושיבוש מהלכי משפט. כל אחת מעבירות אלה פוגעת בערכים המצויים ברף העליון של הערכים המוגנים והם בטחונו האישי של כל אדם וביטחון הציבור ככלל.</w:t>
      </w:r>
    </w:p>
    <w:p w14:paraId="0AA13667" w14:textId="77777777" w:rsidR="00140C6B" w:rsidRPr="00724163" w:rsidRDefault="00140C6B" w:rsidP="00140C6B">
      <w:pPr>
        <w:jc w:val="both"/>
        <w:rPr>
          <w:rtl/>
        </w:rPr>
      </w:pPr>
    </w:p>
    <w:p w14:paraId="65B0B4FA" w14:textId="77777777" w:rsidR="00724163" w:rsidRPr="00724163" w:rsidRDefault="00724163" w:rsidP="005B7BFE">
      <w:pPr>
        <w:spacing w:line="360" w:lineRule="auto"/>
        <w:jc w:val="both"/>
        <w:rPr>
          <w:rtl/>
        </w:rPr>
      </w:pPr>
      <w:r w:rsidRPr="00724163">
        <w:rPr>
          <w:rFonts w:hint="cs"/>
          <w:rtl/>
        </w:rPr>
        <w:t>הסיבה שהביאה את הנאשם לבצע את העבירות, נזקפת אף היא לחובתו, שכן אף אם הנאשם חש מאוים, היו פתוחות בפניו אפשרויות אחרות ובכלל זה, פנייה לרשויות החוק. אין לקבל מצב של נטילת חיי אדם אחר, רק משום תחושת איום או מצוקה, ומכל מקום נראה כי בנסיבות המקרה מדובר היה במניע של נקמה על רקע סכסוך מתמשך בין המשפחות ובייחוד מותו של הילד, אנס, ולא משום תחושת איום ופחד אישיים של הנאשם, כפי שנטען.</w:t>
      </w:r>
    </w:p>
    <w:p w14:paraId="471BD76D" w14:textId="77777777" w:rsidR="00724163" w:rsidRPr="00724163" w:rsidRDefault="00724163" w:rsidP="00724163">
      <w:pPr>
        <w:spacing w:line="360" w:lineRule="auto"/>
        <w:jc w:val="both"/>
        <w:rPr>
          <w:rtl/>
        </w:rPr>
      </w:pPr>
    </w:p>
    <w:p w14:paraId="12244D10" w14:textId="77777777" w:rsidR="00FB4DCE" w:rsidRDefault="00724163" w:rsidP="00724163">
      <w:pPr>
        <w:spacing w:after="240" w:line="360" w:lineRule="auto"/>
        <w:jc w:val="both"/>
        <w:rPr>
          <w:rtl/>
        </w:rPr>
      </w:pPr>
      <w:r w:rsidRPr="00724163">
        <w:rPr>
          <w:rFonts w:hint="cs"/>
          <w:rtl/>
        </w:rPr>
        <w:t xml:space="preserve">באי כוח הצדדים הציגו לנו פסקי דין, אשר להשקפתם תומכים בגישתם באשר למתחם העונש ההולם. מעיון בפסיקה שהוגשה עולה, כי בדיוק כשם שניתן למצוא מקרים חמורים יותר מזה שבפנינו, כך ניתן למצוא בפסיקה אליה הופנינו ע"י הסניגור, מקרים קלים יותר, בין מבחינת נסיבות העבירה, בין מבחינת אשמו של העבריין, ובין נסיבות אישיות, הודאה וחרטה. </w:t>
      </w:r>
    </w:p>
    <w:p w14:paraId="15AD17D6" w14:textId="77777777" w:rsidR="00724163" w:rsidRPr="00724163" w:rsidRDefault="00724163" w:rsidP="00724163">
      <w:pPr>
        <w:spacing w:after="240" w:line="360" w:lineRule="auto"/>
        <w:jc w:val="both"/>
        <w:rPr>
          <w:rtl/>
        </w:rPr>
      </w:pPr>
      <w:r w:rsidRPr="00724163">
        <w:rPr>
          <w:rFonts w:hint="cs"/>
          <w:rtl/>
        </w:rPr>
        <w:t>מכל מקום, מרבית פסקי הדין שאמורים לקבוע את "מדיניות הענישה הנהוגה", ניתנו לפני תיקון 113 ל</w:t>
      </w:r>
      <w:r w:rsidRPr="00D677B0">
        <w:rPr>
          <w:rFonts w:hint="cs"/>
          <w:color w:val="000000"/>
          <w:rtl/>
        </w:rPr>
        <w:t>חוק העונשין</w:t>
      </w:r>
      <w:r w:rsidRPr="00724163">
        <w:rPr>
          <w:rFonts w:hint="cs"/>
          <w:rtl/>
        </w:rPr>
        <w:t xml:space="preserve"> ובשל כך משלבים בתוכם נסיבות שכיום יש לשוקלן לצורך קביעת "העונש המתאים" בתוך מתחם העונש ההולם ולא לצורך קביעת מתחם העונש ההולם.  </w:t>
      </w:r>
    </w:p>
    <w:p w14:paraId="2C7828FC" w14:textId="77777777" w:rsidR="00724163" w:rsidRPr="00724163" w:rsidRDefault="00724163" w:rsidP="00724163">
      <w:pPr>
        <w:spacing w:after="240" w:line="360" w:lineRule="auto"/>
        <w:jc w:val="both"/>
        <w:rPr>
          <w:rtl/>
        </w:rPr>
      </w:pPr>
      <w:r w:rsidRPr="00724163">
        <w:rPr>
          <w:rFonts w:hint="cs"/>
          <w:rtl/>
        </w:rPr>
        <w:t>בצד כל זאת נציין, כי גם ממדיניות הענישה הנהוגה ניתן ללמוד שטווח הענישה שהוסכם בין הצדדים אינו מקל יתר על המידה עם הנאשם.</w:t>
      </w:r>
    </w:p>
    <w:p w14:paraId="18C926E3" w14:textId="77777777" w:rsidR="00724163" w:rsidRPr="00724163" w:rsidRDefault="00724163" w:rsidP="00724163">
      <w:pPr>
        <w:pStyle w:val="aa"/>
        <w:rPr>
          <w:b w:val="0"/>
          <w:bCs w:val="0"/>
          <w:sz w:val="24"/>
          <w:rtl/>
        </w:rPr>
      </w:pPr>
      <w:r w:rsidRPr="00724163">
        <w:rPr>
          <w:rFonts w:hint="cs"/>
          <w:b w:val="0"/>
          <w:bCs w:val="0"/>
          <w:sz w:val="24"/>
          <w:rtl/>
        </w:rPr>
        <w:t>אף אם לצורך גיבוש הסדר הטיעון שנכרת בתיק זה, התחשבה ב"כ המאשימה בנימוקים אשר על פי הוראת תיקון 113 ל</w:t>
      </w:r>
      <w:r w:rsidRPr="00D677B0">
        <w:rPr>
          <w:rFonts w:hint="cs"/>
          <w:b w:val="0"/>
          <w:bCs w:val="0"/>
          <w:color w:val="000000"/>
          <w:sz w:val="24"/>
          <w:rtl/>
        </w:rPr>
        <w:t>חוק העונשין</w:t>
      </w:r>
      <w:r w:rsidRPr="00724163">
        <w:rPr>
          <w:rFonts w:hint="cs"/>
          <w:b w:val="0"/>
          <w:bCs w:val="0"/>
          <w:sz w:val="24"/>
          <w:rtl/>
        </w:rPr>
        <w:t xml:space="preserve"> יש לשוקלם לצורך קביעת העונש המתאים בתוך מתחם העונש ההולם, (הואיל ולא מדובר בשיקולים הנוגעים לנסיבות ביצוע העבירה כגון</w:t>
      </w:r>
      <w:r w:rsidR="005B7BFE">
        <w:rPr>
          <w:rFonts w:hint="cs"/>
          <w:b w:val="0"/>
          <w:bCs w:val="0"/>
          <w:sz w:val="24"/>
          <w:rtl/>
        </w:rPr>
        <w:t>,</w:t>
      </w:r>
      <w:r w:rsidRPr="00724163">
        <w:rPr>
          <w:rFonts w:hint="cs"/>
          <w:b w:val="0"/>
          <w:bCs w:val="0"/>
          <w:sz w:val="24"/>
          <w:rtl/>
        </w:rPr>
        <w:t xml:space="preserve"> הודאתו של הנאשם) הרי משבאים אנו לשקול קבלת או דחיית הסדר הטיעון, נתחשב גם בנימוקים אלה כדי להכריע האם טווחי הענישה שהסדר הטיעון עומדים בהלכת האיזון, ומסקנתנו היא כאמור, שאכן כך הדבר. </w:t>
      </w:r>
    </w:p>
    <w:p w14:paraId="77E5960C" w14:textId="77777777" w:rsidR="00724163" w:rsidRPr="00724163" w:rsidRDefault="00724163" w:rsidP="00724163">
      <w:pPr>
        <w:pStyle w:val="aa"/>
        <w:rPr>
          <w:b w:val="0"/>
          <w:bCs w:val="0"/>
          <w:sz w:val="24"/>
          <w:rtl/>
        </w:rPr>
      </w:pPr>
    </w:p>
    <w:p w14:paraId="3DBA446B" w14:textId="77777777" w:rsidR="00724163" w:rsidRPr="00724163" w:rsidRDefault="00724163" w:rsidP="00724163">
      <w:pPr>
        <w:pStyle w:val="aa"/>
        <w:rPr>
          <w:b w:val="0"/>
          <w:bCs w:val="0"/>
          <w:sz w:val="24"/>
          <w:rtl/>
        </w:rPr>
      </w:pPr>
      <w:r w:rsidRPr="00724163">
        <w:rPr>
          <w:rFonts w:hint="cs"/>
          <w:b w:val="0"/>
          <w:bCs w:val="0"/>
          <w:sz w:val="24"/>
          <w:rtl/>
        </w:rPr>
        <w:t xml:space="preserve">כללו של דבר, בהתחשב בכלל השיקולים המנויים לעיל ועל פי ההנחיות </w:t>
      </w:r>
      <w:r w:rsidRPr="00D677B0">
        <w:rPr>
          <w:rFonts w:hint="cs"/>
          <w:b w:val="0"/>
          <w:bCs w:val="0"/>
          <w:color w:val="000000"/>
          <w:sz w:val="24"/>
          <w:rtl/>
        </w:rPr>
        <w:t>שבסעיפים 40ב.</w:t>
      </w:r>
      <w:r w:rsidRPr="00724163">
        <w:rPr>
          <w:rFonts w:hint="cs"/>
          <w:b w:val="0"/>
          <w:bCs w:val="0"/>
          <w:sz w:val="24"/>
          <w:rtl/>
        </w:rPr>
        <w:t xml:space="preserve"> </w:t>
      </w:r>
      <w:r w:rsidRPr="00D677B0">
        <w:rPr>
          <w:rFonts w:hint="cs"/>
          <w:b w:val="0"/>
          <w:bCs w:val="0"/>
          <w:color w:val="000000"/>
          <w:sz w:val="24"/>
          <w:rtl/>
        </w:rPr>
        <w:t>ג</w:t>
      </w:r>
      <w:r w:rsidRPr="00724163">
        <w:rPr>
          <w:rFonts w:hint="cs"/>
          <w:b w:val="0"/>
          <w:bCs w:val="0"/>
          <w:sz w:val="24"/>
          <w:rtl/>
        </w:rPr>
        <w:t>.  ו-ט. ל</w:t>
      </w:r>
      <w:r w:rsidRPr="00D677B0">
        <w:rPr>
          <w:rFonts w:hint="cs"/>
          <w:b w:val="0"/>
          <w:bCs w:val="0"/>
          <w:color w:val="000000"/>
          <w:sz w:val="24"/>
          <w:rtl/>
        </w:rPr>
        <w:t>חוק העונשין</w:t>
      </w:r>
      <w:r w:rsidRPr="00724163">
        <w:rPr>
          <w:rFonts w:hint="cs"/>
          <w:b w:val="0"/>
          <w:bCs w:val="0"/>
          <w:sz w:val="24"/>
          <w:rtl/>
        </w:rPr>
        <w:t xml:space="preserve"> שעניינם העיקרון המנחה וקביעת מתחם העונש ההולם, אנו סבורים כי במקרה זה טווח הענישה שבהסדר הטיעון תואם את מתחם העונש ההולם </w:t>
      </w:r>
      <w:r w:rsidR="005B7BFE">
        <w:rPr>
          <w:rFonts w:hint="cs"/>
          <w:b w:val="0"/>
          <w:bCs w:val="0"/>
          <w:sz w:val="24"/>
          <w:rtl/>
        </w:rPr>
        <w:t xml:space="preserve">באירוע נשוא האישום הראשון, </w:t>
      </w:r>
      <w:r w:rsidRPr="00724163">
        <w:rPr>
          <w:rFonts w:hint="cs"/>
          <w:b w:val="0"/>
          <w:bCs w:val="0"/>
          <w:sz w:val="24"/>
          <w:rtl/>
        </w:rPr>
        <w:t xml:space="preserve">והחלטנו לכבד את טווח הענישה שהוסכם בין הצדדים באשר לאישום זה. </w:t>
      </w:r>
    </w:p>
    <w:p w14:paraId="2DDF92AA" w14:textId="77777777" w:rsidR="00724163" w:rsidRPr="00724163" w:rsidRDefault="00724163" w:rsidP="00724163">
      <w:pPr>
        <w:pStyle w:val="aa"/>
        <w:rPr>
          <w:b w:val="0"/>
          <w:bCs w:val="0"/>
          <w:sz w:val="24"/>
          <w:rtl/>
        </w:rPr>
      </w:pPr>
    </w:p>
    <w:p w14:paraId="750A5CC5" w14:textId="77777777" w:rsidR="00724163" w:rsidRPr="00724163" w:rsidRDefault="00724163" w:rsidP="00FB4DCE">
      <w:pPr>
        <w:pStyle w:val="aa"/>
        <w:spacing w:line="240" w:lineRule="auto"/>
        <w:rPr>
          <w:b w:val="0"/>
          <w:bCs w:val="0"/>
          <w:sz w:val="24"/>
          <w:u w:val="single"/>
          <w:rtl/>
        </w:rPr>
      </w:pPr>
      <w:r w:rsidRPr="00724163">
        <w:rPr>
          <w:rFonts w:hint="cs"/>
          <w:b w:val="0"/>
          <w:bCs w:val="0"/>
          <w:sz w:val="24"/>
          <w:u w:val="single"/>
          <w:rtl/>
        </w:rPr>
        <w:t>מתחם העונש ההולם באישום השני</w:t>
      </w:r>
    </w:p>
    <w:p w14:paraId="2995E9AE" w14:textId="77777777" w:rsidR="00724163" w:rsidRPr="00724163" w:rsidRDefault="00724163" w:rsidP="00FB4DCE">
      <w:pPr>
        <w:pStyle w:val="aa"/>
        <w:spacing w:line="240" w:lineRule="auto"/>
        <w:rPr>
          <w:b w:val="0"/>
          <w:bCs w:val="0"/>
          <w:sz w:val="24"/>
          <w:rtl/>
        </w:rPr>
      </w:pPr>
    </w:p>
    <w:p w14:paraId="77327247" w14:textId="77777777" w:rsidR="00724163" w:rsidRPr="00724163" w:rsidRDefault="00724163" w:rsidP="005B7BFE">
      <w:pPr>
        <w:spacing w:line="360" w:lineRule="auto"/>
        <w:jc w:val="both"/>
        <w:rPr>
          <w:rtl/>
        </w:rPr>
      </w:pPr>
      <w:r w:rsidRPr="00724163">
        <w:rPr>
          <w:rFonts w:hint="cs"/>
          <w:rtl/>
        </w:rPr>
        <w:t xml:space="preserve">באישום זה הורשע הנאשם על פי הודאתו, כאמור, בעבירה של חבלה בכוונה מחמירה ועבירות בנשק, בשל כך שירה, יחד עם אחרים, </w:t>
      </w:r>
      <w:r w:rsidR="005B7BFE">
        <w:rPr>
          <w:rFonts w:hint="cs"/>
          <w:rtl/>
        </w:rPr>
        <w:t xml:space="preserve">כארבעה חודשים לפני האירוע מושא האישום הראשון, </w:t>
      </w:r>
      <w:r w:rsidRPr="00724163">
        <w:rPr>
          <w:rFonts w:hint="cs"/>
          <w:rtl/>
        </w:rPr>
        <w:t xml:space="preserve">מספר כדורים לעבר המנוח בכוונה לגרום לו לחבלה חמורה, כשלמעשה מדובר בניסיון של הנאשם לפגוע במנוח על רקע הסכסוך המתמשך בין המשפחות. </w:t>
      </w:r>
    </w:p>
    <w:p w14:paraId="6557053A" w14:textId="77777777" w:rsidR="00724163" w:rsidRPr="00724163" w:rsidRDefault="00724163" w:rsidP="00724163">
      <w:pPr>
        <w:spacing w:line="360" w:lineRule="auto"/>
        <w:ind w:left="26" w:hanging="26"/>
        <w:jc w:val="both"/>
        <w:rPr>
          <w:rtl/>
        </w:rPr>
      </w:pPr>
    </w:p>
    <w:p w14:paraId="56707097" w14:textId="77777777" w:rsidR="00724163" w:rsidRPr="00724163" w:rsidRDefault="00724163" w:rsidP="00724163">
      <w:pPr>
        <w:spacing w:line="360" w:lineRule="auto"/>
        <w:ind w:left="26" w:hanging="26"/>
        <w:jc w:val="both"/>
        <w:rPr>
          <w:rtl/>
        </w:rPr>
      </w:pPr>
      <w:r w:rsidRPr="00724163">
        <w:rPr>
          <w:rFonts w:hint="cs"/>
          <w:rtl/>
        </w:rPr>
        <w:t xml:space="preserve">מדובר בעבירות אלימות חמורות תוך שימוש בנשק חם, שיש בהן סיכון לחיי אדם, לסדר הציבורי ולביטחון הציבור, והן מחייבות ענישה מחמירה. הנאשם נטל את החוק לידיו ועשה את האמור לעיל כדי לגרום למתלונן חבלה חמורה. </w:t>
      </w:r>
    </w:p>
    <w:p w14:paraId="329C27A0" w14:textId="77777777" w:rsidR="00724163" w:rsidRDefault="00724163" w:rsidP="00FB4DCE">
      <w:pPr>
        <w:jc w:val="both"/>
        <w:rPr>
          <w:rtl/>
        </w:rPr>
      </w:pPr>
    </w:p>
    <w:p w14:paraId="2BA8E5A4" w14:textId="77777777" w:rsidR="00140C6B" w:rsidRPr="00724163" w:rsidRDefault="00140C6B" w:rsidP="00FB4DCE">
      <w:pPr>
        <w:jc w:val="both"/>
        <w:rPr>
          <w:rtl/>
        </w:rPr>
      </w:pPr>
    </w:p>
    <w:p w14:paraId="097E871E" w14:textId="77777777" w:rsidR="00724163" w:rsidRPr="00724163" w:rsidRDefault="00724163" w:rsidP="00724163">
      <w:pPr>
        <w:spacing w:line="360" w:lineRule="auto"/>
        <w:ind w:left="26" w:hanging="26"/>
        <w:jc w:val="both"/>
        <w:rPr>
          <w:rtl/>
        </w:rPr>
      </w:pPr>
      <w:r w:rsidRPr="00724163">
        <w:rPr>
          <w:rFonts w:hint="cs"/>
          <w:rtl/>
        </w:rPr>
        <w:t xml:space="preserve">באשר לנסיבות האירוע נתחשב בחלקו הדומיננטי של הנאשם באירוע זה, ובעובדה שהנאשם לא הסתפק בפגיעה הראשונה במנוח וירה לעברו פעם נוספת כשהמנוח בא לקבל טיפול רפואי משנפגע מהירי הראשון, עובדה המלמדת על נחישות ודבקות במשימה העבריינית. הנסיבות המפורטות לעיל מלמדות על התנהגות עבריינית חמורה ומסוכנת, וכל זאת בעיבורו של הכפר ללא מורא דין ודיין. </w:t>
      </w:r>
    </w:p>
    <w:p w14:paraId="561248C3" w14:textId="77777777" w:rsidR="00724163" w:rsidRPr="00724163" w:rsidRDefault="00724163" w:rsidP="00FB4DCE">
      <w:pPr>
        <w:jc w:val="both"/>
        <w:rPr>
          <w:rtl/>
        </w:rPr>
      </w:pPr>
    </w:p>
    <w:p w14:paraId="167E49E4" w14:textId="77777777" w:rsidR="00724163" w:rsidRPr="00724163" w:rsidRDefault="00724163" w:rsidP="00724163">
      <w:pPr>
        <w:spacing w:line="360" w:lineRule="auto"/>
        <w:jc w:val="both"/>
        <w:rPr>
          <w:rtl/>
        </w:rPr>
      </w:pPr>
      <w:r w:rsidRPr="00724163">
        <w:rPr>
          <w:rFonts w:hint="cs"/>
          <w:rtl/>
        </w:rPr>
        <w:t>באשר לנזק שנגרם למנוח</w:t>
      </w:r>
      <w:r w:rsidR="00A47542">
        <w:rPr>
          <w:rFonts w:hint="cs"/>
          <w:rtl/>
        </w:rPr>
        <w:t xml:space="preserve"> באישום זה</w:t>
      </w:r>
      <w:r w:rsidRPr="00724163">
        <w:rPr>
          <w:rFonts w:hint="cs"/>
          <w:rtl/>
        </w:rPr>
        <w:t>, הרי שזה אושפז מספר ימים במהלכם עבר ניתוח, וזאת כתוצאה מפגיעת שני הכדורים בעכוזו.</w:t>
      </w:r>
    </w:p>
    <w:p w14:paraId="05E57CA2" w14:textId="77777777" w:rsidR="00724163" w:rsidRPr="00724163" w:rsidRDefault="00724163" w:rsidP="00FB4DCE">
      <w:pPr>
        <w:jc w:val="both"/>
        <w:rPr>
          <w:rtl/>
        </w:rPr>
      </w:pPr>
    </w:p>
    <w:p w14:paraId="4FEB0D4C" w14:textId="77777777" w:rsidR="00724163" w:rsidRPr="00724163" w:rsidRDefault="00724163" w:rsidP="00724163">
      <w:pPr>
        <w:spacing w:line="360" w:lineRule="auto"/>
        <w:jc w:val="both"/>
        <w:rPr>
          <w:rtl/>
        </w:rPr>
      </w:pPr>
      <w:r w:rsidRPr="00724163">
        <w:rPr>
          <w:rFonts w:hint="cs"/>
          <w:rtl/>
        </w:rPr>
        <w:t xml:space="preserve">כן נתחשב בנזק הפוטנציאלי שעלול היה להיגרם </w:t>
      </w:r>
      <w:r w:rsidR="00A47542">
        <w:rPr>
          <w:rFonts w:hint="cs"/>
          <w:rtl/>
        </w:rPr>
        <w:t xml:space="preserve">למנוח או לעוברים ושבים </w:t>
      </w:r>
      <w:r w:rsidRPr="00724163">
        <w:rPr>
          <w:rFonts w:hint="cs"/>
          <w:rtl/>
        </w:rPr>
        <w:t xml:space="preserve">כתוצאה מירי באמצע הכפר, ממכונית חולפת.  </w:t>
      </w:r>
    </w:p>
    <w:p w14:paraId="0769EA2A" w14:textId="77777777" w:rsidR="00724163" w:rsidRPr="00724163" w:rsidRDefault="00724163" w:rsidP="00FB4DCE">
      <w:pPr>
        <w:jc w:val="both"/>
        <w:rPr>
          <w:rtl/>
        </w:rPr>
      </w:pPr>
    </w:p>
    <w:p w14:paraId="054900AA" w14:textId="77777777" w:rsidR="00724163" w:rsidRPr="00724163" w:rsidRDefault="00724163" w:rsidP="00724163">
      <w:pPr>
        <w:spacing w:line="360" w:lineRule="auto"/>
        <w:jc w:val="both"/>
        <w:rPr>
          <w:rtl/>
        </w:rPr>
      </w:pPr>
      <w:r w:rsidRPr="00724163">
        <w:rPr>
          <w:rFonts w:hint="cs"/>
          <w:rtl/>
        </w:rPr>
        <w:t xml:space="preserve">מדיניות הענישה הראויה בגין עבירות אלימות בנשק והיד הקלה על ההדק, מחייבות ענישה מחמירה למען ביעור הנגע החמור והמסוכן בו אנו נתקלים חדשות לבקרים. </w:t>
      </w:r>
    </w:p>
    <w:p w14:paraId="5CAB1E19" w14:textId="77777777" w:rsidR="00724163" w:rsidRPr="00724163" w:rsidRDefault="00724163" w:rsidP="00FB4DCE">
      <w:pPr>
        <w:jc w:val="both"/>
        <w:rPr>
          <w:rtl/>
        </w:rPr>
      </w:pPr>
    </w:p>
    <w:p w14:paraId="2BAE8298" w14:textId="77777777" w:rsidR="00724163" w:rsidRPr="00724163" w:rsidRDefault="00724163" w:rsidP="00FB4DCE">
      <w:pPr>
        <w:spacing w:line="360" w:lineRule="auto"/>
        <w:jc w:val="both"/>
        <w:rPr>
          <w:rFonts w:cs="Miriam"/>
          <w:rtl/>
        </w:rPr>
      </w:pPr>
      <w:r w:rsidRPr="00724163">
        <w:rPr>
          <w:rFonts w:hint="cs"/>
          <w:rtl/>
        </w:rPr>
        <w:t xml:space="preserve">בשורה ארוכה של פסקי דין חזרו וקראו בתי המשפט למיצוי הדין בדרך של הטלת עונשים מוחשיים ומרתיעים על מי שבוחר ליישב סכסוכים בדרך של שימוש בנשק חם (ראו למשל: </w:t>
      </w:r>
      <w:hyperlink r:id="rId23" w:history="1">
        <w:r w:rsidR="00D677B0" w:rsidRPr="00D677B0">
          <w:rPr>
            <w:color w:val="0000FF"/>
            <w:u w:val="single"/>
            <w:rtl/>
          </w:rPr>
          <w:t>ע"פ 2546/05</w:t>
        </w:r>
      </w:hyperlink>
      <w:r w:rsidRPr="00724163">
        <w:rPr>
          <w:rFonts w:hint="cs"/>
          <w:rtl/>
        </w:rPr>
        <w:t xml:space="preserve"> </w:t>
      </w:r>
      <w:r w:rsidRPr="00724163">
        <w:rPr>
          <w:rFonts w:hint="cs"/>
          <w:b/>
          <w:bCs/>
          <w:rtl/>
        </w:rPr>
        <w:t>מדינת ישראל נ' עבדאללה ג'בארין</w:t>
      </w:r>
      <w:r w:rsidRPr="00724163">
        <w:rPr>
          <w:rFonts w:hint="cs"/>
          <w:rtl/>
        </w:rPr>
        <w:t xml:space="preserve">, </w:t>
      </w:r>
      <w:r w:rsidR="00F47304" w:rsidRPr="00F47304">
        <w:rPr>
          <w:sz w:val="22"/>
          <w:rtl/>
        </w:rPr>
        <w:t xml:space="preserve">[פורסם בנבו] </w:t>
      </w:r>
      <w:r w:rsidRPr="00724163">
        <w:rPr>
          <w:rFonts w:hint="cs"/>
          <w:rtl/>
        </w:rPr>
        <w:t xml:space="preserve">(12.1.06), שם התקבל ערעורה של המדינה והעונש הוחמר ל- 4 שנות מאסר. וראו גם </w:t>
      </w:r>
      <w:hyperlink r:id="rId24" w:history="1">
        <w:r w:rsidR="00D677B0" w:rsidRPr="00D677B0">
          <w:rPr>
            <w:color w:val="0000FF"/>
            <w:u w:val="single"/>
            <w:rtl/>
          </w:rPr>
          <w:t>ע"פ 5759/04</w:t>
        </w:r>
      </w:hyperlink>
      <w:r w:rsidRPr="00724163">
        <w:rPr>
          <w:rFonts w:hint="cs"/>
          <w:rtl/>
        </w:rPr>
        <w:t xml:space="preserve"> </w:t>
      </w:r>
      <w:r w:rsidRPr="00724163">
        <w:rPr>
          <w:rFonts w:hint="cs"/>
          <w:b/>
          <w:bCs/>
          <w:u w:val="single"/>
          <w:rtl/>
        </w:rPr>
        <w:t>מדינת ישראל נ' רייכמן</w:t>
      </w:r>
      <w:r w:rsidRPr="00724163">
        <w:rPr>
          <w:rFonts w:hint="cs"/>
          <w:rtl/>
        </w:rPr>
        <w:t xml:space="preserve"> </w:t>
      </w:r>
      <w:r w:rsidR="00F47304" w:rsidRPr="00F47304">
        <w:rPr>
          <w:sz w:val="22"/>
          <w:rtl/>
        </w:rPr>
        <w:t xml:space="preserve">[פורסם בנבו] </w:t>
      </w:r>
      <w:r w:rsidRPr="00724163">
        <w:rPr>
          <w:rFonts w:hint="cs"/>
          <w:rtl/>
        </w:rPr>
        <w:t>(7.2.05)).</w:t>
      </w:r>
      <w:r w:rsidRPr="00724163">
        <w:rPr>
          <w:rFonts w:cs="Miriam" w:hint="cs"/>
          <w:rtl/>
        </w:rPr>
        <w:t xml:space="preserve"> </w:t>
      </w:r>
    </w:p>
    <w:p w14:paraId="60D4CF11" w14:textId="77777777" w:rsidR="00724163" w:rsidRPr="00724163" w:rsidRDefault="00724163" w:rsidP="00FB4DCE">
      <w:pPr>
        <w:pStyle w:val="ab"/>
        <w:spacing w:line="240" w:lineRule="auto"/>
        <w:jc w:val="both"/>
        <w:rPr>
          <w:rtl/>
        </w:rPr>
      </w:pPr>
    </w:p>
    <w:p w14:paraId="5F18B4D0" w14:textId="77777777" w:rsidR="00724163" w:rsidRPr="00724163" w:rsidRDefault="00724163" w:rsidP="00724163">
      <w:pPr>
        <w:spacing w:line="360" w:lineRule="auto"/>
        <w:jc w:val="both"/>
        <w:rPr>
          <w:rtl/>
        </w:rPr>
      </w:pPr>
      <w:r w:rsidRPr="00724163">
        <w:rPr>
          <w:rFonts w:hint="cs"/>
          <w:rtl/>
        </w:rPr>
        <w:t xml:space="preserve">סופו של דבר, גם באשר לאישום זה אנו סבורים כי בהתחשב בנסיבות המקרה, במדיניות הענישה הנהוגה ובערך החברתי שנפגע, טווח הענישה שנקבע על-ידי הצדדים בהסדר הטיעון תואם גם את מתחם העונש ההולם. </w:t>
      </w:r>
    </w:p>
    <w:p w14:paraId="51DD7025" w14:textId="77777777" w:rsidR="00724163" w:rsidRPr="00724163" w:rsidRDefault="00724163" w:rsidP="00FB4DCE">
      <w:pPr>
        <w:jc w:val="both"/>
        <w:rPr>
          <w:u w:val="single"/>
          <w:rtl/>
        </w:rPr>
      </w:pPr>
    </w:p>
    <w:p w14:paraId="37241A74" w14:textId="77777777" w:rsidR="00724163" w:rsidRPr="00724163" w:rsidRDefault="00724163" w:rsidP="00724163">
      <w:pPr>
        <w:spacing w:line="360" w:lineRule="auto"/>
        <w:jc w:val="both"/>
        <w:rPr>
          <w:rtl/>
        </w:rPr>
      </w:pPr>
      <w:r w:rsidRPr="00724163">
        <w:rPr>
          <w:rFonts w:hint="cs"/>
          <w:u w:val="single"/>
          <w:rtl/>
        </w:rPr>
        <w:t>העונש המתאים</w:t>
      </w:r>
    </w:p>
    <w:p w14:paraId="7F1793E7" w14:textId="77777777" w:rsidR="00724163" w:rsidRPr="00724163" w:rsidRDefault="00724163" w:rsidP="00724163">
      <w:pPr>
        <w:spacing w:line="360" w:lineRule="auto"/>
        <w:jc w:val="both"/>
        <w:rPr>
          <w:rtl/>
        </w:rPr>
      </w:pPr>
      <w:r w:rsidRPr="00724163">
        <w:rPr>
          <w:rFonts w:hint="cs"/>
          <w:rtl/>
        </w:rPr>
        <w:t xml:space="preserve">בבואנו לקבוע את "העונש המתאים" לנאשם בתוך המתחמים אותם קבענו, נתחשב בראש ובראשונה </w:t>
      </w:r>
      <w:r w:rsidRPr="00724163">
        <w:rPr>
          <w:rFonts w:ascii="Arial" w:hAnsi="Arial" w:hint="cs"/>
          <w:rtl/>
        </w:rPr>
        <w:t>בהודאתו</w:t>
      </w:r>
      <w:r w:rsidRPr="00724163">
        <w:rPr>
          <w:rFonts w:hint="cs"/>
          <w:rtl/>
        </w:rPr>
        <w:t xml:space="preserve"> של הנאשם בעובדות כתב האישום שתוקן במסגרת הסדר טיעון. </w:t>
      </w:r>
    </w:p>
    <w:p w14:paraId="4691F4DC" w14:textId="77777777" w:rsidR="00724163" w:rsidRPr="00724163" w:rsidRDefault="00724163" w:rsidP="00FB4DCE">
      <w:pPr>
        <w:jc w:val="both"/>
        <w:rPr>
          <w:rtl/>
        </w:rPr>
      </w:pPr>
    </w:p>
    <w:p w14:paraId="686B8425" w14:textId="77777777" w:rsidR="00A47542" w:rsidRDefault="00724163" w:rsidP="00A47542">
      <w:pPr>
        <w:spacing w:line="360" w:lineRule="auto"/>
        <w:ind w:left="26"/>
        <w:jc w:val="both"/>
        <w:rPr>
          <w:rtl/>
        </w:rPr>
      </w:pPr>
      <w:r w:rsidRPr="00724163">
        <w:rPr>
          <w:rFonts w:hint="cs"/>
          <w:rtl/>
        </w:rPr>
        <w:t>רק לאחרונה נפסק, כי הודאה שבצידה חיסכון בזמן שיפוטי מהווה שיקול משמעותי לקולא (</w:t>
      </w:r>
      <w:hyperlink r:id="rId25" w:history="1">
        <w:r w:rsidR="00D677B0" w:rsidRPr="00D677B0">
          <w:rPr>
            <w:color w:val="0000FF"/>
            <w:u w:val="single"/>
            <w:rtl/>
          </w:rPr>
          <w:t>ע"פ 4597/13</w:t>
        </w:r>
      </w:hyperlink>
      <w:r w:rsidRPr="00724163">
        <w:rPr>
          <w:rFonts w:hint="cs"/>
          <w:rtl/>
        </w:rPr>
        <w:t xml:space="preserve"> </w:t>
      </w:r>
      <w:r w:rsidRPr="00724163">
        <w:rPr>
          <w:rFonts w:hint="cs"/>
          <w:b/>
          <w:bCs/>
          <w:rtl/>
        </w:rPr>
        <w:t>אנטוניו פיצו נ' מדינת ישראל</w:t>
      </w:r>
      <w:r w:rsidRPr="00724163">
        <w:rPr>
          <w:rFonts w:hint="cs"/>
          <w:rtl/>
        </w:rPr>
        <w:t xml:space="preserve">  </w:t>
      </w:r>
      <w:r w:rsidR="00F47304" w:rsidRPr="00F47304">
        <w:rPr>
          <w:sz w:val="22"/>
          <w:rtl/>
        </w:rPr>
        <w:t xml:space="preserve">[פורסם בנבו] </w:t>
      </w:r>
      <w:r w:rsidRPr="00724163">
        <w:rPr>
          <w:rFonts w:hint="cs"/>
          <w:rtl/>
        </w:rPr>
        <w:t xml:space="preserve">(22.9.14); </w:t>
      </w:r>
      <w:hyperlink r:id="rId26" w:history="1">
        <w:r w:rsidR="00D677B0" w:rsidRPr="00D677B0">
          <w:rPr>
            <w:color w:val="0000FF"/>
            <w:u w:val="single"/>
            <w:rtl/>
          </w:rPr>
          <w:t>ע"פ 8288/11</w:t>
        </w:r>
      </w:hyperlink>
      <w:r w:rsidRPr="00724163">
        <w:rPr>
          <w:rFonts w:hint="cs"/>
          <w:rtl/>
        </w:rPr>
        <w:t xml:space="preserve"> </w:t>
      </w:r>
      <w:r w:rsidRPr="00724163">
        <w:rPr>
          <w:rFonts w:hint="cs"/>
          <w:b/>
          <w:bCs/>
          <w:rtl/>
        </w:rPr>
        <w:t>איינאו וודאג נ' מדינת ישראל</w:t>
      </w:r>
      <w:r w:rsidRPr="00724163">
        <w:rPr>
          <w:rFonts w:hint="cs"/>
          <w:rtl/>
        </w:rPr>
        <w:t xml:space="preserve"> </w:t>
      </w:r>
      <w:r w:rsidR="00F47304" w:rsidRPr="00F47304">
        <w:rPr>
          <w:sz w:val="22"/>
          <w:rtl/>
        </w:rPr>
        <w:t xml:space="preserve">[פורסם בנבו] </w:t>
      </w:r>
      <w:r w:rsidRPr="00724163">
        <w:rPr>
          <w:rFonts w:hint="cs"/>
          <w:rtl/>
        </w:rPr>
        <w:t xml:space="preserve">(27.11.12, פיסקה 8); </w:t>
      </w:r>
      <w:hyperlink r:id="rId27" w:history="1">
        <w:r w:rsidR="00D677B0" w:rsidRPr="00D677B0">
          <w:rPr>
            <w:color w:val="0000FF"/>
            <w:u w:val="single"/>
            <w:rtl/>
          </w:rPr>
          <w:t>ע"פ 122/14</w:t>
        </w:r>
      </w:hyperlink>
      <w:r w:rsidRPr="00724163">
        <w:rPr>
          <w:rFonts w:hint="cs"/>
          <w:rtl/>
        </w:rPr>
        <w:t xml:space="preserve"> </w:t>
      </w:r>
      <w:r w:rsidRPr="00724163">
        <w:rPr>
          <w:rFonts w:hint="cs"/>
          <w:b/>
          <w:bCs/>
          <w:rtl/>
        </w:rPr>
        <w:t>דניס שוורצפל ואלכסיי קובלסקי נ' מדינת ישראל</w:t>
      </w:r>
      <w:r w:rsidRPr="00724163">
        <w:rPr>
          <w:rFonts w:hint="cs"/>
          <w:rtl/>
        </w:rPr>
        <w:t xml:space="preserve"> </w:t>
      </w:r>
      <w:r w:rsidR="00F47304" w:rsidRPr="00F47304">
        <w:rPr>
          <w:sz w:val="22"/>
          <w:rtl/>
        </w:rPr>
        <w:t xml:space="preserve">[פורסם בנבו] </w:t>
      </w:r>
      <w:r w:rsidRPr="00724163">
        <w:rPr>
          <w:rFonts w:hint="cs"/>
          <w:rtl/>
        </w:rPr>
        <w:t xml:space="preserve">(7.7.14, פיסקה 19). </w:t>
      </w:r>
    </w:p>
    <w:p w14:paraId="7FB972AD" w14:textId="77777777" w:rsidR="00724163" w:rsidRPr="00724163" w:rsidRDefault="00724163" w:rsidP="00A47542">
      <w:pPr>
        <w:spacing w:line="360" w:lineRule="auto"/>
        <w:ind w:left="26"/>
        <w:jc w:val="both"/>
        <w:rPr>
          <w:rtl/>
        </w:rPr>
      </w:pPr>
      <w:r w:rsidRPr="00724163">
        <w:rPr>
          <w:rFonts w:hint="cs"/>
          <w:rtl/>
        </w:rPr>
        <w:t xml:space="preserve">אולם, ככל שההודאה מוקדמת יותר, כך גדל החיסכון בזמן שיפוטי – כמו גם חיסכון בזמנם של העדים והתביעה – ומכאן שגם מידת ההתחשבות בהודאה כנסיבה לקולא מושפעת בהתאם (עם זאת נציין, כי קיימת גם דעה לפיה אין מקום להתחשב בשיקול של </w:t>
      </w:r>
      <w:r w:rsidRPr="00FB4DCE">
        <w:rPr>
          <w:rFonts w:cs="Miriam" w:hint="cs"/>
          <w:rtl/>
        </w:rPr>
        <w:t>"חיסכון בזמן שיפוטי"</w:t>
      </w:r>
      <w:r w:rsidRPr="00724163">
        <w:rPr>
          <w:rFonts w:hint="cs"/>
          <w:rtl/>
        </w:rPr>
        <w:t xml:space="preserve"> כשיקול לקולא, במאמרם של יריב ואקי ויורם </w:t>
      </w:r>
      <w:hyperlink r:id="rId28" w:history="1">
        <w:r w:rsidR="00D677B0" w:rsidRPr="00D677B0">
          <w:rPr>
            <w:rFonts w:cs="Miriam"/>
            <w:b/>
            <w:bCs/>
            <w:color w:val="0000FF"/>
            <w:u w:val="single"/>
            <w:rtl/>
          </w:rPr>
          <w:t xml:space="preserve">רבין "הבניית שיקול הדעת השיפוטי </w:t>
        </w:r>
      </w:hyperlink>
      <w:r w:rsidRPr="00A47542">
        <w:rPr>
          <w:rFonts w:cs="Miriam" w:hint="cs"/>
          <w:b/>
          <w:bCs/>
          <w:u w:val="single"/>
          <w:rtl/>
        </w:rPr>
        <w:t xml:space="preserve"> בענישה; תמונת מצב והרהורים על העתיד לבוא"</w:t>
      </w:r>
      <w:r w:rsidRPr="00724163">
        <w:rPr>
          <w:rFonts w:hint="cs"/>
          <w:u w:val="single"/>
          <w:rtl/>
        </w:rPr>
        <w:t>,</w:t>
      </w:r>
      <w:r w:rsidRPr="00724163">
        <w:rPr>
          <w:rFonts w:hint="cs"/>
          <w:rtl/>
        </w:rPr>
        <w:t xml:space="preserve"> </w:t>
      </w:r>
      <w:r w:rsidRPr="00724163">
        <w:rPr>
          <w:rFonts w:hint="cs"/>
          <w:b/>
          <w:bCs/>
          <w:rtl/>
        </w:rPr>
        <w:t>הפרקליט</w:t>
      </w:r>
      <w:r w:rsidRPr="00724163">
        <w:rPr>
          <w:rFonts w:hint="cs"/>
          <w:rtl/>
        </w:rPr>
        <w:t xml:space="preserve"> נב תשע"ג, עמ' 413, בעמ' 454; מאמרו של שופט בית המשפט העליון דב </w:t>
      </w:r>
      <w:hyperlink r:id="rId29" w:history="1">
        <w:r w:rsidR="00D677B0" w:rsidRPr="00D677B0">
          <w:rPr>
            <w:color w:val="0000FF"/>
            <w:u w:val="single"/>
            <w:rtl/>
          </w:rPr>
          <w:t>לוין (ז"ל) "גוזרים את הדין"</w:t>
        </w:r>
      </w:hyperlink>
      <w:r w:rsidRPr="00724163">
        <w:rPr>
          <w:rFonts w:hint="cs"/>
          <w:rtl/>
        </w:rPr>
        <w:t xml:space="preserve">, </w:t>
      </w:r>
      <w:r w:rsidRPr="00724163">
        <w:rPr>
          <w:rFonts w:hint="cs"/>
          <w:b/>
          <w:bCs/>
          <w:rtl/>
        </w:rPr>
        <w:t>המשפט א</w:t>
      </w:r>
      <w:r w:rsidRPr="00724163">
        <w:rPr>
          <w:rFonts w:hint="cs"/>
          <w:rtl/>
        </w:rPr>
        <w:t xml:space="preserve">, 185 (1993), בעמ' 199)).    </w:t>
      </w:r>
    </w:p>
    <w:p w14:paraId="087164FE" w14:textId="77777777" w:rsidR="00724163" w:rsidRPr="00724163" w:rsidRDefault="00724163" w:rsidP="00724163">
      <w:pPr>
        <w:spacing w:line="360" w:lineRule="auto"/>
        <w:jc w:val="both"/>
        <w:rPr>
          <w:rtl/>
        </w:rPr>
      </w:pPr>
    </w:p>
    <w:p w14:paraId="013C076B" w14:textId="77777777" w:rsidR="00724163" w:rsidRPr="00724163" w:rsidRDefault="00724163" w:rsidP="00A47542">
      <w:pPr>
        <w:tabs>
          <w:tab w:val="left" w:pos="2432"/>
        </w:tabs>
        <w:spacing w:line="360" w:lineRule="auto"/>
        <w:jc w:val="both"/>
        <w:rPr>
          <w:rtl/>
        </w:rPr>
      </w:pPr>
      <w:r w:rsidRPr="00724163">
        <w:rPr>
          <w:rFonts w:hint="cs"/>
          <w:rtl/>
        </w:rPr>
        <w:t>אף אם הודאת</w:t>
      </w:r>
      <w:r w:rsidR="00A47542">
        <w:rPr>
          <w:rFonts w:hint="cs"/>
          <w:rtl/>
        </w:rPr>
        <w:t xml:space="preserve"> </w:t>
      </w:r>
      <w:r w:rsidRPr="00724163">
        <w:rPr>
          <w:rFonts w:hint="cs"/>
          <w:rtl/>
        </w:rPr>
        <w:t>הנאשם היא במידה רבה פורמאלית ובאה רק בסופו של המשפט מטעמים טקטיים (לא נעלם מעינינו כי גם ב"דברו האחרון" טען הנאשם "</w:t>
      </w:r>
      <w:r w:rsidRPr="00724163">
        <w:rPr>
          <w:rFonts w:cs="Miriam" w:hint="cs"/>
          <w:rtl/>
        </w:rPr>
        <w:t>אין לי מה להגיד</w:t>
      </w:r>
      <w:r w:rsidRPr="00724163">
        <w:rPr>
          <w:rFonts w:hint="cs"/>
          <w:rtl/>
        </w:rPr>
        <w:t xml:space="preserve">", דהיינו לא הביע כל חרטה), יש לקוות כי היא מהווה לפחות תחילת הפנמת חומרת העבירות. </w:t>
      </w:r>
    </w:p>
    <w:p w14:paraId="76F54E9D" w14:textId="77777777" w:rsidR="00724163" w:rsidRPr="00724163" w:rsidRDefault="00724163" w:rsidP="00724163">
      <w:pPr>
        <w:spacing w:line="360" w:lineRule="auto"/>
        <w:jc w:val="both"/>
        <w:rPr>
          <w:rtl/>
        </w:rPr>
      </w:pPr>
    </w:p>
    <w:p w14:paraId="3BD5C676" w14:textId="77777777" w:rsidR="00724163" w:rsidRPr="00724163" w:rsidRDefault="00724163" w:rsidP="00A47542">
      <w:pPr>
        <w:spacing w:line="360" w:lineRule="auto"/>
        <w:jc w:val="both"/>
        <w:rPr>
          <w:rFonts w:ascii="Arial" w:hAnsi="Arial"/>
          <w:rtl/>
        </w:rPr>
      </w:pPr>
      <w:r w:rsidRPr="00724163">
        <w:rPr>
          <w:rFonts w:hint="cs"/>
          <w:rtl/>
        </w:rPr>
        <w:t>כן נתחשב בנסיבותיו האישיות של הנאשם</w:t>
      </w:r>
      <w:r w:rsidR="00A47542">
        <w:rPr>
          <w:rFonts w:hint="cs"/>
          <w:rtl/>
        </w:rPr>
        <w:t>,</w:t>
      </w:r>
      <w:r w:rsidRPr="00724163">
        <w:rPr>
          <w:rFonts w:hint="cs"/>
          <w:rtl/>
        </w:rPr>
        <w:t xml:space="preserve"> באישיותו החיובית ובתפקודו החיובי בעבודה ובחייו האישיים, כפי שבאו לידי ביטוי במכתבי עדי האופי מטעמו, ובעיקר בגילו הצעיר,  שמעמידו בקבוצת "הבגירים הצעירים". [ראו בענין זה </w:t>
      </w:r>
      <w:hyperlink r:id="rId30" w:history="1">
        <w:r w:rsidR="00D677B0" w:rsidRPr="00D677B0">
          <w:rPr>
            <w:color w:val="0000FF"/>
            <w:u w:val="single"/>
            <w:rtl/>
          </w:rPr>
          <w:t>ע"פ 7781/12</w:t>
        </w:r>
      </w:hyperlink>
      <w:r w:rsidRPr="00724163">
        <w:rPr>
          <w:rFonts w:hint="cs"/>
          <w:rtl/>
        </w:rPr>
        <w:t xml:space="preserve"> </w:t>
      </w:r>
      <w:r w:rsidRPr="00724163">
        <w:rPr>
          <w:rFonts w:hint="cs"/>
          <w:b/>
          <w:bCs/>
          <w:rtl/>
        </w:rPr>
        <w:t>פלוני נ' מדינת ישראל</w:t>
      </w:r>
      <w:r w:rsidRPr="00724163">
        <w:rPr>
          <w:rFonts w:hint="cs"/>
          <w:rtl/>
        </w:rPr>
        <w:t xml:space="preserve"> </w:t>
      </w:r>
      <w:r w:rsidR="007F5C4E" w:rsidRPr="007F5C4E">
        <w:rPr>
          <w:sz w:val="22"/>
          <w:rtl/>
        </w:rPr>
        <w:t xml:space="preserve">[פורסם בנבו] </w:t>
      </w:r>
      <w:r w:rsidRPr="00724163">
        <w:rPr>
          <w:rFonts w:hint="cs"/>
          <w:rtl/>
        </w:rPr>
        <w:t xml:space="preserve">(25.6.13); כן ראו בעניין זה לאחרונה, </w:t>
      </w:r>
      <w:hyperlink r:id="rId31" w:history="1">
        <w:r w:rsidR="00D677B0" w:rsidRPr="00D677B0">
          <w:rPr>
            <w:color w:val="0000FF"/>
            <w:u w:val="single"/>
            <w:rtl/>
          </w:rPr>
          <w:t>ע"פ 4641/12</w:t>
        </w:r>
      </w:hyperlink>
      <w:r w:rsidRPr="00724163">
        <w:rPr>
          <w:rFonts w:hint="cs"/>
          <w:rtl/>
        </w:rPr>
        <w:t xml:space="preserve"> </w:t>
      </w:r>
      <w:r w:rsidRPr="00724163">
        <w:rPr>
          <w:rFonts w:hint="cs"/>
          <w:b/>
          <w:bCs/>
          <w:rtl/>
        </w:rPr>
        <w:t>פלוני נ' מדינת ישראל</w:t>
      </w:r>
      <w:r w:rsidRPr="00724163">
        <w:rPr>
          <w:rFonts w:hint="cs"/>
          <w:rtl/>
        </w:rPr>
        <w:t xml:space="preserve"> </w:t>
      </w:r>
      <w:r w:rsidR="007F5C4E" w:rsidRPr="007F5C4E">
        <w:rPr>
          <w:sz w:val="22"/>
          <w:rtl/>
        </w:rPr>
        <w:t xml:space="preserve">[פורסם בנבו] </w:t>
      </w:r>
      <w:r w:rsidRPr="00724163">
        <w:rPr>
          <w:rFonts w:hint="cs"/>
          <w:rtl/>
        </w:rPr>
        <w:t>(20.11.13); ו</w:t>
      </w:r>
      <w:hyperlink r:id="rId32" w:history="1">
        <w:r w:rsidR="00D677B0" w:rsidRPr="00D677B0">
          <w:rPr>
            <w:color w:val="0000FF"/>
            <w:u w:val="single"/>
            <w:rtl/>
          </w:rPr>
          <w:t>ע"פ 5521/12</w:t>
        </w:r>
      </w:hyperlink>
      <w:r w:rsidRPr="00724163">
        <w:rPr>
          <w:rFonts w:hint="cs"/>
          <w:rtl/>
        </w:rPr>
        <w:t xml:space="preserve"> </w:t>
      </w:r>
      <w:r w:rsidRPr="00724163">
        <w:rPr>
          <w:rFonts w:hint="cs"/>
          <w:b/>
          <w:bCs/>
          <w:rtl/>
        </w:rPr>
        <w:t>פלוני נ' מדינת ישראל</w:t>
      </w:r>
      <w:r w:rsidRPr="00724163">
        <w:rPr>
          <w:rFonts w:hint="cs"/>
          <w:rtl/>
        </w:rPr>
        <w:t xml:space="preserve">  </w:t>
      </w:r>
      <w:r w:rsidR="007F5C4E" w:rsidRPr="007F5C4E">
        <w:rPr>
          <w:sz w:val="22"/>
          <w:rtl/>
        </w:rPr>
        <w:t xml:space="preserve">[פורסם בנבו] </w:t>
      </w:r>
      <w:r w:rsidRPr="00724163">
        <w:rPr>
          <w:rFonts w:hint="cs"/>
          <w:rtl/>
        </w:rPr>
        <w:t xml:space="preserve">(22.1.14) (להלן: </w:t>
      </w:r>
      <w:r w:rsidRPr="00724163">
        <w:rPr>
          <w:rFonts w:hint="cs"/>
          <w:b/>
          <w:bCs/>
          <w:rtl/>
        </w:rPr>
        <w:t>"עניין פלוני"</w:t>
      </w:r>
      <w:r w:rsidRPr="00724163">
        <w:rPr>
          <w:rFonts w:hint="cs"/>
          <w:rtl/>
        </w:rPr>
        <w:t>;</w:t>
      </w:r>
      <w:r w:rsidRPr="00724163">
        <w:rPr>
          <w:rFonts w:ascii="Arial" w:hAnsi="Arial" w:hint="cs"/>
          <w:rtl/>
        </w:rPr>
        <w:t xml:space="preserve"> עם זאת, קיימת גם דעה אחרת של מספר שופטי בית המשפט העליון, לפיה אין ליצור קבוצה מיוחדת של "בגירים צעירים" ודי באפשרות להתחשבות בגיל הנאשם, גם לצורך קביעת מתחם העונש ההולם לפי </w:t>
      </w:r>
      <w:r w:rsidRPr="00D677B0">
        <w:rPr>
          <w:rFonts w:ascii="Arial" w:hAnsi="Arial" w:hint="cs"/>
          <w:color w:val="000000"/>
          <w:rtl/>
        </w:rPr>
        <w:t>סעיף 40ט.(6)</w:t>
      </w:r>
      <w:r w:rsidRPr="00724163">
        <w:rPr>
          <w:rFonts w:ascii="Arial" w:hAnsi="Arial" w:hint="cs"/>
          <w:rtl/>
        </w:rPr>
        <w:t xml:space="preserve"> ל</w:t>
      </w:r>
      <w:r w:rsidRPr="00D677B0">
        <w:rPr>
          <w:rFonts w:ascii="Arial" w:hAnsi="Arial" w:hint="cs"/>
          <w:color w:val="000000"/>
          <w:rtl/>
        </w:rPr>
        <w:t>חוק העונשין</w:t>
      </w:r>
      <w:r w:rsidR="00A47542">
        <w:rPr>
          <w:rStyle w:val="Hyperlink"/>
          <w:rFonts w:ascii="Arial" w:hAnsi="Arial" w:hint="cs"/>
          <w:rtl/>
        </w:rPr>
        <w:t>,</w:t>
      </w:r>
      <w:r w:rsidRPr="00724163">
        <w:rPr>
          <w:rFonts w:ascii="Arial" w:hAnsi="Arial" w:hint="cs"/>
          <w:rtl/>
        </w:rPr>
        <w:t xml:space="preserve"> וגם לצורך קביעת העונש המתאים בתוך המתחם, לפי </w:t>
      </w:r>
      <w:r w:rsidRPr="00D677B0">
        <w:rPr>
          <w:rFonts w:ascii="Arial" w:hAnsi="Arial" w:hint="cs"/>
          <w:color w:val="000000"/>
          <w:rtl/>
        </w:rPr>
        <w:t>סעיף 40י"א.(1)</w:t>
      </w:r>
      <w:r w:rsidRPr="00724163">
        <w:rPr>
          <w:rFonts w:ascii="Arial" w:hAnsi="Arial" w:hint="cs"/>
          <w:rtl/>
        </w:rPr>
        <w:t xml:space="preserve"> ל</w:t>
      </w:r>
      <w:r w:rsidRPr="00D677B0">
        <w:rPr>
          <w:rFonts w:ascii="Arial" w:hAnsi="Arial" w:hint="cs"/>
          <w:color w:val="000000"/>
          <w:rtl/>
        </w:rPr>
        <w:t>חוק העונשין</w:t>
      </w:r>
      <w:r w:rsidRPr="00724163">
        <w:rPr>
          <w:rFonts w:ascii="Arial" w:hAnsi="Arial" w:hint="cs"/>
          <w:rtl/>
        </w:rPr>
        <w:t xml:space="preserve">; </w:t>
      </w:r>
      <w:hyperlink r:id="rId33" w:history="1">
        <w:r w:rsidR="00D677B0" w:rsidRPr="00D677B0">
          <w:rPr>
            <w:rFonts w:ascii="Arial" w:hAnsi="Arial"/>
            <w:color w:val="0000FF"/>
            <w:u w:val="single"/>
            <w:rtl/>
          </w:rPr>
          <w:t>ע"פ 452/14</w:t>
        </w:r>
      </w:hyperlink>
      <w:r w:rsidRPr="00724163">
        <w:rPr>
          <w:rFonts w:ascii="Arial" w:hAnsi="Arial" w:hint="cs"/>
          <w:rtl/>
        </w:rPr>
        <w:t xml:space="preserve"> </w:t>
      </w:r>
      <w:r w:rsidRPr="00724163">
        <w:rPr>
          <w:rFonts w:ascii="Arial" w:hAnsi="Arial" w:hint="cs"/>
          <w:b/>
          <w:bCs/>
          <w:rtl/>
        </w:rPr>
        <w:t>דבוש נ' מדינת ישראל</w:t>
      </w:r>
      <w:r w:rsidRPr="00724163">
        <w:rPr>
          <w:rFonts w:ascii="Arial" w:hAnsi="Arial" w:hint="cs"/>
          <w:rtl/>
        </w:rPr>
        <w:t xml:space="preserve">, </w:t>
      </w:r>
      <w:r w:rsidR="007F5C4E" w:rsidRPr="007F5C4E">
        <w:rPr>
          <w:sz w:val="22"/>
          <w:rtl/>
        </w:rPr>
        <w:t xml:space="preserve">[פורסם בנבו] </w:t>
      </w:r>
      <w:r w:rsidRPr="00724163">
        <w:rPr>
          <w:rFonts w:hint="cs"/>
          <w:rtl/>
        </w:rPr>
        <w:t>(</w:t>
      </w:r>
      <w:r w:rsidRPr="00724163">
        <w:rPr>
          <w:rFonts w:ascii="Arial" w:hAnsi="Arial" w:hint="cs"/>
          <w:rtl/>
        </w:rPr>
        <w:t>3.4.14)].</w:t>
      </w:r>
    </w:p>
    <w:p w14:paraId="132B71C4" w14:textId="77777777" w:rsidR="00724163" w:rsidRPr="00724163" w:rsidRDefault="00724163" w:rsidP="00724163">
      <w:pPr>
        <w:spacing w:line="360" w:lineRule="auto"/>
        <w:jc w:val="both"/>
        <w:rPr>
          <w:rFonts w:cs="Times New Roman"/>
          <w:rtl/>
        </w:rPr>
      </w:pPr>
    </w:p>
    <w:p w14:paraId="04B817F7" w14:textId="77777777" w:rsidR="00724163" w:rsidRDefault="00724163" w:rsidP="00724163">
      <w:pPr>
        <w:spacing w:line="360" w:lineRule="auto"/>
        <w:jc w:val="both"/>
        <w:rPr>
          <w:rtl/>
        </w:rPr>
      </w:pPr>
      <w:r w:rsidRPr="00724163">
        <w:rPr>
          <w:rFonts w:hint="cs"/>
          <w:rtl/>
        </w:rPr>
        <w:t xml:space="preserve">עוד נתחשב, בפגיעה שתיגרם לנאשם, אך בעיקר למשפחתו, כתוצאה ממאסרו מאחורי סורג ובריח לתקופה ארוכה. ניתן היה ללמוד מראיות ההגנה לעונש כי משפחתו של הנאשם הינה משפחה נורמטיבית, אשר שילמה גם היא מחיר כבד, רגשי וכלכלי, כתוצאה מהסתבכותו של הנאשם ו"התשלום" הכבד עוד מצפה לה עם הרחקתו של הנאשם מהם – בשל מאסרו הממושך - לשנים רבות. </w:t>
      </w:r>
    </w:p>
    <w:p w14:paraId="257C1535" w14:textId="77777777" w:rsidR="00FB4DCE" w:rsidRPr="00724163" w:rsidRDefault="00FB4DCE" w:rsidP="00724163">
      <w:pPr>
        <w:spacing w:line="360" w:lineRule="auto"/>
        <w:jc w:val="both"/>
        <w:rPr>
          <w:rtl/>
        </w:rPr>
      </w:pPr>
    </w:p>
    <w:p w14:paraId="244647C1" w14:textId="77777777" w:rsidR="00724163" w:rsidRPr="00724163" w:rsidRDefault="00724163" w:rsidP="00724163">
      <w:pPr>
        <w:spacing w:line="360" w:lineRule="auto"/>
        <w:jc w:val="both"/>
        <w:rPr>
          <w:rtl/>
        </w:rPr>
      </w:pPr>
      <w:r w:rsidRPr="00724163">
        <w:rPr>
          <w:rFonts w:hint="cs"/>
          <w:rtl/>
        </w:rPr>
        <w:t xml:space="preserve">בהקשר זה נתחשב לקולא בכך כי זהו מאסרו הראשון של הנאשם, ובדרך כלל, בתי המשפט נוהגים להתחשב בכך מתוך תקווה כי גם תקופת מאסר – ראשונה – מאוזנת תתרום להרתעת הנאשם. </w:t>
      </w:r>
    </w:p>
    <w:p w14:paraId="373B851D" w14:textId="77777777" w:rsidR="00724163" w:rsidRPr="00724163" w:rsidRDefault="00724163" w:rsidP="00724163">
      <w:pPr>
        <w:spacing w:line="360" w:lineRule="auto"/>
        <w:jc w:val="both"/>
        <w:rPr>
          <w:rtl/>
        </w:rPr>
      </w:pPr>
    </w:p>
    <w:p w14:paraId="016E86C0" w14:textId="77777777" w:rsidR="00724163" w:rsidRPr="00724163" w:rsidRDefault="00724163" w:rsidP="00FB4DCE">
      <w:pPr>
        <w:spacing w:line="360" w:lineRule="auto"/>
        <w:jc w:val="both"/>
        <w:rPr>
          <w:rtl/>
        </w:rPr>
      </w:pPr>
      <w:r w:rsidRPr="00724163">
        <w:rPr>
          <w:rFonts w:hint="cs"/>
          <w:rtl/>
        </w:rPr>
        <w:t xml:space="preserve">נתחשב בעובדה שלנאשם היתה תרומה משמעותית לחשיפת המעורבים הנוספים בפרשה;  אנו סבורים כי ראוי ככלל לעודד נאשמים לשתף פעולה עם רשויות אכיפת החוק, וזאת ניתן – לעתים - לעשות באמצעות הקלה - מסויימת - בענישה. </w:t>
      </w:r>
    </w:p>
    <w:p w14:paraId="083425BB" w14:textId="77777777" w:rsidR="00724163" w:rsidRPr="00724163" w:rsidRDefault="00724163" w:rsidP="00724163">
      <w:pPr>
        <w:spacing w:line="360" w:lineRule="auto"/>
        <w:jc w:val="both"/>
        <w:rPr>
          <w:rtl/>
        </w:rPr>
      </w:pPr>
    </w:p>
    <w:p w14:paraId="53983054" w14:textId="77777777" w:rsidR="00724163" w:rsidRPr="00724163" w:rsidRDefault="00724163" w:rsidP="00724163">
      <w:pPr>
        <w:spacing w:line="360" w:lineRule="auto"/>
        <w:jc w:val="both"/>
        <w:rPr>
          <w:rtl/>
        </w:rPr>
      </w:pPr>
      <w:r w:rsidRPr="00724163">
        <w:rPr>
          <w:rFonts w:hint="cs"/>
          <w:rtl/>
        </w:rPr>
        <w:t xml:space="preserve">עוד נתחשב בכך כי לנאשם אין הרשעות הקודמות לאירועים מושא כתב האישום. אמנם הוא הורשע בגין החזקת סכין במהלך מעצרו בגין תיק זה, אך עדיין לא ניתן לומר שעברו מכביד. </w:t>
      </w:r>
    </w:p>
    <w:p w14:paraId="1082F11B" w14:textId="77777777" w:rsidR="00724163" w:rsidRPr="00724163" w:rsidRDefault="00724163" w:rsidP="00724163">
      <w:pPr>
        <w:spacing w:line="360" w:lineRule="auto"/>
        <w:jc w:val="both"/>
        <w:rPr>
          <w:rtl/>
        </w:rPr>
      </w:pPr>
    </w:p>
    <w:p w14:paraId="0A6847DE" w14:textId="77777777" w:rsidR="00724163" w:rsidRPr="00724163" w:rsidRDefault="00724163" w:rsidP="00724163">
      <w:pPr>
        <w:pStyle w:val="Ruller40"/>
        <w:tabs>
          <w:tab w:val="left" w:pos="4053"/>
        </w:tabs>
        <w:rPr>
          <w:rFonts w:cs="David"/>
          <w:spacing w:val="0"/>
          <w:sz w:val="24"/>
          <w:szCs w:val="24"/>
          <w:rtl/>
        </w:rPr>
      </w:pPr>
      <w:r w:rsidRPr="00724163">
        <w:rPr>
          <w:rFonts w:cs="David" w:hint="cs"/>
          <w:spacing w:val="0"/>
          <w:sz w:val="24"/>
          <w:szCs w:val="24"/>
          <w:rtl/>
        </w:rPr>
        <w:t>באשר להסדר הטיעון שנערך עם המעורבים האחרים בתיק המקביל וטרם נגזר דינם, אין לנו אלא את שעינינו רואות, וככלל, לא מדובר בהבדלים קיצוניים בין ההסדר</w:t>
      </w:r>
      <w:r w:rsidR="009A7BA1">
        <w:rPr>
          <w:rFonts w:cs="David" w:hint="cs"/>
          <w:spacing w:val="0"/>
          <w:sz w:val="24"/>
          <w:szCs w:val="24"/>
          <w:rtl/>
        </w:rPr>
        <w:t>ים</w:t>
      </w:r>
      <w:r w:rsidRPr="00724163">
        <w:rPr>
          <w:rFonts w:cs="David" w:hint="cs"/>
          <w:spacing w:val="0"/>
          <w:sz w:val="24"/>
          <w:szCs w:val="24"/>
          <w:rtl/>
        </w:rPr>
        <w:t xml:space="preserve">. יתרה מכך, אין הסדר בעניינם של מעורבים אחרים מחייב – אוטומטית – גם בעניינו של הנאשם, שכן, כידוע, כל הסדר נערך על פי הראיות והשיקולים הספציפיים של המקרה והנאשם. </w:t>
      </w:r>
    </w:p>
    <w:p w14:paraId="5D99C5D2" w14:textId="77777777" w:rsidR="00724163" w:rsidRPr="00724163" w:rsidRDefault="00724163" w:rsidP="00724163">
      <w:pPr>
        <w:pStyle w:val="Ruller40"/>
        <w:tabs>
          <w:tab w:val="left" w:pos="4053"/>
        </w:tabs>
        <w:rPr>
          <w:spacing w:val="0"/>
          <w:sz w:val="24"/>
          <w:szCs w:val="24"/>
          <w:rtl/>
        </w:rPr>
      </w:pPr>
    </w:p>
    <w:p w14:paraId="6F46EFA3" w14:textId="77777777" w:rsidR="00724163" w:rsidRPr="00724163" w:rsidRDefault="00724163" w:rsidP="00724163">
      <w:pPr>
        <w:pStyle w:val="Ruller40"/>
        <w:tabs>
          <w:tab w:val="left" w:pos="4053"/>
        </w:tabs>
        <w:rPr>
          <w:rFonts w:cs="Miriam"/>
          <w:spacing w:val="0"/>
          <w:sz w:val="24"/>
          <w:szCs w:val="24"/>
          <w:rtl/>
        </w:rPr>
      </w:pPr>
      <w:r w:rsidRPr="00724163">
        <w:rPr>
          <w:rFonts w:cs="David" w:hint="cs"/>
          <w:spacing w:val="0"/>
          <w:sz w:val="24"/>
          <w:szCs w:val="24"/>
          <w:rtl/>
        </w:rPr>
        <w:t>ב</w:t>
      </w:r>
      <w:hyperlink r:id="rId34" w:history="1">
        <w:r w:rsidR="00D677B0" w:rsidRPr="00D677B0">
          <w:rPr>
            <w:rFonts w:cs="David"/>
            <w:color w:val="0000FF"/>
            <w:spacing w:val="0"/>
            <w:sz w:val="24"/>
            <w:szCs w:val="24"/>
            <w:u w:val="single"/>
            <w:rtl/>
          </w:rPr>
          <w:t>ע"פ 5195/11</w:t>
        </w:r>
      </w:hyperlink>
      <w:r w:rsidRPr="00724163">
        <w:rPr>
          <w:rFonts w:cs="David" w:hint="cs"/>
          <w:spacing w:val="0"/>
          <w:sz w:val="24"/>
          <w:szCs w:val="24"/>
          <w:rtl/>
        </w:rPr>
        <w:t xml:space="preserve"> </w:t>
      </w:r>
      <w:r w:rsidRPr="00724163">
        <w:rPr>
          <w:rFonts w:cs="David" w:hint="cs"/>
          <w:b/>
          <w:bCs/>
          <w:spacing w:val="0"/>
          <w:sz w:val="24"/>
          <w:szCs w:val="24"/>
          <w:rtl/>
        </w:rPr>
        <w:t>גיאורגי קריניאן נ' מדינת ישראל</w:t>
      </w:r>
      <w:r w:rsidRPr="00724163">
        <w:rPr>
          <w:rFonts w:cs="David" w:hint="cs"/>
          <w:spacing w:val="0"/>
          <w:sz w:val="24"/>
          <w:szCs w:val="24"/>
          <w:rtl/>
        </w:rPr>
        <w:t xml:space="preserve"> </w:t>
      </w:r>
      <w:r w:rsidR="007F5C4E" w:rsidRPr="007F5C4E">
        <w:rPr>
          <w:rFonts w:ascii="Times New Roman" w:hAnsi="Times New Roman" w:cs="David"/>
          <w:spacing w:val="0"/>
          <w:szCs w:val="24"/>
          <w:rtl/>
        </w:rPr>
        <w:t xml:space="preserve">[פורסם בנבו] </w:t>
      </w:r>
      <w:r w:rsidRPr="00724163">
        <w:rPr>
          <w:rFonts w:cs="David" w:hint="cs"/>
          <w:spacing w:val="0"/>
          <w:sz w:val="24"/>
          <w:szCs w:val="24"/>
          <w:rtl/>
        </w:rPr>
        <w:t xml:space="preserve">(28.3.12), חזר בית המשפט על ההלכה כי אחידות הענישה אין משמעה שוויון מכאני או אוטומאטי בין נאשמים, וזאת גם אם מדובר באותה פרשה. (ראו גם </w:t>
      </w:r>
      <w:hyperlink r:id="rId35" w:history="1">
        <w:r w:rsidR="00D677B0" w:rsidRPr="00D677B0">
          <w:rPr>
            <w:rFonts w:cs="David"/>
            <w:color w:val="0000FF"/>
            <w:spacing w:val="0"/>
            <w:sz w:val="24"/>
            <w:szCs w:val="24"/>
            <w:u w:val="single"/>
            <w:rtl/>
          </w:rPr>
          <w:t>ע"פ 6224/11</w:t>
        </w:r>
      </w:hyperlink>
      <w:r w:rsidRPr="00724163">
        <w:rPr>
          <w:rFonts w:cs="David" w:hint="cs"/>
          <w:spacing w:val="0"/>
          <w:sz w:val="24"/>
          <w:szCs w:val="24"/>
          <w:rtl/>
        </w:rPr>
        <w:t xml:space="preserve"> </w:t>
      </w:r>
      <w:r w:rsidRPr="00724163">
        <w:rPr>
          <w:rFonts w:cs="David" w:hint="cs"/>
          <w:b/>
          <w:bCs/>
          <w:spacing w:val="0"/>
          <w:sz w:val="24"/>
          <w:szCs w:val="24"/>
          <w:rtl/>
        </w:rPr>
        <w:t>אבו רומי נ' מ"י,</w:t>
      </w:r>
      <w:r w:rsidRPr="00724163">
        <w:rPr>
          <w:rFonts w:cs="David" w:hint="cs"/>
          <w:spacing w:val="0"/>
          <w:sz w:val="24"/>
          <w:szCs w:val="24"/>
          <w:rtl/>
        </w:rPr>
        <w:t xml:space="preserve"> </w:t>
      </w:r>
      <w:r w:rsidR="007F5C4E" w:rsidRPr="007F5C4E">
        <w:rPr>
          <w:rFonts w:ascii="Times New Roman" w:hAnsi="Times New Roman" w:cs="David"/>
          <w:spacing w:val="0"/>
          <w:szCs w:val="24"/>
          <w:rtl/>
        </w:rPr>
        <w:t xml:space="preserve">[פורסם בנבו] </w:t>
      </w:r>
      <w:r w:rsidRPr="00724163">
        <w:rPr>
          <w:rFonts w:cs="David" w:hint="cs"/>
          <w:spacing w:val="0"/>
          <w:sz w:val="24"/>
          <w:szCs w:val="24"/>
          <w:rtl/>
        </w:rPr>
        <w:t>(9.5.13)</w:t>
      </w:r>
      <w:r w:rsidRPr="00724163">
        <w:rPr>
          <w:rFonts w:hint="cs"/>
          <w:spacing w:val="0"/>
          <w:sz w:val="24"/>
          <w:szCs w:val="24"/>
          <w:rtl/>
        </w:rPr>
        <w:t xml:space="preserve">).  </w:t>
      </w:r>
    </w:p>
    <w:p w14:paraId="0F644511" w14:textId="77777777" w:rsidR="00724163" w:rsidRPr="00724163" w:rsidRDefault="00724163" w:rsidP="00724163">
      <w:pPr>
        <w:pStyle w:val="Ruller40"/>
        <w:tabs>
          <w:tab w:val="left" w:pos="4053"/>
        </w:tabs>
        <w:rPr>
          <w:rFonts w:cs="Miriam"/>
          <w:spacing w:val="0"/>
          <w:sz w:val="24"/>
          <w:szCs w:val="24"/>
          <w:rtl/>
        </w:rPr>
      </w:pPr>
    </w:p>
    <w:p w14:paraId="14BA529A" w14:textId="77777777" w:rsidR="00724163" w:rsidRPr="00724163" w:rsidRDefault="00724163" w:rsidP="00724163">
      <w:pPr>
        <w:pStyle w:val="11"/>
        <w:spacing w:line="360" w:lineRule="auto"/>
        <w:ind w:left="0"/>
        <w:jc w:val="both"/>
        <w:rPr>
          <w:rFonts w:cs="David"/>
          <w:sz w:val="24"/>
          <w:szCs w:val="24"/>
          <w:rtl/>
        </w:rPr>
      </w:pPr>
      <w:r w:rsidRPr="00724163">
        <w:rPr>
          <w:rFonts w:cs="David" w:hint="cs"/>
          <w:sz w:val="24"/>
          <w:szCs w:val="24"/>
          <w:rtl/>
        </w:rPr>
        <w:t xml:space="preserve">כיוון שכך, בבואנו לגזור את העונש בהליך הנוכחי לא נתעלם גם אנו מהסדר הטיעון בתיק המקביל גם בקשר לפסיקת הפיצויים למשפחת הקורבן. עם זאת נבהיר, כי העונשים עליהם הוסכם במסגרת הסדר הטיעון בעניינם של האחרים – שטרם נגזר דינם – ישמשו אמת מידה לבחינת העונש שיוטל על הנאשם, </w:t>
      </w:r>
      <w:r w:rsidRPr="00724163">
        <w:rPr>
          <w:rFonts w:cs="David" w:hint="cs"/>
          <w:b/>
          <w:bCs/>
          <w:sz w:val="24"/>
          <w:szCs w:val="24"/>
          <w:u w:val="single"/>
          <w:rtl/>
        </w:rPr>
        <w:t>רק ביחס לאירועים בהם היה מעורב לצידם</w:t>
      </w:r>
      <w:r w:rsidRPr="00724163">
        <w:rPr>
          <w:rFonts w:cs="David" w:hint="cs"/>
          <w:sz w:val="24"/>
          <w:szCs w:val="24"/>
          <w:rtl/>
        </w:rPr>
        <w:t xml:space="preserve">. ודאי שהנאשם אינו יכול להיבנות מעונש זה למעשים הנוספים, נשוא האישום השני, בהם לא היו מעורבים הנאשמים בתיק המקביל והוא אינו יכול להתנער מאחריותו לנזקים והסכנות שנגרמו עקב כך. חומרה נוספת מצויה בעניינו של הנאשם, בשל ריבויים של המקרים והצטברותם. </w:t>
      </w:r>
    </w:p>
    <w:p w14:paraId="4AFFA4FA" w14:textId="77777777" w:rsidR="00724163" w:rsidRPr="00724163" w:rsidRDefault="00724163" w:rsidP="00724163">
      <w:pPr>
        <w:pStyle w:val="11"/>
        <w:spacing w:line="360" w:lineRule="auto"/>
        <w:ind w:left="0"/>
        <w:jc w:val="both"/>
        <w:rPr>
          <w:rFonts w:cs="David"/>
          <w:sz w:val="24"/>
          <w:szCs w:val="24"/>
          <w:rtl/>
        </w:rPr>
      </w:pPr>
      <w:r w:rsidRPr="00724163">
        <w:rPr>
          <w:rFonts w:cs="David" w:hint="cs"/>
          <w:sz w:val="24"/>
          <w:szCs w:val="24"/>
          <w:rtl/>
        </w:rPr>
        <w:t xml:space="preserve">נתחשב גם בשיקולי הרתעת היחיד והרבים לצורך קביעת העונש המתאים בתוך טווח הענישה המוסכם שבמקרה זה תואם, כאמור, למתחם העונש ההולם. אנו סבורים כי גם עונש מאסר שקרוב יותר לרף אליו עותרת ההגנה, יש בו מסר הרתעתי משמעותי, הן לנאשם והן לעבריינים בכוח (סעיפים 40ו. ו-40ז. לחוק העונשין). </w:t>
      </w:r>
    </w:p>
    <w:p w14:paraId="4C68EC27" w14:textId="77777777" w:rsidR="00724163" w:rsidRPr="00724163" w:rsidRDefault="00724163" w:rsidP="00724163">
      <w:pPr>
        <w:pStyle w:val="11"/>
        <w:spacing w:line="360" w:lineRule="auto"/>
        <w:ind w:left="0"/>
        <w:jc w:val="both"/>
        <w:rPr>
          <w:rFonts w:cs="David"/>
          <w:sz w:val="24"/>
          <w:szCs w:val="24"/>
          <w:rtl/>
        </w:rPr>
      </w:pPr>
      <w:r w:rsidRPr="00724163">
        <w:rPr>
          <w:rFonts w:cs="David" w:hint="cs"/>
          <w:sz w:val="24"/>
          <w:szCs w:val="24"/>
          <w:rtl/>
        </w:rPr>
        <w:t xml:space="preserve">אף שהנאשם הסתייע ברכב בשני האירועים שבהם הורשע, אנו סבורים כי בשל תקופת המאסר הארוכה שתיגזר עליו אין זה ראוי לגזור עליו פסילת רישיון נהיגה. </w:t>
      </w:r>
    </w:p>
    <w:p w14:paraId="70386C22" w14:textId="77777777" w:rsidR="00724163" w:rsidRPr="00724163" w:rsidRDefault="00724163" w:rsidP="00FB4DCE">
      <w:pPr>
        <w:spacing w:line="360" w:lineRule="auto"/>
        <w:ind w:left="720" w:hanging="720"/>
        <w:jc w:val="both"/>
        <w:rPr>
          <w:b/>
          <w:bCs/>
          <w:u w:val="single"/>
          <w:rtl/>
        </w:rPr>
      </w:pPr>
      <w:r w:rsidRPr="00724163">
        <w:rPr>
          <w:rFonts w:hint="cs"/>
          <w:b/>
          <w:bCs/>
          <w:rtl/>
        </w:rPr>
        <w:t>ח.</w:t>
      </w:r>
      <w:r w:rsidR="00FB4DCE">
        <w:rPr>
          <w:rFonts w:hint="cs"/>
          <w:b/>
          <w:bCs/>
          <w:rtl/>
        </w:rPr>
        <w:tab/>
      </w:r>
      <w:r w:rsidRPr="00724163">
        <w:rPr>
          <w:rFonts w:hint="cs"/>
          <w:b/>
          <w:bCs/>
          <w:u w:val="single"/>
          <w:rtl/>
        </w:rPr>
        <w:t>סיכום</w:t>
      </w:r>
    </w:p>
    <w:p w14:paraId="3F9937A2" w14:textId="77777777" w:rsidR="00724163" w:rsidRPr="00724163" w:rsidRDefault="00724163" w:rsidP="00724163">
      <w:pPr>
        <w:spacing w:line="360" w:lineRule="auto"/>
        <w:jc w:val="both"/>
        <w:rPr>
          <w:rtl/>
        </w:rPr>
      </w:pPr>
    </w:p>
    <w:p w14:paraId="73F80F40" w14:textId="77777777" w:rsidR="00724163" w:rsidRPr="00724163" w:rsidRDefault="00724163" w:rsidP="00724163">
      <w:pPr>
        <w:spacing w:line="360" w:lineRule="auto"/>
        <w:jc w:val="both"/>
        <w:rPr>
          <w:rtl/>
        </w:rPr>
      </w:pPr>
      <w:r w:rsidRPr="00724163">
        <w:rPr>
          <w:rFonts w:hint="cs"/>
          <w:rtl/>
        </w:rPr>
        <w:t>לאחר ששקלנו את חומרת העבירות, נסיבותיהן, הערכים החברתיים שנפגעו, ואת מדיניות הענישה הנהוגה, כמו גם את נסיבותיו האישיות של הנאשם שאינן קשורות בביצוע העבירה, ובכלל זה, את הרתעתו האישית של הנאשם וכן הרתעת הרבים, ובמיוחד את הסדר הטיעון שסברנו כי עומד הוא בהלכת האיזון ויש לכבדו, החלטנו לגזור על הנאשם את העונשים כדלקמן:</w:t>
      </w:r>
    </w:p>
    <w:p w14:paraId="0E6DFC72" w14:textId="77777777" w:rsidR="00724163" w:rsidRPr="00724163" w:rsidRDefault="00724163" w:rsidP="00724163">
      <w:pPr>
        <w:spacing w:line="360" w:lineRule="auto"/>
        <w:jc w:val="both"/>
        <w:rPr>
          <w:rtl/>
        </w:rPr>
      </w:pPr>
    </w:p>
    <w:p w14:paraId="2C7A4DFF" w14:textId="77777777" w:rsidR="00724163" w:rsidRDefault="00724163" w:rsidP="00FB4DCE">
      <w:pPr>
        <w:spacing w:line="360" w:lineRule="auto"/>
        <w:jc w:val="both"/>
        <w:rPr>
          <w:rtl/>
        </w:rPr>
      </w:pPr>
      <w:r w:rsidRPr="00724163">
        <w:rPr>
          <w:rFonts w:hint="cs"/>
          <w:b/>
          <w:bCs/>
          <w:rtl/>
        </w:rPr>
        <w:t xml:space="preserve">13 שנות מאסר </w:t>
      </w:r>
      <w:r w:rsidRPr="00724163">
        <w:rPr>
          <w:rFonts w:hint="cs"/>
          <w:rtl/>
        </w:rPr>
        <w:t>בגין האירוע נשוא האישום ראשון.</w:t>
      </w:r>
    </w:p>
    <w:p w14:paraId="6B0F0C65" w14:textId="77777777" w:rsidR="00FB4DCE" w:rsidRPr="00724163" w:rsidRDefault="00FB4DCE" w:rsidP="00FB4DCE">
      <w:pPr>
        <w:jc w:val="both"/>
        <w:rPr>
          <w:rtl/>
        </w:rPr>
      </w:pPr>
    </w:p>
    <w:p w14:paraId="3B5B79F3" w14:textId="77777777" w:rsidR="00724163" w:rsidRDefault="00724163" w:rsidP="00FB4DCE">
      <w:pPr>
        <w:spacing w:line="360" w:lineRule="auto"/>
        <w:jc w:val="both"/>
        <w:rPr>
          <w:rtl/>
        </w:rPr>
      </w:pPr>
      <w:r w:rsidRPr="00724163">
        <w:rPr>
          <w:rFonts w:hint="cs"/>
          <w:b/>
          <w:bCs/>
          <w:rtl/>
        </w:rPr>
        <w:t>6</w:t>
      </w:r>
      <w:r w:rsidRPr="00724163">
        <w:rPr>
          <w:rFonts w:hint="cs"/>
          <w:rtl/>
        </w:rPr>
        <w:t xml:space="preserve"> </w:t>
      </w:r>
      <w:r w:rsidRPr="00724163">
        <w:rPr>
          <w:rFonts w:hint="cs"/>
          <w:b/>
          <w:bCs/>
          <w:rtl/>
        </w:rPr>
        <w:t>שנות מאסר</w:t>
      </w:r>
      <w:r w:rsidRPr="00724163">
        <w:rPr>
          <w:rFonts w:hint="cs"/>
          <w:rtl/>
        </w:rPr>
        <w:t xml:space="preserve"> בגין האירוע נשוא האישום השני. </w:t>
      </w:r>
    </w:p>
    <w:p w14:paraId="3F623179" w14:textId="77777777" w:rsidR="00FB4DCE" w:rsidRDefault="00FB4DCE" w:rsidP="00FB4DCE">
      <w:pPr>
        <w:jc w:val="both"/>
        <w:rPr>
          <w:rtl/>
        </w:rPr>
      </w:pPr>
    </w:p>
    <w:p w14:paraId="3510D2C3" w14:textId="77777777" w:rsidR="00FB4DCE" w:rsidRDefault="00FB4DCE" w:rsidP="00FB4DCE">
      <w:pPr>
        <w:spacing w:line="360" w:lineRule="auto"/>
        <w:jc w:val="both"/>
        <w:rPr>
          <w:b/>
          <w:bCs/>
          <w:rtl/>
        </w:rPr>
      </w:pPr>
      <w:r w:rsidRPr="00FB4DCE">
        <w:rPr>
          <w:rFonts w:hint="cs"/>
          <w:b/>
          <w:bCs/>
          <w:rtl/>
        </w:rPr>
        <w:t>שני עונשי</w:t>
      </w:r>
      <w:r w:rsidR="00724163" w:rsidRPr="00724163">
        <w:rPr>
          <w:rFonts w:ascii="Arial" w:hAnsi="Arial" w:hint="cs"/>
          <w:b/>
          <w:bCs/>
          <w:rtl/>
        </w:rPr>
        <w:t xml:space="preserve"> המאסר ירוצו באופן מצטבר כך שסך הכל ירצה הנאשם </w:t>
      </w:r>
      <w:r w:rsidR="00724163" w:rsidRPr="005B4355">
        <w:rPr>
          <w:rFonts w:ascii="Arial" w:hAnsi="Arial" w:hint="cs"/>
          <w:b/>
          <w:bCs/>
          <w:u w:val="single"/>
          <w:rtl/>
        </w:rPr>
        <w:t>19</w:t>
      </w:r>
      <w:r w:rsidR="00724163" w:rsidRPr="00724163">
        <w:rPr>
          <w:rFonts w:ascii="Arial" w:hAnsi="Arial" w:hint="cs"/>
          <w:b/>
          <w:bCs/>
          <w:rtl/>
        </w:rPr>
        <w:t xml:space="preserve"> שנות מאסר בפועל </w:t>
      </w:r>
      <w:r w:rsidR="00724163" w:rsidRPr="00724163">
        <w:rPr>
          <w:rFonts w:hint="cs"/>
          <w:b/>
          <w:bCs/>
          <w:rtl/>
        </w:rPr>
        <w:t>בניכוי תקופת מעצרו, מיום 23.12.12</w:t>
      </w:r>
      <w:r>
        <w:rPr>
          <w:rFonts w:hint="cs"/>
          <w:b/>
          <w:bCs/>
          <w:rtl/>
        </w:rPr>
        <w:t>.</w:t>
      </w:r>
    </w:p>
    <w:p w14:paraId="61725A94" w14:textId="77777777" w:rsidR="00FB4DCE" w:rsidRDefault="00FB4DCE" w:rsidP="00FB4DCE">
      <w:pPr>
        <w:jc w:val="both"/>
        <w:rPr>
          <w:b/>
          <w:bCs/>
          <w:rtl/>
        </w:rPr>
      </w:pPr>
    </w:p>
    <w:p w14:paraId="7B09D480" w14:textId="77777777" w:rsidR="00724163" w:rsidRDefault="00FB4DCE" w:rsidP="00FB4DCE">
      <w:pPr>
        <w:spacing w:line="360" w:lineRule="auto"/>
        <w:jc w:val="both"/>
        <w:rPr>
          <w:rtl/>
        </w:rPr>
      </w:pPr>
      <w:r>
        <w:rPr>
          <w:rFonts w:hint="cs"/>
          <w:b/>
          <w:bCs/>
          <w:rtl/>
        </w:rPr>
        <w:t xml:space="preserve">3 </w:t>
      </w:r>
      <w:r w:rsidR="00724163" w:rsidRPr="00724163">
        <w:rPr>
          <w:rFonts w:hint="cs"/>
          <w:rtl/>
        </w:rPr>
        <w:t xml:space="preserve">שנים מאסר על תנאי לבל יבצע הנאשם במשך 3 שנים כל עבירת אלימות מסוג פשע או עבירות בנשק מסוג פשע.  </w:t>
      </w:r>
    </w:p>
    <w:p w14:paraId="432A328D" w14:textId="77777777" w:rsidR="00FB4DCE" w:rsidRDefault="00FB4DCE" w:rsidP="00FB4DCE">
      <w:pPr>
        <w:jc w:val="both"/>
        <w:rPr>
          <w:rtl/>
        </w:rPr>
      </w:pPr>
    </w:p>
    <w:p w14:paraId="44E23565" w14:textId="77777777" w:rsidR="00724163" w:rsidRPr="00724163" w:rsidRDefault="00FB4DCE" w:rsidP="00FB4DCE">
      <w:pPr>
        <w:spacing w:line="360" w:lineRule="auto"/>
        <w:jc w:val="both"/>
      </w:pPr>
      <w:r>
        <w:rPr>
          <w:rFonts w:hint="cs"/>
          <w:rtl/>
        </w:rPr>
        <w:t xml:space="preserve">12 </w:t>
      </w:r>
      <w:r w:rsidR="00724163" w:rsidRPr="00724163">
        <w:rPr>
          <w:rFonts w:hint="cs"/>
          <w:rtl/>
        </w:rPr>
        <w:t xml:space="preserve">חודשי מאסר על תנאי לבל יבצע </w:t>
      </w:r>
      <w:r w:rsidR="009A7BA1">
        <w:rPr>
          <w:rFonts w:hint="cs"/>
          <w:rtl/>
        </w:rPr>
        <w:t xml:space="preserve">הנאשם </w:t>
      </w:r>
      <w:r w:rsidR="00724163" w:rsidRPr="00724163">
        <w:rPr>
          <w:rFonts w:hint="cs"/>
          <w:rtl/>
        </w:rPr>
        <w:t xml:space="preserve">במשך 3 שנים כל עבירת אלימות מסוג עוון או עבירה בנשק מסוג עוון או עבירה של שיבוש מהלכי משפט. </w:t>
      </w:r>
    </w:p>
    <w:p w14:paraId="35274C4B" w14:textId="77777777" w:rsidR="00FB4DCE" w:rsidRDefault="00FB4DCE" w:rsidP="00FB4DCE">
      <w:pPr>
        <w:pStyle w:val="11"/>
        <w:spacing w:line="240" w:lineRule="auto"/>
        <w:ind w:left="26"/>
        <w:jc w:val="both"/>
        <w:rPr>
          <w:rFonts w:cs="David"/>
          <w:sz w:val="24"/>
          <w:szCs w:val="24"/>
          <w:rtl/>
        </w:rPr>
      </w:pPr>
    </w:p>
    <w:p w14:paraId="3FA6A29A" w14:textId="77777777" w:rsidR="00724163" w:rsidRPr="00724163" w:rsidRDefault="00724163" w:rsidP="00724163">
      <w:pPr>
        <w:pStyle w:val="11"/>
        <w:spacing w:line="360" w:lineRule="auto"/>
        <w:ind w:left="26"/>
        <w:jc w:val="both"/>
        <w:rPr>
          <w:rFonts w:cs="David"/>
          <w:sz w:val="24"/>
          <w:szCs w:val="24"/>
          <w:rtl/>
        </w:rPr>
      </w:pPr>
      <w:r w:rsidRPr="00724163">
        <w:rPr>
          <w:rFonts w:cs="David" w:hint="cs"/>
          <w:sz w:val="24"/>
          <w:szCs w:val="24"/>
          <w:rtl/>
        </w:rPr>
        <w:t xml:space="preserve">לאחר שנתנו דעתנו לכך שמדובר בעבירה רבת שותפים, כשרובם נידונים בפני מותב אחר ויש להניח כי גם הם יחויבו לשלם פיצויים, וזאת בהתאם להסדר הטיעון שנכרת עמם, אנו מחייבים את הנאשם לשלם להורי המנוח פיצויים בסך 60,000 ₪, וזאת בדרך של הפקדת סכום זה בקופת בית המשפט, עד ליום 22/2/15 (פרטי הורי המנוח והחשבון אליו יועברו כספי הפיצויים יימסרו למזכירות על ידי ב"כ המאשימה). </w:t>
      </w:r>
    </w:p>
    <w:p w14:paraId="76B8C11D" w14:textId="77777777" w:rsidR="00724163" w:rsidRPr="00724163" w:rsidRDefault="00724163" w:rsidP="00724163">
      <w:pPr>
        <w:spacing w:line="360" w:lineRule="auto"/>
        <w:ind w:left="720" w:hanging="720"/>
        <w:jc w:val="both"/>
        <w:rPr>
          <w:b/>
          <w:bCs/>
          <w:rtl/>
        </w:rPr>
      </w:pPr>
      <w:r w:rsidRPr="00724163">
        <w:rPr>
          <w:rFonts w:hint="cs"/>
          <w:b/>
          <w:bCs/>
          <w:rtl/>
        </w:rPr>
        <w:t>הודעה לנאשם זכות הערעור לבית המשפט העליון תוך 45 יום מהיום.</w:t>
      </w:r>
    </w:p>
    <w:p w14:paraId="28D56734" w14:textId="77777777" w:rsidR="00724163" w:rsidRPr="00724163" w:rsidRDefault="00724163" w:rsidP="00724163">
      <w:pPr>
        <w:spacing w:line="360" w:lineRule="auto"/>
        <w:ind w:left="720" w:hanging="720"/>
        <w:jc w:val="both"/>
        <w:rPr>
          <w:b/>
          <w:bCs/>
          <w:rtl/>
        </w:rPr>
      </w:pPr>
    </w:p>
    <w:p w14:paraId="1DE4FE80" w14:textId="77777777" w:rsidR="00FB4DCE" w:rsidRDefault="00D677B0" w:rsidP="00724163">
      <w:pPr>
        <w:spacing w:line="360" w:lineRule="auto"/>
        <w:ind w:left="720" w:hanging="720"/>
        <w:jc w:val="both"/>
        <w:rPr>
          <w:b/>
          <w:bCs/>
          <w:rtl/>
        </w:rPr>
      </w:pPr>
      <w:r>
        <w:rPr>
          <w:b/>
          <w:bCs/>
          <w:rtl/>
        </w:rPr>
        <w:t xml:space="preserve">ניתן היום, י"ט כסלו תשע"ה, 11/12/14, בנוכחות הנאשם וב"כ הצדדים.  </w:t>
      </w:r>
    </w:p>
    <w:p w14:paraId="75042859" w14:textId="77777777" w:rsidR="001D628B" w:rsidRPr="00D677B0" w:rsidRDefault="00D677B0" w:rsidP="00724163">
      <w:pPr>
        <w:spacing w:line="360" w:lineRule="auto"/>
        <w:ind w:left="720" w:hanging="720"/>
        <w:jc w:val="both"/>
        <w:rPr>
          <w:b/>
          <w:bCs/>
          <w:color w:val="FFFFFF"/>
          <w:sz w:val="2"/>
          <w:szCs w:val="2"/>
          <w:rtl/>
        </w:rPr>
      </w:pPr>
      <w:r w:rsidRPr="00D677B0">
        <w:rPr>
          <w:b/>
          <w:bCs/>
          <w:color w:val="FFFFFF"/>
          <w:sz w:val="2"/>
          <w:szCs w:val="2"/>
          <w:rtl/>
        </w:rPr>
        <w:t>5129371</w:t>
      </w:r>
    </w:p>
    <w:tbl>
      <w:tblPr>
        <w:bidiVisual/>
        <w:tblW w:w="0" w:type="auto"/>
        <w:tblLook w:val="01E0" w:firstRow="1" w:lastRow="1" w:firstColumn="1" w:lastColumn="1" w:noHBand="0" w:noVBand="0"/>
      </w:tblPr>
      <w:tblGrid>
        <w:gridCol w:w="2474"/>
        <w:gridCol w:w="360"/>
        <w:gridCol w:w="2406"/>
        <w:gridCol w:w="308"/>
        <w:gridCol w:w="2520"/>
      </w:tblGrid>
      <w:tr w:rsidR="00DA2201" w:rsidRPr="00724163" w14:paraId="64A0A7CD" w14:textId="77777777">
        <w:tc>
          <w:tcPr>
            <w:tcW w:w="2474" w:type="dxa"/>
            <w:tcBorders>
              <w:top w:val="nil"/>
              <w:left w:val="nil"/>
              <w:bottom w:val="single" w:sz="4" w:space="0" w:color="auto"/>
              <w:right w:val="nil"/>
            </w:tcBorders>
            <w:shd w:val="clear" w:color="auto" w:fill="auto"/>
            <w:vAlign w:val="center"/>
          </w:tcPr>
          <w:p w14:paraId="3B8CD2D9" w14:textId="77777777" w:rsidR="00724163" w:rsidRPr="00D677B0" w:rsidRDefault="00D677B0" w:rsidP="00180C2F">
            <w:pPr>
              <w:spacing w:line="360" w:lineRule="auto"/>
              <w:jc w:val="center"/>
              <w:rPr>
                <w:rFonts w:ascii="Courier New" w:hAnsi="Courier New"/>
                <w:b/>
                <w:bCs/>
                <w:color w:val="FFFFFF"/>
                <w:sz w:val="2"/>
                <w:szCs w:val="2"/>
              </w:rPr>
            </w:pPr>
            <w:r w:rsidRPr="00D677B0">
              <w:rPr>
                <w:rFonts w:ascii="Courier New" w:hAnsi="Courier New"/>
                <w:b/>
                <w:bCs/>
                <w:color w:val="FFFFFF"/>
                <w:sz w:val="2"/>
                <w:szCs w:val="2"/>
                <w:rtl/>
              </w:rPr>
              <w:t>54678313</w:t>
            </w:r>
          </w:p>
        </w:tc>
        <w:tc>
          <w:tcPr>
            <w:tcW w:w="360" w:type="dxa"/>
            <w:shd w:val="clear" w:color="auto" w:fill="auto"/>
            <w:vAlign w:val="center"/>
          </w:tcPr>
          <w:p w14:paraId="248193B1" w14:textId="77777777" w:rsidR="00724163" w:rsidRPr="00180C2F" w:rsidRDefault="00724163" w:rsidP="00180C2F">
            <w:pPr>
              <w:spacing w:line="360" w:lineRule="auto"/>
              <w:jc w:val="center"/>
              <w:rPr>
                <w:rFonts w:ascii="Courier New" w:hAnsi="Courier New"/>
                <w:b/>
                <w:bCs/>
              </w:rPr>
            </w:pPr>
          </w:p>
        </w:tc>
        <w:tc>
          <w:tcPr>
            <w:tcW w:w="2406" w:type="dxa"/>
            <w:tcBorders>
              <w:top w:val="nil"/>
              <w:left w:val="nil"/>
              <w:bottom w:val="single" w:sz="4" w:space="0" w:color="auto"/>
              <w:right w:val="nil"/>
            </w:tcBorders>
            <w:shd w:val="clear" w:color="auto" w:fill="auto"/>
            <w:vAlign w:val="center"/>
          </w:tcPr>
          <w:p w14:paraId="1A0BC45F" w14:textId="77777777" w:rsidR="00724163" w:rsidRPr="00180C2F" w:rsidRDefault="00724163" w:rsidP="00180C2F">
            <w:pPr>
              <w:spacing w:line="360" w:lineRule="auto"/>
              <w:jc w:val="center"/>
              <w:rPr>
                <w:rFonts w:ascii="Courier New" w:hAnsi="Courier New"/>
                <w:b/>
                <w:bCs/>
              </w:rPr>
            </w:pPr>
          </w:p>
        </w:tc>
        <w:tc>
          <w:tcPr>
            <w:tcW w:w="308" w:type="dxa"/>
            <w:shd w:val="clear" w:color="auto" w:fill="auto"/>
            <w:vAlign w:val="center"/>
          </w:tcPr>
          <w:p w14:paraId="50792689" w14:textId="77777777" w:rsidR="00724163" w:rsidRPr="00180C2F" w:rsidRDefault="00724163" w:rsidP="00180C2F">
            <w:pPr>
              <w:spacing w:line="360" w:lineRule="auto"/>
              <w:jc w:val="center"/>
              <w:rPr>
                <w:rFonts w:ascii="Courier New" w:hAnsi="Courier New"/>
                <w:b/>
                <w:bCs/>
              </w:rPr>
            </w:pPr>
          </w:p>
        </w:tc>
        <w:tc>
          <w:tcPr>
            <w:tcW w:w="2520" w:type="dxa"/>
            <w:tcBorders>
              <w:top w:val="nil"/>
              <w:left w:val="nil"/>
              <w:bottom w:val="single" w:sz="4" w:space="0" w:color="auto"/>
              <w:right w:val="nil"/>
            </w:tcBorders>
            <w:shd w:val="clear" w:color="auto" w:fill="auto"/>
            <w:vAlign w:val="center"/>
          </w:tcPr>
          <w:p w14:paraId="52C82E2F" w14:textId="77777777" w:rsidR="00724163" w:rsidRPr="00180C2F" w:rsidRDefault="00724163" w:rsidP="00180C2F">
            <w:pPr>
              <w:spacing w:line="360" w:lineRule="auto"/>
              <w:jc w:val="center"/>
              <w:rPr>
                <w:rFonts w:ascii="Courier New" w:hAnsi="Courier New"/>
                <w:b/>
                <w:bCs/>
              </w:rPr>
            </w:pPr>
          </w:p>
        </w:tc>
      </w:tr>
      <w:tr w:rsidR="00DA2201" w:rsidRPr="00724163" w14:paraId="7CF7759F" w14:textId="77777777">
        <w:tc>
          <w:tcPr>
            <w:tcW w:w="2474" w:type="dxa"/>
            <w:tcBorders>
              <w:top w:val="single" w:sz="4" w:space="0" w:color="auto"/>
              <w:left w:val="nil"/>
              <w:bottom w:val="nil"/>
              <w:right w:val="nil"/>
            </w:tcBorders>
            <w:shd w:val="clear" w:color="auto" w:fill="auto"/>
          </w:tcPr>
          <w:p w14:paraId="02523E71" w14:textId="77777777" w:rsidR="00724163" w:rsidRPr="00180C2F" w:rsidRDefault="00724163" w:rsidP="00180C2F">
            <w:pPr>
              <w:spacing w:line="360" w:lineRule="auto"/>
              <w:jc w:val="center"/>
              <w:rPr>
                <w:b/>
                <w:bCs/>
                <w:noProof/>
                <w:rtl/>
              </w:rPr>
            </w:pPr>
            <w:r w:rsidRPr="00180C2F">
              <w:rPr>
                <w:rFonts w:hint="cs"/>
                <w:b/>
                <w:bCs/>
                <w:rtl/>
              </w:rPr>
              <w:t>י. אלרון - נשיא</w:t>
            </w:r>
          </w:p>
          <w:p w14:paraId="283215CC" w14:textId="77777777" w:rsidR="00724163" w:rsidRPr="00180C2F" w:rsidRDefault="00724163" w:rsidP="00180C2F">
            <w:pPr>
              <w:spacing w:line="360" w:lineRule="auto"/>
              <w:jc w:val="center"/>
              <w:rPr>
                <w:b/>
                <w:bCs/>
                <w:noProof/>
              </w:rPr>
            </w:pPr>
            <w:r w:rsidRPr="00180C2F">
              <w:rPr>
                <w:rFonts w:hint="cs"/>
                <w:b/>
                <w:bCs/>
                <w:rtl/>
              </w:rPr>
              <w:t>[אב"ד]</w:t>
            </w:r>
          </w:p>
        </w:tc>
        <w:tc>
          <w:tcPr>
            <w:tcW w:w="360" w:type="dxa"/>
            <w:shd w:val="clear" w:color="auto" w:fill="auto"/>
          </w:tcPr>
          <w:p w14:paraId="247AF50D" w14:textId="77777777" w:rsidR="00724163" w:rsidRPr="00180C2F" w:rsidRDefault="00724163" w:rsidP="00180C2F">
            <w:pPr>
              <w:spacing w:line="360" w:lineRule="auto"/>
              <w:jc w:val="center"/>
              <w:rPr>
                <w:b/>
                <w:bCs/>
                <w:noProof/>
                <w:color w:val="FF0000"/>
              </w:rPr>
            </w:pPr>
          </w:p>
        </w:tc>
        <w:tc>
          <w:tcPr>
            <w:tcW w:w="2406" w:type="dxa"/>
            <w:tcBorders>
              <w:top w:val="single" w:sz="4" w:space="0" w:color="auto"/>
              <w:left w:val="nil"/>
              <w:bottom w:val="nil"/>
              <w:right w:val="nil"/>
            </w:tcBorders>
            <w:shd w:val="clear" w:color="auto" w:fill="auto"/>
          </w:tcPr>
          <w:p w14:paraId="1C17B836" w14:textId="77777777" w:rsidR="00724163" w:rsidRPr="00180C2F" w:rsidRDefault="00724163" w:rsidP="00180C2F">
            <w:pPr>
              <w:pStyle w:val="3"/>
              <w:jc w:val="center"/>
              <w:rPr>
                <w:sz w:val="24"/>
              </w:rPr>
            </w:pPr>
            <w:r w:rsidRPr="00180C2F">
              <w:rPr>
                <w:rFonts w:hint="cs"/>
                <w:sz w:val="24"/>
                <w:rtl/>
              </w:rPr>
              <w:t>מ. גלעד, שופט</w:t>
            </w:r>
          </w:p>
        </w:tc>
        <w:tc>
          <w:tcPr>
            <w:tcW w:w="308" w:type="dxa"/>
            <w:shd w:val="clear" w:color="auto" w:fill="auto"/>
          </w:tcPr>
          <w:p w14:paraId="5502A3D7" w14:textId="77777777" w:rsidR="00724163" w:rsidRPr="00180C2F" w:rsidRDefault="00724163" w:rsidP="00180C2F">
            <w:pPr>
              <w:spacing w:line="360" w:lineRule="auto"/>
              <w:jc w:val="center"/>
              <w:rPr>
                <w:b/>
                <w:bCs/>
                <w:noProof/>
                <w:color w:val="FF0000"/>
              </w:rPr>
            </w:pPr>
          </w:p>
        </w:tc>
        <w:tc>
          <w:tcPr>
            <w:tcW w:w="2520" w:type="dxa"/>
            <w:tcBorders>
              <w:top w:val="single" w:sz="4" w:space="0" w:color="auto"/>
              <w:left w:val="nil"/>
              <w:bottom w:val="nil"/>
              <w:right w:val="nil"/>
            </w:tcBorders>
            <w:shd w:val="clear" w:color="auto" w:fill="auto"/>
          </w:tcPr>
          <w:p w14:paraId="61546018" w14:textId="77777777" w:rsidR="00724163" w:rsidRPr="00180C2F" w:rsidRDefault="00724163" w:rsidP="00180C2F">
            <w:pPr>
              <w:spacing w:line="360" w:lineRule="auto"/>
              <w:jc w:val="center"/>
              <w:rPr>
                <w:b/>
                <w:bCs/>
                <w:noProof/>
                <w:rtl/>
              </w:rPr>
            </w:pPr>
            <w:r w:rsidRPr="00180C2F">
              <w:rPr>
                <w:rFonts w:hint="cs"/>
                <w:b/>
                <w:bCs/>
                <w:rtl/>
              </w:rPr>
              <w:t>דר' מ. רניאל, שופט</w:t>
            </w:r>
          </w:p>
        </w:tc>
      </w:tr>
    </w:tbl>
    <w:p w14:paraId="3C684D19" w14:textId="77777777" w:rsidR="00D677B0" w:rsidRPr="00D677B0" w:rsidRDefault="00D677B0" w:rsidP="00D677B0">
      <w:pPr>
        <w:pStyle w:val="a3"/>
        <w:keepNext/>
        <w:rPr>
          <w:rFonts w:ascii="David" w:hAnsi="David"/>
          <w:color w:val="000000"/>
          <w:sz w:val="22"/>
          <w:szCs w:val="22"/>
          <w:rtl/>
        </w:rPr>
      </w:pPr>
    </w:p>
    <w:p w14:paraId="08628723" w14:textId="77777777" w:rsidR="00D677B0" w:rsidRPr="00D677B0" w:rsidRDefault="00D677B0" w:rsidP="00D677B0">
      <w:pPr>
        <w:pStyle w:val="a3"/>
        <w:keepNext/>
        <w:rPr>
          <w:rFonts w:ascii="David" w:hAnsi="David"/>
          <w:color w:val="000000"/>
          <w:sz w:val="22"/>
          <w:szCs w:val="22"/>
          <w:rtl/>
        </w:rPr>
      </w:pPr>
      <w:r w:rsidRPr="00D677B0">
        <w:rPr>
          <w:rFonts w:ascii="David" w:hAnsi="David"/>
          <w:color w:val="000000"/>
          <w:sz w:val="22"/>
          <w:szCs w:val="22"/>
          <w:rtl/>
        </w:rPr>
        <w:t>יוסף אלרון 54678313</w:t>
      </w:r>
    </w:p>
    <w:p w14:paraId="46E6EF07" w14:textId="77777777" w:rsidR="00D677B0" w:rsidRDefault="00D677B0" w:rsidP="00D677B0">
      <w:pPr>
        <w:pStyle w:val="a3"/>
        <w:rPr>
          <w:rtl/>
        </w:rPr>
      </w:pPr>
      <w:r w:rsidRPr="00D677B0">
        <w:rPr>
          <w:color w:val="000000"/>
          <w:rtl/>
        </w:rPr>
        <w:t>נוסח מסמך זה כפוף לשינויי ניסוח ועריכה</w:t>
      </w:r>
    </w:p>
    <w:p w14:paraId="246CCAEB" w14:textId="77777777" w:rsidR="00D677B0" w:rsidRDefault="00D677B0" w:rsidP="00D677B0">
      <w:pPr>
        <w:pStyle w:val="a3"/>
        <w:rPr>
          <w:rtl/>
        </w:rPr>
      </w:pPr>
    </w:p>
    <w:p w14:paraId="7CB15802" w14:textId="77777777" w:rsidR="00D677B0" w:rsidRDefault="00D677B0" w:rsidP="00D677B0">
      <w:pPr>
        <w:pStyle w:val="a3"/>
        <w:jc w:val="center"/>
        <w:rPr>
          <w:color w:val="0000FF"/>
          <w:u w:val="single"/>
          <w:rtl/>
        </w:rPr>
      </w:pPr>
      <w:hyperlink r:id="rId36" w:history="1">
        <w:r>
          <w:rPr>
            <w:color w:val="0000FF"/>
            <w:u w:val="single"/>
            <w:rtl/>
          </w:rPr>
          <w:t>בעניין עריכה ושינויים במסמכי פסיקה, חקיקה ועוד באתר נבו – הקש כאן</w:t>
        </w:r>
      </w:hyperlink>
    </w:p>
    <w:p w14:paraId="3A8A3F3C" w14:textId="77777777" w:rsidR="00507694" w:rsidRPr="00D677B0" w:rsidRDefault="00507694" w:rsidP="00D677B0">
      <w:pPr>
        <w:pStyle w:val="a3"/>
        <w:jc w:val="center"/>
        <w:rPr>
          <w:color w:val="0000FF"/>
          <w:u w:val="single"/>
          <w:rtl/>
        </w:rPr>
      </w:pPr>
    </w:p>
    <w:sectPr w:rsidR="00507694" w:rsidRPr="00D677B0" w:rsidSect="00D677B0">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85ABA" w14:textId="77777777" w:rsidR="0085271D" w:rsidRDefault="0085271D">
      <w:r>
        <w:separator/>
      </w:r>
    </w:p>
  </w:endnote>
  <w:endnote w:type="continuationSeparator" w:id="0">
    <w:p w14:paraId="2FA8CC6F" w14:textId="77777777" w:rsidR="0085271D" w:rsidRDefault="00852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34528" w14:textId="77777777" w:rsidR="00D677B0" w:rsidRDefault="00D677B0" w:rsidP="00D677B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w:t>
    </w:r>
    <w:r>
      <w:rPr>
        <w:rFonts w:ascii="FrankRuehl" w:hAnsi="FrankRuehl" w:cs="FrankRuehl"/>
        <w:rtl/>
      </w:rPr>
      <w:fldChar w:fldCharType="end"/>
    </w:r>
  </w:p>
  <w:p w14:paraId="416107F1" w14:textId="77777777" w:rsidR="00431808" w:rsidRPr="00D677B0" w:rsidRDefault="00D677B0" w:rsidP="00D677B0">
    <w:pPr>
      <w:pStyle w:val="a4"/>
      <w:pBdr>
        <w:top w:val="single" w:sz="4" w:space="1" w:color="auto"/>
        <w:between w:val="single" w:sz="4" w:space="0" w:color="auto"/>
      </w:pBdr>
      <w:spacing w:after="60"/>
      <w:jc w:val="center"/>
      <w:rPr>
        <w:rFonts w:ascii="FrankRuehl" w:hAnsi="FrankRuehl" w:cs="FrankRuehl"/>
        <w:color w:val="000000"/>
      </w:rPr>
    </w:pPr>
    <w:r w:rsidRPr="00D677B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38EB9" w14:textId="77777777" w:rsidR="00D677B0" w:rsidRDefault="00D677B0" w:rsidP="00D677B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F5C4E">
      <w:rPr>
        <w:rFonts w:ascii="FrankRuehl" w:hAnsi="FrankRuehl" w:cs="FrankRuehl"/>
        <w:noProof/>
        <w:rtl/>
      </w:rPr>
      <w:t>16</w:t>
    </w:r>
    <w:r>
      <w:rPr>
        <w:rFonts w:ascii="FrankRuehl" w:hAnsi="FrankRuehl" w:cs="FrankRuehl"/>
        <w:rtl/>
      </w:rPr>
      <w:fldChar w:fldCharType="end"/>
    </w:r>
  </w:p>
  <w:p w14:paraId="50973F13" w14:textId="77777777" w:rsidR="00431808" w:rsidRPr="00D677B0" w:rsidRDefault="00D677B0" w:rsidP="00D677B0">
    <w:pPr>
      <w:pStyle w:val="a4"/>
      <w:pBdr>
        <w:top w:val="single" w:sz="4" w:space="1" w:color="auto"/>
        <w:between w:val="single" w:sz="4" w:space="0" w:color="auto"/>
      </w:pBdr>
      <w:spacing w:after="60"/>
      <w:jc w:val="center"/>
      <w:rPr>
        <w:rFonts w:ascii="FrankRuehl" w:hAnsi="FrankRuehl" w:cs="FrankRuehl"/>
        <w:color w:val="000000"/>
      </w:rPr>
    </w:pPr>
    <w:r w:rsidRPr="00D677B0">
      <w:rPr>
        <w:rFonts w:ascii="FrankRuehl" w:hAnsi="FrankRuehl" w:cs="FrankRuehl"/>
        <w:color w:val="000000"/>
      </w:rPr>
      <w:pict w14:anchorId="1E00EE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5D1EC" w14:textId="77777777" w:rsidR="0085271D" w:rsidRDefault="0085271D">
      <w:r>
        <w:separator/>
      </w:r>
    </w:p>
  </w:footnote>
  <w:footnote w:type="continuationSeparator" w:id="0">
    <w:p w14:paraId="7D3EB728" w14:textId="77777777" w:rsidR="0085271D" w:rsidRDefault="00852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2859E" w14:textId="77777777" w:rsidR="00D677B0" w:rsidRPr="00D677B0" w:rsidRDefault="00D677B0" w:rsidP="00D677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15741-02-13</w:t>
    </w:r>
    <w:r>
      <w:rPr>
        <w:rFonts w:ascii="David" w:hAnsi="David"/>
        <w:color w:val="000000"/>
        <w:sz w:val="22"/>
        <w:szCs w:val="22"/>
        <w:rtl/>
      </w:rPr>
      <w:tab/>
      <w:t xml:space="preserve"> מדינת ישראל פמ"ח נ' עבד אלסאלם כיאל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07A22" w14:textId="77777777" w:rsidR="00431808" w:rsidRPr="00D677B0" w:rsidRDefault="00D677B0" w:rsidP="00D677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15741-02-13</w:t>
    </w:r>
    <w:r>
      <w:rPr>
        <w:rFonts w:ascii="David" w:hAnsi="David"/>
        <w:color w:val="000000"/>
        <w:sz w:val="22"/>
        <w:szCs w:val="22"/>
        <w:rtl/>
      </w:rPr>
      <w:tab/>
      <w:t xml:space="preserve"> מדינת ישראל פמ"ח נ' עבד אלסאלם כיאל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91ED4"/>
    <w:multiLevelType w:val="hybridMultilevel"/>
    <w:tmpl w:val="6690128C"/>
    <w:lvl w:ilvl="0" w:tplc="B1B03354">
      <w:start w:val="1"/>
      <w:numFmt w:val="hebrew1"/>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F3F45CD"/>
    <w:multiLevelType w:val="hybridMultilevel"/>
    <w:tmpl w:val="E31667D6"/>
    <w:lvl w:ilvl="0" w:tplc="ADF40EAA">
      <w:start w:val="13"/>
      <w:numFmt w:val="bullet"/>
      <w:lvlText w:val="-"/>
      <w:lvlJc w:val="left"/>
      <w:pPr>
        <w:ind w:left="720" w:hanging="360"/>
      </w:pPr>
      <w:rPr>
        <w:rFonts w:ascii="Calibri" w:eastAsia="Times New Roman"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A57901"/>
    <w:multiLevelType w:val="hybridMultilevel"/>
    <w:tmpl w:val="E5DCD01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6167134">
    <w:abstractNumId w:val="2"/>
  </w:num>
  <w:num w:numId="2" w16cid:durableId="2136753343">
    <w:abstractNumId w:val="1"/>
  </w:num>
  <w:num w:numId="3" w16cid:durableId="6304011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4809687">
    <w:abstractNumId w:val="3"/>
  </w:num>
  <w:num w:numId="5" w16cid:durableId="1750810635">
    <w:abstractNumId w:val="0"/>
  </w:num>
  <w:num w:numId="6" w16cid:durableId="7374832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0863920"/>
    <w:docVar w:name="DocumentDS" w:val="&amp;lt;?xml version=&amp;quot;1.0&amp;quot;?&amp;gt;_x000d__x000a_&amp;lt;DocumentDS&amp;gt;_x000d__x000a_  &amp;lt;xs:schema id=&amp;quot;DocumentDS&amp;quot; targetNamespace=&amp;quot;http://www.tempuri.org/DocumentDS.xsd&amp;quot; xmlns:mstns=&amp;quot;http://www.tempuri.org/DocumentDS.xsd&amp;quot; xmlns=&amp;quot;http://www.tempuri.org/DocumentDS.xsd&amp;quot; xmlns:xs=&amp;quot;http://www.w3.org/2001/XMLSchema&amp;quot; xmlns:msdata=&amp;quot;urn:schemas-microsoft-com:xml-msdata&amp;quot; attributeFormDefault=&amp;quot;qualified&amp;quot; elementFormDefault=&amp;quot;qualified&amp;quot;&amp;gt;_x000d__x000a_    &amp;lt;xs:element name=&amp;quot;DocumentDS&amp;quot; msdata:IsDataSet=&amp;quot;true&amp;quot; msdata:Locale=&amp;quot;en-US&amp;quot;&amp;gt;_x000d__x000a_      &amp;lt;xs:complexType&amp;gt;_x000d__x000a_        &amp;lt;xs:choice minOccurs=&amp;quot;0&amp;quot; maxOccurs=&amp;quot;unbounded&amp;quot;&amp;gt;_x000d__x000a_          &amp;lt;xs:element name=&amp;quot;dt_DocumentCase&amp;quot;&amp;gt;_x000d__x000a_            &amp;lt;xs:complexType&amp;gt;_x000d__x000a_              &amp;lt;xs:sequence&amp;gt;_x000d__x000a_                &amp;lt;xs:element name=&amp;quot;CaseID&amp;quot; type=&amp;quot;xs:int&amp;quot; /&amp;gt;_x000d__x000a_                &amp;lt;xs:element name=&amp;quot;DocumentID&amp;quot; type=&amp;quot;xs:int&amp;quot; /&amp;gt;_x000d__x000a_              &amp;lt;/xs:sequence&amp;gt;_x000d__x000a_            &amp;lt;/xs:complexType&amp;gt;_x000d__x000a_          &amp;lt;/xs:element&amp;gt;_x000d__x000a_          &amp;lt;xs:element name=&amp;quot;dt_Bookmark&amp;quot;&amp;gt;_x000d__x000a_            &amp;lt;xs:complexType&amp;gt;_x000d__x000a_              &amp;lt;xs:sequence&amp;gt;_x000d__x000a_                &amp;lt;xs:element name=&amp;quot;Bookmark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BookmarkName&amp;quot; type=&amp;quot;xs:string&amp;quot; minOccurs=&amp;quot;0&amp;quot; /&amp;gt;_x000d__x000a_                &amp;lt;xs:element name=&amp;quot;DocumentPage&amp;quot; type=&amp;quot;xs:int&amp;quot; minOccurs=&amp;quot;0&amp;quot; /&amp;gt;_x000d__x000a_              &amp;lt;/xs:sequence&amp;gt;_x000d__x000a_            &amp;lt;/xs:complexType&amp;gt;_x000d__x000a_          &amp;lt;/xs:element&amp;gt;_x000d__x000a_          &amp;lt;xs:element name=&amp;quot;dt_Document&amp;quot;&amp;gt;_x000d__x000a_            &amp;lt;xs:complexType&amp;gt;_x000d__x000a_              &amp;lt;xs:sequence&amp;gt;_x000d__x000a_                &amp;lt;xs:element name=&amp;quot;DocumentID&amp;quot; msdata:ReadOnly=&amp;quot;true&amp;quot; msdata:AutoIncrement=&amp;quot;true&amp;quot; msdata:AutoIncrementSeed=&amp;quot;-1&amp;quot; msdata:AutoIncrementStep=&amp;quot;-1&amp;quot; type=&amp;quot;xs:int&amp;quot; /&amp;gt;_x000d__x000a_                &amp;lt;xs:element name=&amp;quot;DocumentMainID&amp;quot; type=&amp;quot;xs:int&amp;quot; /&amp;gt;_x000d__x000a_                &amp;lt;xs:element name=&amp;quot;CaseID&amp;quot; type=&amp;quot;xs:int&amp;quot; minOccurs=&amp;quot;0&amp;quot; /&amp;gt;_x000d__x000a_                &amp;lt;xs:element name=&amp;quot;ConvertCaseID&amp;quot; type=&amp;quot;xs:int&amp;quot; minOccurs=&amp;quot;0&amp;quot; /&amp;gt;_x000d__x000a_                &amp;lt;xs:element name=&amp;quot;OldDocumentID&amp;quot; type=&amp;quot;xs:string&amp;quot; minOccurs=&amp;quot;0&amp;quot; /&amp;gt;_x000d__x000a_                &amp;lt;xs:element name=&amp;quot;OldCaseID&amp;quot; type=&amp;quot;xs:string&amp;quot; minOccurs=&amp;quot;0&amp;quot; /&amp;gt;_x000d__x000a_                &amp;lt;xs:element name=&amp;quot;DocumentIncludedDate&amp;quot; type=&amp;quot;xs:dateTime&amp;quot; /&amp;gt;_x000d__x000a_                &amp;lt;xs:element name=&amp;quot;DocumentDesc&amp;quot; type=&amp;quot;xs:string&amp;quot; /&amp;gt;_x000d__x000a_                &amp;lt;xs:element name=&amp;quot;DocumentDirectionID&amp;quot; type=&amp;quot;xs:int&amp;quot; minOccurs=&amp;quot;0&amp;quot; /&amp;gt;_x000d__x000a_                &amp;lt;xs:element name=&amp;quot;SourceID&amp;quot; type=&amp;quot;xs:int&amp;quot; minOccurs=&amp;quot;0&amp;quot; /&amp;gt;_x000d__x000a_                &amp;lt;xs:element name=&amp;quot;SavingMethodID&amp;quot; type=&amp;quot;xs:int&amp;quot; minOccurs=&amp;quot;0&amp;quot; /&amp;gt;_x000d__x000a_                &amp;lt;xs:element name=&amp;quot;PaperDocumentSavingPlace&amp;quot; type=&amp;quot;xs:string&amp;quot; minOccurs=&amp;quot;0&amp;quot; /&amp;gt;_x000d__x000a_                &amp;lt;xs:element name=&amp;quot;VersionNumber&amp;quot; type=&amp;quot;xs:int&amp;quot; /&amp;gt;_x000d__x000a_                &amp;lt;xs:element name=&amp;quot;DocumentVersionTypeID&amp;quot; type=&amp;quot;xs:int&amp;quot; minOccurs=&amp;quot;0&amp;quot; /&amp;gt;_x000d__x000a_                &amp;lt;xs:element name=&amp;quot;IsAttachment&amp;quot; type=&amp;quot;xs:boolean&amp;quot; /&amp;gt;_x000d__x000a_                &amp;lt;xs:element name=&amp;quot;AttachmentOrdinalNumber&amp;quot; type=&amp;quot;xs:int&amp;quot; minOccurs=&amp;quot;0&amp;quot; /&amp;gt;_x000d__x000a_                &amp;lt;xs:element name=&amp;quot;DocumentTypeID&amp;quot; type=&amp;quot;xs:int&amp;quot; minOccurs=&amp;quot;0&amp;quot; /&amp;gt;_x000d__x000a_                &amp;lt;xs:element name=&amp;quot;DocumentSavingDate&amp;quot; type=&amp;quot;xs:dateTime&amp;quot; minOccurs=&amp;quot;0&amp;quot; /&amp;gt;_x000d__x000a_                &amp;lt;xs:element name=&amp;quot;DocumentChangeDate&amp;quot; type=&amp;quot;xs:dateTime&amp;quot; /&amp;gt;_x000d__x000a_                &amp;lt;xs:element name=&amp;quot;IsScanned&amp;quot; type=&amp;quot;xs:boolean&amp;quot; minOccurs=&amp;quot;0&amp;quot; /&amp;gt;_x000d__x000a_                &amp;lt;xs:element name=&amp;quot;DocumentScanningDate&amp;quot; type=&amp;quot;xs:dateTime&amp;quot; minOccurs=&amp;quot;0&amp;quot; /&amp;gt;_x000d__x000a_                &amp;lt;xs:element name=&amp;quot;PageQuantity&amp;quot; type=&amp;quot;xs:int&amp;quot; minOccurs=&amp;quot;0&amp;quot; /&amp;gt;_x000d__x000a_                &amp;lt;xs:element name=&amp;quot;DocumentStatusID&amp;quot; type=&amp;quot;xs:int&amp;quot; minOccurs=&amp;quot;0&amp;quot; /&amp;gt;_x000d__x000a_                &amp;lt;xs:element name=&amp;quot;DocumentStatusChangeDate&amp;quot; type=&amp;quot;xs:dateTime&amp;quot; minOccurs=&amp;quot;0&amp;quot; /&amp;gt;_x000d__x000a_                &amp;lt;xs:element name=&amp;quot;TemplateID&amp;quot; type=&amp;quot;xs:int&amp;quot; minOccurs=&amp;quot;0&amp;quot; /&amp;gt;_x000d__x000a_                &amp;lt;xs:element name=&amp;quot;TemplateVersionID&amp;quot; type=&amp;quot;xs:int&amp;quot; minOccurs=&amp;quot;0&amp;quot; /&amp;gt;_x000d__x000a_                &amp;lt;xs:element name=&amp;quot;DocumentChangeUserID&amp;quot; type=&amp;quot;xs:string&amp;quot; minOccurs=&amp;quot;0&amp;quot; /&amp;gt;_x000d__x000a_                &amp;lt;xs:element name=&amp;quot;DocumentCreationUserID&amp;quot; type=&amp;quot;xs:string&amp;quot; minOccurs=&amp;quot;0&amp;quot; /&amp;gt;_x000d__x000a_                &amp;lt;xs:element name=&amp;quot;OriginalDocumentID&amp;quot; type=&amp;quot;xs:int&amp;quot; minOccurs=&amp;quot;0&amp;quot; /&amp;gt;_x000d__x000a_                &amp;lt;xs:element name=&amp;quot;PrivillegeID&amp;quot; type=&amp;quot;xs:int&amp;quot; /&amp;gt;_x000d__x000a_                &amp;lt;xs:element name=&amp;quot;FromPage&amp;quot; type=&amp;quot;xs:int&amp;quot; default=&amp;quot;0&amp;quot; minOccurs=&amp;quot;0&amp;quot; /&amp;gt;_x000d__x000a_                &amp;lt;xs:element name=&amp;quot;ToPage&amp;quot; type=&amp;quot;xs:int&amp;quot; default=&amp;quot;0&amp;quot; minOccurs=&amp;quot;0&amp;quot; /&amp;gt;_x000d__x000a_                &amp;lt;xs:element name=&amp;quot;IsScannedWithoutEntity&amp;quot; type=&amp;quot;xs:boolean&amp;quot; minOccurs=&amp;quot;0&amp;quot; /&amp;gt;_x000d__x000a_                &amp;lt;xs:element name=&amp;quot;DocumentComment&amp;quot; type=&amp;quot;xs:string&amp;quot; minOccurs=&amp;quot;0&amp;quot; /&amp;gt;_x000d__x000a_                &amp;lt;xs:element name=&amp;quot;BoxNumber&amp;quot; type=&amp;quot;xs:string&amp;quot; minOccurs=&amp;quot;0&amp;quot; /&amp;gt;_x000d__x000a_                &amp;lt;xs:element name=&amp;quot;Archive&amp;quot; type=&amp;quot;xs:string&amp;quot; minOccurs=&amp;quot;0&amp;quot; /&amp;gt;_x000d__x000a_                &amp;lt;xs:element name=&amp;quot;CasePartyID&amp;quot; type=&amp;quot;xs:int&amp;quot; minOccurs=&amp;quot;0&amp;quot; /&amp;gt;_x000d__x000a_                &amp;lt;xs:element name=&amp;quot;FileID&amp;quot; type=&amp;quot;xs:string&amp;quot; minOccurs=&amp;quot;0&amp;quot; /&amp;gt;_x000d__x000a_                &amp;lt;xs:element name=&amp;quot;OriginalFileID&amp;quot; type=&amp;quot;xs:string&amp;quot; minOccurs=&amp;quot;0&amp;quot; /&amp;gt;_x000d__x000a_                &amp;lt;xs:element name=&amp;quot;CaseDisplayNumber&amp;quot; type=&amp;quot;xs:string&amp;quot; minOccurs=&amp;quot;0&amp;quot; /&amp;gt;_x000d__x000a_                &amp;lt;xs:element name=&amp;quot;URL&amp;quot; type=&amp;quot;xs:string&amp;quot; minOccurs=&amp;quot;0&amp;quot; /&amp;gt;_x000d__x000a_                &amp;lt;xs:element name=&amp;quot;SplittedNumberOfPages&amp;quot; type=&amp;quot;xs:int&amp;quot; minOccurs=&amp;quot;0&amp;quot; /&amp;gt;_x000d__x000a_                &amp;lt;xs:element name=&amp;quot;isOliveProcessed&amp;quot; type=&amp;quot;xs:boolean&amp;quot; minOccurs=&amp;quot;0&amp;quot; /&amp;gt;_x000d__x000a_                &amp;lt;xs:element name=&amp;quot;CasePartyDisplayName&amp;quot; type=&amp;quot;xs:string&amp;quot; minOccurs=&amp;quot;0&amp;quot; /&amp;gt;_x000d__x000a_                &amp;lt;xs:element name=&amp;quot;OlivePriority&amp;quot; type=&amp;quot;xs:int&amp;quot; default=&amp;quot;1&amp;quot; minOccurs=&amp;quot;0&amp;quot; /&amp;gt;_x000d__x000a_                &amp;lt;xs:element name=&amp;quot;PreFetchUrl&amp;quot; type=&amp;quot;xs:string&amp;quot; minOccurs=&amp;quot;0&amp;quot; /&amp;gt;_x000d__x000a_                &amp;lt;xs:element name=&amp;quot;DocumentCdImportID&amp;quot; type=&amp;quot;xs:string&amp;quot; minOccurs=&amp;quot;0&amp;quot; /&amp;gt;_x000d__x000a_                &amp;lt;xs:element name=&amp;quot;MetaDataTypeID&amp;quot; type=&amp;quot;xs:int&amp;quot; minOccurs=&amp;quot;0&amp;quot; /&amp;gt;_x000d__x000a_                &amp;lt;xs:element name=&amp;quot;MetaDataChangeDate&amp;quot; type=&amp;quot;xs:dateTime&amp;quot; minOccurs=&amp;quot;0&amp;quot; /&amp;gt;_x000d__x000a_                &amp;lt;xs:element name=&amp;quot;MetaData&amp;quot; type=&amp;quot;xs:string&amp;quot; minOccurs=&amp;quot;0&amp;quot; /&amp;gt;_x000d__x000a_                &amp;lt;xs:element name=&amp;quot;NewVersionRequired&amp;quot; type=&amp;quot;xs:boolean&amp;quot; minOccurs=&amp;quot;0&amp;quot; /&amp;gt;_x000d__x000a_                &amp;lt;xs:element name=&amp;quot;IsReturned&amp;quot; type=&amp;quot;xs:boolean&amp;quot; default=&amp;quot;false&amp;quot; /&amp;gt;_x000d__x000a_                &amp;lt;xs:element name=&amp;quot;SignatureURL&amp;quot; type=&amp;quot;xs:string&amp;quot; minOccurs=&amp;quot;0&amp;quot; /&amp;gt;_x000d__x000a_                &amp;lt;xs:element name=&amp;quot;IsCritical&amp;quot; type=&amp;quot;xs:boolean&amp;quot; default=&amp;quot;false&amp;quot; minOccurs=&amp;quot;0&amp;quot; /&amp;gt;_x000d__x000a_                &amp;lt;xs:element name=&amp;quot;IsEntityCanceled&amp;quot; type=&amp;quot;xs:boolean&amp;quot; default=&amp;quot;false&amp;quot; /&amp;gt;_x000d__x000a_                &amp;lt;xs:element name=&amp;quot;IsRepresentativeRegistryOpenToPublic&amp;quot; type=&amp;quot;xs:boolean&amp;quot; default=&amp;quot;false&amp;quot; minOccurs=&amp;quot;0&amp;quot; /&amp;gt;_x000d__x000a_              &amp;lt;/xs:sequence&amp;gt;_x000d__x000a_            &amp;lt;/xs:complexType&amp;gt;_x000d__x000a_          &amp;lt;/xs:element&amp;gt;_x000d__x000a_          &amp;lt;xs:element name=&amp;quot;dt_DocumentNote&amp;quot;&amp;gt;_x000d__x000a_            &amp;lt;xs:complexType&amp;gt;_x000d__x000a_              &amp;lt;xs:sequence&amp;gt;_x000d__x000a_                &amp;lt;xs:element name=&amp;quot;DocumentNote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DocumentNoteCreateDate&amp;quot; type=&amp;quot;xs:dateTime&amp;quot; /&amp;gt;_x000d__x000a_                &amp;lt;xs:element name=&amp;quot;CreationUserID&amp;quot; type=&amp;quot;xs:string&amp;quot; /&amp;gt;_x000d__x000a_                &amp;lt;xs:element name=&amp;quot;DocumentNoteDesc&amp;quot; type=&amp;quot;xs:string&amp;quot; minOccurs=&amp;quot;0&amp;quot; /&amp;gt;_x000d__x000a_                &amp;lt;xs:element name=&amp;quot;DocumentNoteXML&amp;quot; type=&amp;quot;xs:string&amp;quot; minOccurs=&amp;quot;0&amp;quot; /&amp;gt;_x000d__x000a_                &amp;lt;xs:element name=&amp;quot;DescriptionPageNumber&amp;quot; type=&amp;quot;xs:int&amp;quot; minOccurs=&amp;quot;0&amp;quot; /&amp;gt;_x000d__x000a_                &amp;lt;xs:element name=&amp;quot;AccessTypeID&amp;quot; type=&amp;quot;xs:int&amp;quot; minOccurs=&amp;quot;0&amp;quot; /&amp;gt;_x000d__x000a_                &amp;lt;xs:element name=&amp;quot;NoteTypeID&amp;quot; type=&amp;quot;xs:int&amp;quot; minOccurs=&amp;quot;0&amp;quot; /&amp;gt;_x000d__x000a_                &amp;lt;xs:element name=&amp;quot;X1Location&amp;quot; type=&amp;quot;xs:decimal&amp;quot; /&amp;gt;_x000d__x000a_                &amp;lt;xs:element name=&amp;quot;X2Location&amp;quot; type=&amp;quot;xs:decimal&amp;quot; /&amp;gt;_x000d__x000a_                &amp;lt;xs:element name=&amp;quot;Y1Location&amp;quot; type=&amp;quot;xs:decimal&amp;quot; /&amp;gt;_x000d__x000a_                &amp;lt;xs:element name=&amp;quot;Y2Location&amp;quot; type=&amp;quot;xs:decimal&amp;quot; /&amp;gt;_x000d__x000a_                &amp;lt;xs:element name=&amp;quot;XmlContent&amp;quot; type=&amp;quot;xs:string&amp;quot; minOccurs=&amp;quot;0&amp;quot; /&amp;gt;_x000d__x000a_                &amp;lt;xs:element name=&amp;quot;X1RectLocation&amp;quot; type=&amp;quot;xs:decimal&amp;quot; /&amp;gt;_x000d__x000a_                &amp;lt;xs:element name=&amp;quot;X2RectLocation&amp;quot; type=&amp;quot;xs:decimal&amp;quot; /&amp;gt;_x000d__x000a_                &amp;lt;xs:element name=&amp;quot;Y1RectLocation&amp;quot; type=&amp;quot;xs:decimal&amp;quot; /&amp;gt;_x000d__x000a_                &amp;lt;xs:element name=&amp;quot;Y2RectLocation&amp;quot; type=&amp;quot;xs:decimal&amp;quot; /&amp;gt;_x000d__x000a_                &amp;lt;xs:element name=&amp;quot;IsPopupOpen&amp;quot; type=&amp;quot;xs:boolean&amp;quot; /&amp;gt;_x000d__x000a_                &amp;lt;xs:element name=&amp;quot;CDATA&amp;quot; type=&amp;quot;xs:string&amp;quot; minOccurs=&amp;quot;0&amp;quot; /&amp;gt;_x000d__x000a_                &amp;lt;xs:element name=&amp;quot;Title&amp;quot; type=&amp;quot;xs:string&amp;quot; minOccurs=&amp;quot;0&amp;quot; /&amp;gt;_x000d__x000a_                &amp;lt;xs:element name=&amp;quot;Page&amp;quot; type=&amp;quot;xs:int&amp;quot; minOccurs=&amp;quot;0&amp;quot; /&amp;gt;_x000d__x000a_                &amp;lt;xs:element name=&amp;quot;IsVisiable&amp;quot; type=&amp;quot;xs:boolean&amp;quot; default=&amp;quot;false&amp;quot; /&amp;gt;_x000d__x000a_              &amp;lt;/xs:sequence&amp;gt;_x000d__x000a_            &amp;lt;/xs:complexType&amp;gt;_x000d__x000a_          &amp;lt;/xs:element&amp;gt;_x000d__x000a_        &amp;lt;/xs:choice&amp;gt;_x000d__x000a_      &amp;lt;/xs:complexType&amp;gt;_x000d__x000a_      &amp;lt;xs:unique name=&amp;quot;Constraint1&amp;quot; msdata:PrimaryKey=&amp;quot;true&amp;quot;&amp;gt;_x000d__x000a_        &amp;lt;xs:selector xpath=&amp;quot;.//mstns:dt_DocumentCase&amp;quot; /&amp;gt;_x000d__x000a_        &amp;lt;xs:field xpath=&amp;quot;mstns:CaseID&amp;quot; /&amp;gt;_x000d__x000a_        &amp;lt;xs:field xpath=&amp;quot;mstns:DocumentID&amp;quot; /&amp;gt;_x000d__x000a_      &amp;lt;/xs:unique&amp;gt;_x000d__x000a_      &amp;lt;xs:unique name=&amp;quot;dt_Bookmark_Constraint1&amp;quot; msdata:ConstraintName=&amp;quot;Constraint1&amp;quot; msdata:PrimaryKey=&amp;quot;true&amp;quot;&amp;gt;_x000d__x000a_        &amp;lt;xs:selector xpath=&amp;quot;.//mstns:dt_Bookmark&amp;quot; /&amp;gt;_x000d__x000a_        &amp;lt;xs:field xpath=&amp;quot;mstns:BookmarkID&amp;quot; /&amp;gt;_x000d__x000a_      &amp;lt;/xs:unique&amp;gt;_x000d__x000a_      &amp;lt;xs:unique name=&amp;quot;dt_Document_Constraint1&amp;quot; msdata:ConstraintName=&amp;quot;Constraint1&amp;quot; msdata:PrimaryKey=&amp;quot;true&amp;quot;&amp;gt;_x000d__x000a_        &amp;lt;xs:selector xpath=&amp;quot;.//mstns:dt_Document&amp;quot; /&amp;gt;_x000d__x000a_        &amp;lt;xs:field xpath=&amp;quot;mstns:DocumentID&amp;quot; /&amp;gt;_x000d__x000a_      &amp;lt;/xs:unique&amp;gt;_x000d__x000a_      &amp;lt;xs:unique name=&amp;quot;DocumentDSKey1&amp;quot; msdata:PrimaryKey=&amp;quot;true&amp;quot;&amp;gt;_x000d__x000a_        &amp;lt;xs:selector xpath=&amp;quot;.//mstns:dt_DocumentNote&amp;quot; /&amp;gt;_x000d__x000a_        &amp;lt;xs:field xpath=&amp;quot;mstns:DocumentNoteID&amp;quot; /&amp;gt;_x000d__x000a_      &amp;lt;/xs:unique&amp;gt;_x000d__x000a_      &amp;lt;xs:keyref name=&amp;quot;dt_Documentdt_DocumentNote&amp;quot; refer=&amp;quot;dt_Document_Constraint1&amp;quot;&amp;gt;_x000d__x000a_        &amp;lt;xs:selector xpath=&amp;quot;.//mstns:dt_DocumentNote&amp;quot; /&amp;gt;_x000d__x000a_        &amp;lt;xs:field xpath=&amp;quot;mstns:DocumentID&amp;quot; /&amp;gt;_x000d__x000a_      &amp;lt;/xs:keyref&amp;gt;_x000d__x000a_      &amp;lt;xs:keyref name=&amp;quot;dt_Documentdt_Bookmark&amp;quot; refer=&amp;quot;dt_Document_Constraint1&amp;quot;&amp;gt;_x000d__x000a_        &amp;lt;xs:selector xpath=&amp;quot;.//mstns:dt_Bookmark&amp;quot; /&amp;gt;_x000d__x000a_        &amp;lt;xs:field xpath=&amp;quot;mstns:DocumentID&amp;quot; /&amp;gt;_x000d__x000a_      &amp;lt;/xs:keyref&amp;gt;_x000d__x000a_      &amp;lt;xs:keyref name=&amp;quot;dt_Documentdt_DocumentCase&amp;quot; refer=&amp;quot;dt_Document_Constraint1&amp;quot;&amp;gt;_x000d__x000a_        &amp;lt;xs:selector xpath=&amp;quot;.//mstns:dt_DocumentCase&amp;quot; /&amp;gt;_x000d__x000a_        &amp;lt;xs:field xpath=&amp;quot;mstns:Document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ocumentDS xmlns=&amp;quot;http://www.tempuri.org/DocumentDS.xsd&amp;quot;&amp;gt;_x000d__x000a_      &amp;lt;dt_DocumentCase diffgr:id=&amp;quot;dt_DocumentCase1&amp;quot; msdata:rowOrder=&amp;quot;0&amp;quot;&amp;gt;_x000d__x000a_        &amp;lt;CaseID&amp;gt;70863920&amp;lt;/CaseID&amp;gt;_x000d__x000a_        &amp;lt;DocumentID&amp;gt;193809602&amp;lt;/DocumentID&amp;gt;_x000d__x000a_      &amp;lt;/dt_DocumentCase&amp;gt;_x000d__x000a_      &amp;lt;dt_Document diffgr:id=&amp;quot;dt_Document1&amp;quot; msdata:rowOrder=&amp;quot;0&amp;quot;&amp;gt;_x000d__x000a_        &amp;lt;DocumentID&amp;gt;193809602&amp;lt;/DocumentID&amp;gt;_x000d__x000a_        &amp;lt;DocumentMainID&amp;gt;0&amp;lt;/DocumentMainID&amp;gt;_x000d__x000a_        &amp;lt;CaseID&amp;gt;70863920&amp;lt;/CaseID&amp;gt;_x000d__x000a_        &amp;lt;DocumentIncludedDate&amp;gt;2014-12-29T13:22:10.77+02:00&amp;lt;/DocumentIncludedDate&amp;gt;_x000d__x000a_        &amp;lt;DocumentDesc&amp;gt;גזר דין  שניתנה ע&amp;quot;י  יוסף אלרון&amp;lt;/DocumentDesc&amp;gt;_x000d__x000a_        &amp;lt;DocumentDirectionID&amp;gt;2&amp;lt;/DocumentDirectionID&amp;gt;_x000d__x000a_        &amp;lt;SourceID&amp;gt;1&amp;lt;/SourceID&amp;gt;_x000d__x000a_        &amp;lt;VersionNumber&amp;gt;1&amp;lt;/VersionNumber&amp;gt;_x000d__x000a_        &amp;lt;DocumentVersionTypeID&amp;gt;1&amp;lt;/DocumentVersionTypeID&amp;gt;_x000d__x000a_        &amp;lt;IsAttachment&amp;gt;false&amp;lt;/IsAttachment&amp;gt;_x000d__x000a_        &amp;lt;AttachmentOrdinalNumber&amp;gt;0&amp;lt;/AttachmentOrdinalNumber&amp;gt;_x000d__x000a_        &amp;lt;DocumentTypeID&amp;gt;74&amp;lt;/DocumentTypeID&amp;gt;_x000d__x000a_        &amp;lt;DocumentSavingDate&amp;gt;2014-12-29T13:22:10.77+02:00&amp;lt;/DocumentSavingDate&amp;gt;_x000d__x000a_        &amp;lt;DocumentChangeDate&amp;gt;2014-12-29T13:22:11+02:00&amp;lt;/DocumentChangeDate&amp;gt;_x000d__x000a_        &amp;lt;IsScanned&amp;gt;false&amp;lt;/IsScanned&amp;gt;_x000d__x000a_        &amp;lt;PageQuantity&amp;gt;0&amp;lt;/PageQuantity&amp;gt;_x000d__x000a_        &amp;lt;DocumentStatusID&amp;gt;2&amp;lt;/DocumentStatusID&amp;gt;_x000d__x000a_        &amp;lt;DocumentStatusChangeDate&amp;gt;2014-12-29T13:22:11+02:00&amp;lt;/DocumentStatusChangeDate&amp;gt;_x000d__x000a_        &amp;lt;TemplateVersionID&amp;gt;1&amp;lt;/TemplateVersionID&amp;gt;_x000d__x000a_        &amp;lt;DocumentChangeUserID&amp;gt;053565529@GOV.IL&amp;lt;/DocumentChangeUserID&amp;gt;_x000d__x000a_        &amp;lt;DocumentCreationUserID&amp;gt;053565529@GOV.IL&amp;lt;/DocumentCreationUserID&amp;gt;_x000d__x000a_        &amp;lt;OriginalDocumentID&amp;gt;190671040&amp;lt;/OriginalDocumentID&amp;gt;_x000d__x000a_        &amp;lt;PrivillegeID&amp;gt;2&amp;lt;/PrivillegeID&amp;gt;_x000d__x000a_        &amp;lt;FromPage&amp;gt;0&amp;lt;/FromPage&amp;gt;_x000d__x000a_        &amp;lt;ToPage&amp;gt;0&amp;lt;/ToPage&amp;gt;_x000d__x000a_        &amp;lt;FileID&amp;gt;6f2ac8954a010000090037f68dd8c401&amp;lt;/FileID&amp;gt;_x000d__x000a_        &amp;lt;URL&amp;gt;\\CTLNFSV02\doc_repository\683\275\624d4136714c46fda86acbd2ab1b80b1_copy.docx&amp;lt;/URL&amp;gt;_x000d__x000a_        &amp;lt;OlivePriority&amp;gt;1&amp;lt;/OlivePriority&amp;gt;_x000d__x000a_        &amp;lt;MetaDataTypeID&amp;gt;1&amp;lt;/MetaDataTypeID&amp;gt;_x000d__x000a_        &amp;lt;MetaDataChangeDate&amp;gt;2014-12-29T13:22:11+02:00&amp;lt;/MetaDataChangeDate&amp;gt;_x000d__x000a_        &amp;lt;MetaData&amp;gt;&amp;amp;lt;?xml version=&amp;quot;1.0&amp;quot; encoding=&amp;quot;utf-16&amp;quot;?&amp;amp;gt;_x000d__x000a_&amp;amp;lt;MetaDataSerializableObject xmlns:xsd=&amp;quot;http://www.w3.org/2001/XMLSchema&amp;quot; xmlns:xsi=&amp;quot;http://www.w3.org/2001/XMLSchema-instance&amp;quot;&amp;amp;gt;_x000d__x000a_  &amp;amp;lt;_keys&amp;amp;gt;_x000d__x000a_    &amp;amp;lt;string&amp;amp;gt;decisionType&amp;amp;lt;/string&amp;amp;gt;_x000d__x000a_    &amp;amp;lt;string&amp;amp;gt;technicalDecision&amp;amp;lt;/string&amp;amp;gt;_x000d__x000a_    &amp;amp;lt;string&amp;amp;gt;judgeName&amp;amp;lt;/string&amp;amp;gt;_x000d__x000a_    &amp;amp;lt;string&amp;amp;gt;decisionDate&amp;amp;lt;/string&amp;amp;gt;_x000d__x000a_  &amp;amp;lt;/_keys&amp;amp;gt;_x000d__x000a_  &amp;amp;lt;_values&amp;amp;gt;_x000d__x000a_    &amp;amp;lt;anyType xsi:type=&amp;quot;xsd:string&amp;quot;&amp;amp;gt;4&amp;amp;lt;/anyType&amp;amp;gt;_x000d__x000a_    &amp;amp;lt;anyType xsi:type=&amp;quot;xsd:string&amp;quot;&amp;amp;gt;1&amp;amp;lt;/anyType&amp;amp;gt;_x000d__x000a_    &amp;amp;lt;anyType xsi:type=&amp;quot;xsd:string&amp;quot;&amp;amp;gt;יוסף אלרון&amp;amp;lt;/anyType&amp;amp;gt;_x000d__x000a_    &amp;amp;lt;anyType xsi:type=&amp;quot;xsd:dateTime&amp;quot;&amp;amp;gt;2014-12-11T13:24:07.012938&amp;amp;lt;/anyType&amp;amp;gt;_x000d__x000a_  &amp;amp;lt;/_values&amp;amp;gt;_x000d__x000a_&amp;amp;lt;/MetaDataSerializableObject&amp;amp;gt;&amp;lt;/MetaData&amp;gt;_x000d__x000a_        &amp;lt;IsReturned&amp;gt;false&amp;lt;/IsReturned&amp;gt;_x000d__x000a_        &amp;lt;IsCritical&amp;gt;true&amp;lt;/IsCritical&amp;gt;_x000d__x000a_        &amp;lt;IsEntityCanceled&amp;gt;false&amp;lt;/IsEntityCanceled&amp;gt;_x000d__x000a_        &amp;lt;IsRepresentativeRegistryOpenToPublic&amp;gt;false&amp;lt;/IsRepresentativeRegistryOpenToPublic&amp;gt;_x000d__x000a_      &amp;lt;/dt_Document&amp;gt;_x000d__x000a_    &amp;lt;/DocumentDS&amp;gt;_x000d__x000a_  &amp;lt;/diffgr:diffgram&amp;gt;_x000d__x000a_&amp;lt;/DocumentDS&amp;gt;"/>
    <w:docVar w:name="MyInfo" w:val="This document was extracted from Nevo's site"/>
    <w:docVar w:name="WordClientAssemblyName" w:val="NGCS.Decision.ClientWordBL"/>
    <w:docVar w:name="WordClientClassName" w:val="NGCS.Decision.ClientWordBL.VersionWordClient"/>
  </w:docVars>
  <w:rsids>
    <w:rsidRoot w:val="00507694"/>
    <w:rsid w:val="00005B31"/>
    <w:rsid w:val="000213C2"/>
    <w:rsid w:val="00054FC4"/>
    <w:rsid w:val="0005512E"/>
    <w:rsid w:val="0006726A"/>
    <w:rsid w:val="000C647D"/>
    <w:rsid w:val="000D2FAF"/>
    <w:rsid w:val="00100577"/>
    <w:rsid w:val="00140C6B"/>
    <w:rsid w:val="00180C2F"/>
    <w:rsid w:val="001B1D25"/>
    <w:rsid w:val="001D628B"/>
    <w:rsid w:val="00212125"/>
    <w:rsid w:val="00294059"/>
    <w:rsid w:val="002D6C61"/>
    <w:rsid w:val="002F51C1"/>
    <w:rsid w:val="00354E14"/>
    <w:rsid w:val="00367565"/>
    <w:rsid w:val="003B0B84"/>
    <w:rsid w:val="003E0C9F"/>
    <w:rsid w:val="00431808"/>
    <w:rsid w:val="004B22F6"/>
    <w:rsid w:val="00507694"/>
    <w:rsid w:val="0058727D"/>
    <w:rsid w:val="005B4355"/>
    <w:rsid w:val="005B7BFE"/>
    <w:rsid w:val="005C7B0B"/>
    <w:rsid w:val="00606C76"/>
    <w:rsid w:val="00625B62"/>
    <w:rsid w:val="00683ABD"/>
    <w:rsid w:val="00684E84"/>
    <w:rsid w:val="00724163"/>
    <w:rsid w:val="007469E5"/>
    <w:rsid w:val="00757983"/>
    <w:rsid w:val="00776D8D"/>
    <w:rsid w:val="007E0D10"/>
    <w:rsid w:val="007F5C4E"/>
    <w:rsid w:val="00821F29"/>
    <w:rsid w:val="00825DC0"/>
    <w:rsid w:val="00832D73"/>
    <w:rsid w:val="0085271D"/>
    <w:rsid w:val="00891554"/>
    <w:rsid w:val="008C38F6"/>
    <w:rsid w:val="008F2996"/>
    <w:rsid w:val="00936E7D"/>
    <w:rsid w:val="00961AA7"/>
    <w:rsid w:val="00972E6A"/>
    <w:rsid w:val="009A7BA1"/>
    <w:rsid w:val="009C7B5C"/>
    <w:rsid w:val="009E35A7"/>
    <w:rsid w:val="009E49A1"/>
    <w:rsid w:val="00A44B4A"/>
    <w:rsid w:val="00A47542"/>
    <w:rsid w:val="00A504C4"/>
    <w:rsid w:val="00A520A5"/>
    <w:rsid w:val="00AD733F"/>
    <w:rsid w:val="00B05847"/>
    <w:rsid w:val="00B10AD3"/>
    <w:rsid w:val="00B1214A"/>
    <w:rsid w:val="00B22E0A"/>
    <w:rsid w:val="00B27025"/>
    <w:rsid w:val="00BD67E7"/>
    <w:rsid w:val="00BE0015"/>
    <w:rsid w:val="00C02463"/>
    <w:rsid w:val="00C55E62"/>
    <w:rsid w:val="00C572E8"/>
    <w:rsid w:val="00C96135"/>
    <w:rsid w:val="00D202F4"/>
    <w:rsid w:val="00D24B1D"/>
    <w:rsid w:val="00D3203D"/>
    <w:rsid w:val="00D63DCD"/>
    <w:rsid w:val="00D677B0"/>
    <w:rsid w:val="00D72A01"/>
    <w:rsid w:val="00D85EBF"/>
    <w:rsid w:val="00DA2201"/>
    <w:rsid w:val="00DA5C33"/>
    <w:rsid w:val="00DD744A"/>
    <w:rsid w:val="00E70F9C"/>
    <w:rsid w:val="00F47304"/>
    <w:rsid w:val="00F77FD4"/>
    <w:rsid w:val="00FB4DCE"/>
    <w:rsid w:val="00FC519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9AB72FB"/>
  <w15:chartTrackingRefBased/>
  <w15:docId w15:val="{7EA17F52-C3B5-48D3-B9AD-6497635C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B41"/>
    <w:pPr>
      <w:bidi/>
    </w:pPr>
    <w:rPr>
      <w:rFonts w:cs="David"/>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724163"/>
    <w:pPr>
      <w:keepNext/>
      <w:spacing w:line="360" w:lineRule="auto"/>
      <w:jc w:val="both"/>
      <w:outlineLvl w:val="2"/>
    </w:pPr>
    <w:rPr>
      <w:b/>
      <w:bCs/>
      <w:noProof/>
      <w:sz w:val="20"/>
      <w:lang w:eastAsia="he-IL"/>
    </w:rPr>
  </w:style>
  <w:style w:type="paragraph" w:styleId="4">
    <w:name w:val="heading 4"/>
    <w:basedOn w:val="a"/>
    <w:next w:val="a"/>
    <w:qFormat/>
    <w:rsid w:val="003A7B4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A7B41"/>
    <w:pPr>
      <w:tabs>
        <w:tab w:val="center" w:pos="4153"/>
        <w:tab w:val="right" w:pos="8306"/>
      </w:tabs>
    </w:pPr>
  </w:style>
  <w:style w:type="paragraph" w:styleId="a4">
    <w:name w:val="footer"/>
    <w:basedOn w:val="a"/>
    <w:rsid w:val="003A7B41"/>
    <w:pPr>
      <w:tabs>
        <w:tab w:val="center" w:pos="4153"/>
        <w:tab w:val="right" w:pos="8306"/>
      </w:tabs>
    </w:pPr>
  </w:style>
  <w:style w:type="character" w:styleId="a5">
    <w:name w:val="annotation reference"/>
    <w:semiHidden/>
    <w:rsid w:val="003A7B41"/>
    <w:rPr>
      <w:sz w:val="16"/>
      <w:szCs w:val="16"/>
    </w:rPr>
  </w:style>
  <w:style w:type="paragraph" w:styleId="a6">
    <w:name w:val="annotation text"/>
    <w:basedOn w:val="a"/>
    <w:semiHidden/>
    <w:rsid w:val="003A7B41"/>
    <w:rPr>
      <w:rFonts w:cs="Times New Roman"/>
      <w:lang w:eastAsia="he-IL"/>
    </w:rPr>
  </w:style>
  <w:style w:type="paragraph" w:styleId="a7">
    <w:name w:val="Balloon Text"/>
    <w:basedOn w:val="a"/>
    <w:semiHidden/>
    <w:rsid w:val="003A7B41"/>
    <w:rPr>
      <w:rFonts w:ascii="Tahoma" w:hAnsi="Tahoma" w:cs="Tahoma"/>
      <w:sz w:val="16"/>
      <w:szCs w:val="16"/>
    </w:rPr>
  </w:style>
  <w:style w:type="table" w:styleId="a8">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style>
  <w:style w:type="character" w:customStyle="1" w:styleId="30">
    <w:name w:val="כותרת 3 תו"/>
    <w:link w:val="3"/>
    <w:rsid w:val="00724163"/>
    <w:rPr>
      <w:rFonts w:cs="David"/>
      <w:b/>
      <w:bCs/>
      <w:noProof/>
      <w:szCs w:val="24"/>
      <w:lang w:eastAsia="he-IL"/>
    </w:rPr>
  </w:style>
  <w:style w:type="character" w:styleId="Hyperlink">
    <w:name w:val="Hyperlink"/>
    <w:unhideWhenUsed/>
    <w:rsid w:val="00724163"/>
    <w:rPr>
      <w:color w:val="0000FF"/>
      <w:u w:val="single"/>
    </w:rPr>
  </w:style>
  <w:style w:type="paragraph" w:customStyle="1" w:styleId="aa">
    <w:name w:val="שמות"/>
    <w:basedOn w:val="a"/>
    <w:rsid w:val="00724163"/>
    <w:pPr>
      <w:suppressLineNumbers/>
      <w:snapToGrid w:val="0"/>
      <w:spacing w:line="360" w:lineRule="auto"/>
      <w:jc w:val="both"/>
    </w:pPr>
    <w:rPr>
      <w:b/>
      <w:bCs/>
      <w:sz w:val="22"/>
      <w:lang w:eastAsia="he-IL"/>
    </w:rPr>
  </w:style>
  <w:style w:type="character" w:customStyle="1" w:styleId="QuoteChar">
    <w:name w:val="Quote Char"/>
    <w:link w:val="10"/>
    <w:locked/>
    <w:rsid w:val="00724163"/>
    <w:rPr>
      <w:rFonts w:cs="FrankRuehl"/>
      <w:szCs w:val="24"/>
      <w:lang w:eastAsia="he-IL"/>
    </w:rPr>
  </w:style>
  <w:style w:type="paragraph" w:customStyle="1" w:styleId="10">
    <w:name w:val="ציטוט1"/>
    <w:basedOn w:val="a"/>
    <w:link w:val="QuoteChar"/>
    <w:rsid w:val="00724163"/>
    <w:pPr>
      <w:overflowPunct w:val="0"/>
      <w:autoSpaceDE w:val="0"/>
      <w:autoSpaceDN w:val="0"/>
      <w:adjustRightInd w:val="0"/>
      <w:spacing w:after="220" w:line="270" w:lineRule="exact"/>
      <w:ind w:left="454" w:right="454"/>
      <w:jc w:val="both"/>
    </w:pPr>
    <w:rPr>
      <w:rFonts w:cs="FrankRuehl"/>
      <w:sz w:val="20"/>
      <w:lang w:eastAsia="he-IL"/>
    </w:rPr>
  </w:style>
  <w:style w:type="paragraph" w:customStyle="1" w:styleId="11">
    <w:name w:val="פיסקת רשימה1"/>
    <w:basedOn w:val="a"/>
    <w:rsid w:val="00724163"/>
    <w:pPr>
      <w:spacing w:after="200" w:line="276" w:lineRule="auto"/>
      <w:ind w:left="720"/>
    </w:pPr>
    <w:rPr>
      <w:rFonts w:ascii="Calibri" w:hAnsi="Calibri" w:cs="Arial"/>
      <w:sz w:val="22"/>
      <w:szCs w:val="22"/>
    </w:rPr>
  </w:style>
  <w:style w:type="paragraph" w:customStyle="1" w:styleId="ab">
    <w:name w:val="פזית"/>
    <w:basedOn w:val="a"/>
    <w:rsid w:val="00724163"/>
    <w:pPr>
      <w:spacing w:line="360" w:lineRule="auto"/>
    </w:pPr>
    <w:rPr>
      <w:rFonts w:eastAsia="David"/>
    </w:rPr>
  </w:style>
  <w:style w:type="character" w:customStyle="1" w:styleId="Ruller4">
    <w:name w:val="Ruller4 תו"/>
    <w:link w:val="Ruller40"/>
    <w:locked/>
    <w:rsid w:val="00724163"/>
    <w:rPr>
      <w:rFonts w:ascii="Arial TUR" w:hAnsi="Arial TUR" w:cs="FrankRuehl"/>
      <w:spacing w:val="10"/>
      <w:sz w:val="22"/>
      <w:szCs w:val="28"/>
    </w:rPr>
  </w:style>
  <w:style w:type="paragraph" w:customStyle="1" w:styleId="Ruller40">
    <w:name w:val="Ruller4"/>
    <w:basedOn w:val="a"/>
    <w:link w:val="Ruller4"/>
    <w:rsid w:val="00724163"/>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styleId="ac">
    <w:name w:val="List Paragraph"/>
    <w:basedOn w:val="a"/>
    <w:qFormat/>
    <w:rsid w:val="00354E14"/>
    <w:pPr>
      <w:spacing w:after="200" w:line="276" w:lineRule="auto"/>
      <w:ind w:left="720"/>
      <w:contextualSpacing/>
    </w:pPr>
    <w:rPr>
      <w:rFonts w:ascii="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489831">
      <w:bodyDiv w:val="1"/>
      <w:marLeft w:val="0"/>
      <w:marRight w:val="0"/>
      <w:marTop w:val="0"/>
      <w:marBottom w:val="0"/>
      <w:divBdr>
        <w:top w:val="none" w:sz="0" w:space="0" w:color="auto"/>
        <w:left w:val="none" w:sz="0" w:space="0" w:color="auto"/>
        <w:bottom w:val="none" w:sz="0" w:space="0" w:color="auto"/>
        <w:right w:val="none" w:sz="0" w:space="0" w:color="auto"/>
      </w:divBdr>
    </w:div>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case/5581017" TargetMode="External"/><Relationship Id="rId18" Type="http://schemas.openxmlformats.org/officeDocument/2006/relationships/hyperlink" Target="http://www.nevo.co.il/case/17923198" TargetMode="External"/><Relationship Id="rId26" Type="http://schemas.openxmlformats.org/officeDocument/2006/relationships/hyperlink" Target="http://www.nevo.co.il/case/5606398" TargetMode="External"/><Relationship Id="rId39" Type="http://schemas.openxmlformats.org/officeDocument/2006/relationships/footer" Target="footer1.xml"/><Relationship Id="rId21" Type="http://schemas.openxmlformats.org/officeDocument/2006/relationships/hyperlink" Target="http://www.nevo.co.il/case/5760328" TargetMode="External"/><Relationship Id="rId34" Type="http://schemas.openxmlformats.org/officeDocument/2006/relationships/hyperlink" Target="http://www.nevo.co.il/case/5933664"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case/10442539" TargetMode="External"/><Relationship Id="rId20" Type="http://schemas.openxmlformats.org/officeDocument/2006/relationships/hyperlink" Target="http://www.nevo.co.il/case/5891863" TargetMode="External"/><Relationship Id="rId29" Type="http://schemas.openxmlformats.org/officeDocument/2006/relationships/hyperlink" Target="http://www.nevo.co.il/safrut/book/987" TargetMode="Externa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case/161892" TargetMode="External"/><Relationship Id="rId24" Type="http://schemas.openxmlformats.org/officeDocument/2006/relationships/hyperlink" Target="http://www.nevo.co.il/case/6030803" TargetMode="External"/><Relationship Id="rId32" Type="http://schemas.openxmlformats.org/officeDocument/2006/relationships/hyperlink" Target="http://www.nevo.co.il/case/5590418"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evo.co.il/case/7029339" TargetMode="External"/><Relationship Id="rId23" Type="http://schemas.openxmlformats.org/officeDocument/2006/relationships/hyperlink" Target="http://www.nevo.co.il/case/5840037" TargetMode="External"/><Relationship Id="rId28" Type="http://schemas.openxmlformats.org/officeDocument/2006/relationships/hyperlink" Target="http://www.nevo.co.il/safrut/book/15850"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case/5569233" TargetMode="External"/><Relationship Id="rId19" Type="http://schemas.openxmlformats.org/officeDocument/2006/relationships/hyperlink" Target="http://www.nevo.co.il/case/5731188" TargetMode="External"/><Relationship Id="rId31" Type="http://schemas.openxmlformats.org/officeDocument/2006/relationships/hyperlink" Target="http://www.nevo.co.il/case/6245782" TargetMode="External"/><Relationship Id="rId4" Type="http://schemas.openxmlformats.org/officeDocument/2006/relationships/settings" Target="settings.xml"/><Relationship Id="rId9" Type="http://schemas.openxmlformats.org/officeDocument/2006/relationships/hyperlink" Target="http://www.nevo.co.il/case/6242070" TargetMode="External"/><Relationship Id="rId14" Type="http://schemas.openxmlformats.org/officeDocument/2006/relationships/hyperlink" Target="http://www.nevo.co.il/case/5569233" TargetMode="External"/><Relationship Id="rId22" Type="http://schemas.openxmlformats.org/officeDocument/2006/relationships/hyperlink" Target="http://www.nevo.co.il/case/7807298" TargetMode="External"/><Relationship Id="rId27" Type="http://schemas.openxmlformats.org/officeDocument/2006/relationships/hyperlink" Target="http://www.nevo.co.il/case/13054959" TargetMode="External"/><Relationship Id="rId30" Type="http://schemas.openxmlformats.org/officeDocument/2006/relationships/hyperlink" Target="http://www.nevo.co.il/case/6248029" TargetMode="External"/><Relationship Id="rId35" Type="http://schemas.openxmlformats.org/officeDocument/2006/relationships/hyperlink" Target="http://www.nevo.co.il/case/5592762" TargetMode="External"/><Relationship Id="rId8" Type="http://schemas.openxmlformats.org/officeDocument/2006/relationships/hyperlink" Target="http://www.nevo.co.il/safrut/book/15850" TargetMode="External"/><Relationship Id="rId3" Type="http://schemas.openxmlformats.org/officeDocument/2006/relationships/styles" Target="styles.xml"/><Relationship Id="rId12" Type="http://schemas.openxmlformats.org/officeDocument/2006/relationships/hyperlink" Target="http://www.nevo.co.il/case/7029339" TargetMode="External"/><Relationship Id="rId17" Type="http://schemas.openxmlformats.org/officeDocument/2006/relationships/hyperlink" Target="http://www.nevo.co.il/case/5603643" TargetMode="External"/><Relationship Id="rId25" Type="http://schemas.openxmlformats.org/officeDocument/2006/relationships/hyperlink" Target="http://www.nevo.co.il/case/7697315" TargetMode="External"/><Relationship Id="rId33" Type="http://schemas.openxmlformats.org/officeDocument/2006/relationships/hyperlink" Target="http://www.nevo.co.il/case/11206432"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5148</Words>
  <Characters>25743</Characters>
  <Application>Microsoft Office Word</Application>
  <DocSecurity>0</DocSecurity>
  <Lines>214</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30830</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3735669</vt:i4>
      </vt:variant>
      <vt:variant>
        <vt:i4>84</vt:i4>
      </vt:variant>
      <vt:variant>
        <vt:i4>0</vt:i4>
      </vt:variant>
      <vt:variant>
        <vt:i4>5</vt:i4>
      </vt:variant>
      <vt:variant>
        <vt:lpwstr>http://www.nevo.co.il/case/5592762</vt:lpwstr>
      </vt:variant>
      <vt:variant>
        <vt:lpwstr/>
      </vt:variant>
      <vt:variant>
        <vt:i4>3407992</vt:i4>
      </vt:variant>
      <vt:variant>
        <vt:i4>81</vt:i4>
      </vt:variant>
      <vt:variant>
        <vt:i4>0</vt:i4>
      </vt:variant>
      <vt:variant>
        <vt:i4>5</vt:i4>
      </vt:variant>
      <vt:variant>
        <vt:lpwstr>http://www.nevo.co.il/case/5933664</vt:lpwstr>
      </vt:variant>
      <vt:variant>
        <vt:lpwstr/>
      </vt:variant>
      <vt:variant>
        <vt:i4>3539057</vt:i4>
      </vt:variant>
      <vt:variant>
        <vt:i4>78</vt:i4>
      </vt:variant>
      <vt:variant>
        <vt:i4>0</vt:i4>
      </vt:variant>
      <vt:variant>
        <vt:i4>5</vt:i4>
      </vt:variant>
      <vt:variant>
        <vt:lpwstr>http://www.nevo.co.il/case/11206432</vt:lpwstr>
      </vt:variant>
      <vt:variant>
        <vt:lpwstr/>
      </vt:variant>
      <vt:variant>
        <vt:i4>3145840</vt:i4>
      </vt:variant>
      <vt:variant>
        <vt:i4>75</vt:i4>
      </vt:variant>
      <vt:variant>
        <vt:i4>0</vt:i4>
      </vt:variant>
      <vt:variant>
        <vt:i4>5</vt:i4>
      </vt:variant>
      <vt:variant>
        <vt:lpwstr>http://www.nevo.co.il/case/5590418</vt:lpwstr>
      </vt:variant>
      <vt:variant>
        <vt:lpwstr/>
      </vt:variant>
      <vt:variant>
        <vt:i4>3604603</vt:i4>
      </vt:variant>
      <vt:variant>
        <vt:i4>72</vt:i4>
      </vt:variant>
      <vt:variant>
        <vt:i4>0</vt:i4>
      </vt:variant>
      <vt:variant>
        <vt:i4>5</vt:i4>
      </vt:variant>
      <vt:variant>
        <vt:lpwstr>http://www.nevo.co.il/case/6245782</vt:lpwstr>
      </vt:variant>
      <vt:variant>
        <vt:lpwstr/>
      </vt:variant>
      <vt:variant>
        <vt:i4>3866748</vt:i4>
      </vt:variant>
      <vt:variant>
        <vt:i4>69</vt:i4>
      </vt:variant>
      <vt:variant>
        <vt:i4>0</vt:i4>
      </vt:variant>
      <vt:variant>
        <vt:i4>5</vt:i4>
      </vt:variant>
      <vt:variant>
        <vt:lpwstr>http://www.nevo.co.il/case/6248029</vt:lpwstr>
      </vt:variant>
      <vt:variant>
        <vt:lpwstr/>
      </vt:variant>
      <vt:variant>
        <vt:i4>4784137</vt:i4>
      </vt:variant>
      <vt:variant>
        <vt:i4>66</vt:i4>
      </vt:variant>
      <vt:variant>
        <vt:i4>0</vt:i4>
      </vt:variant>
      <vt:variant>
        <vt:i4>5</vt:i4>
      </vt:variant>
      <vt:variant>
        <vt:lpwstr>http://www.nevo.co.il/safrut/book/987</vt:lpwstr>
      </vt:variant>
      <vt:variant>
        <vt:lpwstr/>
      </vt:variant>
      <vt:variant>
        <vt:i4>7405625</vt:i4>
      </vt:variant>
      <vt:variant>
        <vt:i4>63</vt:i4>
      </vt:variant>
      <vt:variant>
        <vt:i4>0</vt:i4>
      </vt:variant>
      <vt:variant>
        <vt:i4>5</vt:i4>
      </vt:variant>
      <vt:variant>
        <vt:lpwstr>http://www.nevo.co.il/safrut/book/15850</vt:lpwstr>
      </vt:variant>
      <vt:variant>
        <vt:lpwstr/>
      </vt:variant>
      <vt:variant>
        <vt:i4>3145851</vt:i4>
      </vt:variant>
      <vt:variant>
        <vt:i4>60</vt:i4>
      </vt:variant>
      <vt:variant>
        <vt:i4>0</vt:i4>
      </vt:variant>
      <vt:variant>
        <vt:i4>5</vt:i4>
      </vt:variant>
      <vt:variant>
        <vt:lpwstr>http://www.nevo.co.il/case/13054959</vt:lpwstr>
      </vt:variant>
      <vt:variant>
        <vt:lpwstr/>
      </vt:variant>
      <vt:variant>
        <vt:i4>4063357</vt:i4>
      </vt:variant>
      <vt:variant>
        <vt:i4>57</vt:i4>
      </vt:variant>
      <vt:variant>
        <vt:i4>0</vt:i4>
      </vt:variant>
      <vt:variant>
        <vt:i4>5</vt:i4>
      </vt:variant>
      <vt:variant>
        <vt:lpwstr>http://www.nevo.co.il/case/5606398</vt:lpwstr>
      </vt:variant>
      <vt:variant>
        <vt:lpwstr/>
      </vt:variant>
      <vt:variant>
        <vt:i4>3670132</vt:i4>
      </vt:variant>
      <vt:variant>
        <vt:i4>54</vt:i4>
      </vt:variant>
      <vt:variant>
        <vt:i4>0</vt:i4>
      </vt:variant>
      <vt:variant>
        <vt:i4>5</vt:i4>
      </vt:variant>
      <vt:variant>
        <vt:lpwstr>http://www.nevo.co.il/case/7697315</vt:lpwstr>
      </vt:variant>
      <vt:variant>
        <vt:lpwstr/>
      </vt:variant>
      <vt:variant>
        <vt:i4>4063348</vt:i4>
      </vt:variant>
      <vt:variant>
        <vt:i4>51</vt:i4>
      </vt:variant>
      <vt:variant>
        <vt:i4>0</vt:i4>
      </vt:variant>
      <vt:variant>
        <vt:i4>5</vt:i4>
      </vt:variant>
      <vt:variant>
        <vt:lpwstr>http://www.nevo.co.il/case/6030803</vt:lpwstr>
      </vt:variant>
      <vt:variant>
        <vt:lpwstr/>
      </vt:variant>
      <vt:variant>
        <vt:i4>3539071</vt:i4>
      </vt:variant>
      <vt:variant>
        <vt:i4>48</vt:i4>
      </vt:variant>
      <vt:variant>
        <vt:i4>0</vt:i4>
      </vt:variant>
      <vt:variant>
        <vt:i4>5</vt:i4>
      </vt:variant>
      <vt:variant>
        <vt:lpwstr>http://www.nevo.co.il/case/5840037</vt:lpwstr>
      </vt:variant>
      <vt:variant>
        <vt:lpwstr/>
      </vt:variant>
      <vt:variant>
        <vt:i4>3997810</vt:i4>
      </vt:variant>
      <vt:variant>
        <vt:i4>45</vt:i4>
      </vt:variant>
      <vt:variant>
        <vt:i4>0</vt:i4>
      </vt:variant>
      <vt:variant>
        <vt:i4>5</vt:i4>
      </vt:variant>
      <vt:variant>
        <vt:lpwstr>http://www.nevo.co.il/case/7807298</vt:lpwstr>
      </vt:variant>
      <vt:variant>
        <vt:lpwstr/>
      </vt:variant>
      <vt:variant>
        <vt:i4>3670129</vt:i4>
      </vt:variant>
      <vt:variant>
        <vt:i4>42</vt:i4>
      </vt:variant>
      <vt:variant>
        <vt:i4>0</vt:i4>
      </vt:variant>
      <vt:variant>
        <vt:i4>5</vt:i4>
      </vt:variant>
      <vt:variant>
        <vt:lpwstr>http://www.nevo.co.il/case/5760328</vt:lpwstr>
      </vt:variant>
      <vt:variant>
        <vt:lpwstr/>
      </vt:variant>
      <vt:variant>
        <vt:i4>3604603</vt:i4>
      </vt:variant>
      <vt:variant>
        <vt:i4>39</vt:i4>
      </vt:variant>
      <vt:variant>
        <vt:i4>0</vt:i4>
      </vt:variant>
      <vt:variant>
        <vt:i4>5</vt:i4>
      </vt:variant>
      <vt:variant>
        <vt:lpwstr>http://www.nevo.co.il/case/5891863</vt:lpwstr>
      </vt:variant>
      <vt:variant>
        <vt:lpwstr/>
      </vt:variant>
      <vt:variant>
        <vt:i4>4128890</vt:i4>
      </vt:variant>
      <vt:variant>
        <vt:i4>36</vt:i4>
      </vt:variant>
      <vt:variant>
        <vt:i4>0</vt:i4>
      </vt:variant>
      <vt:variant>
        <vt:i4>5</vt:i4>
      </vt:variant>
      <vt:variant>
        <vt:lpwstr>http://www.nevo.co.il/case/5731188</vt:lpwstr>
      </vt:variant>
      <vt:variant>
        <vt:lpwstr/>
      </vt:variant>
      <vt:variant>
        <vt:i4>3276912</vt:i4>
      </vt:variant>
      <vt:variant>
        <vt:i4>33</vt:i4>
      </vt:variant>
      <vt:variant>
        <vt:i4>0</vt:i4>
      </vt:variant>
      <vt:variant>
        <vt:i4>5</vt:i4>
      </vt:variant>
      <vt:variant>
        <vt:lpwstr>http://www.nevo.co.il/case/17923198</vt:lpwstr>
      </vt:variant>
      <vt:variant>
        <vt:lpwstr/>
      </vt:variant>
      <vt:variant>
        <vt:i4>3145845</vt:i4>
      </vt:variant>
      <vt:variant>
        <vt:i4>30</vt:i4>
      </vt:variant>
      <vt:variant>
        <vt:i4>0</vt:i4>
      </vt:variant>
      <vt:variant>
        <vt:i4>5</vt:i4>
      </vt:variant>
      <vt:variant>
        <vt:lpwstr>http://www.nevo.co.il/case/5603643</vt:lpwstr>
      </vt:variant>
      <vt:variant>
        <vt:lpwstr/>
      </vt:variant>
      <vt:variant>
        <vt:i4>3407989</vt:i4>
      </vt:variant>
      <vt:variant>
        <vt:i4>27</vt:i4>
      </vt:variant>
      <vt:variant>
        <vt:i4>0</vt:i4>
      </vt:variant>
      <vt:variant>
        <vt:i4>5</vt:i4>
      </vt:variant>
      <vt:variant>
        <vt:lpwstr>http://www.nevo.co.il/case/10442539</vt:lpwstr>
      </vt:variant>
      <vt:variant>
        <vt:lpwstr/>
      </vt:variant>
      <vt:variant>
        <vt:i4>4128894</vt:i4>
      </vt:variant>
      <vt:variant>
        <vt:i4>24</vt:i4>
      </vt:variant>
      <vt:variant>
        <vt:i4>0</vt:i4>
      </vt:variant>
      <vt:variant>
        <vt:i4>5</vt:i4>
      </vt:variant>
      <vt:variant>
        <vt:lpwstr>http://www.nevo.co.il/case/7029339</vt:lpwstr>
      </vt:variant>
      <vt:variant>
        <vt:lpwstr/>
      </vt:variant>
      <vt:variant>
        <vt:i4>3276923</vt:i4>
      </vt:variant>
      <vt:variant>
        <vt:i4>21</vt:i4>
      </vt:variant>
      <vt:variant>
        <vt:i4>0</vt:i4>
      </vt:variant>
      <vt:variant>
        <vt:i4>5</vt:i4>
      </vt:variant>
      <vt:variant>
        <vt:lpwstr>http://www.nevo.co.il/case/5569233</vt:lpwstr>
      </vt:variant>
      <vt:variant>
        <vt:lpwstr/>
      </vt:variant>
      <vt:variant>
        <vt:i4>3801201</vt:i4>
      </vt:variant>
      <vt:variant>
        <vt:i4>18</vt:i4>
      </vt:variant>
      <vt:variant>
        <vt:i4>0</vt:i4>
      </vt:variant>
      <vt:variant>
        <vt:i4>5</vt:i4>
      </vt:variant>
      <vt:variant>
        <vt:lpwstr>http://www.nevo.co.il/case/5581017</vt:lpwstr>
      </vt:variant>
      <vt:variant>
        <vt:lpwstr/>
      </vt:variant>
      <vt:variant>
        <vt:i4>4128894</vt:i4>
      </vt:variant>
      <vt:variant>
        <vt:i4>15</vt:i4>
      </vt:variant>
      <vt:variant>
        <vt:i4>0</vt:i4>
      </vt:variant>
      <vt:variant>
        <vt:i4>5</vt:i4>
      </vt:variant>
      <vt:variant>
        <vt:lpwstr>http://www.nevo.co.il/case/7029339</vt:lpwstr>
      </vt:variant>
      <vt:variant>
        <vt:lpwstr/>
      </vt:variant>
      <vt:variant>
        <vt:i4>589898</vt:i4>
      </vt:variant>
      <vt:variant>
        <vt:i4>12</vt:i4>
      </vt:variant>
      <vt:variant>
        <vt:i4>0</vt:i4>
      </vt:variant>
      <vt:variant>
        <vt:i4>5</vt:i4>
      </vt:variant>
      <vt:variant>
        <vt:lpwstr>http://www.nevo.co.il/case/161892</vt:lpwstr>
      </vt:variant>
      <vt:variant>
        <vt:lpwstr/>
      </vt:variant>
      <vt:variant>
        <vt:i4>3276923</vt:i4>
      </vt:variant>
      <vt:variant>
        <vt:i4>9</vt:i4>
      </vt:variant>
      <vt:variant>
        <vt:i4>0</vt:i4>
      </vt:variant>
      <vt:variant>
        <vt:i4>5</vt:i4>
      </vt:variant>
      <vt:variant>
        <vt:lpwstr>http://www.nevo.co.il/case/5569233</vt:lpwstr>
      </vt:variant>
      <vt:variant>
        <vt:lpwstr/>
      </vt:variant>
      <vt:variant>
        <vt:i4>3276915</vt:i4>
      </vt:variant>
      <vt:variant>
        <vt:i4>6</vt:i4>
      </vt:variant>
      <vt:variant>
        <vt:i4>0</vt:i4>
      </vt:variant>
      <vt:variant>
        <vt:i4>5</vt:i4>
      </vt:variant>
      <vt:variant>
        <vt:lpwstr>http://www.nevo.co.il/case/6242070</vt:lpwstr>
      </vt:variant>
      <vt:variant>
        <vt:lpwstr/>
      </vt:variant>
      <vt:variant>
        <vt:i4>7405625</vt:i4>
      </vt:variant>
      <vt:variant>
        <vt:i4>3</vt:i4>
      </vt:variant>
      <vt:variant>
        <vt:i4>0</vt:i4>
      </vt:variant>
      <vt:variant>
        <vt:i4>5</vt:i4>
      </vt:variant>
      <vt:variant>
        <vt:lpwstr>http://www.nevo.co.il/safrut/book/15850</vt:lpwstr>
      </vt:variant>
      <vt:variant>
        <vt:lpwstr/>
      </vt:variant>
      <vt:variant>
        <vt:i4>4784137</vt:i4>
      </vt:variant>
      <vt:variant>
        <vt:i4>0</vt:i4>
      </vt:variant>
      <vt:variant>
        <vt:i4>0</vt:i4>
      </vt:variant>
      <vt:variant>
        <vt:i4>5</vt:i4>
      </vt:variant>
      <vt:variant>
        <vt:lpwstr>http://www.nevo.co.il/safrut/book/987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cp:lastPrinted>2014-11-13T11:09:00Z</cp:lastPrinted>
  <dcterms:created xsi:type="dcterms:W3CDTF">2025-01-19T15:46:00Z</dcterms:created>
  <dcterms:modified xsi:type="dcterms:W3CDTF">2025-01-19T15:46:00Z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15741</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עבד אלסאלם כיאל</vt:lpwstr>
  </property>
  <property fmtid="{D5CDD505-2E9C-101B-9397-08002B2CF9AE}" pid="10" name="LAWYER">
    <vt:lpwstr>צ. נמירובסקי;כיאל;א. פלדמן;ע. שמעוני</vt:lpwstr>
  </property>
  <property fmtid="{D5CDD505-2E9C-101B-9397-08002B2CF9AE}" pid="11" name="JUDGE">
    <vt:lpwstr>יוסף אלרון;משה גלעד;ד#ר מנחם רניאל</vt:lpwstr>
  </property>
  <property fmtid="{D5CDD505-2E9C-101B-9397-08002B2CF9AE}" pid="12" name="CITY">
    <vt:lpwstr>חי'</vt:lpwstr>
  </property>
  <property fmtid="{D5CDD505-2E9C-101B-9397-08002B2CF9AE}" pid="13" name="DATE">
    <vt:lpwstr>20141211</vt:lpwstr>
  </property>
  <property fmtid="{D5CDD505-2E9C-101B-9397-08002B2CF9AE}" pid="14" name="TYPE_N_DATE">
    <vt:lpwstr>39020141211</vt:lpwstr>
  </property>
  <property fmtid="{D5CDD505-2E9C-101B-9397-08002B2CF9AE}" pid="15" name="BOOKLISTTMP">
    <vt:lpwstr>987;15850</vt:lpwstr>
  </property>
  <property fmtid="{D5CDD505-2E9C-101B-9397-08002B2CF9AE}" pid="16" name="CASESLISTTMP1">
    <vt:lpwstr>6242070;5569233:2;161892;7029339:2;5581017;10442539;5603643;17923198;5731188;5891863;5760328;7807298;5840037;6030803;7697315;5606398;13054959;6248029;6245782;5590418;11206432;5933664;5592762</vt:lpwstr>
  </property>
  <property fmtid="{D5CDD505-2E9C-101B-9397-08002B2CF9AE}" pid="17" name="CASENOTES1">
    <vt:lpwstr>ProcID=133;209&amp;PartA=8802&amp;PartC=13</vt:lpwstr>
  </property>
  <property fmtid="{D5CDD505-2E9C-101B-9397-08002B2CF9AE}" pid="18" name="CASENOTES2">
    <vt:lpwstr>ProcID=133&amp;PartA=320&amp;PartC=99</vt:lpwstr>
  </property>
  <property fmtid="{D5CDD505-2E9C-101B-9397-08002B2CF9AE}" pid="19" name="WORDNUMPAGES">
    <vt:lpwstr>17</vt:lpwstr>
  </property>
  <property fmtid="{D5CDD505-2E9C-101B-9397-08002B2CF9AE}" pid="20" name="TYPE_ABS_DATE">
    <vt:lpwstr>390120141211</vt:lpwstr>
  </property>
  <property fmtid="{D5CDD505-2E9C-101B-9397-08002B2CF9AE}" pid="21" name="ISABSTRACT">
    <vt:lpwstr>Y</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YES</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METAKZER">
    <vt:lpwstr>מיכל</vt:lpwstr>
  </property>
  <property fmtid="{D5CDD505-2E9C-101B-9397-08002B2CF9AE}" pid="40" name="NOSE1ID">
    <vt:lpwstr>77;77;18</vt:lpwstr>
  </property>
  <property fmtid="{D5CDD505-2E9C-101B-9397-08002B2CF9AE}" pid="41" name="NOSE2ID">
    <vt:lpwstr>1446;1446;461</vt:lpwstr>
  </property>
  <property fmtid="{D5CDD505-2E9C-101B-9397-08002B2CF9AE}" pid="42" name="NOSE3ID">
    <vt:lpwstr>15822;14985;14781</vt:lpwstr>
  </property>
  <property fmtid="{D5CDD505-2E9C-101B-9397-08002B2CF9AE}" pid="43" name="NOSE11">
    <vt:lpwstr>עונשין</vt:lpwstr>
  </property>
  <property fmtid="{D5CDD505-2E9C-101B-9397-08002B2CF9AE}" pid="44" name="NOSE21">
    <vt:lpwstr>ענישה</vt:lpwstr>
  </property>
  <property fmtid="{D5CDD505-2E9C-101B-9397-08002B2CF9AE}" pid="45" name="NOSE31">
    <vt:lpwstr>הסדר טיעון</vt:lpwstr>
  </property>
  <property fmtid="{D5CDD505-2E9C-101B-9397-08002B2CF9AE}" pid="46" name="NOSE12">
    <vt:lpwstr>עונשין</vt:lpwstr>
  </property>
  <property fmtid="{D5CDD505-2E9C-101B-9397-08002B2CF9AE}" pid="47" name="NOSE22">
    <vt:lpwstr>ענישה</vt:lpwstr>
  </property>
  <property fmtid="{D5CDD505-2E9C-101B-9397-08002B2CF9AE}" pid="48" name="NOSE32">
    <vt:lpwstr>מתחם הענישה</vt:lpwstr>
  </property>
  <property fmtid="{D5CDD505-2E9C-101B-9397-08002B2CF9AE}" pid="49" name="NOSE13">
    <vt:lpwstr>דיון פלילי</vt:lpwstr>
  </property>
  <property fmtid="{D5CDD505-2E9C-101B-9397-08002B2CF9AE}" pid="50" name="NOSE23">
    <vt:lpwstr>הסדר טיעון</vt:lpwstr>
  </property>
  <property fmtid="{D5CDD505-2E9C-101B-9397-08002B2CF9AE}" pid="51" name="NOSE33">
    <vt:lpwstr>כיבודו</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20150101</vt:lpwstr>
  </property>
</Properties>
</file>