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7FE3" w:rsidRPr="00FF11C6" w14:paraId="30FE6B2A" w14:textId="77777777">
        <w:trPr>
          <w:trHeight w:hRule="exact" w:val="418"/>
          <w:jc w:val="center"/>
        </w:trPr>
        <w:tc>
          <w:tcPr>
            <w:tcW w:w="8721" w:type="dxa"/>
            <w:gridSpan w:val="2"/>
          </w:tcPr>
          <w:p w14:paraId="5092F644" w14:textId="77777777" w:rsidR="00F17FE3" w:rsidRPr="00FF11C6" w:rsidRDefault="00FF11C6">
            <w:pPr>
              <w:pStyle w:val="a3"/>
              <w:jc w:val="center"/>
              <w:rPr>
                <w:rFonts w:ascii="Tahoma" w:hAnsi="Tahoma" w:cs="Tahoma"/>
                <w:color w:val="000080"/>
                <w:rtl/>
              </w:rPr>
            </w:pPr>
            <w:bookmarkStart w:id="0" w:name="LastJudge"/>
            <w:r w:rsidRPr="00FF11C6">
              <w:rPr>
                <w:rFonts w:ascii="Tahoma" w:hAnsi="Tahoma" w:cs="Tahoma"/>
                <w:b/>
                <w:bCs/>
                <w:color w:val="000080"/>
                <w:rtl/>
              </w:rPr>
              <w:t>בית המשפט המחוזי בחיפה</w:t>
            </w:r>
          </w:p>
        </w:tc>
      </w:tr>
      <w:tr w:rsidR="00F17FE3" w:rsidRPr="00FF11C6" w14:paraId="2ED1D56A" w14:textId="77777777">
        <w:trPr>
          <w:trHeight w:val="337"/>
          <w:jc w:val="center"/>
        </w:trPr>
        <w:tc>
          <w:tcPr>
            <w:tcW w:w="5054" w:type="dxa"/>
          </w:tcPr>
          <w:p w14:paraId="2B6209A5" w14:textId="77777777" w:rsidR="00F17FE3" w:rsidRPr="00FF11C6" w:rsidRDefault="00FF11C6">
            <w:pPr>
              <w:pStyle w:val="a3"/>
              <w:rPr>
                <w:rFonts w:cs="FrankRuehl"/>
                <w:sz w:val="28"/>
                <w:szCs w:val="28"/>
                <w:rtl/>
              </w:rPr>
            </w:pPr>
            <w:r w:rsidRPr="00FF11C6">
              <w:rPr>
                <w:rFonts w:cs="FrankRuehl"/>
                <w:sz w:val="28"/>
                <w:szCs w:val="28"/>
                <w:rtl/>
              </w:rPr>
              <w:t>ת"פ</w:t>
            </w:r>
            <w:r w:rsidRPr="00FF11C6">
              <w:rPr>
                <w:rFonts w:cs="FrankRuehl" w:hint="cs"/>
                <w:sz w:val="28"/>
                <w:szCs w:val="28"/>
                <w:rtl/>
              </w:rPr>
              <w:t xml:space="preserve"> </w:t>
            </w:r>
            <w:r w:rsidRPr="00FF11C6">
              <w:rPr>
                <w:rFonts w:cs="FrankRuehl"/>
                <w:sz w:val="28"/>
                <w:szCs w:val="28"/>
                <w:rtl/>
              </w:rPr>
              <w:t>15771-02-13</w:t>
            </w:r>
            <w:r w:rsidRPr="00FF11C6">
              <w:rPr>
                <w:rFonts w:cs="FrankRuehl" w:hint="cs"/>
                <w:sz w:val="28"/>
                <w:szCs w:val="28"/>
                <w:rtl/>
              </w:rPr>
              <w:t xml:space="preserve"> </w:t>
            </w:r>
            <w:r w:rsidRPr="00FF11C6">
              <w:rPr>
                <w:rFonts w:cs="FrankRuehl"/>
                <w:sz w:val="28"/>
                <w:szCs w:val="28"/>
                <w:rtl/>
              </w:rPr>
              <w:t>מדינת ישראל נ' מגנדף ואח'</w:t>
            </w:r>
          </w:p>
        </w:tc>
        <w:tc>
          <w:tcPr>
            <w:tcW w:w="3667" w:type="dxa"/>
          </w:tcPr>
          <w:p w14:paraId="6B18BB2E" w14:textId="77777777" w:rsidR="00F17FE3" w:rsidRPr="00FF11C6" w:rsidRDefault="00F17FE3">
            <w:pPr>
              <w:pStyle w:val="a3"/>
              <w:jc w:val="right"/>
              <w:rPr>
                <w:rFonts w:cs="FrankRuehl"/>
                <w:sz w:val="28"/>
                <w:szCs w:val="28"/>
                <w:rtl/>
              </w:rPr>
            </w:pPr>
          </w:p>
        </w:tc>
      </w:tr>
    </w:tbl>
    <w:p w14:paraId="42F5072B" w14:textId="77777777" w:rsidR="00F17FE3" w:rsidRPr="00FF11C6" w:rsidRDefault="00FF11C6" w:rsidP="00ED4320">
      <w:pPr>
        <w:pStyle w:val="a3"/>
        <w:rPr>
          <w:rtl/>
        </w:rPr>
      </w:pPr>
      <w:r w:rsidRPr="00FF11C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17FE3" w:rsidRPr="00FF11C6" w14:paraId="6EE70E22" w14:textId="77777777">
        <w:trPr>
          <w:trHeight w:val="295"/>
          <w:jc w:val="center"/>
        </w:trPr>
        <w:tc>
          <w:tcPr>
            <w:tcW w:w="945" w:type="dxa"/>
            <w:tcBorders>
              <w:top w:val="nil"/>
              <w:left w:val="nil"/>
              <w:bottom w:val="nil"/>
              <w:right w:val="nil"/>
            </w:tcBorders>
          </w:tcPr>
          <w:p w14:paraId="4D20D749" w14:textId="77777777" w:rsidR="00F17FE3" w:rsidRPr="00FF11C6" w:rsidRDefault="00FF11C6">
            <w:pPr>
              <w:jc w:val="both"/>
              <w:rPr>
                <w:rFonts w:ascii="Arial" w:hAnsi="Arial"/>
                <w:b/>
                <w:bCs/>
                <w:sz w:val="28"/>
                <w:szCs w:val="28"/>
              </w:rPr>
            </w:pPr>
            <w:r w:rsidRPr="00FF11C6">
              <w:rPr>
                <w:rFonts w:ascii="Arial" w:hAnsi="Arial" w:hint="cs"/>
                <w:b/>
                <w:bCs/>
                <w:sz w:val="28"/>
                <w:szCs w:val="28"/>
                <w:rtl/>
              </w:rPr>
              <w:t>ב</w:t>
            </w:r>
            <w:r w:rsidRPr="00FF11C6">
              <w:rPr>
                <w:rFonts w:ascii="Arial" w:hAnsi="Arial"/>
                <w:b/>
                <w:bCs/>
                <w:sz w:val="28"/>
                <w:szCs w:val="28"/>
                <w:rtl/>
              </w:rPr>
              <w:t xml:space="preserve">פני </w:t>
            </w:r>
          </w:p>
        </w:tc>
        <w:tc>
          <w:tcPr>
            <w:tcW w:w="7875" w:type="dxa"/>
            <w:gridSpan w:val="2"/>
            <w:tcBorders>
              <w:top w:val="nil"/>
              <w:left w:val="nil"/>
              <w:bottom w:val="nil"/>
              <w:right w:val="nil"/>
            </w:tcBorders>
          </w:tcPr>
          <w:p w14:paraId="7FEFDD1D" w14:textId="77777777" w:rsidR="00F17FE3" w:rsidRPr="00FF11C6" w:rsidRDefault="00FF11C6" w:rsidP="00ED4320">
            <w:pPr>
              <w:rPr>
                <w:b/>
                <w:bCs/>
                <w:sz w:val="28"/>
                <w:szCs w:val="28"/>
                <w:rtl/>
              </w:rPr>
            </w:pPr>
            <w:r w:rsidRPr="00FF11C6">
              <w:rPr>
                <w:rFonts w:ascii="Arial" w:hAnsi="Arial" w:hint="cs"/>
                <w:b/>
                <w:bCs/>
                <w:sz w:val="28"/>
                <w:szCs w:val="28"/>
                <w:rtl/>
              </w:rPr>
              <w:t>כב' ה</w:t>
            </w:r>
            <w:r w:rsidRPr="00FF11C6">
              <w:rPr>
                <w:rFonts w:hint="cs"/>
                <w:b/>
                <w:bCs/>
                <w:sz w:val="28"/>
                <w:szCs w:val="28"/>
                <w:rtl/>
              </w:rPr>
              <w:t>שופט</w:t>
            </w:r>
            <w:r w:rsidRPr="00FF11C6">
              <w:rPr>
                <w:rFonts w:ascii="Arial" w:hAnsi="Arial" w:hint="cs"/>
                <w:b/>
                <w:bCs/>
                <w:sz w:val="28"/>
                <w:szCs w:val="28"/>
                <w:rtl/>
              </w:rPr>
              <w:t xml:space="preserve">  </w:t>
            </w:r>
            <w:r w:rsidRPr="00FF11C6">
              <w:rPr>
                <w:rFonts w:hint="cs"/>
                <w:b/>
                <w:bCs/>
                <w:sz w:val="28"/>
                <w:szCs w:val="28"/>
                <w:rtl/>
              </w:rPr>
              <w:t>משה גלעד</w:t>
            </w:r>
          </w:p>
          <w:p w14:paraId="30029A52" w14:textId="77777777" w:rsidR="00F17FE3" w:rsidRPr="00FF11C6" w:rsidRDefault="00F17FE3">
            <w:pPr>
              <w:jc w:val="both"/>
              <w:rPr>
                <w:rFonts w:ascii="Arial" w:hAnsi="Arial"/>
                <w:b/>
                <w:bCs/>
                <w:sz w:val="28"/>
                <w:szCs w:val="28"/>
              </w:rPr>
            </w:pPr>
          </w:p>
        </w:tc>
      </w:tr>
      <w:tr w:rsidR="00F17FE3" w:rsidRPr="00FF11C6" w14:paraId="1D77F335" w14:textId="77777777">
        <w:trPr>
          <w:trHeight w:val="355"/>
          <w:jc w:val="center"/>
        </w:trPr>
        <w:tc>
          <w:tcPr>
            <w:tcW w:w="945" w:type="dxa"/>
            <w:tcBorders>
              <w:top w:val="nil"/>
              <w:left w:val="nil"/>
              <w:bottom w:val="nil"/>
              <w:right w:val="nil"/>
            </w:tcBorders>
          </w:tcPr>
          <w:p w14:paraId="31162018" w14:textId="77777777" w:rsidR="00F17FE3" w:rsidRPr="00FF11C6" w:rsidRDefault="00FF11C6">
            <w:pPr>
              <w:jc w:val="both"/>
              <w:rPr>
                <w:rFonts w:ascii="Arial" w:hAnsi="Arial"/>
                <w:b/>
                <w:bCs/>
                <w:sz w:val="28"/>
                <w:szCs w:val="28"/>
              </w:rPr>
            </w:pPr>
            <w:bookmarkStart w:id="1" w:name="FirstAppellant"/>
            <w:bookmarkStart w:id="2" w:name="FirstLawyer"/>
            <w:r w:rsidRPr="00FF11C6">
              <w:rPr>
                <w:rFonts w:ascii="Arial" w:hAnsi="Arial" w:hint="cs"/>
                <w:b/>
                <w:bCs/>
                <w:sz w:val="28"/>
                <w:szCs w:val="28"/>
                <w:rtl/>
              </w:rPr>
              <w:t>בעניין:</w:t>
            </w:r>
          </w:p>
        </w:tc>
        <w:tc>
          <w:tcPr>
            <w:tcW w:w="4114" w:type="dxa"/>
            <w:tcBorders>
              <w:top w:val="nil"/>
              <w:left w:val="nil"/>
              <w:bottom w:val="nil"/>
              <w:right w:val="nil"/>
            </w:tcBorders>
          </w:tcPr>
          <w:p w14:paraId="38DA085E" w14:textId="77777777" w:rsidR="00F17FE3" w:rsidRPr="00FF11C6" w:rsidRDefault="00FF11C6">
            <w:pPr>
              <w:rPr>
                <w:b/>
                <w:bCs/>
                <w:sz w:val="28"/>
                <w:szCs w:val="28"/>
                <w:rtl/>
              </w:rPr>
            </w:pPr>
            <w:r w:rsidRPr="00FF11C6">
              <w:rPr>
                <w:rFonts w:hint="cs"/>
                <w:b/>
                <w:bCs/>
                <w:sz w:val="28"/>
                <w:szCs w:val="28"/>
                <w:rtl/>
              </w:rPr>
              <w:t>מדינת ישראל</w:t>
            </w:r>
          </w:p>
          <w:p w14:paraId="1F7FDB36" w14:textId="77777777" w:rsidR="00F17FE3" w:rsidRPr="00FF11C6" w:rsidRDefault="00FF11C6">
            <w:pPr>
              <w:rPr>
                <w:b/>
                <w:bCs/>
                <w:sz w:val="28"/>
                <w:szCs w:val="28"/>
                <w:rtl/>
              </w:rPr>
            </w:pPr>
            <w:r w:rsidRPr="00FF11C6">
              <w:rPr>
                <w:rFonts w:hint="cs"/>
                <w:b/>
                <w:bCs/>
                <w:sz w:val="28"/>
                <w:szCs w:val="28"/>
                <w:rtl/>
              </w:rPr>
              <w:t>באמצעות פמ"ח</w:t>
            </w:r>
          </w:p>
          <w:p w14:paraId="07097106" w14:textId="77777777" w:rsidR="00F17FE3" w:rsidRPr="00FF11C6" w:rsidRDefault="00FF11C6">
            <w:pPr>
              <w:rPr>
                <w:b/>
                <w:bCs/>
                <w:sz w:val="28"/>
                <w:szCs w:val="28"/>
              </w:rPr>
            </w:pPr>
            <w:r w:rsidRPr="00FF11C6">
              <w:rPr>
                <w:rFonts w:hint="cs"/>
                <w:b/>
                <w:bCs/>
                <w:sz w:val="28"/>
                <w:szCs w:val="28"/>
                <w:rtl/>
              </w:rPr>
              <w:t>ע"י ב"כ עו"ד גב' ענבל ברנסון</w:t>
            </w:r>
          </w:p>
        </w:tc>
        <w:tc>
          <w:tcPr>
            <w:tcW w:w="3761" w:type="dxa"/>
            <w:tcBorders>
              <w:top w:val="nil"/>
              <w:left w:val="nil"/>
              <w:bottom w:val="nil"/>
              <w:right w:val="nil"/>
            </w:tcBorders>
          </w:tcPr>
          <w:p w14:paraId="1041B4D2" w14:textId="77777777" w:rsidR="00F17FE3" w:rsidRPr="00FF11C6" w:rsidRDefault="00F17FE3">
            <w:pPr>
              <w:jc w:val="both"/>
              <w:rPr>
                <w:rFonts w:ascii="Arial" w:hAnsi="Arial"/>
                <w:b/>
                <w:bCs/>
                <w:sz w:val="28"/>
                <w:szCs w:val="28"/>
                <w:rtl/>
              </w:rPr>
            </w:pPr>
          </w:p>
          <w:p w14:paraId="43C29443" w14:textId="77777777" w:rsidR="00F17FE3" w:rsidRPr="00FF11C6" w:rsidRDefault="00F17FE3">
            <w:pPr>
              <w:jc w:val="both"/>
              <w:rPr>
                <w:rFonts w:ascii="Arial" w:hAnsi="Arial"/>
                <w:b/>
                <w:bCs/>
                <w:sz w:val="28"/>
                <w:szCs w:val="28"/>
              </w:rPr>
            </w:pPr>
          </w:p>
          <w:p w14:paraId="1ABE9C1E" w14:textId="77777777" w:rsidR="00F17FE3" w:rsidRPr="00FF11C6" w:rsidRDefault="00FF11C6">
            <w:pPr>
              <w:jc w:val="both"/>
              <w:rPr>
                <w:rFonts w:ascii="Arial" w:hAnsi="Arial"/>
                <w:b/>
                <w:bCs/>
                <w:sz w:val="28"/>
                <w:szCs w:val="28"/>
                <w:rtl/>
              </w:rPr>
            </w:pPr>
            <w:r w:rsidRPr="00FF11C6">
              <w:rPr>
                <w:rFonts w:ascii="Arial" w:hAnsi="Arial" w:hint="cs"/>
                <w:b/>
                <w:bCs/>
                <w:sz w:val="28"/>
                <w:szCs w:val="28"/>
                <w:rtl/>
              </w:rPr>
              <w:t>המאשימה</w:t>
            </w:r>
          </w:p>
        </w:tc>
      </w:tr>
      <w:bookmarkEnd w:id="1"/>
      <w:bookmarkEnd w:id="2"/>
      <w:tr w:rsidR="00F17FE3" w:rsidRPr="00FF11C6" w14:paraId="18535BA9" w14:textId="77777777">
        <w:trPr>
          <w:trHeight w:val="355"/>
          <w:jc w:val="center"/>
        </w:trPr>
        <w:tc>
          <w:tcPr>
            <w:tcW w:w="945" w:type="dxa"/>
            <w:tcBorders>
              <w:top w:val="nil"/>
              <w:left w:val="nil"/>
              <w:bottom w:val="nil"/>
              <w:right w:val="nil"/>
            </w:tcBorders>
          </w:tcPr>
          <w:p w14:paraId="1DB9F699" w14:textId="77777777" w:rsidR="00F17FE3" w:rsidRPr="00FF11C6" w:rsidRDefault="00F17FE3">
            <w:pPr>
              <w:jc w:val="both"/>
              <w:rPr>
                <w:rFonts w:ascii="Arial" w:hAnsi="Arial"/>
                <w:b/>
                <w:bCs/>
                <w:sz w:val="28"/>
                <w:szCs w:val="28"/>
                <w:rtl/>
              </w:rPr>
            </w:pPr>
          </w:p>
        </w:tc>
        <w:tc>
          <w:tcPr>
            <w:tcW w:w="4114" w:type="dxa"/>
            <w:tcBorders>
              <w:top w:val="nil"/>
              <w:left w:val="nil"/>
              <w:bottom w:val="nil"/>
              <w:right w:val="nil"/>
            </w:tcBorders>
          </w:tcPr>
          <w:p w14:paraId="023603DB" w14:textId="77777777" w:rsidR="00F17FE3" w:rsidRPr="00FF11C6" w:rsidRDefault="00F17FE3">
            <w:pPr>
              <w:jc w:val="both"/>
              <w:rPr>
                <w:b/>
                <w:bCs/>
                <w:sz w:val="28"/>
                <w:szCs w:val="28"/>
                <w:rtl/>
              </w:rPr>
            </w:pPr>
          </w:p>
        </w:tc>
        <w:tc>
          <w:tcPr>
            <w:tcW w:w="3761" w:type="dxa"/>
            <w:tcBorders>
              <w:top w:val="nil"/>
              <w:left w:val="nil"/>
              <w:bottom w:val="nil"/>
              <w:right w:val="nil"/>
            </w:tcBorders>
          </w:tcPr>
          <w:p w14:paraId="6D3EABD7" w14:textId="77777777" w:rsidR="00F17FE3" w:rsidRPr="00FF11C6" w:rsidRDefault="00F17FE3">
            <w:pPr>
              <w:rPr>
                <w:rFonts w:ascii="Arial" w:hAnsi="Arial"/>
                <w:b/>
                <w:bCs/>
                <w:sz w:val="28"/>
                <w:szCs w:val="28"/>
                <w:rtl/>
              </w:rPr>
            </w:pPr>
          </w:p>
        </w:tc>
      </w:tr>
      <w:tr w:rsidR="00F17FE3" w:rsidRPr="00FF11C6" w14:paraId="57613BFF" w14:textId="77777777">
        <w:trPr>
          <w:trHeight w:val="355"/>
          <w:jc w:val="center"/>
        </w:trPr>
        <w:tc>
          <w:tcPr>
            <w:tcW w:w="945" w:type="dxa"/>
            <w:tcBorders>
              <w:top w:val="nil"/>
              <w:left w:val="nil"/>
              <w:bottom w:val="nil"/>
              <w:right w:val="nil"/>
            </w:tcBorders>
          </w:tcPr>
          <w:p w14:paraId="50F012DF" w14:textId="77777777" w:rsidR="00F17FE3" w:rsidRPr="00FF11C6" w:rsidRDefault="00F17FE3">
            <w:pPr>
              <w:jc w:val="both"/>
              <w:rPr>
                <w:rFonts w:ascii="Arial" w:hAnsi="Arial"/>
                <w:b/>
                <w:bCs/>
                <w:sz w:val="28"/>
                <w:szCs w:val="28"/>
                <w:rtl/>
              </w:rPr>
            </w:pPr>
          </w:p>
        </w:tc>
        <w:tc>
          <w:tcPr>
            <w:tcW w:w="7875" w:type="dxa"/>
            <w:gridSpan w:val="2"/>
            <w:tcBorders>
              <w:top w:val="nil"/>
              <w:left w:val="nil"/>
              <w:bottom w:val="nil"/>
              <w:right w:val="nil"/>
            </w:tcBorders>
          </w:tcPr>
          <w:p w14:paraId="2510E2DC" w14:textId="77777777" w:rsidR="00F17FE3" w:rsidRPr="00FF11C6" w:rsidRDefault="00F17FE3">
            <w:pPr>
              <w:rPr>
                <w:rFonts w:ascii="Arial" w:hAnsi="Arial"/>
                <w:b/>
                <w:bCs/>
                <w:sz w:val="28"/>
                <w:szCs w:val="28"/>
                <w:rtl/>
              </w:rPr>
            </w:pPr>
          </w:p>
          <w:p w14:paraId="13DBD057" w14:textId="77777777" w:rsidR="00F17FE3" w:rsidRPr="00FF11C6" w:rsidRDefault="00FF11C6">
            <w:pPr>
              <w:rPr>
                <w:rFonts w:ascii="Arial" w:hAnsi="Arial"/>
                <w:b/>
                <w:bCs/>
                <w:sz w:val="28"/>
                <w:szCs w:val="28"/>
                <w:rtl/>
              </w:rPr>
            </w:pPr>
            <w:r w:rsidRPr="00FF11C6">
              <w:rPr>
                <w:rFonts w:ascii="Arial" w:hAnsi="Arial"/>
                <w:b/>
                <w:bCs/>
                <w:sz w:val="28"/>
                <w:szCs w:val="28"/>
                <w:rtl/>
              </w:rPr>
              <w:t>נגד</w:t>
            </w:r>
          </w:p>
          <w:p w14:paraId="72D458D8" w14:textId="77777777" w:rsidR="00F17FE3" w:rsidRPr="00FF11C6" w:rsidRDefault="00F17FE3">
            <w:pPr>
              <w:jc w:val="both"/>
              <w:rPr>
                <w:rFonts w:ascii="Arial" w:hAnsi="Arial"/>
                <w:b/>
                <w:bCs/>
                <w:sz w:val="28"/>
                <w:szCs w:val="28"/>
              </w:rPr>
            </w:pPr>
          </w:p>
        </w:tc>
      </w:tr>
      <w:tr w:rsidR="00F17FE3" w:rsidRPr="00FF11C6" w14:paraId="552D6E92" w14:textId="77777777">
        <w:trPr>
          <w:trHeight w:val="355"/>
          <w:jc w:val="center"/>
        </w:trPr>
        <w:tc>
          <w:tcPr>
            <w:tcW w:w="945" w:type="dxa"/>
            <w:tcBorders>
              <w:top w:val="nil"/>
              <w:left w:val="nil"/>
              <w:bottom w:val="nil"/>
              <w:right w:val="nil"/>
            </w:tcBorders>
          </w:tcPr>
          <w:p w14:paraId="48478445" w14:textId="77777777" w:rsidR="00F17FE3" w:rsidRPr="00FF11C6" w:rsidRDefault="00F17FE3">
            <w:pPr>
              <w:rPr>
                <w:rFonts w:ascii="Arial" w:hAnsi="Arial"/>
                <w:b/>
                <w:bCs/>
                <w:sz w:val="28"/>
                <w:szCs w:val="28"/>
                <w:rtl/>
              </w:rPr>
            </w:pPr>
          </w:p>
        </w:tc>
        <w:tc>
          <w:tcPr>
            <w:tcW w:w="4114" w:type="dxa"/>
            <w:tcBorders>
              <w:top w:val="nil"/>
              <w:left w:val="nil"/>
              <w:bottom w:val="nil"/>
              <w:right w:val="nil"/>
            </w:tcBorders>
          </w:tcPr>
          <w:p w14:paraId="7AAA34B6" w14:textId="77777777" w:rsidR="00F17FE3" w:rsidRPr="00FF11C6" w:rsidRDefault="00FF11C6">
            <w:pPr>
              <w:rPr>
                <w:b/>
                <w:bCs/>
                <w:sz w:val="28"/>
                <w:szCs w:val="28"/>
                <w:rtl/>
              </w:rPr>
            </w:pPr>
            <w:r w:rsidRPr="00FF11C6">
              <w:rPr>
                <w:rFonts w:hint="cs"/>
                <w:b/>
                <w:bCs/>
                <w:sz w:val="28"/>
                <w:szCs w:val="28"/>
                <w:rtl/>
              </w:rPr>
              <w:t>1</w:t>
            </w:r>
            <w:r w:rsidRPr="00FF11C6">
              <w:rPr>
                <w:rFonts w:ascii="Arial" w:hAnsi="Arial" w:hint="cs"/>
                <w:b/>
                <w:bCs/>
                <w:sz w:val="28"/>
                <w:szCs w:val="28"/>
                <w:rtl/>
              </w:rPr>
              <w:t>.</w:t>
            </w:r>
            <w:r w:rsidRPr="00FF11C6">
              <w:rPr>
                <w:rFonts w:hint="cs"/>
                <w:b/>
                <w:bCs/>
                <w:sz w:val="28"/>
                <w:szCs w:val="28"/>
                <w:rtl/>
              </w:rPr>
              <w:t xml:space="preserve">מוחמד מגנדף, ת"ז 36643567 </w:t>
            </w:r>
          </w:p>
          <w:p w14:paraId="6EB52EAA" w14:textId="77777777" w:rsidR="00F17FE3" w:rsidRPr="00FF11C6" w:rsidRDefault="00FF11C6">
            <w:pPr>
              <w:rPr>
                <w:b/>
                <w:bCs/>
                <w:sz w:val="28"/>
                <w:szCs w:val="28"/>
                <w:rtl/>
              </w:rPr>
            </w:pPr>
            <w:r w:rsidRPr="00FF11C6">
              <w:rPr>
                <w:rFonts w:hint="cs"/>
                <w:b/>
                <w:bCs/>
                <w:sz w:val="28"/>
                <w:szCs w:val="28"/>
                <w:rtl/>
              </w:rPr>
              <w:t>ע"י ב"כ עו"ד משה שרמן</w:t>
            </w:r>
          </w:p>
          <w:p w14:paraId="37CC1609" w14:textId="77777777" w:rsidR="00F17FE3" w:rsidRPr="00FF11C6" w:rsidRDefault="00FF11C6">
            <w:pPr>
              <w:rPr>
                <w:b/>
                <w:bCs/>
                <w:sz w:val="28"/>
                <w:szCs w:val="28"/>
                <w:rtl/>
              </w:rPr>
            </w:pPr>
            <w:r w:rsidRPr="00FF11C6">
              <w:rPr>
                <w:rFonts w:hint="cs"/>
                <w:b/>
                <w:bCs/>
                <w:sz w:val="28"/>
                <w:szCs w:val="28"/>
                <w:rtl/>
              </w:rPr>
              <w:t>2</w:t>
            </w:r>
            <w:r w:rsidRPr="00FF11C6">
              <w:rPr>
                <w:rFonts w:ascii="Arial" w:hAnsi="Arial" w:hint="cs"/>
                <w:b/>
                <w:bCs/>
                <w:sz w:val="28"/>
                <w:szCs w:val="28"/>
                <w:rtl/>
              </w:rPr>
              <w:t>.</w:t>
            </w:r>
            <w:r w:rsidRPr="00FF11C6">
              <w:rPr>
                <w:rFonts w:hint="cs"/>
                <w:b/>
                <w:bCs/>
                <w:sz w:val="28"/>
                <w:szCs w:val="28"/>
                <w:rtl/>
              </w:rPr>
              <w:t>אנוור מגנדף, ת"ז 057593493</w:t>
            </w:r>
          </w:p>
          <w:p w14:paraId="2B762EDD" w14:textId="77777777" w:rsidR="00F17FE3" w:rsidRPr="00FF11C6" w:rsidRDefault="00FF11C6">
            <w:pPr>
              <w:rPr>
                <w:b/>
                <w:bCs/>
                <w:sz w:val="28"/>
                <w:szCs w:val="28"/>
                <w:rtl/>
              </w:rPr>
            </w:pPr>
            <w:r w:rsidRPr="00FF11C6">
              <w:rPr>
                <w:rFonts w:hint="cs"/>
                <w:b/>
                <w:bCs/>
                <w:sz w:val="28"/>
                <w:szCs w:val="28"/>
                <w:rtl/>
              </w:rPr>
              <w:t>ע"י ב"כ עו"ד זידאן מטאנס</w:t>
            </w:r>
          </w:p>
        </w:tc>
        <w:tc>
          <w:tcPr>
            <w:tcW w:w="3761" w:type="dxa"/>
            <w:tcBorders>
              <w:top w:val="nil"/>
              <w:left w:val="nil"/>
              <w:bottom w:val="nil"/>
              <w:right w:val="nil"/>
            </w:tcBorders>
          </w:tcPr>
          <w:p w14:paraId="6FF094B9" w14:textId="77777777" w:rsidR="00F17FE3" w:rsidRPr="00FF11C6" w:rsidRDefault="00F17FE3">
            <w:pPr>
              <w:rPr>
                <w:rFonts w:ascii="Arial" w:hAnsi="Arial"/>
                <w:b/>
                <w:bCs/>
                <w:sz w:val="28"/>
                <w:szCs w:val="28"/>
                <w:rtl/>
              </w:rPr>
            </w:pPr>
          </w:p>
          <w:p w14:paraId="7B865F23" w14:textId="77777777" w:rsidR="00F17FE3" w:rsidRPr="00FF11C6" w:rsidRDefault="00F17FE3">
            <w:pPr>
              <w:rPr>
                <w:rFonts w:ascii="Arial" w:hAnsi="Arial"/>
                <w:b/>
                <w:bCs/>
                <w:sz w:val="28"/>
                <w:szCs w:val="28"/>
                <w:rtl/>
              </w:rPr>
            </w:pPr>
          </w:p>
          <w:p w14:paraId="6CFCAB23" w14:textId="77777777" w:rsidR="00F17FE3" w:rsidRPr="00FF11C6" w:rsidRDefault="00F17FE3">
            <w:pPr>
              <w:rPr>
                <w:rFonts w:ascii="Arial" w:hAnsi="Arial"/>
                <w:b/>
                <w:bCs/>
                <w:sz w:val="28"/>
                <w:szCs w:val="28"/>
                <w:rtl/>
              </w:rPr>
            </w:pPr>
          </w:p>
          <w:p w14:paraId="343E4D6F" w14:textId="77777777" w:rsidR="00F17FE3" w:rsidRPr="00FF11C6" w:rsidRDefault="00FF11C6">
            <w:pPr>
              <w:rPr>
                <w:rFonts w:ascii="Arial" w:hAnsi="Arial"/>
                <w:b/>
                <w:bCs/>
                <w:sz w:val="28"/>
                <w:szCs w:val="28"/>
              </w:rPr>
            </w:pPr>
            <w:r w:rsidRPr="00FF11C6">
              <w:rPr>
                <w:rFonts w:ascii="Arial" w:hAnsi="Arial" w:hint="cs"/>
                <w:b/>
                <w:bCs/>
                <w:sz w:val="28"/>
                <w:szCs w:val="28"/>
                <w:rtl/>
              </w:rPr>
              <w:t>הנאשמים</w:t>
            </w:r>
          </w:p>
        </w:tc>
      </w:tr>
      <w:tr w:rsidR="00F17FE3" w:rsidRPr="00FF11C6" w14:paraId="578AD384" w14:textId="77777777">
        <w:trPr>
          <w:trHeight w:val="355"/>
          <w:jc w:val="center"/>
        </w:trPr>
        <w:tc>
          <w:tcPr>
            <w:tcW w:w="945" w:type="dxa"/>
            <w:tcBorders>
              <w:top w:val="nil"/>
              <w:left w:val="nil"/>
              <w:bottom w:val="nil"/>
              <w:right w:val="nil"/>
            </w:tcBorders>
          </w:tcPr>
          <w:p w14:paraId="4AF7A94F" w14:textId="77777777" w:rsidR="00F17FE3" w:rsidRPr="00FF11C6" w:rsidRDefault="00F17FE3">
            <w:pPr>
              <w:jc w:val="both"/>
              <w:rPr>
                <w:rFonts w:ascii="Arial" w:hAnsi="Arial"/>
                <w:b/>
                <w:bCs/>
                <w:sz w:val="28"/>
                <w:szCs w:val="28"/>
                <w:rtl/>
              </w:rPr>
            </w:pPr>
          </w:p>
        </w:tc>
        <w:tc>
          <w:tcPr>
            <w:tcW w:w="4114" w:type="dxa"/>
            <w:tcBorders>
              <w:top w:val="nil"/>
              <w:left w:val="nil"/>
              <w:bottom w:val="nil"/>
              <w:right w:val="nil"/>
            </w:tcBorders>
          </w:tcPr>
          <w:p w14:paraId="1A27267A" w14:textId="77777777" w:rsidR="00F17FE3" w:rsidRPr="00FF11C6" w:rsidRDefault="00F17FE3">
            <w:pPr>
              <w:jc w:val="both"/>
              <w:rPr>
                <w:b/>
                <w:bCs/>
                <w:sz w:val="28"/>
                <w:szCs w:val="28"/>
                <w:rtl/>
              </w:rPr>
            </w:pPr>
          </w:p>
        </w:tc>
        <w:tc>
          <w:tcPr>
            <w:tcW w:w="3761" w:type="dxa"/>
            <w:tcBorders>
              <w:top w:val="nil"/>
              <w:left w:val="nil"/>
              <w:bottom w:val="nil"/>
              <w:right w:val="nil"/>
            </w:tcBorders>
          </w:tcPr>
          <w:p w14:paraId="6AFBC393" w14:textId="77777777" w:rsidR="00F17FE3" w:rsidRPr="00FF11C6" w:rsidRDefault="00F17FE3">
            <w:pPr>
              <w:rPr>
                <w:rFonts w:ascii="Arial" w:hAnsi="Arial"/>
                <w:b/>
                <w:bCs/>
                <w:sz w:val="28"/>
                <w:szCs w:val="28"/>
              </w:rPr>
            </w:pPr>
          </w:p>
        </w:tc>
      </w:tr>
      <w:tr w:rsidR="00F17FE3" w:rsidRPr="00FF11C6" w14:paraId="34D3F089" w14:textId="77777777">
        <w:trPr>
          <w:trHeight w:val="355"/>
          <w:jc w:val="center"/>
        </w:trPr>
        <w:tc>
          <w:tcPr>
            <w:tcW w:w="8820" w:type="dxa"/>
            <w:gridSpan w:val="3"/>
            <w:tcBorders>
              <w:top w:val="nil"/>
              <w:left w:val="nil"/>
              <w:bottom w:val="nil"/>
              <w:right w:val="nil"/>
            </w:tcBorders>
          </w:tcPr>
          <w:p w14:paraId="03E14533" w14:textId="77777777" w:rsidR="004848F4" w:rsidRDefault="004848F4">
            <w:pPr>
              <w:jc w:val="center"/>
              <w:rPr>
                <w:rFonts w:ascii="Arial" w:hAnsi="Arial"/>
                <w:sz w:val="28"/>
                <w:szCs w:val="28"/>
                <w:rtl/>
              </w:rPr>
            </w:pPr>
            <w:bookmarkStart w:id="3" w:name="PsakDin"/>
            <w:bookmarkStart w:id="4" w:name="LawTable"/>
            <w:bookmarkEnd w:id="4"/>
          </w:p>
          <w:p w14:paraId="74286B9F" w14:textId="77777777" w:rsidR="004848F4" w:rsidRPr="004848F4" w:rsidRDefault="004848F4" w:rsidP="004848F4">
            <w:pPr>
              <w:spacing w:after="120" w:line="240" w:lineRule="exact"/>
              <w:ind w:left="283" w:hanging="283"/>
              <w:jc w:val="both"/>
              <w:rPr>
                <w:rFonts w:ascii="FrankRuehl" w:hAnsi="FrankRuehl" w:cs="FrankRuehl"/>
                <w:rtl/>
              </w:rPr>
            </w:pPr>
          </w:p>
          <w:p w14:paraId="4DB5B882" w14:textId="77777777" w:rsidR="004848F4" w:rsidRPr="004848F4" w:rsidRDefault="004848F4" w:rsidP="004848F4">
            <w:pPr>
              <w:spacing w:after="120" w:line="240" w:lineRule="exact"/>
              <w:ind w:left="283" w:hanging="283"/>
              <w:jc w:val="both"/>
              <w:rPr>
                <w:rFonts w:ascii="FrankRuehl" w:hAnsi="FrankRuehl" w:cs="FrankRuehl"/>
                <w:rtl/>
              </w:rPr>
            </w:pPr>
            <w:r w:rsidRPr="004848F4">
              <w:rPr>
                <w:rFonts w:ascii="FrankRuehl" w:hAnsi="FrankRuehl" w:cs="FrankRuehl"/>
                <w:rtl/>
              </w:rPr>
              <w:t xml:space="preserve">חקיקה שאוזכרה: </w:t>
            </w:r>
          </w:p>
          <w:p w14:paraId="4F7435E8" w14:textId="77777777" w:rsidR="004848F4" w:rsidRPr="004848F4" w:rsidRDefault="004848F4" w:rsidP="004848F4">
            <w:pPr>
              <w:spacing w:after="120" w:line="240" w:lineRule="exact"/>
              <w:ind w:left="283" w:hanging="283"/>
              <w:jc w:val="both"/>
              <w:rPr>
                <w:rFonts w:ascii="FrankRuehl" w:hAnsi="FrankRuehl" w:cs="FrankRuehl"/>
                <w:rtl/>
              </w:rPr>
            </w:pPr>
            <w:hyperlink r:id="rId6" w:history="1">
              <w:r w:rsidRPr="004848F4">
                <w:rPr>
                  <w:rFonts w:ascii="FrankRuehl" w:hAnsi="FrankRuehl" w:cs="FrankRuehl"/>
                  <w:color w:val="0000FF"/>
                  <w:u w:val="single"/>
                  <w:rtl/>
                </w:rPr>
                <w:t>חוק העונשין, תשל"ז-1977</w:t>
              </w:r>
            </w:hyperlink>
            <w:r w:rsidRPr="004848F4">
              <w:rPr>
                <w:rFonts w:ascii="FrankRuehl" w:hAnsi="FrankRuehl" w:cs="FrankRuehl"/>
                <w:rtl/>
              </w:rPr>
              <w:t xml:space="preserve">: סע'  </w:t>
            </w:r>
            <w:hyperlink r:id="rId7" w:history="1">
              <w:r w:rsidRPr="004848F4">
                <w:rPr>
                  <w:rFonts w:ascii="FrankRuehl" w:hAnsi="FrankRuehl" w:cs="FrankRuehl"/>
                  <w:color w:val="0000FF"/>
                  <w:u w:val="single"/>
                  <w:rtl/>
                </w:rPr>
                <w:t>40ב.</w:t>
              </w:r>
            </w:hyperlink>
            <w:r w:rsidRPr="004848F4">
              <w:rPr>
                <w:rFonts w:ascii="FrankRuehl" w:hAnsi="FrankRuehl" w:cs="FrankRuehl"/>
                <w:rtl/>
              </w:rPr>
              <w:t xml:space="preserve">, </w:t>
            </w:r>
            <w:hyperlink r:id="rId8" w:history="1">
              <w:r w:rsidRPr="004848F4">
                <w:rPr>
                  <w:rFonts w:ascii="FrankRuehl" w:hAnsi="FrankRuehl" w:cs="FrankRuehl"/>
                  <w:color w:val="0000FF"/>
                  <w:u w:val="single"/>
                  <w:rtl/>
                </w:rPr>
                <w:t>40ג</w:t>
              </w:r>
            </w:hyperlink>
            <w:r w:rsidRPr="004848F4">
              <w:rPr>
                <w:rFonts w:ascii="FrankRuehl" w:hAnsi="FrankRuehl" w:cs="FrankRuehl"/>
                <w:rtl/>
              </w:rPr>
              <w:t xml:space="preserve">, </w:t>
            </w:r>
            <w:hyperlink r:id="rId9" w:history="1">
              <w:r w:rsidRPr="004848F4">
                <w:rPr>
                  <w:rFonts w:ascii="FrankRuehl" w:hAnsi="FrankRuehl" w:cs="FrankRuehl"/>
                  <w:color w:val="0000FF"/>
                  <w:u w:val="single"/>
                  <w:rtl/>
                </w:rPr>
                <w:t>40ד</w:t>
              </w:r>
            </w:hyperlink>
            <w:r w:rsidRPr="004848F4">
              <w:rPr>
                <w:rFonts w:ascii="FrankRuehl" w:hAnsi="FrankRuehl" w:cs="FrankRuehl"/>
                <w:rtl/>
              </w:rPr>
              <w:t xml:space="preserve">, </w:t>
            </w:r>
            <w:hyperlink r:id="rId10" w:history="1">
              <w:r w:rsidRPr="004848F4">
                <w:rPr>
                  <w:rFonts w:ascii="FrankRuehl" w:hAnsi="FrankRuehl" w:cs="FrankRuehl"/>
                  <w:color w:val="0000FF"/>
                  <w:u w:val="single"/>
                  <w:rtl/>
                </w:rPr>
                <w:t>40ה</w:t>
              </w:r>
            </w:hyperlink>
            <w:r w:rsidRPr="004848F4">
              <w:rPr>
                <w:rFonts w:ascii="FrankRuehl" w:hAnsi="FrankRuehl" w:cs="FrankRuehl"/>
                <w:rtl/>
              </w:rPr>
              <w:t xml:space="preserve">, </w:t>
            </w:r>
            <w:hyperlink r:id="rId11" w:history="1">
              <w:r w:rsidRPr="004848F4">
                <w:rPr>
                  <w:rFonts w:ascii="FrankRuehl" w:hAnsi="FrankRuehl" w:cs="FrankRuehl"/>
                  <w:color w:val="0000FF"/>
                  <w:u w:val="single"/>
                  <w:rtl/>
                </w:rPr>
                <w:t>40ו</w:t>
              </w:r>
            </w:hyperlink>
            <w:r w:rsidRPr="004848F4">
              <w:rPr>
                <w:rFonts w:ascii="FrankRuehl" w:hAnsi="FrankRuehl" w:cs="FrankRuehl"/>
                <w:rtl/>
              </w:rPr>
              <w:t xml:space="preserve">, </w:t>
            </w:r>
            <w:hyperlink r:id="rId12" w:history="1">
              <w:r w:rsidRPr="004848F4">
                <w:rPr>
                  <w:rFonts w:ascii="FrankRuehl" w:hAnsi="FrankRuehl" w:cs="FrankRuehl"/>
                  <w:color w:val="0000FF"/>
                  <w:u w:val="single"/>
                  <w:rtl/>
                </w:rPr>
                <w:t>40ז</w:t>
              </w:r>
            </w:hyperlink>
            <w:r w:rsidRPr="004848F4">
              <w:rPr>
                <w:rFonts w:ascii="FrankRuehl" w:hAnsi="FrankRuehl" w:cs="FrankRuehl"/>
                <w:rtl/>
              </w:rPr>
              <w:t xml:space="preserve">, </w:t>
            </w:r>
            <w:hyperlink r:id="rId13" w:history="1">
              <w:r w:rsidRPr="004848F4">
                <w:rPr>
                  <w:rFonts w:ascii="FrankRuehl" w:hAnsi="FrankRuehl" w:cs="FrankRuehl"/>
                  <w:color w:val="0000FF"/>
                  <w:u w:val="single"/>
                  <w:rtl/>
                </w:rPr>
                <w:t>144.א.</w:t>
              </w:r>
            </w:hyperlink>
            <w:r w:rsidRPr="004848F4">
              <w:rPr>
                <w:rFonts w:ascii="FrankRuehl" w:hAnsi="FrankRuehl" w:cs="FrankRuehl"/>
                <w:rtl/>
              </w:rPr>
              <w:t xml:space="preserve">, </w:t>
            </w:r>
            <w:hyperlink r:id="rId14" w:history="1">
              <w:r w:rsidRPr="004848F4">
                <w:rPr>
                  <w:rFonts w:ascii="FrankRuehl" w:hAnsi="FrankRuehl" w:cs="FrankRuehl"/>
                  <w:color w:val="0000FF"/>
                  <w:u w:val="single"/>
                  <w:rtl/>
                </w:rPr>
                <w:t>144.ב</w:t>
              </w:r>
            </w:hyperlink>
            <w:r w:rsidRPr="004848F4">
              <w:rPr>
                <w:rFonts w:ascii="FrankRuehl" w:hAnsi="FrankRuehl" w:cs="FrankRuehl"/>
                <w:rtl/>
              </w:rPr>
              <w:t xml:space="preserve">, </w:t>
            </w:r>
            <w:hyperlink r:id="rId15" w:history="1">
              <w:r w:rsidRPr="004848F4">
                <w:rPr>
                  <w:rFonts w:ascii="FrankRuehl" w:hAnsi="FrankRuehl" w:cs="FrankRuehl"/>
                  <w:color w:val="0000FF"/>
                  <w:u w:val="single"/>
                  <w:rtl/>
                </w:rPr>
                <w:t>298</w:t>
              </w:r>
            </w:hyperlink>
            <w:r w:rsidRPr="004848F4">
              <w:rPr>
                <w:rFonts w:ascii="FrankRuehl" w:hAnsi="FrankRuehl" w:cs="FrankRuehl"/>
                <w:rtl/>
              </w:rPr>
              <w:t xml:space="preserve">, </w:t>
            </w:r>
            <w:hyperlink r:id="rId16" w:history="1">
              <w:r w:rsidRPr="004848F4">
                <w:rPr>
                  <w:rFonts w:ascii="FrankRuehl" w:hAnsi="FrankRuehl" w:cs="FrankRuehl"/>
                  <w:color w:val="0000FF"/>
                  <w:u w:val="single"/>
                  <w:rtl/>
                </w:rPr>
                <w:t>329(א)(1)</w:t>
              </w:r>
            </w:hyperlink>
            <w:r w:rsidRPr="004848F4">
              <w:rPr>
                <w:rFonts w:ascii="FrankRuehl" w:hAnsi="FrankRuehl" w:cs="FrankRuehl"/>
                <w:rtl/>
              </w:rPr>
              <w:t xml:space="preserve">, </w:t>
            </w:r>
            <w:hyperlink r:id="rId17" w:history="1">
              <w:r w:rsidRPr="004848F4">
                <w:rPr>
                  <w:rFonts w:ascii="FrankRuehl" w:hAnsi="FrankRuehl" w:cs="FrankRuehl"/>
                  <w:color w:val="0000FF"/>
                  <w:u w:val="single"/>
                  <w:rtl/>
                </w:rPr>
                <w:t>334</w:t>
              </w:r>
            </w:hyperlink>
            <w:r w:rsidRPr="004848F4">
              <w:rPr>
                <w:rFonts w:ascii="FrankRuehl" w:hAnsi="FrankRuehl" w:cs="FrankRuehl"/>
                <w:rtl/>
              </w:rPr>
              <w:t xml:space="preserve">, </w:t>
            </w:r>
            <w:hyperlink r:id="rId18" w:history="1">
              <w:r w:rsidRPr="004848F4">
                <w:rPr>
                  <w:rFonts w:ascii="FrankRuehl" w:hAnsi="FrankRuehl" w:cs="FrankRuehl"/>
                  <w:color w:val="0000FF"/>
                  <w:u w:val="single"/>
                  <w:rtl/>
                </w:rPr>
                <w:t>335(א)(1)</w:t>
              </w:r>
            </w:hyperlink>
            <w:r w:rsidRPr="004848F4">
              <w:rPr>
                <w:rFonts w:ascii="FrankRuehl" w:hAnsi="FrankRuehl" w:cs="FrankRuehl"/>
                <w:rtl/>
              </w:rPr>
              <w:t xml:space="preserve">, </w:t>
            </w:r>
            <w:hyperlink r:id="rId19" w:history="1">
              <w:r w:rsidRPr="004848F4">
                <w:rPr>
                  <w:rFonts w:ascii="FrankRuehl" w:hAnsi="FrankRuehl" w:cs="FrankRuehl"/>
                  <w:color w:val="0000FF"/>
                  <w:u w:val="single"/>
                  <w:rtl/>
                </w:rPr>
                <w:t>(2)</w:t>
              </w:r>
            </w:hyperlink>
            <w:r w:rsidRPr="004848F4">
              <w:rPr>
                <w:rFonts w:ascii="FrankRuehl" w:hAnsi="FrankRuehl" w:cs="FrankRuehl"/>
                <w:rtl/>
              </w:rPr>
              <w:t xml:space="preserve">, </w:t>
            </w:r>
            <w:hyperlink r:id="rId20" w:history="1">
              <w:r w:rsidRPr="004848F4">
                <w:rPr>
                  <w:rFonts w:ascii="FrankRuehl" w:hAnsi="FrankRuehl" w:cs="FrankRuehl"/>
                  <w:color w:val="0000FF"/>
                  <w:u w:val="single"/>
                  <w:rtl/>
                </w:rPr>
                <w:t>379</w:t>
              </w:r>
            </w:hyperlink>
            <w:r w:rsidRPr="004848F4">
              <w:rPr>
                <w:rFonts w:ascii="FrankRuehl" w:hAnsi="FrankRuehl" w:cs="FrankRuehl"/>
                <w:rtl/>
              </w:rPr>
              <w:t xml:space="preserve">, </w:t>
            </w:r>
            <w:hyperlink r:id="rId21" w:history="1">
              <w:r w:rsidRPr="004848F4">
                <w:rPr>
                  <w:rFonts w:ascii="FrankRuehl" w:hAnsi="FrankRuehl" w:cs="FrankRuehl"/>
                  <w:color w:val="0000FF"/>
                  <w:u w:val="single"/>
                  <w:rtl/>
                </w:rPr>
                <w:t>382(א)</w:t>
              </w:r>
            </w:hyperlink>
            <w:r w:rsidRPr="004848F4">
              <w:rPr>
                <w:rFonts w:ascii="FrankRuehl" w:hAnsi="FrankRuehl" w:cs="FrankRuehl"/>
                <w:rtl/>
              </w:rPr>
              <w:t xml:space="preserve">, </w:t>
            </w:r>
            <w:hyperlink r:id="rId22" w:history="1">
              <w:r w:rsidRPr="004848F4">
                <w:rPr>
                  <w:rFonts w:ascii="FrankRuehl" w:hAnsi="FrankRuehl" w:cs="FrankRuehl"/>
                  <w:color w:val="0000FF"/>
                  <w:u w:val="single"/>
                  <w:rtl/>
                </w:rPr>
                <w:t>40יא.(11)</w:t>
              </w:r>
            </w:hyperlink>
            <w:r w:rsidRPr="004848F4">
              <w:rPr>
                <w:rFonts w:ascii="FrankRuehl" w:hAnsi="FrankRuehl" w:cs="FrankRuehl"/>
                <w:rtl/>
              </w:rPr>
              <w:t xml:space="preserve">, </w:t>
            </w:r>
            <w:hyperlink r:id="rId23" w:history="1">
              <w:r w:rsidRPr="004848F4">
                <w:rPr>
                  <w:rFonts w:ascii="FrankRuehl" w:hAnsi="FrankRuehl" w:cs="FrankRuehl"/>
                  <w:color w:val="0000FF"/>
                  <w:u w:val="single"/>
                  <w:rtl/>
                </w:rPr>
                <w:t>40יא.(5)</w:t>
              </w:r>
            </w:hyperlink>
            <w:r w:rsidRPr="004848F4">
              <w:rPr>
                <w:rFonts w:ascii="FrankRuehl" w:hAnsi="FrankRuehl" w:cs="FrankRuehl"/>
                <w:rtl/>
              </w:rPr>
              <w:t xml:space="preserve">, </w:t>
            </w:r>
            <w:hyperlink r:id="rId24" w:history="1">
              <w:r w:rsidRPr="004848F4">
                <w:rPr>
                  <w:rFonts w:ascii="FrankRuehl" w:hAnsi="FrankRuehl" w:cs="FrankRuehl"/>
                  <w:color w:val="0000FF"/>
                  <w:u w:val="single"/>
                  <w:rtl/>
                </w:rPr>
                <w:t>40יג.(ב)</w:t>
              </w:r>
            </w:hyperlink>
          </w:p>
          <w:p w14:paraId="3844E797" w14:textId="77777777" w:rsidR="004848F4" w:rsidRPr="004848F4" w:rsidRDefault="004848F4" w:rsidP="004848F4">
            <w:pPr>
              <w:spacing w:after="120" w:line="240" w:lineRule="exact"/>
              <w:ind w:left="283" w:hanging="283"/>
              <w:jc w:val="both"/>
              <w:rPr>
                <w:rFonts w:ascii="FrankRuehl" w:hAnsi="FrankRuehl" w:cs="FrankRuehl"/>
                <w:rtl/>
              </w:rPr>
            </w:pPr>
            <w:hyperlink r:id="rId25" w:history="1">
              <w:r w:rsidRPr="004848F4">
                <w:rPr>
                  <w:rFonts w:ascii="FrankRuehl" w:hAnsi="FrankRuehl" w:cs="FrankRuehl"/>
                  <w:color w:val="0000FF"/>
                  <w:u w:val="single"/>
                  <w:rtl/>
                </w:rPr>
                <w:t>חוק התכנון והבניה, תשכ"ה-1965</w:t>
              </w:r>
            </w:hyperlink>
          </w:p>
          <w:p w14:paraId="46754B52" w14:textId="77777777" w:rsidR="004848F4" w:rsidRPr="004848F4" w:rsidRDefault="004848F4" w:rsidP="004848F4">
            <w:pPr>
              <w:spacing w:after="120" w:line="240" w:lineRule="exact"/>
              <w:ind w:left="283" w:hanging="283"/>
              <w:jc w:val="both"/>
              <w:rPr>
                <w:rFonts w:ascii="FrankRuehl" w:hAnsi="FrankRuehl" w:cs="FrankRuehl"/>
                <w:rtl/>
              </w:rPr>
            </w:pPr>
            <w:hyperlink r:id="rId26" w:history="1">
              <w:r w:rsidRPr="004848F4">
                <w:rPr>
                  <w:rFonts w:ascii="FrankRuehl" w:hAnsi="FrankRuehl" w:cs="FrankRuehl"/>
                  <w:color w:val="0000FF"/>
                  <w:u w:val="single"/>
                  <w:rtl/>
                </w:rPr>
                <w:t>פקודת המכס [נוסח חדש]</w:t>
              </w:r>
            </w:hyperlink>
          </w:p>
          <w:p w14:paraId="1CD75CDC" w14:textId="77777777" w:rsidR="004848F4" w:rsidRPr="004848F4" w:rsidRDefault="004848F4" w:rsidP="004848F4">
            <w:pPr>
              <w:spacing w:after="120" w:line="240" w:lineRule="exact"/>
              <w:ind w:left="283" w:hanging="283"/>
              <w:jc w:val="both"/>
              <w:rPr>
                <w:rFonts w:ascii="FrankRuehl" w:hAnsi="FrankRuehl" w:cs="FrankRuehl"/>
                <w:rtl/>
              </w:rPr>
            </w:pPr>
            <w:hyperlink r:id="rId27" w:history="1">
              <w:r w:rsidRPr="004848F4">
                <w:rPr>
                  <w:rFonts w:ascii="FrankRuehl" w:hAnsi="FrankRuehl" w:cs="FrankRuehl"/>
                  <w:color w:val="0000FF"/>
                  <w:u w:val="single"/>
                  <w:rtl/>
                </w:rPr>
                <w:t>חוק-יסוד: כבוד האדם וחירותו</w:t>
              </w:r>
            </w:hyperlink>
            <w:r w:rsidRPr="004848F4">
              <w:rPr>
                <w:rFonts w:ascii="FrankRuehl" w:hAnsi="FrankRuehl" w:cs="FrankRuehl"/>
                <w:rtl/>
              </w:rPr>
              <w:t xml:space="preserve">: סע'  </w:t>
            </w:r>
            <w:hyperlink r:id="rId28" w:history="1">
              <w:r w:rsidRPr="004848F4">
                <w:rPr>
                  <w:rFonts w:ascii="FrankRuehl" w:hAnsi="FrankRuehl" w:cs="FrankRuehl"/>
                  <w:color w:val="0000FF"/>
                  <w:u w:val="single"/>
                  <w:rtl/>
                </w:rPr>
                <w:t>8</w:t>
              </w:r>
            </w:hyperlink>
          </w:p>
          <w:p w14:paraId="0D12361F" w14:textId="77777777" w:rsidR="004848F4" w:rsidRPr="004848F4" w:rsidRDefault="004848F4" w:rsidP="004848F4">
            <w:pPr>
              <w:spacing w:after="120" w:line="240" w:lineRule="exact"/>
              <w:ind w:left="283" w:hanging="283"/>
              <w:jc w:val="both"/>
              <w:rPr>
                <w:rFonts w:ascii="FrankRuehl" w:hAnsi="FrankRuehl" w:cs="FrankRuehl"/>
                <w:rtl/>
              </w:rPr>
            </w:pPr>
          </w:p>
          <w:p w14:paraId="0EB300B5" w14:textId="77777777" w:rsidR="004848F4" w:rsidRPr="004848F4" w:rsidRDefault="004848F4">
            <w:pPr>
              <w:jc w:val="center"/>
              <w:rPr>
                <w:rFonts w:ascii="Arial" w:hAnsi="Arial"/>
                <w:sz w:val="28"/>
                <w:szCs w:val="28"/>
                <w:rtl/>
              </w:rPr>
            </w:pPr>
            <w:bookmarkStart w:id="5" w:name="LawTable_End"/>
            <w:bookmarkEnd w:id="5"/>
          </w:p>
          <w:p w14:paraId="042ED123" w14:textId="77777777" w:rsidR="004848F4" w:rsidRPr="004848F4" w:rsidRDefault="004848F4">
            <w:pPr>
              <w:jc w:val="center"/>
              <w:rPr>
                <w:rFonts w:ascii="Arial" w:hAnsi="Arial"/>
                <w:sz w:val="28"/>
                <w:szCs w:val="28"/>
                <w:rtl/>
              </w:rPr>
            </w:pPr>
          </w:p>
          <w:p w14:paraId="1319D3BB" w14:textId="77777777" w:rsidR="00F0458C" w:rsidRPr="00F0458C" w:rsidRDefault="00F0458C">
            <w:pPr>
              <w:jc w:val="center"/>
              <w:rPr>
                <w:rFonts w:ascii="Arial" w:hAnsi="Arial"/>
                <w:sz w:val="28"/>
                <w:szCs w:val="28"/>
                <w:rtl/>
              </w:rPr>
            </w:pPr>
          </w:p>
          <w:p w14:paraId="60DC6042" w14:textId="77777777" w:rsidR="00F17FE3" w:rsidRPr="00FF11C6" w:rsidRDefault="00FF11C6">
            <w:pPr>
              <w:jc w:val="center"/>
              <w:rPr>
                <w:rFonts w:ascii="Arial" w:hAnsi="Arial"/>
                <w:b/>
                <w:bCs/>
                <w:sz w:val="28"/>
                <w:szCs w:val="28"/>
                <w:rtl/>
              </w:rPr>
            </w:pPr>
            <w:r w:rsidRPr="00FF11C6">
              <w:rPr>
                <w:rFonts w:ascii="Arial" w:hAnsi="Arial" w:hint="cs"/>
                <w:b/>
                <w:bCs/>
                <w:sz w:val="28"/>
                <w:szCs w:val="28"/>
                <w:rtl/>
              </w:rPr>
              <w:t xml:space="preserve">גזר דין בעניינו </w:t>
            </w:r>
            <w:bookmarkEnd w:id="3"/>
            <w:r w:rsidRPr="00FF11C6">
              <w:rPr>
                <w:rFonts w:ascii="Arial" w:hAnsi="Arial" w:hint="cs"/>
                <w:b/>
                <w:bCs/>
                <w:sz w:val="28"/>
                <w:szCs w:val="28"/>
                <w:rtl/>
              </w:rPr>
              <w:t>של נאשם 1</w:t>
            </w:r>
          </w:p>
          <w:p w14:paraId="0165AE14" w14:textId="77777777" w:rsidR="00F17FE3" w:rsidRPr="00FF11C6" w:rsidRDefault="00FF11C6">
            <w:pPr>
              <w:jc w:val="center"/>
              <w:rPr>
                <w:rFonts w:ascii="Arial" w:hAnsi="Arial"/>
                <w:b/>
                <w:bCs/>
                <w:sz w:val="28"/>
                <w:szCs w:val="28"/>
                <w:rtl/>
              </w:rPr>
            </w:pPr>
            <w:r w:rsidRPr="00FF11C6">
              <w:rPr>
                <w:rFonts w:ascii="Arial" w:hAnsi="Arial" w:hint="cs"/>
                <w:b/>
                <w:bCs/>
                <w:sz w:val="28"/>
                <w:szCs w:val="28"/>
                <w:rtl/>
              </w:rPr>
              <w:t>גזר דין חלקי בעניינו של נאשם 2</w:t>
            </w:r>
          </w:p>
        </w:tc>
      </w:tr>
    </w:tbl>
    <w:p w14:paraId="41BF853F" w14:textId="77777777" w:rsidR="00F17FE3" w:rsidRPr="00FF11C6" w:rsidRDefault="00F17FE3">
      <w:pPr>
        <w:rPr>
          <w:rFonts w:ascii="Arial" w:hAnsi="Arial"/>
          <w:b/>
          <w:bCs/>
          <w:rtl/>
        </w:rPr>
      </w:pPr>
    </w:p>
    <w:p w14:paraId="6B67A02F" w14:textId="77777777" w:rsidR="00F17FE3" w:rsidRPr="00FF11C6" w:rsidRDefault="00F17FE3">
      <w:pPr>
        <w:rPr>
          <w:rFonts w:ascii="Arial" w:hAnsi="Arial"/>
          <w:rtl/>
        </w:rPr>
      </w:pPr>
    </w:p>
    <w:p w14:paraId="01790897" w14:textId="77777777" w:rsidR="00F17FE3" w:rsidRPr="00FF11C6" w:rsidRDefault="00F17FE3">
      <w:pPr>
        <w:rPr>
          <w:rtl/>
        </w:rPr>
      </w:pPr>
    </w:p>
    <w:p w14:paraId="1B4B3058" w14:textId="77777777" w:rsidR="00F17FE3" w:rsidRPr="00FF11C6" w:rsidRDefault="00FF11C6">
      <w:pPr>
        <w:spacing w:line="360" w:lineRule="auto"/>
        <w:jc w:val="both"/>
        <w:rPr>
          <w:b/>
          <w:bCs/>
          <w:rtl/>
        </w:rPr>
      </w:pPr>
      <w:r w:rsidRPr="00FF11C6">
        <w:rPr>
          <w:rFonts w:hint="cs"/>
          <w:b/>
          <w:bCs/>
          <w:rtl/>
        </w:rPr>
        <w:t>מבוא</w:t>
      </w:r>
    </w:p>
    <w:p w14:paraId="2E8A6F3F" w14:textId="77777777" w:rsidR="00F17FE3" w:rsidRPr="00FF11C6" w:rsidRDefault="00FF11C6">
      <w:pPr>
        <w:spacing w:line="360" w:lineRule="auto"/>
        <w:jc w:val="both"/>
        <w:rPr>
          <w:rtl/>
        </w:rPr>
      </w:pPr>
      <w:r w:rsidRPr="00FF11C6">
        <w:rPr>
          <w:rFonts w:hint="cs"/>
          <w:rtl/>
        </w:rPr>
        <w:t>ביום 21/7/13, מבלי שנשמעו ראיות כלל, הודו הנאשמים בעובדות כתב אישום מתוקן א' (להלן: "כתב האישום") והורשעו בביצוע העבירות הבאות:</w:t>
      </w:r>
    </w:p>
    <w:p w14:paraId="0FDA899C" w14:textId="77777777" w:rsidR="00F17FE3" w:rsidRPr="00FF11C6" w:rsidRDefault="00F17FE3">
      <w:pPr>
        <w:jc w:val="both"/>
        <w:rPr>
          <w:rtl/>
        </w:rPr>
      </w:pPr>
    </w:p>
    <w:p w14:paraId="4DDDECF7" w14:textId="77777777" w:rsidR="00F17FE3" w:rsidRPr="00FF11C6" w:rsidRDefault="00FF11C6">
      <w:pPr>
        <w:spacing w:line="360" w:lineRule="auto"/>
        <w:jc w:val="both"/>
        <w:rPr>
          <w:rtl/>
        </w:rPr>
      </w:pPr>
      <w:bookmarkStart w:id="6" w:name="ABSTRACT_START"/>
      <w:bookmarkEnd w:id="6"/>
      <w:r w:rsidRPr="00FF11C6">
        <w:rPr>
          <w:rFonts w:hint="cs"/>
          <w:rtl/>
        </w:rPr>
        <w:t>נאשם 1</w:t>
      </w:r>
    </w:p>
    <w:p w14:paraId="55D8A645" w14:textId="77777777" w:rsidR="00F17FE3" w:rsidRPr="00FF11C6" w:rsidRDefault="00FF11C6">
      <w:pPr>
        <w:spacing w:line="360" w:lineRule="auto"/>
        <w:jc w:val="both"/>
        <w:rPr>
          <w:rtl/>
        </w:rPr>
      </w:pPr>
      <w:r w:rsidRPr="00FF11C6">
        <w:rPr>
          <w:rFonts w:hint="cs"/>
          <w:b/>
          <w:bCs/>
          <w:rtl/>
        </w:rPr>
        <w:t>הריגה</w:t>
      </w:r>
      <w:r w:rsidRPr="00FF11C6">
        <w:rPr>
          <w:rFonts w:hint="cs"/>
          <w:rtl/>
        </w:rPr>
        <w:t xml:space="preserve"> </w:t>
      </w:r>
      <w:r w:rsidRPr="00FF11C6">
        <w:rPr>
          <w:rtl/>
        </w:rPr>
        <w:t>–</w:t>
      </w:r>
      <w:r w:rsidRPr="00FF11C6">
        <w:rPr>
          <w:rFonts w:hint="cs"/>
          <w:rtl/>
        </w:rPr>
        <w:t xml:space="preserve"> לפי </w:t>
      </w:r>
      <w:hyperlink r:id="rId29" w:history="1">
        <w:r w:rsidR="004848F4" w:rsidRPr="004848F4">
          <w:rPr>
            <w:color w:val="0000FF"/>
            <w:u w:val="single"/>
            <w:rtl/>
          </w:rPr>
          <w:t>סעיף 298</w:t>
        </w:r>
      </w:hyperlink>
      <w:r w:rsidRPr="00FF11C6">
        <w:rPr>
          <w:rFonts w:hint="cs"/>
          <w:rtl/>
        </w:rPr>
        <w:t xml:space="preserve"> ל</w:t>
      </w:r>
      <w:hyperlink r:id="rId30" w:history="1">
        <w:r w:rsidR="00F0458C" w:rsidRPr="00F0458C">
          <w:rPr>
            <w:rStyle w:val="Hyperlink"/>
            <w:rtl/>
          </w:rPr>
          <w:t>חוק העונשין</w:t>
        </w:r>
      </w:hyperlink>
      <w:r w:rsidRPr="00FF11C6">
        <w:rPr>
          <w:rFonts w:hint="cs"/>
          <w:rtl/>
        </w:rPr>
        <w:t xml:space="preserve">, התשל"ז-1977 (להלן: "חוק העונשין"). </w:t>
      </w:r>
    </w:p>
    <w:p w14:paraId="736F81D3" w14:textId="77777777" w:rsidR="00F17FE3" w:rsidRPr="00FF11C6" w:rsidRDefault="00FF11C6">
      <w:pPr>
        <w:spacing w:line="360" w:lineRule="auto"/>
        <w:jc w:val="both"/>
        <w:rPr>
          <w:rtl/>
        </w:rPr>
      </w:pPr>
      <w:r w:rsidRPr="00FF11C6">
        <w:rPr>
          <w:rFonts w:hint="cs"/>
          <w:b/>
          <w:bCs/>
          <w:rtl/>
        </w:rPr>
        <w:t>עבירות בנשק</w:t>
      </w:r>
      <w:r w:rsidRPr="00FF11C6">
        <w:rPr>
          <w:rFonts w:hint="cs"/>
          <w:rtl/>
        </w:rPr>
        <w:t xml:space="preserve"> </w:t>
      </w:r>
      <w:r w:rsidRPr="00FF11C6">
        <w:rPr>
          <w:rtl/>
        </w:rPr>
        <w:t>–</w:t>
      </w:r>
      <w:r w:rsidRPr="00FF11C6">
        <w:rPr>
          <w:rFonts w:hint="cs"/>
          <w:rtl/>
        </w:rPr>
        <w:t xml:space="preserve"> לפי </w:t>
      </w:r>
      <w:hyperlink r:id="rId31" w:history="1">
        <w:r w:rsidR="004848F4" w:rsidRPr="004848F4">
          <w:rPr>
            <w:color w:val="0000FF"/>
            <w:u w:val="single"/>
            <w:rtl/>
          </w:rPr>
          <w:t>סעיפים 144(א)+(ב)</w:t>
        </w:r>
      </w:hyperlink>
      <w:r w:rsidRPr="00FF11C6">
        <w:rPr>
          <w:rFonts w:hint="cs"/>
          <w:rtl/>
        </w:rPr>
        <w:t xml:space="preserve"> ל</w:t>
      </w:r>
      <w:hyperlink r:id="rId32" w:history="1">
        <w:r w:rsidR="00F0458C" w:rsidRPr="00F0458C">
          <w:rPr>
            <w:rStyle w:val="Hyperlink"/>
            <w:rtl/>
          </w:rPr>
          <w:t>חוק העונשין</w:t>
        </w:r>
      </w:hyperlink>
      <w:r w:rsidRPr="00FF11C6">
        <w:rPr>
          <w:rFonts w:hint="cs"/>
          <w:rtl/>
        </w:rPr>
        <w:t xml:space="preserve">. </w:t>
      </w:r>
    </w:p>
    <w:p w14:paraId="17D476EA" w14:textId="77777777" w:rsidR="00F17FE3" w:rsidRPr="00FF11C6" w:rsidRDefault="00FF11C6">
      <w:pPr>
        <w:spacing w:line="360" w:lineRule="auto"/>
        <w:jc w:val="both"/>
        <w:rPr>
          <w:rtl/>
        </w:rPr>
      </w:pPr>
      <w:r w:rsidRPr="00FF11C6">
        <w:rPr>
          <w:rFonts w:hint="cs"/>
          <w:b/>
          <w:bCs/>
          <w:rtl/>
        </w:rPr>
        <w:lastRenderedPageBreak/>
        <w:t>חבלה בכוונה מחמירה</w:t>
      </w:r>
      <w:r w:rsidRPr="00FF11C6">
        <w:rPr>
          <w:rFonts w:hint="cs"/>
          <w:rtl/>
        </w:rPr>
        <w:t xml:space="preserve"> </w:t>
      </w:r>
      <w:r w:rsidRPr="00FF11C6">
        <w:rPr>
          <w:rtl/>
        </w:rPr>
        <w:t>–</w:t>
      </w:r>
      <w:r w:rsidRPr="00FF11C6">
        <w:rPr>
          <w:rFonts w:hint="cs"/>
          <w:rtl/>
        </w:rPr>
        <w:t xml:space="preserve"> לפי </w:t>
      </w:r>
      <w:hyperlink r:id="rId33" w:history="1">
        <w:r w:rsidR="004848F4" w:rsidRPr="004848F4">
          <w:rPr>
            <w:rStyle w:val="Hyperlink"/>
            <w:rFonts w:hint="eastAsia"/>
            <w:rtl/>
          </w:rPr>
          <w:t>סעיף</w:t>
        </w:r>
        <w:r w:rsidR="004848F4" w:rsidRPr="004848F4">
          <w:rPr>
            <w:rStyle w:val="Hyperlink"/>
            <w:rtl/>
          </w:rPr>
          <w:t xml:space="preserve"> 329(א)(1)</w:t>
        </w:r>
      </w:hyperlink>
      <w:r w:rsidRPr="00FF11C6">
        <w:rPr>
          <w:rFonts w:hint="cs"/>
          <w:rtl/>
        </w:rPr>
        <w:t>.</w:t>
      </w:r>
    </w:p>
    <w:p w14:paraId="4CE29AD7" w14:textId="77777777" w:rsidR="00F17FE3" w:rsidRPr="00FF11C6" w:rsidRDefault="00F17FE3">
      <w:pPr>
        <w:rPr>
          <w:rtl/>
        </w:rPr>
      </w:pPr>
    </w:p>
    <w:p w14:paraId="2C5B0DE9" w14:textId="77777777" w:rsidR="00F17FE3" w:rsidRPr="00FF11C6" w:rsidRDefault="00FF11C6">
      <w:pPr>
        <w:spacing w:line="360" w:lineRule="auto"/>
        <w:jc w:val="both"/>
        <w:rPr>
          <w:rtl/>
        </w:rPr>
      </w:pPr>
      <w:r w:rsidRPr="00FF11C6">
        <w:rPr>
          <w:rFonts w:hint="cs"/>
          <w:rtl/>
        </w:rPr>
        <w:t>נאשם 2</w:t>
      </w:r>
    </w:p>
    <w:p w14:paraId="3C317B63" w14:textId="77777777" w:rsidR="00F17FE3" w:rsidRPr="00FF11C6" w:rsidRDefault="00FF11C6">
      <w:pPr>
        <w:spacing w:line="360" w:lineRule="auto"/>
        <w:jc w:val="both"/>
        <w:rPr>
          <w:rtl/>
        </w:rPr>
      </w:pPr>
      <w:r w:rsidRPr="00FF11C6">
        <w:rPr>
          <w:rFonts w:hint="cs"/>
          <w:b/>
          <w:bCs/>
          <w:rtl/>
        </w:rPr>
        <w:t xml:space="preserve">פציעה בנסיבות מחמירות </w:t>
      </w:r>
      <w:r w:rsidRPr="00FF11C6">
        <w:rPr>
          <w:rtl/>
        </w:rPr>
        <w:t>–</w:t>
      </w:r>
      <w:r w:rsidRPr="00FF11C6">
        <w:rPr>
          <w:rFonts w:hint="cs"/>
          <w:rtl/>
        </w:rPr>
        <w:t xml:space="preserve"> לפי </w:t>
      </w:r>
      <w:hyperlink r:id="rId34" w:history="1">
        <w:r w:rsidR="004848F4" w:rsidRPr="004848F4">
          <w:rPr>
            <w:rStyle w:val="Hyperlink"/>
            <w:rFonts w:hint="eastAsia"/>
            <w:rtl/>
          </w:rPr>
          <w:t>סעיפים</w:t>
        </w:r>
        <w:r w:rsidR="004848F4" w:rsidRPr="004848F4">
          <w:rPr>
            <w:rStyle w:val="Hyperlink"/>
            <w:rtl/>
          </w:rPr>
          <w:t xml:space="preserve"> 334</w:t>
        </w:r>
      </w:hyperlink>
      <w:r w:rsidRPr="00FF11C6">
        <w:rPr>
          <w:rFonts w:hint="cs"/>
          <w:rtl/>
        </w:rPr>
        <w:t xml:space="preserve"> + </w:t>
      </w:r>
      <w:hyperlink r:id="rId35" w:history="1">
        <w:r w:rsidR="004848F4" w:rsidRPr="004848F4">
          <w:rPr>
            <w:color w:val="0000FF"/>
            <w:u w:val="single"/>
            <w:rtl/>
          </w:rPr>
          <w:t>335(א)(1)</w:t>
        </w:r>
      </w:hyperlink>
      <w:r w:rsidRPr="00FF11C6">
        <w:rPr>
          <w:rFonts w:hint="cs"/>
          <w:rtl/>
        </w:rPr>
        <w:t xml:space="preserve"> + </w:t>
      </w:r>
      <w:hyperlink r:id="rId36" w:history="1">
        <w:r w:rsidR="004848F4" w:rsidRPr="004848F4">
          <w:rPr>
            <w:color w:val="0000FF"/>
            <w:u w:val="single"/>
            <w:rtl/>
          </w:rPr>
          <w:t>(2)</w:t>
        </w:r>
      </w:hyperlink>
      <w:r w:rsidRPr="00FF11C6">
        <w:rPr>
          <w:rFonts w:hint="cs"/>
          <w:rtl/>
        </w:rPr>
        <w:t xml:space="preserve"> ל</w:t>
      </w:r>
      <w:hyperlink r:id="rId37" w:history="1">
        <w:r w:rsidR="00F0458C" w:rsidRPr="00F0458C">
          <w:rPr>
            <w:rStyle w:val="Hyperlink"/>
            <w:rtl/>
          </w:rPr>
          <w:t>חוק העונשין</w:t>
        </w:r>
      </w:hyperlink>
      <w:r w:rsidRPr="00FF11C6">
        <w:rPr>
          <w:rFonts w:hint="cs"/>
          <w:rtl/>
        </w:rPr>
        <w:t>.</w:t>
      </w:r>
    </w:p>
    <w:p w14:paraId="51575357" w14:textId="77777777" w:rsidR="00F17FE3" w:rsidRPr="00FF11C6" w:rsidRDefault="00FF11C6">
      <w:pPr>
        <w:spacing w:line="360" w:lineRule="auto"/>
        <w:jc w:val="both"/>
        <w:rPr>
          <w:rtl/>
        </w:rPr>
      </w:pPr>
      <w:r w:rsidRPr="00FF11C6">
        <w:rPr>
          <w:rFonts w:hint="cs"/>
          <w:b/>
          <w:bCs/>
          <w:rtl/>
        </w:rPr>
        <w:t>תקיפה בנסיבות מחמירות</w:t>
      </w:r>
      <w:r w:rsidRPr="00FF11C6">
        <w:rPr>
          <w:rFonts w:hint="cs"/>
          <w:rtl/>
        </w:rPr>
        <w:t xml:space="preserve"> </w:t>
      </w:r>
      <w:r w:rsidRPr="00FF11C6">
        <w:rPr>
          <w:rtl/>
        </w:rPr>
        <w:t>–</w:t>
      </w:r>
      <w:r w:rsidRPr="00FF11C6">
        <w:rPr>
          <w:rFonts w:hint="cs"/>
          <w:rtl/>
        </w:rPr>
        <w:t xml:space="preserve"> לפי </w:t>
      </w:r>
      <w:hyperlink r:id="rId38" w:history="1">
        <w:r w:rsidR="004848F4" w:rsidRPr="004848F4">
          <w:rPr>
            <w:color w:val="0000FF"/>
            <w:u w:val="single"/>
            <w:rtl/>
          </w:rPr>
          <w:t>סעיפים 379</w:t>
        </w:r>
      </w:hyperlink>
      <w:r w:rsidRPr="00FF11C6">
        <w:rPr>
          <w:rFonts w:hint="cs"/>
          <w:rtl/>
        </w:rPr>
        <w:t xml:space="preserve"> + </w:t>
      </w:r>
      <w:hyperlink r:id="rId39" w:history="1">
        <w:r w:rsidR="004848F4" w:rsidRPr="004848F4">
          <w:rPr>
            <w:color w:val="0000FF"/>
            <w:u w:val="single"/>
            <w:rtl/>
          </w:rPr>
          <w:t>382(א)</w:t>
        </w:r>
      </w:hyperlink>
      <w:r w:rsidRPr="00FF11C6">
        <w:rPr>
          <w:rFonts w:hint="cs"/>
          <w:rtl/>
        </w:rPr>
        <w:t xml:space="preserve"> ל</w:t>
      </w:r>
      <w:hyperlink r:id="rId40" w:history="1">
        <w:r w:rsidR="00F0458C" w:rsidRPr="00F0458C">
          <w:rPr>
            <w:rStyle w:val="Hyperlink"/>
            <w:rtl/>
          </w:rPr>
          <w:t>חוק העונשין</w:t>
        </w:r>
      </w:hyperlink>
      <w:r w:rsidRPr="00FF11C6">
        <w:rPr>
          <w:rFonts w:hint="cs"/>
          <w:rtl/>
        </w:rPr>
        <w:t xml:space="preserve">. </w:t>
      </w:r>
    </w:p>
    <w:p w14:paraId="1E250A4C" w14:textId="77777777" w:rsidR="00F17FE3" w:rsidRPr="00FF11C6" w:rsidRDefault="00F17FE3">
      <w:pPr>
        <w:spacing w:line="360" w:lineRule="auto"/>
        <w:jc w:val="both"/>
        <w:rPr>
          <w:rtl/>
        </w:rPr>
      </w:pPr>
      <w:bookmarkStart w:id="7" w:name="ABSTRACT_END"/>
      <w:bookmarkEnd w:id="7"/>
    </w:p>
    <w:p w14:paraId="0E08C959" w14:textId="77777777" w:rsidR="00F17FE3" w:rsidRPr="00FF11C6" w:rsidRDefault="00FF11C6">
      <w:pPr>
        <w:spacing w:line="360" w:lineRule="auto"/>
        <w:jc w:val="both"/>
        <w:rPr>
          <w:rtl/>
        </w:rPr>
      </w:pPr>
      <w:r w:rsidRPr="00FF11C6">
        <w:rPr>
          <w:rFonts w:hint="cs"/>
          <w:rtl/>
        </w:rPr>
        <w:t xml:space="preserve">לבקשת ב"כ הצדדים הוריתי כי יוכנו תסקירי שרות המבחן לגבי הנאשמים וכן "תסקירי קורבן עבירה" לגבי משפחת המנוח. </w:t>
      </w:r>
    </w:p>
    <w:p w14:paraId="0221169B" w14:textId="77777777" w:rsidR="00F17FE3" w:rsidRPr="00FF11C6" w:rsidRDefault="00F17FE3">
      <w:pPr>
        <w:spacing w:line="360" w:lineRule="auto"/>
        <w:jc w:val="both"/>
        <w:rPr>
          <w:rtl/>
        </w:rPr>
      </w:pPr>
    </w:p>
    <w:p w14:paraId="4A6CDF6C" w14:textId="77777777" w:rsidR="00F17FE3" w:rsidRPr="00FF11C6" w:rsidRDefault="00F17FE3">
      <w:pPr>
        <w:jc w:val="both"/>
        <w:rPr>
          <w:b/>
          <w:bCs/>
          <w:rtl/>
        </w:rPr>
      </w:pPr>
    </w:p>
    <w:p w14:paraId="4DC40508" w14:textId="77777777" w:rsidR="00F17FE3" w:rsidRPr="00FF11C6" w:rsidRDefault="00FF11C6">
      <w:pPr>
        <w:spacing w:line="480" w:lineRule="auto"/>
        <w:jc w:val="both"/>
        <w:rPr>
          <w:rtl/>
        </w:rPr>
      </w:pPr>
      <w:r w:rsidRPr="00FF11C6">
        <w:rPr>
          <w:rFonts w:hint="cs"/>
          <w:b/>
          <w:bCs/>
          <w:rtl/>
        </w:rPr>
        <w:t>כתב האישום</w:t>
      </w:r>
    </w:p>
    <w:p w14:paraId="7401E9BB" w14:textId="77777777" w:rsidR="00F17FE3" w:rsidRPr="00FF11C6" w:rsidRDefault="00FF11C6">
      <w:pPr>
        <w:spacing w:line="360" w:lineRule="auto"/>
        <w:jc w:val="both"/>
        <w:rPr>
          <w:rtl/>
        </w:rPr>
      </w:pPr>
      <w:r w:rsidRPr="00FF11C6">
        <w:rPr>
          <w:rFonts w:hint="cs"/>
          <w:rtl/>
        </w:rPr>
        <w:t xml:space="preserve">מדחאת ונסר מגנדף הינם אחיהם של הנאשמים. </w:t>
      </w:r>
    </w:p>
    <w:p w14:paraId="0870A55F" w14:textId="77777777" w:rsidR="00F17FE3" w:rsidRPr="00FF11C6" w:rsidRDefault="00FF11C6">
      <w:pPr>
        <w:spacing w:line="360" w:lineRule="auto"/>
        <w:jc w:val="both"/>
        <w:rPr>
          <w:rtl/>
        </w:rPr>
      </w:pPr>
      <w:r w:rsidRPr="00FF11C6">
        <w:rPr>
          <w:rFonts w:hint="cs"/>
          <w:rtl/>
        </w:rPr>
        <w:t xml:space="preserve">ביום 17/1/13 בשעה 08:15 לערך, בתחנת דלק באעבלין, פגש מדחאת את עדנאן מריסאת (להלן: "המנוח"), שהיה עם אחיו ובן דודו עארף מריסאת (להלן: "עארף"). מדחאת טען כי המנוח חייב לו 700 ₪, בגין חומרי בניה שקנה המנוח בחנותו של מדחאת, ובין השניים התפתח עימות. </w:t>
      </w:r>
    </w:p>
    <w:p w14:paraId="6484D97E" w14:textId="77777777" w:rsidR="00F17FE3" w:rsidRPr="00FF11C6" w:rsidRDefault="00FF11C6">
      <w:pPr>
        <w:spacing w:line="360" w:lineRule="auto"/>
        <w:jc w:val="both"/>
        <w:rPr>
          <w:rtl/>
        </w:rPr>
      </w:pPr>
      <w:r w:rsidRPr="00FF11C6">
        <w:rPr>
          <w:rFonts w:hint="cs"/>
          <w:rtl/>
        </w:rPr>
        <w:t xml:space="preserve">במהלך העימות הזעיק מדחאת, אל תחנת הדלק, את אֵחיו, לרבות הנאשמים, ועארף הזעיק למקום את אָחִיו שהאב. </w:t>
      </w:r>
    </w:p>
    <w:p w14:paraId="5798A883" w14:textId="77777777" w:rsidR="00F17FE3" w:rsidRPr="00FF11C6" w:rsidRDefault="00F17FE3">
      <w:pPr>
        <w:spacing w:line="360" w:lineRule="auto"/>
        <w:jc w:val="both"/>
        <w:rPr>
          <w:rtl/>
        </w:rPr>
      </w:pPr>
    </w:p>
    <w:p w14:paraId="16859F74" w14:textId="77777777" w:rsidR="00F17FE3" w:rsidRPr="00FF11C6" w:rsidRDefault="00FF11C6">
      <w:pPr>
        <w:spacing w:line="360" w:lineRule="auto"/>
        <w:jc w:val="both"/>
        <w:rPr>
          <w:rtl/>
        </w:rPr>
      </w:pPr>
      <w:r w:rsidRPr="00FF11C6">
        <w:rPr>
          <w:rFonts w:hint="cs"/>
          <w:rtl/>
        </w:rPr>
        <w:t xml:space="preserve">נאשם 2 ואחיו נָסר הגיעו לתחנת הדלק כשנאשם 2 מצויד באקדח גז, וגם שהאב, אחיו של עארף, הגיע לשם. בין שתי המשפחות התפתח עימות. במהלך עימות זה היכה נאשם 2 בראשו של המנוח באמצעות אקדח הגז. </w:t>
      </w:r>
    </w:p>
    <w:p w14:paraId="1F42F444" w14:textId="77777777" w:rsidR="00F17FE3" w:rsidRPr="00FF11C6" w:rsidRDefault="00F17FE3">
      <w:pPr>
        <w:spacing w:line="360" w:lineRule="auto"/>
        <w:jc w:val="both"/>
        <w:rPr>
          <w:rtl/>
        </w:rPr>
      </w:pPr>
    </w:p>
    <w:p w14:paraId="66A1A759" w14:textId="77777777" w:rsidR="00F17FE3" w:rsidRPr="00FF11C6" w:rsidRDefault="00FF11C6">
      <w:pPr>
        <w:spacing w:line="360" w:lineRule="auto"/>
        <w:jc w:val="both"/>
        <w:rPr>
          <w:rtl/>
        </w:rPr>
      </w:pPr>
      <w:r w:rsidRPr="00FF11C6">
        <w:rPr>
          <w:rFonts w:hint="cs"/>
          <w:rtl/>
        </w:rPr>
        <w:t xml:space="preserve">בשלב זה הגיע לתחנת הדלק נאשם 1 כשהוא מצויד באקדח שסוגל לירות כדור שבכוחו להמית אדם (להלן: "האקדח"). יחד עם נאשם 1 הגיע אדם נוסף שזהותו לא נתגלתה (להלן: "האחר"). נאשם 1 התקרב אל הנוכחים תוך שהוא יורה מספר כדורים באקדח. </w:t>
      </w:r>
    </w:p>
    <w:p w14:paraId="629DE895" w14:textId="77777777" w:rsidR="00F17FE3" w:rsidRPr="00FF11C6" w:rsidRDefault="00F17FE3">
      <w:pPr>
        <w:spacing w:line="360" w:lineRule="auto"/>
        <w:jc w:val="both"/>
        <w:rPr>
          <w:rtl/>
        </w:rPr>
      </w:pPr>
    </w:p>
    <w:p w14:paraId="5EF08181" w14:textId="77777777" w:rsidR="00F17FE3" w:rsidRPr="00FF11C6" w:rsidRDefault="00FF11C6">
      <w:pPr>
        <w:spacing w:line="360" w:lineRule="auto"/>
        <w:jc w:val="both"/>
        <w:rPr>
          <w:rtl/>
        </w:rPr>
      </w:pPr>
      <w:r w:rsidRPr="00FF11C6">
        <w:rPr>
          <w:rFonts w:hint="cs"/>
          <w:rtl/>
        </w:rPr>
        <w:t xml:space="preserve">במהלך העימות הנ"ל בין שתי המשפחות, היכו נאשם 2 והאחר את שהאב באמצעות קרשים והפילו אותו על הקרקע. כתוצאה מכך נגרמו לשהאב פצע בראש פרונטאלי ימיני אשר נתפר, המטומה בראש ושפשוף בבית החזה. </w:t>
      </w:r>
    </w:p>
    <w:p w14:paraId="4BA528D9" w14:textId="77777777" w:rsidR="00F17FE3" w:rsidRPr="00FF11C6" w:rsidRDefault="00F17FE3">
      <w:pPr>
        <w:spacing w:line="360" w:lineRule="auto"/>
        <w:jc w:val="both"/>
        <w:rPr>
          <w:rtl/>
        </w:rPr>
      </w:pPr>
    </w:p>
    <w:p w14:paraId="1A1CF7C2" w14:textId="77777777" w:rsidR="00F17FE3" w:rsidRPr="00FF11C6" w:rsidRDefault="00FF11C6">
      <w:pPr>
        <w:spacing w:line="360" w:lineRule="auto"/>
        <w:jc w:val="both"/>
        <w:rPr>
          <w:rtl/>
        </w:rPr>
      </w:pPr>
      <w:r w:rsidRPr="00FF11C6">
        <w:rPr>
          <w:rFonts w:hint="cs"/>
          <w:rtl/>
        </w:rPr>
        <w:t xml:space="preserve">עארף פנה אל נאשם 1 וביקש ממנו לחדול לירות ואז ירה נאשם 1 לעברו של עארף כדור אחד שפגע בירכו השמאלית, בכוונה להטיל בו נכות או מום או לגרום לו חבלה חמורה. כתוצאה מפגיעת הכדור נגרם לעארף שבר מרוסק של פמור פרוקסימאלי שמאלי והוא נותח ואושפז למשך שישה ימים בבית החולים. </w:t>
      </w:r>
    </w:p>
    <w:p w14:paraId="645988AB" w14:textId="77777777" w:rsidR="00F17FE3" w:rsidRPr="00FF11C6" w:rsidRDefault="00F17FE3">
      <w:pPr>
        <w:spacing w:line="360" w:lineRule="auto"/>
        <w:jc w:val="both"/>
        <w:rPr>
          <w:rtl/>
        </w:rPr>
      </w:pPr>
    </w:p>
    <w:p w14:paraId="59DCF4FE" w14:textId="77777777" w:rsidR="00F17FE3" w:rsidRPr="00FF11C6" w:rsidRDefault="00FF11C6">
      <w:pPr>
        <w:spacing w:line="360" w:lineRule="auto"/>
        <w:jc w:val="both"/>
        <w:rPr>
          <w:rtl/>
        </w:rPr>
      </w:pPr>
      <w:r w:rsidRPr="00FF11C6">
        <w:rPr>
          <w:rFonts w:hint="cs"/>
          <w:rtl/>
        </w:rPr>
        <w:lastRenderedPageBreak/>
        <w:t xml:space="preserve">בהמשך, ירה נאשם 1 באקדח לעבר המנוח ואחד הקליעים פגע בבטנו של המנוח אשר הובהל לבית חולים, שם נפטר כתוצאה מפגיעת הקליע. </w:t>
      </w:r>
    </w:p>
    <w:p w14:paraId="0CAF8B32" w14:textId="77777777" w:rsidR="00F17FE3" w:rsidRPr="00FF11C6" w:rsidRDefault="00F17FE3">
      <w:pPr>
        <w:spacing w:line="360" w:lineRule="auto"/>
        <w:jc w:val="both"/>
        <w:rPr>
          <w:rtl/>
        </w:rPr>
      </w:pPr>
    </w:p>
    <w:p w14:paraId="457BA540" w14:textId="77777777" w:rsidR="00F17FE3" w:rsidRPr="00FF11C6" w:rsidRDefault="00FF11C6">
      <w:pPr>
        <w:spacing w:line="360" w:lineRule="auto"/>
        <w:jc w:val="both"/>
        <w:rPr>
          <w:rtl/>
        </w:rPr>
      </w:pPr>
      <w:r w:rsidRPr="00FF11C6">
        <w:rPr>
          <w:rFonts w:hint="cs"/>
          <w:rtl/>
        </w:rPr>
        <w:t xml:space="preserve">בסיכום כתב האישום צוין, כי נאשם 1 גרם במעשה אסור למות המנוח, החזיק ונשא נשק בלא היתר וגרם לעארף חבלה חמורה שלא כדין, בכוונה להטיל בו נכות או מום או לגרום לו חבלה חמורה. </w:t>
      </w:r>
    </w:p>
    <w:p w14:paraId="337F68E9" w14:textId="77777777" w:rsidR="00F17FE3" w:rsidRPr="00FF11C6" w:rsidRDefault="00F17FE3">
      <w:pPr>
        <w:spacing w:line="360" w:lineRule="auto"/>
        <w:jc w:val="both"/>
        <w:rPr>
          <w:rtl/>
        </w:rPr>
      </w:pPr>
    </w:p>
    <w:p w14:paraId="39E87242" w14:textId="77777777" w:rsidR="00F17FE3" w:rsidRPr="00FF11C6" w:rsidRDefault="00FF11C6">
      <w:pPr>
        <w:spacing w:line="360" w:lineRule="auto"/>
        <w:jc w:val="both"/>
        <w:rPr>
          <w:rtl/>
        </w:rPr>
      </w:pPr>
      <w:r w:rsidRPr="00FF11C6">
        <w:rPr>
          <w:rFonts w:hint="cs"/>
          <w:rtl/>
        </w:rPr>
        <w:t>לגבי נאשם 2 צוין כי הוא תקף את המנוח בנסיבות מחמירות המתבטאות בהיותו בחבורה (הכוונה להכאת המנוח באמצעות אקדח הגז) ופצע את שהאב בנסיבות מחמירות, הואיל ונשא נשק קר (קרש) ונכחו שניים (נאשם 2 והאחר) שחברו יחד.</w:t>
      </w:r>
    </w:p>
    <w:p w14:paraId="25742FFC" w14:textId="77777777" w:rsidR="00F17FE3" w:rsidRPr="00FF11C6" w:rsidRDefault="00F17FE3">
      <w:pPr>
        <w:spacing w:line="360" w:lineRule="auto"/>
        <w:jc w:val="both"/>
        <w:rPr>
          <w:rtl/>
        </w:rPr>
      </w:pPr>
    </w:p>
    <w:p w14:paraId="7561A080" w14:textId="77777777" w:rsidR="00F17FE3" w:rsidRPr="00FF11C6" w:rsidRDefault="00FF11C6">
      <w:pPr>
        <w:spacing w:line="480" w:lineRule="auto"/>
        <w:jc w:val="both"/>
        <w:rPr>
          <w:rtl/>
        </w:rPr>
      </w:pPr>
      <w:r w:rsidRPr="00FF11C6">
        <w:rPr>
          <w:rFonts w:hint="cs"/>
          <w:b/>
          <w:bCs/>
          <w:rtl/>
        </w:rPr>
        <w:t>תסקיר קורבן</w:t>
      </w:r>
    </w:p>
    <w:p w14:paraId="3D57330E" w14:textId="77777777" w:rsidR="00F17FE3" w:rsidRPr="00FF11C6" w:rsidRDefault="00FF11C6">
      <w:pPr>
        <w:spacing w:line="360" w:lineRule="auto"/>
        <w:jc w:val="both"/>
        <w:rPr>
          <w:rtl/>
        </w:rPr>
      </w:pPr>
      <w:r w:rsidRPr="00FF11C6">
        <w:rPr>
          <w:rFonts w:hint="cs"/>
          <w:rtl/>
        </w:rPr>
        <w:t>בתסקיר זה צוין כי המנוח היה כבן 42, נשוי ואב לשני ילדים בגילאי 11 ו- 17, עבד כשכיר בעבודות טיח, אהוב על משפחתו הגרעינית והמורחבת, קשור מאוד לבנו בן ה- 17 ב</w:t>
      </w:r>
      <w:r w:rsidRPr="00FF11C6">
        <w:rPr>
          <w:rFonts w:cs="Miriam" w:hint="cs"/>
          <w:rtl/>
        </w:rPr>
        <w:t>"קירבה מיוחדת וחברות שהתפתחה ביניהם"</w:t>
      </w:r>
      <w:r w:rsidRPr="00FF11C6">
        <w:rPr>
          <w:rFonts w:hint="cs"/>
          <w:rtl/>
        </w:rPr>
        <w:t xml:space="preserve"> וכן קשור מאוד לאשתו ולבתו, אותה נהג לכנות "נסיכה". מותו בטרם עת גרם לשבר עצום במשפחה, המתקשה להתמודד עם הארוע מבחינה רגשית ונפשית, ועם קשיי הפרנסה. המנוח תואר כמי שהיה גורם תומך ומחזק בתוך המשפחה הגרעינית והמורחבת, משפחה שהיתה מאופיינת בלכידות גבוהה. על אף הסכם הסולחה, האֵבל נותר בלתי מעובד, בני המשפחה שומרים פנימה את כאבם ומתקשים לבטא אותו כלפי חוץ. </w:t>
      </w:r>
    </w:p>
    <w:p w14:paraId="554E70EF" w14:textId="77777777" w:rsidR="00F17FE3" w:rsidRPr="00FF11C6" w:rsidRDefault="00FF11C6">
      <w:pPr>
        <w:spacing w:line="360" w:lineRule="auto"/>
        <w:jc w:val="both"/>
        <w:rPr>
          <w:rtl/>
        </w:rPr>
      </w:pPr>
      <w:r w:rsidRPr="00FF11C6">
        <w:rPr>
          <w:rFonts w:hint="cs"/>
          <w:rtl/>
        </w:rPr>
        <w:t xml:space="preserve">מתוכן השיחות עם בני המשפחה עולָה פגיעה בדימוי ובכבוד המשפחתי, ועל אף שלפי הסכם הסולחה התאפשר לנאשם 2 לחזור להתגורר בכפר, האוירה עדיין "טעונה". (למעשה מסעיף 3 להסכם הסולחה  - ס/1 </w:t>
      </w:r>
      <w:r w:rsidRPr="00FF11C6">
        <w:rPr>
          <w:rtl/>
        </w:rPr>
        <w:t>–</w:t>
      </w:r>
      <w:r w:rsidRPr="00FF11C6">
        <w:rPr>
          <w:rFonts w:hint="cs"/>
          <w:rtl/>
        </w:rPr>
        <w:t xml:space="preserve"> עולה שחזרת נאשם 2 להתגורר בכפר מותנית בהסכמת ועדת הסולחה והוא טרם חזר לכפר </w:t>
      </w:r>
      <w:r w:rsidRPr="00FF11C6">
        <w:rPr>
          <w:rtl/>
        </w:rPr>
        <w:t>–</w:t>
      </w:r>
      <w:r w:rsidRPr="00FF11C6">
        <w:rPr>
          <w:rFonts w:hint="cs"/>
          <w:rtl/>
        </w:rPr>
        <w:t xml:space="preserve"> מ.ג). </w:t>
      </w:r>
    </w:p>
    <w:p w14:paraId="3D4F5A4A" w14:textId="77777777" w:rsidR="00F17FE3" w:rsidRPr="00FF11C6" w:rsidRDefault="00F17FE3">
      <w:pPr>
        <w:jc w:val="both"/>
        <w:rPr>
          <w:rtl/>
        </w:rPr>
      </w:pPr>
    </w:p>
    <w:p w14:paraId="28479E14" w14:textId="77777777" w:rsidR="00F17FE3" w:rsidRPr="00FF11C6" w:rsidRDefault="00FF11C6">
      <w:pPr>
        <w:spacing w:line="360" w:lineRule="auto"/>
        <w:jc w:val="both"/>
        <w:rPr>
          <w:rtl/>
        </w:rPr>
      </w:pPr>
      <w:r w:rsidRPr="00FF11C6">
        <w:rPr>
          <w:rFonts w:hint="cs"/>
          <w:rtl/>
        </w:rPr>
        <w:t>בשל פחדים מהם סובלים הילדים, ישֵנה האלמנה בלילה עם ילדיה באותו חדר, הם סובלים מ</w:t>
      </w:r>
      <w:r w:rsidRPr="00FF11C6">
        <w:rPr>
          <w:rFonts w:cs="Miriam" w:hint="cs"/>
          <w:rtl/>
        </w:rPr>
        <w:t>"דריכות וחרדות... הם מצויים בשלב מוקדם וראשוני בתהליך ההתמודדות עם הארוע הטראומטי ועיבוד האובדן"</w:t>
      </w:r>
      <w:r w:rsidRPr="00FF11C6">
        <w:rPr>
          <w:rFonts w:hint="cs"/>
          <w:rtl/>
        </w:rPr>
        <w:t xml:space="preserve">. </w:t>
      </w:r>
    </w:p>
    <w:p w14:paraId="5E882CE5" w14:textId="77777777" w:rsidR="00F17FE3" w:rsidRPr="00FF11C6" w:rsidRDefault="00F17FE3">
      <w:pPr>
        <w:jc w:val="both"/>
        <w:rPr>
          <w:rtl/>
        </w:rPr>
      </w:pPr>
    </w:p>
    <w:p w14:paraId="292F3FE9" w14:textId="77777777" w:rsidR="00F17FE3" w:rsidRPr="00FF11C6" w:rsidRDefault="00FF11C6">
      <w:pPr>
        <w:spacing w:line="360" w:lineRule="auto"/>
        <w:jc w:val="both"/>
        <w:rPr>
          <w:rtl/>
        </w:rPr>
      </w:pPr>
      <w:r w:rsidRPr="00FF11C6">
        <w:rPr>
          <w:rFonts w:hint="cs"/>
          <w:rtl/>
        </w:rPr>
        <w:t xml:space="preserve">לדעת עורכת תסקיר הקורבן, האלמנה והילדים זקוקים לסיוע טיפולי של גורמים מקצועיים בקבלת תמיכה מתאימה לצורך התמודדות עם מצבם הרגשי המורכב, אך הם מתקשים להאמין שטיפול כלשהו ישנה את הנזקים שנגרמו להם, לשארית ימי חייהם, בגין אובדן הבעל והאב. </w:t>
      </w:r>
    </w:p>
    <w:p w14:paraId="14B384A5" w14:textId="77777777" w:rsidR="00F17FE3" w:rsidRPr="00FF11C6" w:rsidRDefault="00F17FE3">
      <w:pPr>
        <w:jc w:val="both"/>
        <w:rPr>
          <w:rtl/>
        </w:rPr>
      </w:pPr>
    </w:p>
    <w:p w14:paraId="45F46DDB" w14:textId="77777777" w:rsidR="00F17FE3" w:rsidRPr="00FF11C6" w:rsidRDefault="00FF11C6">
      <w:pPr>
        <w:spacing w:line="360" w:lineRule="auto"/>
        <w:jc w:val="both"/>
        <w:rPr>
          <w:rtl/>
        </w:rPr>
      </w:pPr>
      <w:r w:rsidRPr="00FF11C6">
        <w:rPr>
          <w:rFonts w:hint="cs"/>
          <w:rtl/>
        </w:rPr>
        <w:t xml:space="preserve">האלמנה תיארה את מאמציה וקשייה הרבים לתפקד כאם חד הורית, כשהיא חווה בדידות, תחושת נטישה, עצב עמוק וגעגועים לבעלה, שידע לשמח אותה ואת הילדים ביציאה לבילויים משותפים ולטיולים. האלמנה חווה את חייה בצמצום ובתחושה שחלק ממנה מת ונקבר עם המנוח, ותחושתה היא כי הנאשמים לא רק הרגו אותו אלא פגעו בה ובילדיה באופן בלתי הפיך. </w:t>
      </w:r>
    </w:p>
    <w:p w14:paraId="4D274213" w14:textId="77777777" w:rsidR="00F17FE3" w:rsidRPr="00FF11C6" w:rsidRDefault="00F17FE3">
      <w:pPr>
        <w:jc w:val="both"/>
        <w:rPr>
          <w:rtl/>
        </w:rPr>
      </w:pPr>
    </w:p>
    <w:p w14:paraId="761EB2BC" w14:textId="77777777" w:rsidR="00F17FE3" w:rsidRPr="00FF11C6" w:rsidRDefault="00FF11C6">
      <w:pPr>
        <w:spacing w:line="360" w:lineRule="auto"/>
        <w:jc w:val="both"/>
        <w:rPr>
          <w:rtl/>
        </w:rPr>
      </w:pPr>
      <w:r w:rsidRPr="00FF11C6">
        <w:rPr>
          <w:rFonts w:hint="cs"/>
          <w:rtl/>
        </w:rPr>
        <w:t xml:space="preserve">ההתרשמות הסופית בתסקיר הקורבן היא של התמודדות כואבת וקשה עם הטרגדיה, בחלוף זמן קצר יחסית לצורך עיבוד תהליך האבל, כשבני המשפחה המורחבת של המנוח אף לא הגיעו למפגש אליו הוזמנו בשל קשיים רגשיים וקונפליקטואליים. על אף שהמשפחה משדרת איפוק ומתינות, כל אחד מעבד את אבלו בדרך מיוחדת, כשנסיבות מותו האלימות של המנוח, באופן פתאומי, מותירות את העצב והכאב בתוכם, והם אינם מצליחים כפרטים וכמשפחה להתמודד עם הארוע הקשה ומתנהלים באווירת דכאון וחוסר אונים. </w:t>
      </w:r>
    </w:p>
    <w:p w14:paraId="12BBBC5A" w14:textId="77777777" w:rsidR="00F17FE3" w:rsidRPr="00FF11C6" w:rsidRDefault="00FF11C6">
      <w:pPr>
        <w:spacing w:line="360" w:lineRule="auto"/>
        <w:jc w:val="both"/>
        <w:rPr>
          <w:rtl/>
        </w:rPr>
      </w:pPr>
      <w:r w:rsidRPr="00FF11C6">
        <w:rPr>
          <w:rFonts w:hint="cs"/>
          <w:rtl/>
        </w:rPr>
        <w:t xml:space="preserve">בקשר לענישה הם מצפים להכרה משמעותית בחומרת המעשים ומבקשים כי הנאשמים ישאו בכל חומרת הדין. </w:t>
      </w:r>
    </w:p>
    <w:p w14:paraId="47358B75" w14:textId="77777777" w:rsidR="00F17FE3" w:rsidRPr="00FF11C6" w:rsidRDefault="00F17FE3">
      <w:pPr>
        <w:spacing w:line="360" w:lineRule="auto"/>
        <w:jc w:val="both"/>
        <w:rPr>
          <w:rtl/>
        </w:rPr>
      </w:pPr>
    </w:p>
    <w:p w14:paraId="6C33DB45" w14:textId="77777777" w:rsidR="00F17FE3" w:rsidRPr="00FF11C6" w:rsidRDefault="00FF11C6">
      <w:pPr>
        <w:spacing w:line="480" w:lineRule="auto"/>
        <w:jc w:val="both"/>
        <w:rPr>
          <w:rtl/>
        </w:rPr>
      </w:pPr>
      <w:r w:rsidRPr="00FF11C6">
        <w:rPr>
          <w:rFonts w:hint="cs"/>
          <w:b/>
          <w:bCs/>
          <w:rtl/>
        </w:rPr>
        <w:t>תסקיר בעניינו של נאשם 1</w:t>
      </w:r>
    </w:p>
    <w:p w14:paraId="1C6FE91E" w14:textId="77777777" w:rsidR="00F17FE3" w:rsidRPr="00FF11C6" w:rsidRDefault="00FF11C6">
      <w:pPr>
        <w:spacing w:line="360" w:lineRule="auto"/>
        <w:jc w:val="both"/>
        <w:rPr>
          <w:rtl/>
        </w:rPr>
      </w:pPr>
      <w:r w:rsidRPr="00FF11C6">
        <w:rPr>
          <w:rFonts w:hint="cs"/>
          <w:rtl/>
        </w:rPr>
        <w:t xml:space="preserve">נאשם 1 הוא רווק בן 28 שהתגורר עם הוריו, סיים 12 שנות לימוד, נעדר עבר פלילי, עובד בחנות לחומרי בניה בבעלות אחיו. לדעתו, הקטטה בין אֵחיו למנוח פרצה על רקע חוב כספי, הוא חשש שאֵחיו נפגעו וירה בנשק, אשר לדבריו מצאו בשדה. </w:t>
      </w:r>
    </w:p>
    <w:p w14:paraId="0C4EF1E7" w14:textId="77777777" w:rsidR="00F17FE3" w:rsidRPr="00FF11C6" w:rsidRDefault="00F17FE3">
      <w:pPr>
        <w:spacing w:line="360" w:lineRule="auto"/>
        <w:jc w:val="both"/>
        <w:rPr>
          <w:rtl/>
        </w:rPr>
      </w:pPr>
    </w:p>
    <w:p w14:paraId="4BA2E1C4" w14:textId="77777777" w:rsidR="00F17FE3" w:rsidRPr="00FF11C6" w:rsidRDefault="00FF11C6">
      <w:pPr>
        <w:spacing w:line="360" w:lineRule="auto"/>
        <w:jc w:val="both"/>
        <w:rPr>
          <w:rtl/>
        </w:rPr>
      </w:pPr>
      <w:r w:rsidRPr="00FF11C6">
        <w:rPr>
          <w:rFonts w:hint="cs"/>
          <w:rtl/>
        </w:rPr>
        <w:t xml:space="preserve">מהתסקיר עולה כי נאשם 1 מבין היטב את חומרת מעשיו, הרבה לבכות במהלך השיחה עם קצינת המבחן, מודע לכך שפעל באופן אימפולסיבי ומבין את ההשלכות המצערות של התנהלותו, תוך הבעת אמפטיה כלפי משפחת המתלונן וצער וכאב על כך שהמנוח קיפח את חייו. </w:t>
      </w:r>
    </w:p>
    <w:p w14:paraId="42BBF48B" w14:textId="77777777" w:rsidR="00F17FE3" w:rsidRPr="00FF11C6" w:rsidRDefault="00F17FE3">
      <w:pPr>
        <w:spacing w:line="360" w:lineRule="auto"/>
        <w:jc w:val="both"/>
        <w:rPr>
          <w:rtl/>
        </w:rPr>
      </w:pPr>
    </w:p>
    <w:p w14:paraId="3FA15841" w14:textId="77777777" w:rsidR="00F17FE3" w:rsidRPr="00FF11C6" w:rsidRDefault="00FF11C6">
      <w:pPr>
        <w:spacing w:line="360" w:lineRule="auto"/>
        <w:jc w:val="both"/>
        <w:rPr>
          <w:rtl/>
        </w:rPr>
      </w:pPr>
      <w:r w:rsidRPr="00FF11C6">
        <w:rPr>
          <w:rFonts w:hint="cs"/>
          <w:rtl/>
        </w:rPr>
        <w:t xml:space="preserve">קצינת המבחן התרשמה מאדם בעל יכולות ורבליות וקוגנטיביות סבירות, אשר ניהל אורח חיים נורמטיבי ו"מגן" על עצמו מפני תחושת האשמה הקשה הרובצת עליו באמצעות הטענה כי משפחת הקורבן פגעה במשפחתו, אולם הוא </w:t>
      </w:r>
      <w:r w:rsidRPr="00FF11C6">
        <w:rPr>
          <w:rFonts w:cs="Miriam" w:hint="cs"/>
          <w:rtl/>
        </w:rPr>
        <w:t>"... מגלה מודעות לחומרת מעשיו ומביע חרטה כנה על מעורבותו בעבירה ועל כך שהביא למותו של אדם אחר"</w:t>
      </w:r>
      <w:r w:rsidRPr="00FF11C6">
        <w:rPr>
          <w:rFonts w:hint="cs"/>
          <w:rtl/>
        </w:rPr>
        <w:t xml:space="preserve">. </w:t>
      </w:r>
    </w:p>
    <w:p w14:paraId="2BC394B3" w14:textId="77777777" w:rsidR="00F17FE3" w:rsidRPr="00FF11C6" w:rsidRDefault="00F17FE3">
      <w:pPr>
        <w:spacing w:line="360" w:lineRule="auto"/>
        <w:jc w:val="both"/>
        <w:rPr>
          <w:rtl/>
        </w:rPr>
      </w:pPr>
    </w:p>
    <w:p w14:paraId="092C5DC3" w14:textId="77777777" w:rsidR="00F17FE3" w:rsidRPr="00FF11C6" w:rsidRDefault="00FF11C6">
      <w:pPr>
        <w:spacing w:line="360" w:lineRule="auto"/>
        <w:jc w:val="both"/>
        <w:rPr>
          <w:rtl/>
        </w:rPr>
      </w:pPr>
      <w:r w:rsidRPr="00FF11C6">
        <w:rPr>
          <w:rFonts w:hint="cs"/>
          <w:rtl/>
        </w:rPr>
        <w:t>על אף שלנאשם 1 היה קושי להבין את משמעות הסיכון הכרוך בנשיאת אקדח ללא היתר, מסיכום אבחון שנערך לו בשרות המבחן,  "</w:t>
      </w:r>
      <w:r w:rsidRPr="00FF11C6">
        <w:rPr>
          <w:rFonts w:cs="Miriam" w:hint="cs"/>
          <w:b/>
          <w:bCs/>
          <w:rtl/>
        </w:rPr>
        <w:t>... עולה כי הסיכון להישנות עבירות מסוג אלימות הינה נמוכה</w:t>
      </w:r>
      <w:r w:rsidRPr="00FF11C6">
        <w:rPr>
          <w:rFonts w:hint="cs"/>
          <w:rtl/>
        </w:rPr>
        <w:t xml:space="preserve">" (כך במקור </w:t>
      </w:r>
      <w:r w:rsidRPr="00FF11C6">
        <w:rPr>
          <w:rtl/>
        </w:rPr>
        <w:t>–</w:t>
      </w:r>
      <w:r w:rsidRPr="00FF11C6">
        <w:rPr>
          <w:rFonts w:hint="cs"/>
          <w:rtl/>
        </w:rPr>
        <w:t xml:space="preserve"> מ.ג).</w:t>
      </w:r>
    </w:p>
    <w:p w14:paraId="0615C74D" w14:textId="77777777" w:rsidR="00F17FE3" w:rsidRPr="00FF11C6" w:rsidRDefault="00FF11C6">
      <w:pPr>
        <w:spacing w:line="360" w:lineRule="auto"/>
        <w:jc w:val="both"/>
        <w:rPr>
          <w:rtl/>
        </w:rPr>
      </w:pPr>
      <w:r w:rsidRPr="00FF11C6">
        <w:rPr>
          <w:rFonts w:hint="cs"/>
          <w:rtl/>
        </w:rPr>
        <w:t xml:space="preserve">בפני קצינת המבחן הביע נאשם 1 מצוקה בקשר להיותו במעצר, בשל חשיפתו לאוכלוסייה עבריינית. נוכח האמור, פנה הנאשם 1 לעובד סוציאלי על מנת שיעזור לו ויתמוך בו רגשית, כשהוא מביע צער על מעשיו ומתאר אותם כתגובה חריגה. יחד עם זאת, קצינת המבחן לא התרשמה שנאשם 1 מבטא את הנכונות והרצון לשינוי דפוסיו מתוך הכרה בקיומו של דפוס התנהלות אלים ובעייתי. </w:t>
      </w:r>
    </w:p>
    <w:p w14:paraId="0C8B9710" w14:textId="77777777" w:rsidR="00F17FE3" w:rsidRPr="00FF11C6" w:rsidRDefault="00F17FE3">
      <w:pPr>
        <w:spacing w:line="360" w:lineRule="auto"/>
        <w:jc w:val="both"/>
        <w:rPr>
          <w:rtl/>
        </w:rPr>
      </w:pPr>
    </w:p>
    <w:p w14:paraId="622EFC3B" w14:textId="77777777" w:rsidR="00F17FE3" w:rsidRPr="00FF11C6" w:rsidRDefault="00FF11C6">
      <w:pPr>
        <w:spacing w:line="360" w:lineRule="auto"/>
        <w:jc w:val="both"/>
        <w:rPr>
          <w:rtl/>
        </w:rPr>
      </w:pPr>
      <w:r w:rsidRPr="00FF11C6">
        <w:rPr>
          <w:rFonts w:hint="cs"/>
          <w:rtl/>
        </w:rPr>
        <w:t xml:space="preserve">לאור האמור ונוכח חומרת העבירה והשלכותיה הקשות, הביעה קצינת המבחן דעתה כי נדרשת בעניינו של נאשם 1 ענישה משמעותית, שתשים דגש על החריגה הקיצונית מגבולות החוק. </w:t>
      </w:r>
    </w:p>
    <w:p w14:paraId="3F8F3ED9" w14:textId="77777777" w:rsidR="00F17FE3" w:rsidRPr="00FF11C6" w:rsidRDefault="00F17FE3">
      <w:pPr>
        <w:spacing w:line="360" w:lineRule="auto"/>
        <w:jc w:val="both"/>
        <w:rPr>
          <w:rtl/>
        </w:rPr>
      </w:pPr>
    </w:p>
    <w:p w14:paraId="756AD562" w14:textId="77777777" w:rsidR="00F17FE3" w:rsidRPr="00FF11C6" w:rsidRDefault="00FF11C6">
      <w:pPr>
        <w:spacing w:line="480" w:lineRule="auto"/>
        <w:jc w:val="both"/>
        <w:rPr>
          <w:rtl/>
        </w:rPr>
      </w:pPr>
      <w:r w:rsidRPr="00FF11C6">
        <w:rPr>
          <w:rFonts w:hint="cs"/>
          <w:b/>
          <w:bCs/>
          <w:rtl/>
        </w:rPr>
        <w:t>תסקיר בעניינו של נאשם 2</w:t>
      </w:r>
    </w:p>
    <w:p w14:paraId="1E89068B" w14:textId="77777777" w:rsidR="00F17FE3" w:rsidRPr="00FF11C6" w:rsidRDefault="00FF11C6">
      <w:pPr>
        <w:spacing w:line="360" w:lineRule="auto"/>
        <w:jc w:val="both"/>
        <w:rPr>
          <w:rtl/>
        </w:rPr>
      </w:pPr>
      <w:r w:rsidRPr="00FF11C6">
        <w:rPr>
          <w:rFonts w:hint="cs"/>
          <w:rtl/>
        </w:rPr>
        <w:t xml:space="preserve">נאשם 2 בן 49, נשוי ואב לשלושה ילדים, בעל עסק ברזל ועץ, בו הוא עובד כ- 18 שנה. הנאשם תיאר את משפחתו, שבה 15 אחים ואחיות וזוג הורים, כמשפחה נורמטיבית, שפרטיה נעדרי עבר פלילי. </w:t>
      </w:r>
    </w:p>
    <w:p w14:paraId="09CCB261" w14:textId="77777777" w:rsidR="00F17FE3" w:rsidRPr="00FF11C6" w:rsidRDefault="00FF11C6">
      <w:pPr>
        <w:spacing w:line="360" w:lineRule="auto"/>
        <w:jc w:val="both"/>
        <w:rPr>
          <w:rtl/>
        </w:rPr>
      </w:pPr>
      <w:r w:rsidRPr="00FF11C6">
        <w:rPr>
          <w:rFonts w:hint="cs"/>
          <w:rtl/>
        </w:rPr>
        <w:t xml:space="preserve">הנאשם טען כי מעצרו, הרחקתו למעצר בית מחוץ לביתו תקופה ארוכה, והחשש ממאסר בפועל בסוף המשפט פוגעים במשפחתו. </w:t>
      </w:r>
    </w:p>
    <w:p w14:paraId="0CE3E957" w14:textId="77777777" w:rsidR="00F17FE3" w:rsidRPr="00FF11C6" w:rsidRDefault="00FF11C6">
      <w:pPr>
        <w:spacing w:line="360" w:lineRule="auto"/>
        <w:jc w:val="both"/>
        <w:rPr>
          <w:rtl/>
        </w:rPr>
      </w:pPr>
      <w:r w:rsidRPr="00FF11C6">
        <w:rPr>
          <w:rFonts w:hint="cs"/>
          <w:rtl/>
        </w:rPr>
        <w:t xml:space="preserve">נאשם 2 הביע עמדה קורבנית הנעדרת אמפטיה לנפגעים, צמצם את אחריותו האישית וטשטש אותה, וניסה להסביר את מעשיו בטענה כי התפתחה קטטה בין משפחת המנוח לבין משפחתו והוא חש צורך להפריד ולעזור לאֵחיו. </w:t>
      </w:r>
    </w:p>
    <w:p w14:paraId="1E7B67A1" w14:textId="77777777" w:rsidR="00F17FE3" w:rsidRPr="00FF11C6" w:rsidRDefault="00FF11C6">
      <w:pPr>
        <w:spacing w:line="360" w:lineRule="auto"/>
        <w:jc w:val="both"/>
        <w:rPr>
          <w:rtl/>
        </w:rPr>
      </w:pPr>
      <w:r w:rsidRPr="00FF11C6">
        <w:rPr>
          <w:rFonts w:hint="cs"/>
          <w:rtl/>
        </w:rPr>
        <w:t xml:space="preserve">על אף שהשתתף בקבוצת עצורי בית במסגרת "פיקוח מעצר", עמדתו לא השתנתה. </w:t>
      </w:r>
    </w:p>
    <w:p w14:paraId="7F4347BA" w14:textId="77777777" w:rsidR="00F17FE3" w:rsidRPr="00FF11C6" w:rsidRDefault="00FF11C6">
      <w:pPr>
        <w:spacing w:line="360" w:lineRule="auto"/>
        <w:jc w:val="both"/>
        <w:rPr>
          <w:rtl/>
        </w:rPr>
      </w:pPr>
      <w:r w:rsidRPr="00FF11C6">
        <w:rPr>
          <w:rFonts w:hint="cs"/>
          <w:rtl/>
        </w:rPr>
        <w:t xml:space="preserve">קצינת המבחן התרשמה </w:t>
      </w:r>
      <w:r w:rsidRPr="00FF11C6">
        <w:rPr>
          <w:rFonts w:cs="Miriam" w:hint="cs"/>
          <w:rtl/>
        </w:rPr>
        <w:t>"... מאדם שבדרך כלל ניהל אורח חיים המאופיין ביציבות תעסוקתית ודפוסים של פרנסה ומחוייבות לעבודתו ולבני משפחתו... דימויו העצמי פגוע, קיימים קווי אישיות אימפולסיבית ותוקפנית שעלולים להוביל אותו למצבים של איבוד שליטה ופגיעה באחר... התרשמנו מהעדר אמפטיה וטשטוש לחלקו בביצוע העבירה, כמו כן צמצום לנזקים שנגרמו למשפחת המנוח... לאחר הארוע הוא חווה נזקים של טראומה שמקורה בנזק שנגרם למשפחתו ולעסק... לא הביע נזקקות טיפולית ולא התחבר לקיומו של צורך להתבונן במאפייני אישיותו ומעריך כי עד היום ידע לנקוט בצעדים שעזרו לו לנהל את חייו ללא מעורבות בפלילים, ללא צורך במעורבות גורמי טיפול"</w:t>
      </w:r>
      <w:r w:rsidRPr="00FF11C6">
        <w:rPr>
          <w:rFonts w:hint="cs"/>
          <w:rtl/>
        </w:rPr>
        <w:t xml:space="preserve">. </w:t>
      </w:r>
    </w:p>
    <w:p w14:paraId="5323AC45" w14:textId="77777777" w:rsidR="00F17FE3" w:rsidRPr="00FF11C6" w:rsidRDefault="00F17FE3">
      <w:pPr>
        <w:spacing w:line="360" w:lineRule="auto"/>
        <w:jc w:val="both"/>
        <w:rPr>
          <w:rtl/>
        </w:rPr>
      </w:pPr>
    </w:p>
    <w:p w14:paraId="1A94BD18" w14:textId="77777777" w:rsidR="00F17FE3" w:rsidRPr="00FF11C6" w:rsidRDefault="00FF11C6">
      <w:pPr>
        <w:spacing w:line="360" w:lineRule="auto"/>
        <w:jc w:val="both"/>
        <w:rPr>
          <w:rtl/>
        </w:rPr>
      </w:pPr>
      <w:r w:rsidRPr="00FF11C6">
        <w:rPr>
          <w:rFonts w:hint="cs"/>
          <w:rtl/>
        </w:rPr>
        <w:t>לאור האמור, בשל הקושי לקבל אחריות והעדר אמפטיה לנפגעים, נמנעה קצינת המבחן "</w:t>
      </w:r>
      <w:r w:rsidRPr="00FF11C6">
        <w:rPr>
          <w:rFonts w:cs="Miriam" w:hint="cs"/>
          <w:rtl/>
        </w:rPr>
        <w:t>... מכל המלצה בעניינו של נאשם 2 ומעריכים כי ענישה הרתעתית עשויה לחדד עבורו את גבולות המותר והאסור ולחברו לפסול בהתנהגותו</w:t>
      </w:r>
      <w:r w:rsidRPr="00FF11C6">
        <w:rPr>
          <w:rFonts w:hint="cs"/>
          <w:rtl/>
        </w:rPr>
        <w:t xml:space="preserve">". </w:t>
      </w:r>
    </w:p>
    <w:p w14:paraId="5726F605" w14:textId="77777777" w:rsidR="00F17FE3" w:rsidRPr="00FF11C6" w:rsidRDefault="00F17FE3">
      <w:pPr>
        <w:spacing w:line="360" w:lineRule="auto"/>
        <w:jc w:val="both"/>
        <w:rPr>
          <w:rtl/>
        </w:rPr>
      </w:pPr>
    </w:p>
    <w:p w14:paraId="0CB8EF6B" w14:textId="77777777" w:rsidR="00F17FE3" w:rsidRPr="00FF11C6" w:rsidRDefault="00FF11C6">
      <w:pPr>
        <w:spacing w:line="480" w:lineRule="auto"/>
        <w:jc w:val="both"/>
        <w:rPr>
          <w:rtl/>
        </w:rPr>
      </w:pPr>
      <w:r w:rsidRPr="00FF11C6">
        <w:rPr>
          <w:rFonts w:hint="cs"/>
          <w:b/>
          <w:bCs/>
          <w:rtl/>
        </w:rPr>
        <w:t>ראיות לענין העונש</w:t>
      </w:r>
    </w:p>
    <w:p w14:paraId="2DC587EE" w14:textId="77777777" w:rsidR="00F17FE3" w:rsidRPr="00FF11C6" w:rsidRDefault="00FF11C6">
      <w:pPr>
        <w:spacing w:line="360" w:lineRule="auto"/>
        <w:jc w:val="both"/>
        <w:rPr>
          <w:rtl/>
        </w:rPr>
      </w:pPr>
      <w:r w:rsidRPr="00FF11C6">
        <w:rPr>
          <w:rFonts w:hint="cs"/>
          <w:rtl/>
        </w:rPr>
        <w:t xml:space="preserve">מטעם המאשימה הוגש גיליון הרשעותיו הקודמות של נאשם 2 (ט/1), ממנו עולה כי הורשע בשנת 2006 ובשנת 2008 בעבירות של "ביצוע עבודות ללא היתר" על-פי </w:t>
      </w:r>
      <w:hyperlink r:id="rId41" w:history="1">
        <w:r w:rsidR="00F0458C" w:rsidRPr="00F0458C">
          <w:rPr>
            <w:rStyle w:val="Hyperlink"/>
            <w:rtl/>
          </w:rPr>
          <w:t>חוק התכנון והבניה</w:t>
        </w:r>
      </w:hyperlink>
      <w:r w:rsidRPr="00FF11C6">
        <w:rPr>
          <w:rFonts w:hint="cs"/>
          <w:rtl/>
        </w:rPr>
        <w:t xml:space="preserve">, בגינן נדון לתשלום קנסות והתחייבות להמנע מעבירה. עוד הורשע בשנת 2006 בעבירה של "אי מילוי חובת הצהרה" לפי </w:t>
      </w:r>
      <w:hyperlink r:id="rId42" w:history="1">
        <w:r w:rsidR="00F0458C" w:rsidRPr="00F0458C">
          <w:rPr>
            <w:rStyle w:val="Hyperlink"/>
            <w:rtl/>
          </w:rPr>
          <w:t>פקודת המכס</w:t>
        </w:r>
      </w:hyperlink>
      <w:r w:rsidRPr="00FF11C6">
        <w:rPr>
          <w:rFonts w:hint="cs"/>
          <w:rtl/>
        </w:rPr>
        <w:t xml:space="preserve">, בגינה נדון לקנס של כ- 2,300 ₪. </w:t>
      </w:r>
    </w:p>
    <w:p w14:paraId="0DFC87CF" w14:textId="77777777" w:rsidR="00F17FE3" w:rsidRPr="00FF11C6" w:rsidRDefault="00FF11C6">
      <w:pPr>
        <w:spacing w:line="360" w:lineRule="auto"/>
        <w:jc w:val="both"/>
        <w:rPr>
          <w:rtl/>
        </w:rPr>
      </w:pPr>
      <w:r w:rsidRPr="00FF11C6">
        <w:rPr>
          <w:rFonts w:hint="cs"/>
          <w:rtl/>
        </w:rPr>
        <w:t>מטעם המאשימה הוגש "תצהיר קורבן עבירה" (ט/2), אשר ניתן על-ידי עארף מריסאת, בו הוא מתאר את מגבלותיו הרפואיות לרבות אי כושר זמני לעבוד בשיעור של 100%, עד ל- 30/9/13 (כאמור באישור שהגיש מן המוסד לביטוח לאומי), את הטיפולים הקשים שעבר בעקבות פציעותיו בארוע, ואת ההשפעה הנפשית הקשה שהיתה עליו בגין מות אחיו (לתצהיר זה צורפו תעודות רפואיות התומכות באמור בו).</w:t>
      </w:r>
    </w:p>
    <w:p w14:paraId="2BF2DB94" w14:textId="77777777" w:rsidR="00F17FE3" w:rsidRPr="00FF11C6" w:rsidRDefault="00F17FE3">
      <w:pPr>
        <w:spacing w:line="360" w:lineRule="auto"/>
        <w:jc w:val="both"/>
        <w:rPr>
          <w:rtl/>
        </w:rPr>
      </w:pPr>
    </w:p>
    <w:p w14:paraId="1EDE8C44" w14:textId="77777777" w:rsidR="00F17FE3" w:rsidRPr="00FF11C6" w:rsidRDefault="00FF11C6">
      <w:pPr>
        <w:spacing w:line="360" w:lineRule="auto"/>
        <w:jc w:val="both"/>
        <w:rPr>
          <w:rtl/>
        </w:rPr>
      </w:pPr>
      <w:r w:rsidRPr="00FF11C6">
        <w:rPr>
          <w:rFonts w:hint="cs"/>
          <w:rtl/>
        </w:rPr>
        <w:t xml:space="preserve">מטעם הנאשמים הוגש הסכם סולחה (ס/1) ממנו עולה כי הוא נערך בתיווכם של מכובדים רבים משתי המשפחות וחברי ועדת הסולחה. עוד עולה כי משפחת הנאשמים שילמה למשפחת המנוח סכום של 500,000 ₪, ולמשפחתו של עארף מריסאת שולם סכום של 250,000 ₪. </w:t>
      </w:r>
    </w:p>
    <w:p w14:paraId="5AB7DBD3" w14:textId="77777777" w:rsidR="00F17FE3" w:rsidRPr="00FF11C6" w:rsidRDefault="00FF11C6">
      <w:pPr>
        <w:spacing w:line="360" w:lineRule="auto"/>
        <w:jc w:val="both"/>
        <w:rPr>
          <w:rtl/>
        </w:rPr>
      </w:pPr>
      <w:r w:rsidRPr="00FF11C6">
        <w:rPr>
          <w:rFonts w:hint="cs"/>
          <w:rtl/>
        </w:rPr>
        <w:t xml:space="preserve">שני הצדדים הצהירו בהסכם זה כי לא תהיינה תביעות ודרישות נוספות והתחייבו שלא תהיה ביניהם בעתיד שום צורה של אלימות או איומים והם יחזרו לשכנות טובה. </w:t>
      </w:r>
    </w:p>
    <w:p w14:paraId="5A7926A9" w14:textId="77777777" w:rsidR="00F17FE3" w:rsidRPr="00FF11C6" w:rsidRDefault="00F17FE3">
      <w:pPr>
        <w:spacing w:line="360" w:lineRule="auto"/>
        <w:jc w:val="both"/>
        <w:rPr>
          <w:rtl/>
        </w:rPr>
      </w:pPr>
    </w:p>
    <w:p w14:paraId="74CD08A5" w14:textId="77777777" w:rsidR="00F17FE3" w:rsidRPr="00FF11C6" w:rsidRDefault="00FF11C6">
      <w:pPr>
        <w:spacing w:line="360" w:lineRule="auto"/>
        <w:jc w:val="both"/>
        <w:rPr>
          <w:rtl/>
        </w:rPr>
      </w:pPr>
      <w:r w:rsidRPr="00FF11C6">
        <w:rPr>
          <w:rFonts w:hint="cs"/>
          <w:rtl/>
        </w:rPr>
        <w:t xml:space="preserve">בהסכמת ב"כ המאשימה הוגשה ביום 5.11.13 תעודה רפואית של מדחאת (סומנה ס/5), לפיה טען ביום 17.1.13 בחדר המיון של בית החולים נהריה, כי הותקף על-ידי 3 אנשים, קיבל מכות בירך שמאל ואמה שמאל ולא מסוגל להניע אצבע 4 של יד שמאל. </w:t>
      </w:r>
    </w:p>
    <w:p w14:paraId="78D18751" w14:textId="77777777" w:rsidR="00F17FE3" w:rsidRPr="00FF11C6" w:rsidRDefault="00F17FE3">
      <w:pPr>
        <w:spacing w:line="360" w:lineRule="auto"/>
        <w:jc w:val="both"/>
        <w:rPr>
          <w:rtl/>
        </w:rPr>
      </w:pPr>
    </w:p>
    <w:p w14:paraId="1941257D" w14:textId="77777777" w:rsidR="00F17FE3" w:rsidRPr="00FF11C6" w:rsidRDefault="00FF11C6">
      <w:pPr>
        <w:spacing w:line="480" w:lineRule="auto"/>
        <w:jc w:val="both"/>
        <w:rPr>
          <w:rtl/>
        </w:rPr>
      </w:pPr>
      <w:r w:rsidRPr="00FF11C6">
        <w:rPr>
          <w:rFonts w:hint="cs"/>
          <w:b/>
          <w:bCs/>
          <w:rtl/>
        </w:rPr>
        <w:t>טיעוני ב"כ המאשימה</w:t>
      </w:r>
    </w:p>
    <w:p w14:paraId="7347F803" w14:textId="77777777" w:rsidR="00F17FE3" w:rsidRPr="00FF11C6" w:rsidRDefault="00FF11C6">
      <w:pPr>
        <w:spacing w:line="360" w:lineRule="auto"/>
        <w:jc w:val="both"/>
        <w:rPr>
          <w:rtl/>
        </w:rPr>
      </w:pPr>
      <w:r w:rsidRPr="00FF11C6">
        <w:rPr>
          <w:rFonts w:hint="cs"/>
          <w:rtl/>
        </w:rPr>
        <w:t>בטיעון בכתב (ט/3) תמציתי, מקצועי, וערוך כדבעי, הדגישה ב"כ המאשימה את החומרה הרבה של העבירות, במיוחד אלה שביצע נאשם 1, אשר פגעו בשני ערכים חברתיים מוגנים: קדושת החיים ושלמות הגוף. לדבריה, הנזק למשפחת הקורבן רב ביותר כמפורט בתסקיר הקורבן, וכך גם נזקיו של עארף אשר נפצע באירוע ואיבד את אחיו. ב"כ המאשימה ציינה כי תיקון מס' 113 ל</w:t>
      </w:r>
      <w:hyperlink r:id="rId43" w:history="1">
        <w:r w:rsidR="00F0458C" w:rsidRPr="00F0458C">
          <w:rPr>
            <w:rStyle w:val="Hyperlink"/>
            <w:rtl/>
          </w:rPr>
          <w:t>חוק העונשין</w:t>
        </w:r>
      </w:hyperlink>
      <w:r w:rsidRPr="00FF11C6">
        <w:rPr>
          <w:rFonts w:hint="cs"/>
          <w:rtl/>
        </w:rPr>
        <w:t xml:space="preserve"> מדגיש את עקרון ההלימה, דהיינו את הגמול והפנתה לפסקי דין רבים (ט/4, ט/5), בהם בית המשפט העליון הדגיש את הצורך להילחם באמצעות ענישה מחמירה בעשיית דין עצמית שמביאה להמתת או פציעת הזולת בשל עניינים של מה בכך.  לדעתה מתחם העונש ההולם לארוע כולו נע בין 12 ל- 18 שנות מאסר בפועל, לגבי נאשם 1. </w:t>
      </w:r>
    </w:p>
    <w:p w14:paraId="2B026F7F" w14:textId="77777777" w:rsidR="00F17FE3" w:rsidRPr="00FF11C6" w:rsidRDefault="00FF11C6">
      <w:pPr>
        <w:spacing w:line="360" w:lineRule="auto"/>
        <w:jc w:val="both"/>
        <w:rPr>
          <w:rtl/>
        </w:rPr>
      </w:pPr>
      <w:r w:rsidRPr="00FF11C6">
        <w:rPr>
          <w:rFonts w:hint="cs"/>
          <w:rtl/>
        </w:rPr>
        <w:t xml:space="preserve">ב"כ המאשימה השאירה "לשיקול דעת בית המשפט" </w:t>
      </w:r>
      <w:r w:rsidRPr="00FF11C6">
        <w:rPr>
          <w:rtl/>
        </w:rPr>
        <w:t>–</w:t>
      </w:r>
      <w:r w:rsidRPr="00FF11C6">
        <w:rPr>
          <w:rFonts w:hint="cs"/>
          <w:rtl/>
        </w:rPr>
        <w:t xml:space="preserve"> בטיעונה בעל פה </w:t>
      </w:r>
      <w:r w:rsidRPr="00FF11C6">
        <w:rPr>
          <w:rtl/>
        </w:rPr>
        <w:t>–</w:t>
      </w:r>
      <w:r w:rsidRPr="00FF11C6">
        <w:rPr>
          <w:rFonts w:hint="cs"/>
          <w:rtl/>
        </w:rPr>
        <w:t xml:space="preserve"> את הקביעה בדבר היות כל העבירות שעשה כל אחד מן הנאשמים "ארוע אחד" או "ריבוי עבירות".</w:t>
      </w:r>
    </w:p>
    <w:p w14:paraId="177C1DE7" w14:textId="77777777" w:rsidR="00F17FE3" w:rsidRPr="00FF11C6" w:rsidRDefault="00F17FE3">
      <w:pPr>
        <w:jc w:val="both"/>
        <w:rPr>
          <w:rtl/>
        </w:rPr>
      </w:pPr>
    </w:p>
    <w:p w14:paraId="0F93D454" w14:textId="77777777" w:rsidR="00F17FE3" w:rsidRPr="00FF11C6" w:rsidRDefault="00FF11C6">
      <w:pPr>
        <w:spacing w:line="360" w:lineRule="auto"/>
        <w:jc w:val="both"/>
        <w:rPr>
          <w:rtl/>
        </w:rPr>
      </w:pPr>
      <w:r w:rsidRPr="00FF11C6">
        <w:rPr>
          <w:rFonts w:hint="cs"/>
          <w:rtl/>
        </w:rPr>
        <w:t>לגבי נאשם 1, הדגישה ב"כ המאשימה כי יש לשקול לחומרה, בתוך מתחם העונש ההולם, את העובדה שהוא פגע בשני בני אדם באמצעות האקדח, אותו החזיק זמן רב ללא היתר ומבלי להסגירו למשטרה. לפיכך, בשל הצורך בהרתעת הרבים כדי למגר את האלימות ברחובותינו הגובה כל יום קורבנות נוספים, ביקשה כי עונשו ייקבע ברף העליון של המתחם הנ"ל.</w:t>
      </w:r>
    </w:p>
    <w:p w14:paraId="354550D7" w14:textId="77777777" w:rsidR="00F17FE3" w:rsidRPr="00FF11C6" w:rsidRDefault="00F17FE3">
      <w:pPr>
        <w:spacing w:line="360" w:lineRule="auto"/>
        <w:jc w:val="both"/>
        <w:rPr>
          <w:rtl/>
        </w:rPr>
      </w:pPr>
    </w:p>
    <w:p w14:paraId="3F3B1608" w14:textId="77777777" w:rsidR="00F17FE3" w:rsidRPr="00FF11C6" w:rsidRDefault="00FF11C6">
      <w:pPr>
        <w:spacing w:line="360" w:lineRule="auto"/>
        <w:jc w:val="both"/>
        <w:rPr>
          <w:rtl/>
        </w:rPr>
      </w:pPr>
      <w:r w:rsidRPr="00FF11C6">
        <w:rPr>
          <w:rFonts w:hint="cs"/>
          <w:rtl/>
        </w:rPr>
        <w:t xml:space="preserve">ב"כ המאשימה הפנתה בהקשר זה לתסקירי שרות המבחן שאין בהם המלצה טיפולית אלא המלצה על עונש מרתיע, במיוחד לנאשם 2 שלא קיבל אחריות מלאה למעשיו. </w:t>
      </w:r>
    </w:p>
    <w:p w14:paraId="58C90726" w14:textId="77777777" w:rsidR="00F17FE3" w:rsidRPr="00FF11C6" w:rsidRDefault="00F17FE3">
      <w:pPr>
        <w:jc w:val="both"/>
        <w:rPr>
          <w:rtl/>
        </w:rPr>
      </w:pPr>
    </w:p>
    <w:p w14:paraId="33241944" w14:textId="77777777" w:rsidR="00F17FE3" w:rsidRPr="00FF11C6" w:rsidRDefault="00FF11C6">
      <w:pPr>
        <w:spacing w:line="360" w:lineRule="auto"/>
        <w:jc w:val="both"/>
        <w:rPr>
          <w:rtl/>
        </w:rPr>
      </w:pPr>
      <w:r w:rsidRPr="00FF11C6">
        <w:rPr>
          <w:rFonts w:hint="cs"/>
          <w:rtl/>
        </w:rPr>
        <w:t xml:space="preserve">בעניינו של נאשם 2 סוברת ב"כ המאשימה, כי מתחם העונש ההולם צריך לעמוד בין 1 ל- 3 שנות מאסר בפועל. </w:t>
      </w:r>
    </w:p>
    <w:p w14:paraId="0AEA2517" w14:textId="77777777" w:rsidR="00F17FE3" w:rsidRPr="00FF11C6" w:rsidRDefault="00F17FE3">
      <w:pPr>
        <w:jc w:val="both"/>
        <w:rPr>
          <w:rtl/>
        </w:rPr>
      </w:pPr>
    </w:p>
    <w:p w14:paraId="539D9F99" w14:textId="77777777" w:rsidR="00F17FE3" w:rsidRPr="00FF11C6" w:rsidRDefault="00FF11C6">
      <w:pPr>
        <w:spacing w:line="360" w:lineRule="auto"/>
        <w:jc w:val="both"/>
        <w:rPr>
          <w:rtl/>
        </w:rPr>
      </w:pPr>
      <w:r w:rsidRPr="00FF11C6">
        <w:rPr>
          <w:rFonts w:hint="cs"/>
          <w:rtl/>
        </w:rPr>
        <w:t xml:space="preserve">לסיכום, ביקשה ב"כ המאשימה להשית על נאשם 1, בשל חומרת מעשיו והצורך בהרתעת היחיד והרבים, ענישה המצויה ברף העליון של מתחם העונש ההולם הנ"ל, בתוספת מאסר על תנאי מרתיע, ועל נאשם 2 </w:t>
      </w:r>
      <w:r w:rsidRPr="00FF11C6">
        <w:rPr>
          <w:rtl/>
        </w:rPr>
        <w:t>–</w:t>
      </w:r>
      <w:r w:rsidRPr="00FF11C6">
        <w:rPr>
          <w:rFonts w:hint="cs"/>
          <w:rtl/>
        </w:rPr>
        <w:t xml:space="preserve"> בשל אי לקיחת אחריות, אי גילוי אמפטיה והמלצתו השלילית של שרות המבחן </w:t>
      </w:r>
      <w:r w:rsidRPr="00FF11C6">
        <w:rPr>
          <w:rtl/>
        </w:rPr>
        <w:t>–</w:t>
      </w:r>
      <w:r w:rsidRPr="00FF11C6">
        <w:rPr>
          <w:rFonts w:hint="cs"/>
          <w:rtl/>
        </w:rPr>
        <w:t xml:space="preserve"> עונש שבין 18 ל- 36 חודשי מאסר בפועל. </w:t>
      </w:r>
    </w:p>
    <w:p w14:paraId="61008BEB" w14:textId="77777777" w:rsidR="00F17FE3" w:rsidRPr="00FF11C6" w:rsidRDefault="00F17FE3">
      <w:pPr>
        <w:jc w:val="both"/>
        <w:rPr>
          <w:rtl/>
        </w:rPr>
      </w:pPr>
    </w:p>
    <w:p w14:paraId="6D04A051" w14:textId="77777777" w:rsidR="00F17FE3" w:rsidRPr="00FF11C6" w:rsidRDefault="00FF11C6">
      <w:pPr>
        <w:spacing w:line="360" w:lineRule="auto"/>
        <w:jc w:val="both"/>
        <w:rPr>
          <w:rtl/>
        </w:rPr>
      </w:pPr>
      <w:r w:rsidRPr="00FF11C6">
        <w:rPr>
          <w:rFonts w:hint="cs"/>
          <w:rtl/>
        </w:rPr>
        <w:t xml:space="preserve">בהגינותה, ובשל תשלום הפיצויים במסגרת הסכם הסולחה, הודיעה ב"כ המאשימה כי אינה עותרת לתשלום פיצויים נוספים. </w:t>
      </w:r>
    </w:p>
    <w:p w14:paraId="65873D7B" w14:textId="77777777" w:rsidR="00F17FE3" w:rsidRPr="00FF11C6" w:rsidRDefault="00F17FE3">
      <w:pPr>
        <w:spacing w:line="360" w:lineRule="auto"/>
        <w:jc w:val="both"/>
        <w:rPr>
          <w:rtl/>
        </w:rPr>
      </w:pPr>
    </w:p>
    <w:p w14:paraId="104E93D8" w14:textId="77777777" w:rsidR="00F17FE3" w:rsidRPr="00FF11C6" w:rsidRDefault="00FF11C6">
      <w:pPr>
        <w:spacing w:line="480" w:lineRule="auto"/>
        <w:jc w:val="both"/>
        <w:rPr>
          <w:rtl/>
        </w:rPr>
      </w:pPr>
      <w:r w:rsidRPr="00FF11C6">
        <w:rPr>
          <w:rFonts w:hint="cs"/>
          <w:b/>
          <w:bCs/>
          <w:rtl/>
        </w:rPr>
        <w:t>טיעוני ב"כ נאשם 1</w:t>
      </w:r>
    </w:p>
    <w:p w14:paraId="318A781F" w14:textId="77777777" w:rsidR="00F17FE3" w:rsidRPr="00FF11C6" w:rsidRDefault="00FF11C6">
      <w:pPr>
        <w:spacing w:line="360" w:lineRule="auto"/>
        <w:jc w:val="both"/>
        <w:rPr>
          <w:rtl/>
        </w:rPr>
      </w:pPr>
      <w:r w:rsidRPr="00FF11C6">
        <w:rPr>
          <w:rFonts w:hint="cs"/>
          <w:rtl/>
        </w:rPr>
        <w:t xml:space="preserve">ב"כ נאשם 1 לא חלק על החומרה הרבה הטמונה במעשי מרשו אך הדגיש את היותו אדם נורמטיבי, צעיר, לא נשוי, אשר הביע חרטה וצער אמיתיים על מעשיו. תמיכה בכך ראה הוא בהסכם הסולחה שבמסגרתו שולם למשפחת המנוח כסף משמעותי (500,000 ₪). </w:t>
      </w:r>
    </w:p>
    <w:p w14:paraId="282F0F03" w14:textId="77777777" w:rsidR="00F17FE3" w:rsidRPr="00FF11C6" w:rsidRDefault="00FF11C6">
      <w:pPr>
        <w:spacing w:line="360" w:lineRule="auto"/>
        <w:jc w:val="both"/>
        <w:rPr>
          <w:rtl/>
        </w:rPr>
      </w:pPr>
      <w:r w:rsidRPr="00FF11C6">
        <w:rPr>
          <w:rFonts w:hint="cs"/>
          <w:rtl/>
        </w:rPr>
        <w:t xml:space="preserve">לצורך קביעת מתחם העונש ההולם הפנה גם ב"כ נאשם 1 לפסיקה עניפה (ס/2) וביקש להפנות לאחד הפרמטרים הקובעים את מתחם העונש ההולם, הוא מדיניות הענישה הנוהגת, כדי להציע מתחם עונש הולם הנע בין 7 ל- 10 שנות מאסר, ואם בית המשפט לא יקבל מתחם עונש הולם זה כמתחם הראוי במקרה שלפנינו, כי אז העונש המקסימאלי, לדעתו, צריך להיות 10 שנות מאסר בפועל. </w:t>
      </w:r>
    </w:p>
    <w:p w14:paraId="305FA016" w14:textId="77777777" w:rsidR="00F17FE3" w:rsidRPr="00FF11C6" w:rsidRDefault="00F17FE3">
      <w:pPr>
        <w:jc w:val="both"/>
        <w:rPr>
          <w:rtl/>
        </w:rPr>
      </w:pPr>
    </w:p>
    <w:p w14:paraId="5F8D3618" w14:textId="77777777" w:rsidR="00F17FE3" w:rsidRPr="00FF11C6" w:rsidRDefault="00FF11C6">
      <w:pPr>
        <w:spacing w:line="480" w:lineRule="auto"/>
        <w:jc w:val="both"/>
        <w:rPr>
          <w:rtl/>
        </w:rPr>
      </w:pPr>
      <w:r w:rsidRPr="00FF11C6">
        <w:rPr>
          <w:rFonts w:hint="cs"/>
          <w:b/>
          <w:bCs/>
          <w:rtl/>
        </w:rPr>
        <w:t>טיעוני ב"כ נאשם 2</w:t>
      </w:r>
    </w:p>
    <w:p w14:paraId="47612936" w14:textId="77777777" w:rsidR="00F17FE3" w:rsidRPr="00FF11C6" w:rsidRDefault="00FF11C6">
      <w:pPr>
        <w:spacing w:line="360" w:lineRule="auto"/>
        <w:jc w:val="both"/>
        <w:rPr>
          <w:rtl/>
        </w:rPr>
      </w:pPr>
      <w:r w:rsidRPr="00FF11C6">
        <w:rPr>
          <w:rFonts w:hint="cs"/>
          <w:rtl/>
        </w:rPr>
        <w:t xml:space="preserve">ב"כ נאשם 2, בטיעון מפורט בכתב (ס/3) ובעל-פה,  ביקש להפריד הפרדה גמורה בין העבירות שביצע נאשם 1 לאלה שביצע מרשו, אשר לדעתו מן הראוי היה להעמידו לדין בבית משפט השלום, שם נדונות בדרך כלל העבירות בהן הורשע. </w:t>
      </w:r>
    </w:p>
    <w:p w14:paraId="7576C512" w14:textId="77777777" w:rsidR="00F17FE3" w:rsidRPr="00FF11C6" w:rsidRDefault="00FF11C6">
      <w:pPr>
        <w:spacing w:line="360" w:lineRule="auto"/>
        <w:jc w:val="both"/>
        <w:rPr>
          <w:rtl/>
        </w:rPr>
      </w:pPr>
      <w:r w:rsidRPr="00FF11C6">
        <w:rPr>
          <w:rFonts w:hint="cs"/>
          <w:rtl/>
        </w:rPr>
        <w:t xml:space="preserve">ב"כ נאשם 2 ונאשם 2 בעצמו, חזרו בפני על הודאתם המלאה בכל העובדות. </w:t>
      </w:r>
    </w:p>
    <w:p w14:paraId="6873362D" w14:textId="77777777" w:rsidR="00F17FE3" w:rsidRPr="00FF11C6" w:rsidRDefault="00FF11C6">
      <w:pPr>
        <w:spacing w:line="360" w:lineRule="auto"/>
        <w:jc w:val="both"/>
        <w:rPr>
          <w:rtl/>
        </w:rPr>
      </w:pPr>
      <w:r w:rsidRPr="00FF11C6">
        <w:rPr>
          <w:rFonts w:hint="cs"/>
          <w:rtl/>
        </w:rPr>
        <w:t xml:space="preserve">הסניגור הדגיש את הסולחה ואת סכום הכסף המשמעותי ששולם (250,000 ₪) לעארף, כשלדבריו, סכום כזה אינו משולם בדרך כלל בגין העבירות אותן ביצע נאשם 2, וביקש להדגיש כי גם המתלוננים </w:t>
      </w:r>
      <w:r w:rsidRPr="00FF11C6">
        <w:rPr>
          <w:rFonts w:cs="Miriam" w:hint="cs"/>
          <w:rtl/>
        </w:rPr>
        <w:t>"...לא היו תמימים ותרמו ליצירת האווירה האלימה"</w:t>
      </w:r>
      <w:r w:rsidRPr="00FF11C6">
        <w:rPr>
          <w:rFonts w:hint="cs"/>
          <w:rtl/>
        </w:rPr>
        <w:t>.</w:t>
      </w:r>
    </w:p>
    <w:p w14:paraId="26F25941" w14:textId="77777777" w:rsidR="00F17FE3" w:rsidRPr="00FF11C6" w:rsidRDefault="00F17FE3">
      <w:pPr>
        <w:spacing w:line="360" w:lineRule="auto"/>
        <w:jc w:val="both"/>
        <w:rPr>
          <w:rtl/>
        </w:rPr>
      </w:pPr>
    </w:p>
    <w:p w14:paraId="3A56E496" w14:textId="77777777" w:rsidR="00F17FE3" w:rsidRPr="00FF11C6" w:rsidRDefault="00FF11C6">
      <w:pPr>
        <w:spacing w:line="360" w:lineRule="auto"/>
        <w:jc w:val="both"/>
        <w:rPr>
          <w:rtl/>
        </w:rPr>
      </w:pPr>
      <w:r w:rsidRPr="00FF11C6">
        <w:rPr>
          <w:rFonts w:hint="cs"/>
          <w:rtl/>
        </w:rPr>
        <w:t xml:space="preserve">ב"כ נאשם 2 ביקש לקבוע מתחם עונש הולם, הנע בין מאסר בעבודות שרות ל- 12 חודשי מאסר בפועל, ואף הוא הגיש פסיקה עניפה (ס/4). הסניגור הדגיש את היות הנאשם אדם מבוגר שחי חיים נורמטיביים ולמרות ההרשעות בעבירות על </w:t>
      </w:r>
      <w:hyperlink r:id="rId44" w:history="1">
        <w:r w:rsidR="00F0458C" w:rsidRPr="00F0458C">
          <w:rPr>
            <w:rStyle w:val="Hyperlink"/>
            <w:rtl/>
          </w:rPr>
          <w:t>חוק התכנון והבניה</w:t>
        </w:r>
      </w:hyperlink>
      <w:r w:rsidRPr="00FF11C6">
        <w:rPr>
          <w:rFonts w:hint="cs"/>
          <w:rtl/>
        </w:rPr>
        <w:t>, ביקש לראותו כנעדר עבר פלילי, שזהו מאסרו הראשון, והוא מביע צער וחרטה על מעשיו.</w:t>
      </w:r>
    </w:p>
    <w:p w14:paraId="328C1D65" w14:textId="77777777" w:rsidR="00F17FE3" w:rsidRPr="00FF11C6" w:rsidRDefault="00FF11C6">
      <w:pPr>
        <w:spacing w:line="360" w:lineRule="auto"/>
        <w:jc w:val="both"/>
        <w:rPr>
          <w:rtl/>
        </w:rPr>
      </w:pPr>
      <w:r w:rsidRPr="00FF11C6">
        <w:rPr>
          <w:rFonts w:hint="cs"/>
          <w:rtl/>
        </w:rPr>
        <w:t xml:space="preserve">מכיוון שנאשם 2 היה נתון במעצר כשלושה חודשים (בין המועדים 27/1/13 </w:t>
      </w:r>
      <w:r w:rsidRPr="00FF11C6">
        <w:rPr>
          <w:rtl/>
        </w:rPr>
        <w:t>–</w:t>
      </w:r>
      <w:r w:rsidRPr="00FF11C6">
        <w:rPr>
          <w:rFonts w:hint="cs"/>
          <w:rtl/>
        </w:rPr>
        <w:t xml:space="preserve"> 21/4/13) ומאז, כ- 8 חודשים במעצר בית מלא בכפר אחר, מורחק מביתו, ביקש הסניגור להסתפק בתקופת מעצרו ולראותה כמאסר, ולחילופין ביקש להשית עליו מאסר שניתן לרצותו בעבודות שרות. </w:t>
      </w:r>
    </w:p>
    <w:p w14:paraId="4450696F" w14:textId="77777777" w:rsidR="00F17FE3" w:rsidRPr="00FF11C6" w:rsidRDefault="00F17FE3">
      <w:pPr>
        <w:spacing w:line="360" w:lineRule="auto"/>
        <w:jc w:val="both"/>
        <w:rPr>
          <w:rtl/>
        </w:rPr>
      </w:pPr>
    </w:p>
    <w:p w14:paraId="5BE99493" w14:textId="77777777" w:rsidR="00F17FE3" w:rsidRPr="00FF11C6" w:rsidRDefault="00FF11C6">
      <w:pPr>
        <w:spacing w:line="360" w:lineRule="auto"/>
        <w:jc w:val="both"/>
        <w:rPr>
          <w:rtl/>
        </w:rPr>
      </w:pPr>
      <w:r w:rsidRPr="00FF11C6">
        <w:rPr>
          <w:rFonts w:hint="cs"/>
          <w:rtl/>
        </w:rPr>
        <w:t xml:space="preserve">ב"כ נאשם 2 טען כי אחיו של הנאשם הותקף על-ידי משפחת המתלוננים ולראיה הפנה לאישור הרפואי של מדחאת </w:t>
      </w:r>
      <w:r w:rsidRPr="00FF11C6">
        <w:rPr>
          <w:rtl/>
        </w:rPr>
        <w:t>–</w:t>
      </w:r>
      <w:r w:rsidRPr="00FF11C6">
        <w:rPr>
          <w:rFonts w:hint="cs"/>
          <w:rtl/>
        </w:rPr>
        <w:t xml:space="preserve"> ס/5 </w:t>
      </w:r>
      <w:r w:rsidRPr="00FF11C6">
        <w:rPr>
          <w:rtl/>
        </w:rPr>
        <w:t>–</w:t>
      </w:r>
      <w:r w:rsidRPr="00FF11C6">
        <w:rPr>
          <w:rFonts w:hint="cs"/>
          <w:rtl/>
        </w:rPr>
        <w:t xml:space="preserve"> וזאת כדי להסביר את מעשי מרשו כתגובה למעשי משפחת המתלוננים ולא כפעולה מתוכננת ויזומה על ידו. </w:t>
      </w:r>
    </w:p>
    <w:p w14:paraId="2AF5AFA8" w14:textId="77777777" w:rsidR="00F17FE3" w:rsidRPr="00FF11C6" w:rsidRDefault="00F17FE3">
      <w:pPr>
        <w:spacing w:line="360" w:lineRule="auto"/>
        <w:jc w:val="both"/>
        <w:rPr>
          <w:rtl/>
        </w:rPr>
      </w:pPr>
    </w:p>
    <w:p w14:paraId="2E609B38" w14:textId="77777777" w:rsidR="00F17FE3" w:rsidRPr="00FF11C6" w:rsidRDefault="00FF11C6">
      <w:pPr>
        <w:spacing w:line="360" w:lineRule="auto"/>
        <w:jc w:val="both"/>
        <w:rPr>
          <w:rtl/>
        </w:rPr>
      </w:pPr>
      <w:r w:rsidRPr="00FF11C6">
        <w:rPr>
          <w:rFonts w:hint="cs"/>
          <w:rtl/>
        </w:rPr>
        <w:t xml:space="preserve">ב"כ נאשם 2 מודע לתסקיר שאינו חיובי אולם לדבריו, עקרון ההלימה הנבנה בעיקר מנסיבות העבירה ואשמו, דהיינו חלקו של מרשו בה, אינם מצדיקים עונש חמור יותר. </w:t>
      </w:r>
    </w:p>
    <w:p w14:paraId="4B2F8F5B" w14:textId="77777777" w:rsidR="00F17FE3" w:rsidRPr="00FF11C6" w:rsidRDefault="00F17FE3">
      <w:pPr>
        <w:spacing w:line="360" w:lineRule="auto"/>
        <w:jc w:val="both"/>
        <w:rPr>
          <w:rtl/>
        </w:rPr>
      </w:pPr>
    </w:p>
    <w:p w14:paraId="7A9B71FE" w14:textId="77777777" w:rsidR="00F17FE3" w:rsidRPr="00FF11C6" w:rsidRDefault="00FF11C6">
      <w:pPr>
        <w:spacing w:line="480" w:lineRule="auto"/>
        <w:jc w:val="both"/>
        <w:rPr>
          <w:rtl/>
        </w:rPr>
      </w:pPr>
      <w:r w:rsidRPr="00FF11C6">
        <w:rPr>
          <w:rFonts w:hint="cs"/>
          <w:b/>
          <w:bCs/>
          <w:rtl/>
        </w:rPr>
        <w:t>דברי הנאשמים</w:t>
      </w:r>
    </w:p>
    <w:p w14:paraId="3871189B" w14:textId="77777777" w:rsidR="00F17FE3" w:rsidRPr="00FF11C6" w:rsidRDefault="00FF11C6">
      <w:pPr>
        <w:spacing w:line="360" w:lineRule="auto"/>
        <w:jc w:val="both"/>
        <w:rPr>
          <w:rtl/>
        </w:rPr>
      </w:pPr>
      <w:r w:rsidRPr="00FF11C6">
        <w:rPr>
          <w:rFonts w:hint="cs"/>
          <w:rtl/>
        </w:rPr>
        <w:t xml:space="preserve">נאשם 1 הביע צער וחרטה על מעשיו וביקש סליחה ממשפחת הקורבן ונאשם 2 אף הוא הביע צער על מעשיו באומרו </w:t>
      </w:r>
      <w:r w:rsidRPr="00FF11C6">
        <w:rPr>
          <w:rFonts w:cs="Miriam" w:hint="cs"/>
          <w:rtl/>
        </w:rPr>
        <w:t>"הלב שלי עם משפחת הקורבנות, אנחנו חברים"</w:t>
      </w:r>
      <w:r w:rsidRPr="00FF11C6">
        <w:rPr>
          <w:rFonts w:hint="cs"/>
          <w:rtl/>
        </w:rPr>
        <w:t xml:space="preserve">. </w:t>
      </w:r>
    </w:p>
    <w:p w14:paraId="65C9CB8C" w14:textId="77777777" w:rsidR="00F17FE3" w:rsidRPr="00FF11C6" w:rsidRDefault="00F17FE3">
      <w:pPr>
        <w:spacing w:line="360" w:lineRule="auto"/>
        <w:jc w:val="both"/>
        <w:rPr>
          <w:rtl/>
        </w:rPr>
      </w:pPr>
    </w:p>
    <w:p w14:paraId="0992A084" w14:textId="77777777" w:rsidR="00F17FE3" w:rsidRPr="00FF11C6" w:rsidRDefault="00FF11C6">
      <w:pPr>
        <w:spacing w:line="480" w:lineRule="auto"/>
        <w:jc w:val="both"/>
        <w:rPr>
          <w:rtl/>
        </w:rPr>
      </w:pPr>
      <w:r w:rsidRPr="00FF11C6">
        <w:rPr>
          <w:rFonts w:hint="cs"/>
          <w:b/>
          <w:bCs/>
          <w:rtl/>
        </w:rPr>
        <w:t>דיון</w:t>
      </w:r>
    </w:p>
    <w:p w14:paraId="59249595" w14:textId="77777777" w:rsidR="00F17FE3" w:rsidRPr="00FF11C6" w:rsidRDefault="00FF11C6">
      <w:pPr>
        <w:ind w:left="1134" w:right="1134"/>
        <w:jc w:val="both"/>
        <w:rPr>
          <w:rtl/>
        </w:rPr>
      </w:pPr>
      <w:r w:rsidRPr="00FF11C6">
        <w:rPr>
          <w:rFonts w:cs="Miriam" w:hint="cs"/>
          <w:rtl/>
        </w:rPr>
        <w:t>"מעשיו של המערער חמורים ביותר. מדובר במי שלקח כלי נשק קטלני לידיו והחל לירות ללא אבחנה במקום בו היו אנשים רבים וכתוצאה ממעשיו קיפח אדם את חייו ואדם אחר נפגע. על מעשים מסוג זה יש להגיב ביד קשה ובענישה משמעותית ומרתיעה ביותר"</w:t>
      </w:r>
      <w:r w:rsidRPr="00FF11C6">
        <w:rPr>
          <w:rFonts w:hint="cs"/>
          <w:rtl/>
        </w:rPr>
        <w:t xml:space="preserve">. </w:t>
      </w:r>
    </w:p>
    <w:p w14:paraId="6B8B66B8" w14:textId="77777777" w:rsidR="00F17FE3" w:rsidRPr="00FF11C6" w:rsidRDefault="00F17FE3">
      <w:pPr>
        <w:jc w:val="both"/>
        <w:rPr>
          <w:rtl/>
        </w:rPr>
      </w:pPr>
    </w:p>
    <w:p w14:paraId="5DF088C5" w14:textId="77777777" w:rsidR="00F17FE3" w:rsidRPr="00FF11C6" w:rsidRDefault="00F17FE3">
      <w:pPr>
        <w:jc w:val="both"/>
        <w:rPr>
          <w:rtl/>
        </w:rPr>
      </w:pPr>
    </w:p>
    <w:p w14:paraId="6FBBC501" w14:textId="77777777" w:rsidR="00F17FE3" w:rsidRPr="00FF11C6" w:rsidRDefault="00F17FE3">
      <w:pPr>
        <w:jc w:val="both"/>
        <w:rPr>
          <w:rtl/>
        </w:rPr>
      </w:pPr>
    </w:p>
    <w:p w14:paraId="1181B698" w14:textId="77777777" w:rsidR="00F17FE3" w:rsidRPr="00FF11C6" w:rsidRDefault="00FF11C6">
      <w:pPr>
        <w:spacing w:line="360" w:lineRule="auto"/>
        <w:jc w:val="both"/>
        <w:rPr>
          <w:rtl/>
        </w:rPr>
      </w:pPr>
      <w:r w:rsidRPr="00FF11C6">
        <w:rPr>
          <w:rFonts w:hint="cs"/>
          <w:rtl/>
        </w:rPr>
        <w:t>כך פסק בית המשפט העליון, מפי כב' השופט ס. ג'ובראן ב</w:t>
      </w:r>
      <w:hyperlink r:id="rId45" w:history="1">
        <w:r w:rsidR="00F0458C" w:rsidRPr="00F0458C">
          <w:rPr>
            <w:rStyle w:val="Hyperlink"/>
            <w:rtl/>
          </w:rPr>
          <w:t>ע"פ 107/08</w:t>
        </w:r>
      </w:hyperlink>
      <w:r w:rsidRPr="00FF11C6">
        <w:rPr>
          <w:rFonts w:hint="cs"/>
          <w:rtl/>
        </w:rPr>
        <w:t xml:space="preserve">, 164/08 </w:t>
      </w:r>
      <w:r w:rsidRPr="00FF11C6">
        <w:rPr>
          <w:rFonts w:hint="cs"/>
          <w:b/>
          <w:bCs/>
          <w:rtl/>
        </w:rPr>
        <w:t>נאפז מוחמד עבד אל מהדי ע'ית נ' מדינת ישראל</w:t>
      </w:r>
      <w:r w:rsidRPr="00FF11C6">
        <w:rPr>
          <w:rFonts w:hint="cs"/>
          <w:rtl/>
        </w:rPr>
        <w:t xml:space="preserve"> (3.2.10), ונדמה שהדברים נכתבו וכוונו למקרה שבפנינו. באותו מקרה,  במסגרת סכסוך בין משפחות, הרג המערער אדם, חבל חבלה חמורה בנסיבות מחמירות באדם אחר ואף הזיק בזדון בחומר נפץ. אותו מערער ירה מתוך רכב לא פחות מ- 5 כדורים לעבר פועלים שעסקו ביציקה, הרג אחד מהם ופצע נער בן 15. אמנם באותו מקרה לא הורשע היורה בעבירה של "חבלה בכוונה מחמירה" אלא בעבירה קלה יותר של "חבלה חמורה בנסיבות מחמירות" אולם, נוספה עבירה של "היזק בזדון בחומר נפיץ" ו"ירי באזור מגורים". בית המשפט העליון לא התערב בעונש מאסר של 7 שנים(!) אשר הושת על המערער ע"י בית המשפט המחוזי ודחה את ערעור המדינה בציינו:</w:t>
      </w:r>
    </w:p>
    <w:p w14:paraId="3846A92E" w14:textId="77777777" w:rsidR="00F17FE3" w:rsidRPr="00FF11C6" w:rsidRDefault="00F17FE3">
      <w:pPr>
        <w:spacing w:line="360" w:lineRule="auto"/>
        <w:jc w:val="both"/>
        <w:rPr>
          <w:rtl/>
        </w:rPr>
      </w:pPr>
    </w:p>
    <w:p w14:paraId="09D519E3" w14:textId="77777777" w:rsidR="00F17FE3" w:rsidRPr="00FF11C6" w:rsidRDefault="00FF11C6">
      <w:pPr>
        <w:ind w:left="1134" w:right="1134"/>
        <w:jc w:val="both"/>
        <w:rPr>
          <w:rtl/>
        </w:rPr>
      </w:pPr>
      <w:r w:rsidRPr="00FF11C6">
        <w:rPr>
          <w:rFonts w:cs="Miriam" w:hint="cs"/>
          <w:rtl/>
        </w:rPr>
        <w:t>"אכן לצד החומרה הרבה שיש בעבירות שביצע המערער, ישנם שיקולים לקולא כפי שפירט בית המשפט המחוזי ובראשם העובדה כי למערער אין עבר פלילי, ונראה, שהארוע אינו אופייני לאורח חייו וניתן לתארו כמעידה רגעית. על כן, לצד האינטרס הציבורי בענישה מרתיעה כנגד המערער אשר קיפח את חייו של אדם ופצע אדם אחר, וזאת תוך שימוש בכלי נשק קטלני באזור הומה אדם, עדיין יש לזכור כי הענישה במדינת ישראל היא אינדיוידואלית. איש בחטאו ישא... לאור האמור לא מצאתי כי העונש אשר נגזר על המערער סוטה סטייה ברורה ממדיניות הענישה הראויה, ועל כן לא ראיתי לנכון, בשבתנו כערכאת ערעור, להתערב בעונש זה, על אף טענותיה כבדות המשקל של המשיבה"</w:t>
      </w:r>
      <w:r w:rsidRPr="00FF11C6">
        <w:rPr>
          <w:rFonts w:hint="cs"/>
          <w:rtl/>
        </w:rPr>
        <w:t xml:space="preserve">.  </w:t>
      </w:r>
    </w:p>
    <w:p w14:paraId="4F4EDA94" w14:textId="77777777" w:rsidR="00F17FE3" w:rsidRPr="00FF11C6" w:rsidRDefault="00F17FE3">
      <w:pPr>
        <w:spacing w:line="480" w:lineRule="auto"/>
        <w:jc w:val="both"/>
        <w:rPr>
          <w:rtl/>
        </w:rPr>
      </w:pPr>
    </w:p>
    <w:p w14:paraId="1F2433B0" w14:textId="77777777" w:rsidR="00F17FE3" w:rsidRPr="00FF11C6" w:rsidRDefault="00F17FE3">
      <w:pPr>
        <w:spacing w:line="360" w:lineRule="auto"/>
        <w:jc w:val="both"/>
        <w:rPr>
          <w:rtl/>
        </w:rPr>
      </w:pPr>
    </w:p>
    <w:p w14:paraId="4ADFAB32" w14:textId="77777777" w:rsidR="00F17FE3" w:rsidRPr="00FF11C6" w:rsidRDefault="00F17FE3">
      <w:pPr>
        <w:spacing w:line="360" w:lineRule="auto"/>
        <w:jc w:val="both"/>
        <w:rPr>
          <w:rtl/>
        </w:rPr>
      </w:pPr>
    </w:p>
    <w:p w14:paraId="01B78937" w14:textId="77777777" w:rsidR="00F17FE3" w:rsidRPr="00FF11C6" w:rsidRDefault="00FF11C6">
      <w:pPr>
        <w:spacing w:line="360" w:lineRule="auto"/>
        <w:jc w:val="both"/>
        <w:rPr>
          <w:rtl/>
        </w:rPr>
      </w:pPr>
      <w:r w:rsidRPr="00FF11C6">
        <w:rPr>
          <w:rFonts w:hint="cs"/>
          <w:rtl/>
        </w:rPr>
        <w:t xml:space="preserve">אכן ניתן למצוא בין שפעת פסקי הדין אליהם הופניתי על-ידי ב"כ המאשימה ענישה מחמירה יותר, והיטב מודע אני לכך כי אי התערבות ערכאת הערעור בעונש אינה משולה לקביעה כי זהו העונש הראוי, וכי אף אם פסק הדין הנ"ל משקף את "מדיניות הענישה הנהוגה", הרי שמדיניות זו הינה רק אחד הפרמטרים הנשקלים בעת קביעת מתחם העונש ההולם, ועיקר בקביעת מתחם זה הוא </w:t>
      </w:r>
      <w:r w:rsidRPr="00FF11C6">
        <w:rPr>
          <w:rFonts w:cs="Miriam" w:hint="cs"/>
          <w:rtl/>
        </w:rPr>
        <w:t xml:space="preserve">"... קיומו של יחס הולם בין חומרת מעשי העבירה בנסיבותיו ומידת אשמו של הנאשם ובין סוג ומידת העונש המוטל עליו (בסימן זה </w:t>
      </w:r>
      <w:r w:rsidRPr="00FF11C6">
        <w:rPr>
          <w:rFonts w:cs="Miriam"/>
          <w:rtl/>
        </w:rPr>
        <w:t>–</w:t>
      </w:r>
      <w:r w:rsidRPr="00FF11C6">
        <w:rPr>
          <w:rFonts w:cs="Miriam" w:hint="cs"/>
          <w:rtl/>
        </w:rPr>
        <w:t xml:space="preserve"> העיקרון המנחה)"</w:t>
      </w:r>
      <w:r w:rsidRPr="00FF11C6">
        <w:rPr>
          <w:rFonts w:hint="cs"/>
          <w:rtl/>
        </w:rPr>
        <w:t xml:space="preserve"> (</w:t>
      </w:r>
      <w:hyperlink r:id="rId46" w:history="1">
        <w:r w:rsidR="004848F4" w:rsidRPr="004848F4">
          <w:rPr>
            <w:color w:val="0000FF"/>
            <w:u w:val="single"/>
            <w:rtl/>
          </w:rPr>
          <w:t>סעיף 40ב.</w:t>
        </w:r>
      </w:hyperlink>
      <w:r w:rsidRPr="00FF11C6">
        <w:rPr>
          <w:rFonts w:hint="cs"/>
          <w:rtl/>
        </w:rPr>
        <w:t xml:space="preserve"> ל</w:t>
      </w:r>
      <w:hyperlink r:id="rId47" w:history="1">
        <w:r w:rsidR="00F0458C" w:rsidRPr="00F0458C">
          <w:rPr>
            <w:rStyle w:val="Hyperlink"/>
            <w:rtl/>
          </w:rPr>
          <w:t>חוק העונשין</w:t>
        </w:r>
      </w:hyperlink>
      <w:r w:rsidRPr="00FF11C6">
        <w:rPr>
          <w:rFonts w:hint="cs"/>
          <w:rtl/>
        </w:rPr>
        <w:t xml:space="preserve">). </w:t>
      </w:r>
    </w:p>
    <w:p w14:paraId="7917B39B" w14:textId="77777777" w:rsidR="00F17FE3" w:rsidRPr="00FF11C6" w:rsidRDefault="00F17FE3">
      <w:pPr>
        <w:spacing w:line="360" w:lineRule="auto"/>
        <w:jc w:val="both"/>
        <w:rPr>
          <w:rtl/>
        </w:rPr>
      </w:pPr>
    </w:p>
    <w:p w14:paraId="1D523D18" w14:textId="77777777" w:rsidR="00F17FE3" w:rsidRPr="00FF11C6" w:rsidRDefault="00FF11C6">
      <w:pPr>
        <w:spacing w:line="360" w:lineRule="auto"/>
        <w:jc w:val="both"/>
        <w:rPr>
          <w:rtl/>
        </w:rPr>
      </w:pPr>
      <w:r w:rsidRPr="00FF11C6">
        <w:rPr>
          <w:rFonts w:hint="cs"/>
          <w:rtl/>
        </w:rPr>
        <w:t>ב</w:t>
      </w:r>
      <w:hyperlink r:id="rId48" w:history="1">
        <w:r w:rsidR="004848F4" w:rsidRPr="004848F4">
          <w:rPr>
            <w:color w:val="0000FF"/>
            <w:u w:val="single"/>
            <w:rtl/>
          </w:rPr>
          <w:t>סעיף 40ג</w:t>
        </w:r>
      </w:hyperlink>
      <w:r w:rsidRPr="00FF11C6">
        <w:rPr>
          <w:rFonts w:hint="cs"/>
          <w:rtl/>
        </w:rPr>
        <w:t>. ל</w:t>
      </w:r>
      <w:hyperlink r:id="rId49" w:history="1">
        <w:r w:rsidR="00F0458C" w:rsidRPr="00F0458C">
          <w:rPr>
            <w:rStyle w:val="Hyperlink"/>
            <w:rtl/>
          </w:rPr>
          <w:t>חוק העונשין</w:t>
        </w:r>
      </w:hyperlink>
      <w:r w:rsidRPr="00FF11C6">
        <w:rPr>
          <w:rFonts w:hint="cs"/>
          <w:rtl/>
        </w:rPr>
        <w:t xml:space="preserve"> מצווה בית המשפט לקבוע את מתחם העונש ההולם למעשה העבירה, בהתאם ל"עקרון המנחה", תוך התחשבות </w:t>
      </w:r>
      <w:r w:rsidRPr="00FF11C6">
        <w:rPr>
          <w:rFonts w:cs="Miriam" w:hint="cs"/>
          <w:rtl/>
        </w:rPr>
        <w:t>"... בערך החברתי שנפגע מביצוע העבירה, במידת הפגיעה בו, במדיניות הענישה הנהוגה ובנסיבות הקשורות בביצוע העבירה, כאמור בסעיף 40ט."</w:t>
      </w:r>
      <w:r w:rsidRPr="00FF11C6">
        <w:rPr>
          <w:rFonts w:hint="cs"/>
          <w:rtl/>
        </w:rPr>
        <w:t>.</w:t>
      </w:r>
    </w:p>
    <w:p w14:paraId="76FE8EF7" w14:textId="77777777" w:rsidR="00F17FE3" w:rsidRPr="00FF11C6" w:rsidRDefault="00F17FE3">
      <w:pPr>
        <w:spacing w:line="360" w:lineRule="auto"/>
        <w:jc w:val="both"/>
        <w:rPr>
          <w:rtl/>
        </w:rPr>
      </w:pPr>
    </w:p>
    <w:p w14:paraId="1EBFA45A" w14:textId="77777777" w:rsidR="00F17FE3" w:rsidRPr="00FF11C6" w:rsidRDefault="00FF11C6">
      <w:pPr>
        <w:spacing w:line="360" w:lineRule="auto"/>
        <w:jc w:val="both"/>
        <w:rPr>
          <w:rtl/>
        </w:rPr>
      </w:pPr>
      <w:r w:rsidRPr="00FF11C6">
        <w:rPr>
          <w:rFonts w:hint="cs"/>
          <w:rtl/>
        </w:rPr>
        <w:t xml:space="preserve">צודקת ב"כ המאשימה בטענתה כי נאשם מס' 1 פגע בשני הערכים החברתיים החשובים ביותר;  קדושת החיים ושלמות הגוף. בהקשר לפגיעה בשלמות הגוף חל הדבר גם על נאשם 2. </w:t>
      </w:r>
    </w:p>
    <w:p w14:paraId="3910C5AC" w14:textId="77777777" w:rsidR="00F17FE3" w:rsidRPr="00FF11C6" w:rsidRDefault="00F17FE3">
      <w:pPr>
        <w:spacing w:line="360" w:lineRule="auto"/>
        <w:jc w:val="both"/>
        <w:rPr>
          <w:rtl/>
        </w:rPr>
      </w:pPr>
    </w:p>
    <w:p w14:paraId="537C1B12" w14:textId="77777777" w:rsidR="00F17FE3" w:rsidRPr="00FF11C6" w:rsidRDefault="00FF11C6">
      <w:pPr>
        <w:spacing w:line="360" w:lineRule="auto"/>
        <w:jc w:val="both"/>
        <w:rPr>
          <w:rtl/>
        </w:rPr>
      </w:pPr>
      <w:r w:rsidRPr="00FF11C6">
        <w:rPr>
          <w:rFonts w:hint="cs"/>
          <w:rtl/>
        </w:rPr>
        <w:t xml:space="preserve">אף שלא ניתן לומר כי נאשם 1 תכנן את ביצוע העבירה מראש, ונראה כי ביצע אותה באופן ספונטני במהלך עימות בין שתי המשפחות, וכיוון שהיה זמין בידו, למרבה הצער, נשק חם וקטלני, הרי ש"חלקו היחסי" בעבירה רב ביותר ולמעשה הוא פעל לבדו והחליט לבדו. </w:t>
      </w:r>
    </w:p>
    <w:p w14:paraId="5B27553C" w14:textId="77777777" w:rsidR="00F17FE3" w:rsidRPr="00FF11C6" w:rsidRDefault="00F17FE3">
      <w:pPr>
        <w:spacing w:line="360" w:lineRule="auto"/>
        <w:jc w:val="both"/>
        <w:rPr>
          <w:rtl/>
        </w:rPr>
      </w:pPr>
    </w:p>
    <w:p w14:paraId="0EFDB485" w14:textId="77777777" w:rsidR="00F17FE3" w:rsidRPr="00FF11C6" w:rsidRDefault="00FF11C6">
      <w:pPr>
        <w:spacing w:line="360" w:lineRule="auto"/>
        <w:jc w:val="both"/>
        <w:rPr>
          <w:rtl/>
        </w:rPr>
      </w:pPr>
      <w:r w:rsidRPr="00FF11C6">
        <w:rPr>
          <w:rFonts w:hint="cs"/>
          <w:rtl/>
        </w:rPr>
        <w:t xml:space="preserve">לא רק שנגרם בגין השימוש בנשק חם על-ידי נאשם 1 נזק רב ביותר, מות הקורבן ופציעת עארף מריסאת, אלא שמכיוון שנאשם 1 ירה ללא אבחנה לכיוון קבוצת אנשים, הנזק הצפוי אף היה רב יותר ורק בנס לא נפגעו אנשים נוספים. </w:t>
      </w:r>
    </w:p>
    <w:p w14:paraId="3602FE00" w14:textId="77777777" w:rsidR="00F17FE3" w:rsidRPr="00FF11C6" w:rsidRDefault="00F17FE3">
      <w:pPr>
        <w:spacing w:line="360" w:lineRule="auto"/>
        <w:jc w:val="both"/>
        <w:rPr>
          <w:rtl/>
        </w:rPr>
      </w:pPr>
    </w:p>
    <w:p w14:paraId="2BD71BDF" w14:textId="77777777" w:rsidR="00F17FE3" w:rsidRPr="00FF11C6" w:rsidRDefault="00FF11C6">
      <w:pPr>
        <w:spacing w:line="360" w:lineRule="auto"/>
        <w:jc w:val="both"/>
        <w:rPr>
          <w:rtl/>
        </w:rPr>
      </w:pPr>
      <w:r w:rsidRPr="00FF11C6">
        <w:rPr>
          <w:rFonts w:hint="cs"/>
          <w:rtl/>
        </w:rPr>
        <w:t xml:space="preserve">נאשם 1 שלט לחלוטין על העבירה, יכול היה להימנע ממנה והבין את מעשיו ואת הפסול שבהם, כפי שהדבר משתקף מחרטתו בפני קצינת המבחן, בשלב מאוחר יותר. </w:t>
      </w:r>
    </w:p>
    <w:p w14:paraId="7654F3A1" w14:textId="77777777" w:rsidR="00F17FE3" w:rsidRPr="00FF11C6" w:rsidRDefault="00F17FE3">
      <w:pPr>
        <w:spacing w:line="360" w:lineRule="auto"/>
        <w:jc w:val="both"/>
        <w:rPr>
          <w:rtl/>
        </w:rPr>
      </w:pPr>
    </w:p>
    <w:p w14:paraId="34135B7A" w14:textId="77777777" w:rsidR="00F17FE3" w:rsidRPr="00FF11C6" w:rsidRDefault="00FF11C6">
      <w:pPr>
        <w:spacing w:line="360" w:lineRule="auto"/>
        <w:jc w:val="both"/>
        <w:rPr>
          <w:rtl/>
        </w:rPr>
      </w:pPr>
      <w:r w:rsidRPr="00FF11C6">
        <w:rPr>
          <w:rFonts w:hint="cs"/>
          <w:rtl/>
        </w:rPr>
        <w:t>על כן, ראוי לקבוע, בשל נסיבות העבירה וחלקו של נאשם 1 בביצועה, מתחם עונש הולם חמור.</w:t>
      </w:r>
    </w:p>
    <w:p w14:paraId="65A9380D" w14:textId="77777777" w:rsidR="00F17FE3" w:rsidRPr="00FF11C6" w:rsidRDefault="00F17FE3">
      <w:pPr>
        <w:spacing w:line="360" w:lineRule="auto"/>
        <w:jc w:val="both"/>
        <w:rPr>
          <w:rtl/>
        </w:rPr>
      </w:pPr>
    </w:p>
    <w:p w14:paraId="27D837AC" w14:textId="77777777" w:rsidR="00F17FE3" w:rsidRPr="00FF11C6" w:rsidRDefault="00FF11C6">
      <w:pPr>
        <w:spacing w:line="360" w:lineRule="auto"/>
        <w:jc w:val="both"/>
        <w:rPr>
          <w:rtl/>
        </w:rPr>
      </w:pPr>
      <w:r w:rsidRPr="00FF11C6">
        <w:rPr>
          <w:rFonts w:hint="cs"/>
          <w:rtl/>
        </w:rPr>
        <w:t>יחד עם זאת, לא מצאתי לחרוג ממתחם זה בשל שיקולי שיקום מיוחדים או שיקולים מיוחדים לחומרה, כאמור ב</w:t>
      </w:r>
      <w:hyperlink r:id="rId50" w:history="1">
        <w:r w:rsidR="004848F4" w:rsidRPr="004848F4">
          <w:rPr>
            <w:color w:val="0000FF"/>
            <w:u w:val="single"/>
            <w:rtl/>
          </w:rPr>
          <w:t>סעיפים 40ד. ו- ה</w:t>
        </w:r>
      </w:hyperlink>
      <w:r w:rsidRPr="00FF11C6">
        <w:rPr>
          <w:rFonts w:hint="cs"/>
          <w:rtl/>
        </w:rPr>
        <w:t>. ל</w:t>
      </w:r>
      <w:hyperlink r:id="rId51" w:history="1">
        <w:r w:rsidR="00F0458C" w:rsidRPr="00F0458C">
          <w:rPr>
            <w:rStyle w:val="Hyperlink"/>
            <w:rtl/>
          </w:rPr>
          <w:t>חוק העונשין</w:t>
        </w:r>
      </w:hyperlink>
      <w:r w:rsidRPr="00FF11C6">
        <w:rPr>
          <w:rFonts w:hint="cs"/>
          <w:rtl/>
        </w:rPr>
        <w:t xml:space="preserve">. </w:t>
      </w:r>
    </w:p>
    <w:p w14:paraId="2CDC7902" w14:textId="77777777" w:rsidR="00F17FE3" w:rsidRPr="00FF11C6" w:rsidRDefault="00F17FE3">
      <w:pPr>
        <w:spacing w:line="360" w:lineRule="auto"/>
        <w:jc w:val="both"/>
        <w:rPr>
          <w:rtl/>
        </w:rPr>
      </w:pPr>
    </w:p>
    <w:p w14:paraId="211B0C0F" w14:textId="77777777" w:rsidR="00F17FE3" w:rsidRPr="00FF11C6" w:rsidRDefault="00F17FE3">
      <w:pPr>
        <w:spacing w:line="360" w:lineRule="auto"/>
        <w:jc w:val="both"/>
        <w:rPr>
          <w:rtl/>
        </w:rPr>
      </w:pPr>
    </w:p>
    <w:p w14:paraId="25AA561F" w14:textId="77777777" w:rsidR="00F17FE3" w:rsidRPr="00FF11C6" w:rsidRDefault="00F17FE3">
      <w:pPr>
        <w:spacing w:line="360" w:lineRule="auto"/>
        <w:jc w:val="both"/>
        <w:rPr>
          <w:rtl/>
        </w:rPr>
      </w:pPr>
    </w:p>
    <w:p w14:paraId="12B69F5B" w14:textId="77777777" w:rsidR="00F17FE3" w:rsidRPr="00FF11C6" w:rsidRDefault="00FF11C6">
      <w:pPr>
        <w:spacing w:line="360" w:lineRule="auto"/>
        <w:jc w:val="both"/>
        <w:rPr>
          <w:rtl/>
        </w:rPr>
      </w:pPr>
      <w:r w:rsidRPr="00FF11C6">
        <w:rPr>
          <w:rFonts w:hint="cs"/>
          <w:rtl/>
        </w:rPr>
        <w:t>בהקשר זה ראוי להפנות ל</w:t>
      </w:r>
      <w:hyperlink r:id="rId52" w:history="1">
        <w:r w:rsidR="00F0458C" w:rsidRPr="00F0458C">
          <w:rPr>
            <w:rStyle w:val="Hyperlink"/>
            <w:rtl/>
          </w:rPr>
          <w:t>ע"פ 6095/10</w:t>
        </w:r>
      </w:hyperlink>
      <w:r w:rsidRPr="00FF11C6">
        <w:rPr>
          <w:rFonts w:hint="cs"/>
          <w:rtl/>
        </w:rPr>
        <w:t xml:space="preserve"> </w:t>
      </w:r>
      <w:r w:rsidRPr="00FF11C6">
        <w:rPr>
          <w:rFonts w:hint="cs"/>
          <w:b/>
          <w:bCs/>
          <w:rtl/>
        </w:rPr>
        <w:t>אכרמי חאג' יחיא נ' מדינת ישראל</w:t>
      </w:r>
      <w:r w:rsidRPr="00FF11C6">
        <w:rPr>
          <w:rFonts w:hint="cs"/>
          <w:rtl/>
        </w:rPr>
        <w:t xml:space="preserve"> (18.7.12). באותו מקרה  הורשע המערער על פי הודאתו בעבירה של הריגה וגרימת חבלה חמורה באמצעות נשק קר. בעקבות כך שהמערער קיבל סטירה ואף אמו ואֵחיו הותקפו, רץ הוא אחרי התוקפים, דקר אדם אחד בגבו ואת השני דקר למוות בחזהו. </w:t>
      </w:r>
    </w:p>
    <w:p w14:paraId="030C3377" w14:textId="77777777" w:rsidR="00F17FE3" w:rsidRPr="00FF11C6" w:rsidRDefault="00FF11C6">
      <w:pPr>
        <w:spacing w:line="360" w:lineRule="auto"/>
        <w:jc w:val="both"/>
        <w:rPr>
          <w:rtl/>
        </w:rPr>
      </w:pPr>
      <w:r w:rsidRPr="00FF11C6">
        <w:rPr>
          <w:rFonts w:hint="cs"/>
          <w:rtl/>
        </w:rPr>
        <w:t xml:space="preserve">בית המשפט המחוזי גזר על המערער 12 שנות מאסר בפועל אולם בית המשפט העליון, מפי כב' השופט ס. ג'ובראן, ציין כי </w:t>
      </w:r>
      <w:r w:rsidRPr="00FF11C6">
        <w:rPr>
          <w:rFonts w:cs="Miriam" w:hint="cs"/>
          <w:rtl/>
        </w:rPr>
        <w:t>"לענין מתחם הענישה הראוי, העיון בפסיקה מעלה כי ככלל, מתחם הענישה הראוי לשילוב העבירות בהן הורשע הנאשם, נע בין 6 ל- 10 שנות מאסר"</w:t>
      </w:r>
      <w:r w:rsidRPr="00FF11C6">
        <w:rPr>
          <w:rFonts w:hint="cs"/>
          <w:rtl/>
        </w:rPr>
        <w:t xml:space="preserve">.  </w:t>
      </w:r>
    </w:p>
    <w:p w14:paraId="061F01B3" w14:textId="77777777" w:rsidR="00F17FE3" w:rsidRPr="00FF11C6" w:rsidRDefault="00F17FE3">
      <w:pPr>
        <w:spacing w:line="360" w:lineRule="auto"/>
        <w:jc w:val="both"/>
        <w:rPr>
          <w:rtl/>
        </w:rPr>
      </w:pPr>
    </w:p>
    <w:p w14:paraId="6E90DC9C" w14:textId="77777777" w:rsidR="00F17FE3" w:rsidRPr="00FF11C6" w:rsidRDefault="00FF11C6">
      <w:pPr>
        <w:spacing w:line="360" w:lineRule="auto"/>
        <w:jc w:val="both"/>
        <w:rPr>
          <w:rtl/>
        </w:rPr>
      </w:pPr>
      <w:r w:rsidRPr="00FF11C6">
        <w:rPr>
          <w:rFonts w:hint="cs"/>
          <w:rtl/>
        </w:rPr>
        <w:t xml:space="preserve">הואיל ונמצא באותו מקרה כי הקורבנות תקפו את המערער ומשפחו ותרמו בהתנהגותם לארוע האלים, קיבל בית המשפט העליון את הערעור, הקל בעונש והעמיד את עונש המאסר בפועל על 10 שנים. </w:t>
      </w:r>
    </w:p>
    <w:p w14:paraId="466C406D" w14:textId="77777777" w:rsidR="00F17FE3" w:rsidRPr="00FF11C6" w:rsidRDefault="00F17FE3">
      <w:pPr>
        <w:spacing w:line="360" w:lineRule="auto"/>
        <w:jc w:val="both"/>
        <w:rPr>
          <w:rtl/>
        </w:rPr>
      </w:pPr>
    </w:p>
    <w:p w14:paraId="41F07894" w14:textId="77777777" w:rsidR="00FF11C6" w:rsidRPr="00FF11C6" w:rsidRDefault="00FF11C6">
      <w:pPr>
        <w:spacing w:line="360" w:lineRule="auto"/>
        <w:jc w:val="both"/>
        <w:rPr>
          <w:rtl/>
        </w:rPr>
      </w:pPr>
      <w:r w:rsidRPr="00FF11C6">
        <w:rPr>
          <w:rFonts w:hint="cs"/>
          <w:rtl/>
        </w:rPr>
        <w:t xml:space="preserve">לפיכך, הואיל ובמקרה שבפנינו מדובר בשימוש בנשק חם ובעבירה נוספת של חבלה בכוונה מחמירה, ולא של חבלה חמורה בנסיבות מחמירות כפי שהיה בפסק הדין הנ"ל, הרי שלאור האמור לעיל, ותוך שקלול מדיניות הענישה הנהוגה, אני סבור כי מתחם העונש ההולם במקרה שבפנינו נע בין 10 ל- 15 שנות מאסר בפועל בתוספת מאסר מותנה. (במקרה זה מקובלת עלי עמדת ב"כ המאשימה, לפיה לא </w:t>
      </w:r>
    </w:p>
    <w:bookmarkEnd w:id="0"/>
    <w:p w14:paraId="414E9D95" w14:textId="77777777" w:rsidR="00FF11C6" w:rsidRPr="00FF11C6" w:rsidRDefault="00FF11C6" w:rsidP="00FF11C6">
      <w:pPr>
        <w:spacing w:line="360" w:lineRule="auto"/>
        <w:jc w:val="center"/>
        <w:rPr>
          <w:bCs/>
          <w:rtl/>
        </w:rPr>
      </w:pPr>
      <w:r w:rsidRPr="00FF11C6">
        <w:rPr>
          <w:bCs/>
          <w:rtl/>
        </w:rPr>
        <w:t>עתרה לתשלום פיצויים נוסף על סכום הפיצויים שכבר שולם למשפחת המנוח ולעארף).</w:t>
      </w:r>
    </w:p>
    <w:p w14:paraId="0000327A" w14:textId="77777777" w:rsidR="00F17FE3" w:rsidRDefault="00F17FE3">
      <w:pPr>
        <w:spacing w:line="360" w:lineRule="auto"/>
        <w:jc w:val="both"/>
        <w:rPr>
          <w:rtl/>
        </w:rPr>
      </w:pPr>
    </w:p>
    <w:p w14:paraId="229D2187" w14:textId="77777777" w:rsidR="00F17FE3" w:rsidRDefault="00FF11C6">
      <w:pPr>
        <w:spacing w:line="360" w:lineRule="auto"/>
        <w:jc w:val="both"/>
        <w:rPr>
          <w:u w:val="single"/>
          <w:rtl/>
        </w:rPr>
      </w:pPr>
      <w:r>
        <w:rPr>
          <w:rFonts w:hint="cs"/>
          <w:u w:val="single"/>
          <w:rtl/>
        </w:rPr>
        <w:t>עונשו של נאשם 1</w:t>
      </w:r>
    </w:p>
    <w:p w14:paraId="011BFC29" w14:textId="77777777" w:rsidR="00F17FE3" w:rsidRDefault="00FF11C6">
      <w:pPr>
        <w:spacing w:line="360" w:lineRule="auto"/>
        <w:jc w:val="both"/>
        <w:rPr>
          <w:rtl/>
        </w:rPr>
      </w:pPr>
      <w:r>
        <w:rPr>
          <w:rFonts w:hint="cs"/>
          <w:rtl/>
        </w:rPr>
        <w:t xml:space="preserve">בבואי לשקול בעניינו של נאשם 1 את "הנסיבות שאינן קשורות בביצוע העבירה", לצורך קביעת העונש הראוי בתוך מתחם העונש ההולם, אני סבור כי ישנן נסיבות מקלות. </w:t>
      </w:r>
    </w:p>
    <w:p w14:paraId="29A55011" w14:textId="77777777" w:rsidR="00F17FE3" w:rsidRDefault="00FF11C6">
      <w:pPr>
        <w:spacing w:line="360" w:lineRule="auto"/>
        <w:jc w:val="both"/>
        <w:rPr>
          <w:rtl/>
        </w:rPr>
      </w:pPr>
      <w:r>
        <w:rPr>
          <w:rFonts w:hint="cs"/>
          <w:rtl/>
        </w:rPr>
        <w:t>אין לי ספק כי העונש יפגע בנאשם אך גם במשפחתו, והרשעתו וכליאתו לתקופה ממושכת יפגעו במהלך חייו. הנאשם נטל אחריות על מעשיו והתרשמתי כי צערו וחרטתו כנים והוא עושה מאמצים לחזור למוטב ואף עשה מאמצים "לתיקון תוצאות העבירה ולפיצוי על הנזק שנגרם בשלה" (</w:t>
      </w:r>
      <w:hyperlink r:id="rId53" w:history="1">
        <w:r w:rsidR="004848F4" w:rsidRPr="004848F4">
          <w:rPr>
            <w:color w:val="0000FF"/>
            <w:u w:val="single"/>
            <w:rtl/>
          </w:rPr>
          <w:t>סעיף 40יא.(5)</w:t>
        </w:r>
      </w:hyperlink>
      <w:r>
        <w:rPr>
          <w:rFonts w:hint="cs"/>
          <w:rtl/>
        </w:rPr>
        <w:t xml:space="preserve"> ל</w:t>
      </w:r>
      <w:hyperlink r:id="rId54" w:history="1">
        <w:r w:rsidR="00F0458C" w:rsidRPr="00F0458C">
          <w:rPr>
            <w:rStyle w:val="Hyperlink"/>
            <w:rtl/>
          </w:rPr>
          <w:t>חוק העונשין</w:t>
        </w:r>
      </w:hyperlink>
      <w:r>
        <w:rPr>
          <w:rFonts w:hint="cs"/>
          <w:rtl/>
        </w:rPr>
        <w:t xml:space="preserve">), </w:t>
      </w:r>
      <w:r>
        <w:rPr>
          <w:rFonts w:hint="cs"/>
          <w:u w:val="single"/>
          <w:rtl/>
        </w:rPr>
        <w:t>כפי שמשתקף מהסכם הסולחה והתשלום המשמעותי ששולם לקורבנות</w:t>
      </w:r>
      <w:r>
        <w:rPr>
          <w:rFonts w:hint="cs"/>
          <w:rtl/>
        </w:rPr>
        <w:t xml:space="preserve">. </w:t>
      </w:r>
    </w:p>
    <w:p w14:paraId="45FD653B" w14:textId="77777777" w:rsidR="00F17FE3" w:rsidRDefault="00F17FE3">
      <w:pPr>
        <w:spacing w:line="360" w:lineRule="auto"/>
        <w:jc w:val="both"/>
        <w:rPr>
          <w:rtl/>
        </w:rPr>
      </w:pPr>
    </w:p>
    <w:p w14:paraId="25217199" w14:textId="77777777" w:rsidR="00F17FE3" w:rsidRDefault="00FF11C6">
      <w:pPr>
        <w:spacing w:line="360" w:lineRule="auto"/>
        <w:jc w:val="both"/>
        <w:rPr>
          <w:rtl/>
        </w:rPr>
      </w:pPr>
      <w:r>
        <w:rPr>
          <w:rFonts w:hint="cs"/>
          <w:rtl/>
        </w:rPr>
        <w:t xml:space="preserve">מובן כי אין "הסולחה" באה במקום ענישה ראויה לפי הדין אולם, במיוחד במגזר הערבי בו היא מקובלת, ראוי להתחשב בה הן לצורך כיבוד רצון משפחת הקורבן והן כגורם מרגיע ומונע סכסוכים עתידיים, ובמיוחד במקרים בהם נתלווה להסכם הסולחה תשלום סכום משמעותי של פיצויים, המחזק את המסקנה שהחרטה היא אמיתית ולא חרטה שבאה רק מן השפה אל החוץ. </w:t>
      </w:r>
    </w:p>
    <w:p w14:paraId="0F0FBE9F" w14:textId="77777777" w:rsidR="00F17FE3" w:rsidRDefault="00F17FE3">
      <w:pPr>
        <w:spacing w:line="360" w:lineRule="auto"/>
        <w:jc w:val="both"/>
        <w:rPr>
          <w:rtl/>
        </w:rPr>
      </w:pPr>
    </w:p>
    <w:p w14:paraId="6A108A8A" w14:textId="77777777" w:rsidR="00F17FE3" w:rsidRDefault="00F17FE3">
      <w:pPr>
        <w:spacing w:line="360" w:lineRule="auto"/>
        <w:jc w:val="both"/>
        <w:rPr>
          <w:rtl/>
        </w:rPr>
      </w:pPr>
    </w:p>
    <w:p w14:paraId="179FB37E" w14:textId="77777777" w:rsidR="00F17FE3" w:rsidRDefault="00F17FE3">
      <w:pPr>
        <w:jc w:val="both"/>
        <w:rPr>
          <w:rtl/>
        </w:rPr>
      </w:pPr>
    </w:p>
    <w:p w14:paraId="64B596B4" w14:textId="77777777" w:rsidR="00F17FE3" w:rsidRDefault="00FF11C6">
      <w:pPr>
        <w:spacing w:line="360" w:lineRule="auto"/>
        <w:jc w:val="both"/>
        <w:rPr>
          <w:rtl/>
        </w:rPr>
      </w:pPr>
      <w:r>
        <w:rPr>
          <w:rFonts w:hint="cs"/>
          <w:rtl/>
        </w:rPr>
        <w:t xml:space="preserve">ניתן לומר כי הנאשם שיתף פעולה עם רשויות אכיפת החוק וחסך בזמן שיפוטי ובעיקר חסך את הצורך בהעדת העדים. </w:t>
      </w:r>
    </w:p>
    <w:p w14:paraId="25635E7E" w14:textId="77777777" w:rsidR="00F17FE3" w:rsidRDefault="00FF11C6">
      <w:pPr>
        <w:spacing w:line="360" w:lineRule="auto"/>
        <w:jc w:val="both"/>
        <w:rPr>
          <w:rtl/>
        </w:rPr>
      </w:pPr>
      <w:r>
        <w:rPr>
          <w:rFonts w:hint="cs"/>
          <w:rtl/>
        </w:rPr>
        <w:t>נאשם 1 נעדר עבר פלילי ועד למקרה זה, שאני סבור כי הוא חריג בנוף חייו, ניהל חיים נורמטיביים (</w:t>
      </w:r>
      <w:hyperlink r:id="rId55" w:history="1">
        <w:r w:rsidR="004848F4" w:rsidRPr="004848F4">
          <w:rPr>
            <w:color w:val="0000FF"/>
            <w:u w:val="single"/>
            <w:rtl/>
          </w:rPr>
          <w:t>סעיף 40יא.(11)</w:t>
        </w:r>
      </w:hyperlink>
      <w:r>
        <w:rPr>
          <w:rFonts w:hint="cs"/>
          <w:rtl/>
        </w:rPr>
        <w:t xml:space="preserve"> ל</w:t>
      </w:r>
      <w:hyperlink r:id="rId56" w:history="1">
        <w:r w:rsidR="00F0458C" w:rsidRPr="00F0458C">
          <w:rPr>
            <w:rStyle w:val="Hyperlink"/>
            <w:rtl/>
          </w:rPr>
          <w:t>חוק העונשין</w:t>
        </w:r>
      </w:hyperlink>
      <w:r>
        <w:rPr>
          <w:rFonts w:hint="cs"/>
          <w:rtl/>
        </w:rPr>
        <w:t>).</w:t>
      </w:r>
    </w:p>
    <w:p w14:paraId="702CDF36" w14:textId="77777777" w:rsidR="00F17FE3" w:rsidRDefault="00FF11C6">
      <w:pPr>
        <w:spacing w:line="360" w:lineRule="auto"/>
        <w:jc w:val="both"/>
        <w:rPr>
          <w:rtl/>
        </w:rPr>
      </w:pPr>
      <w:r>
        <w:rPr>
          <w:rFonts w:hint="cs"/>
          <w:rtl/>
        </w:rPr>
        <w:t xml:space="preserve">יחד עם זאת, לחומרה, יש לשקול את התסקיר בעניינו אשר נמנע מהמלצה טיפולית ואף קבע כי יש להשית עליו ענישה מרתיעה.  </w:t>
      </w:r>
    </w:p>
    <w:p w14:paraId="047C19D9" w14:textId="77777777" w:rsidR="00F17FE3" w:rsidRDefault="00F17FE3">
      <w:pPr>
        <w:jc w:val="both"/>
        <w:rPr>
          <w:rtl/>
        </w:rPr>
      </w:pPr>
    </w:p>
    <w:p w14:paraId="27F85DCB" w14:textId="77777777" w:rsidR="00F17FE3" w:rsidRDefault="00FF11C6">
      <w:pPr>
        <w:spacing w:line="360" w:lineRule="auto"/>
        <w:jc w:val="both"/>
        <w:rPr>
          <w:rtl/>
        </w:rPr>
      </w:pPr>
      <w:r>
        <w:rPr>
          <w:rFonts w:hint="cs"/>
          <w:rtl/>
        </w:rPr>
        <w:t>עוד נותר לשקול, לצורך קביעת העונש בתוך מתחם העונש ההולם, שיקולי "הרתעה אישית" ו"הרתעת הרבים" (</w:t>
      </w:r>
      <w:hyperlink r:id="rId57" w:history="1">
        <w:r w:rsidR="004848F4" w:rsidRPr="004848F4">
          <w:rPr>
            <w:color w:val="0000FF"/>
            <w:u w:val="single"/>
            <w:rtl/>
          </w:rPr>
          <w:t>סעיפים 40ו. – ז.</w:t>
        </w:r>
      </w:hyperlink>
      <w:r>
        <w:rPr>
          <w:rFonts w:hint="cs"/>
          <w:rtl/>
        </w:rPr>
        <w:t xml:space="preserve"> ל</w:t>
      </w:r>
      <w:hyperlink r:id="rId58" w:history="1">
        <w:r w:rsidR="00F0458C" w:rsidRPr="00F0458C">
          <w:rPr>
            <w:rStyle w:val="Hyperlink"/>
            <w:rtl/>
          </w:rPr>
          <w:t>חוק העונשין</w:t>
        </w:r>
      </w:hyperlink>
      <w:r>
        <w:rPr>
          <w:rFonts w:hint="cs"/>
          <w:rtl/>
        </w:rPr>
        <w:t xml:space="preserve">). </w:t>
      </w:r>
    </w:p>
    <w:p w14:paraId="7E3304EA" w14:textId="77777777" w:rsidR="00F17FE3" w:rsidRDefault="00F17FE3">
      <w:pPr>
        <w:jc w:val="both"/>
        <w:rPr>
          <w:rtl/>
        </w:rPr>
      </w:pPr>
    </w:p>
    <w:p w14:paraId="065092DA" w14:textId="77777777" w:rsidR="00F17FE3" w:rsidRDefault="00FF11C6">
      <w:pPr>
        <w:spacing w:line="360" w:lineRule="auto"/>
        <w:jc w:val="both"/>
        <w:rPr>
          <w:rtl/>
        </w:rPr>
      </w:pPr>
      <w:r>
        <w:rPr>
          <w:rFonts w:hint="cs"/>
          <w:rtl/>
        </w:rPr>
        <w:t xml:space="preserve">אני סבור כי כלפי נאשם 1 יביא עונש מאסר משמעותי שיוטל עליו, להרתעתו מפני ביצוע עבירות נוספות בעתיד, ובהקשר זה ראוי להפנות </w:t>
      </w:r>
      <w:r>
        <w:rPr>
          <w:rFonts w:hint="cs"/>
          <w:u w:val="single"/>
          <w:rtl/>
        </w:rPr>
        <w:t>להערכת לדעת קצינת המבחן בדבר המסוכנות הנמוכה להישנות עבירות אלימות בעתיד</w:t>
      </w:r>
      <w:r>
        <w:rPr>
          <w:rFonts w:hint="cs"/>
          <w:rtl/>
        </w:rPr>
        <w:t xml:space="preserve">. </w:t>
      </w:r>
    </w:p>
    <w:p w14:paraId="5C1E62D3" w14:textId="77777777" w:rsidR="00F17FE3" w:rsidRDefault="00F17FE3">
      <w:pPr>
        <w:jc w:val="both"/>
        <w:rPr>
          <w:rtl/>
        </w:rPr>
      </w:pPr>
    </w:p>
    <w:p w14:paraId="14C22A3F" w14:textId="77777777" w:rsidR="00F17FE3" w:rsidRDefault="00FF11C6">
      <w:pPr>
        <w:spacing w:line="360" w:lineRule="auto"/>
        <w:jc w:val="both"/>
        <w:rPr>
          <w:rtl/>
        </w:rPr>
      </w:pPr>
      <w:r>
        <w:rPr>
          <w:rFonts w:hint="cs"/>
          <w:rtl/>
        </w:rPr>
        <w:t xml:space="preserve">אני אמנם סבור, כפי שציינתי במקרים אחרים, כי קיים קושי בדבר שקלול השיקול של הרתעת הרבים, כיוון ששימוש בשיקול עונשי זה לפי </w:t>
      </w:r>
      <w:hyperlink r:id="rId59" w:history="1">
        <w:r w:rsidR="004848F4" w:rsidRPr="004848F4">
          <w:rPr>
            <w:color w:val="0000FF"/>
            <w:u w:val="single"/>
            <w:rtl/>
          </w:rPr>
          <w:t>סעיף 40.ז</w:t>
        </w:r>
      </w:hyperlink>
      <w:r>
        <w:rPr>
          <w:rFonts w:hint="cs"/>
          <w:rtl/>
        </w:rPr>
        <w:t xml:space="preserve"> ל</w:t>
      </w:r>
      <w:hyperlink r:id="rId60" w:history="1">
        <w:r w:rsidR="00F0458C" w:rsidRPr="00F0458C">
          <w:rPr>
            <w:rStyle w:val="Hyperlink"/>
            <w:rtl/>
          </w:rPr>
          <w:t>חוק העונשין</w:t>
        </w:r>
      </w:hyperlink>
      <w:r>
        <w:rPr>
          <w:rFonts w:hint="cs"/>
          <w:rtl/>
        </w:rPr>
        <w:t xml:space="preserve">, צריך להיעשות רק אם קיים </w:t>
      </w:r>
      <w:r>
        <w:rPr>
          <w:rFonts w:cs="Miriam" w:hint="cs"/>
          <w:rtl/>
        </w:rPr>
        <w:t xml:space="preserve">"... </w:t>
      </w:r>
      <w:r>
        <w:rPr>
          <w:rFonts w:cs="Miriam" w:hint="cs"/>
          <w:u w:val="single"/>
          <w:rtl/>
        </w:rPr>
        <w:t>סיכוי של ממש</w:t>
      </w:r>
      <w:r>
        <w:rPr>
          <w:rFonts w:cs="Miriam" w:hint="cs"/>
          <w:rtl/>
        </w:rPr>
        <w:t xml:space="preserve"> שהחמרה בעונשו של הנאשם תביא להרתעת הרבים..."</w:t>
      </w:r>
      <w:r>
        <w:rPr>
          <w:rFonts w:hint="cs"/>
          <w:rtl/>
        </w:rPr>
        <w:t xml:space="preserve">. </w:t>
      </w:r>
    </w:p>
    <w:p w14:paraId="77DB7472" w14:textId="77777777" w:rsidR="00F17FE3" w:rsidRDefault="00FF11C6">
      <w:pPr>
        <w:spacing w:line="360" w:lineRule="auto"/>
        <w:jc w:val="both"/>
        <w:rPr>
          <w:rtl/>
        </w:rPr>
      </w:pPr>
      <w:r>
        <w:rPr>
          <w:rFonts w:hint="cs"/>
          <w:rtl/>
        </w:rPr>
        <w:t xml:space="preserve">מצד אחד התחושה האינטואיטיבית היא כי החמרה בדינו של פלוני יהא בה כדי להרתיע את אלמוני בעתיד, ומצד שני, מלומדים רבים טוענים במחקריהם כי דבר זה לא הוכח ובמקרה שבפנינו, למעט חומרתן הרבה של העבירות, לא הובאה בפני כל הוכחה כי הענשת נאשם 1 בחומרה יש בה סיכוי של ממש כי תרתיע עבריינים בכוח. </w:t>
      </w:r>
    </w:p>
    <w:p w14:paraId="390F3725" w14:textId="77777777" w:rsidR="00F17FE3" w:rsidRDefault="00FF11C6">
      <w:pPr>
        <w:spacing w:line="360" w:lineRule="auto"/>
        <w:jc w:val="both"/>
        <w:rPr>
          <w:rtl/>
        </w:rPr>
      </w:pPr>
      <w:r>
        <w:rPr>
          <w:rFonts w:hint="cs"/>
          <w:rtl/>
        </w:rPr>
        <w:t xml:space="preserve">ואם כך הדבר כיצד ניתן לומר שקיים "סיכוי של ממש" כי החמרה בעונשו של נאשם 1 תרתיע את הרבים? </w:t>
      </w:r>
    </w:p>
    <w:p w14:paraId="17C3587E" w14:textId="77777777" w:rsidR="00F17FE3" w:rsidRDefault="00FF11C6">
      <w:pPr>
        <w:spacing w:line="360" w:lineRule="auto"/>
        <w:jc w:val="both"/>
        <w:rPr>
          <w:rtl/>
        </w:rPr>
      </w:pPr>
      <w:r>
        <w:rPr>
          <w:rFonts w:hint="cs"/>
          <w:rtl/>
        </w:rPr>
        <w:t xml:space="preserve">ואם החמרה בענישה של נאשם 1 לא תביא להרתעה, או שלא הוכח כי יש בה סיכוי של </w:t>
      </w:r>
      <w:r>
        <w:rPr>
          <w:rFonts w:hint="cs"/>
          <w:u w:val="single"/>
          <w:rtl/>
        </w:rPr>
        <w:t>ממש</w:t>
      </w:r>
      <w:r>
        <w:rPr>
          <w:rFonts w:hint="cs"/>
          <w:rtl/>
        </w:rPr>
        <w:t xml:space="preserve"> להביא להרתעה, האם אין החמרה כזאת מנוגדת לאמור ב</w:t>
      </w:r>
      <w:hyperlink r:id="rId61" w:history="1">
        <w:r w:rsidR="004848F4" w:rsidRPr="004848F4">
          <w:rPr>
            <w:color w:val="0000FF"/>
            <w:u w:val="single"/>
            <w:rtl/>
          </w:rPr>
          <w:t>סעיף 8</w:t>
        </w:r>
      </w:hyperlink>
      <w:r>
        <w:rPr>
          <w:rFonts w:hint="cs"/>
          <w:rtl/>
        </w:rPr>
        <w:t xml:space="preserve"> </w:t>
      </w:r>
      <w:r>
        <w:rPr>
          <w:rFonts w:hint="cs"/>
          <w:b/>
          <w:bCs/>
          <w:rtl/>
        </w:rPr>
        <w:t>ל</w:t>
      </w:r>
      <w:hyperlink r:id="rId62" w:history="1">
        <w:r w:rsidR="00F0458C" w:rsidRPr="00F0458C">
          <w:rPr>
            <w:rStyle w:val="Hyperlink"/>
            <w:b/>
            <w:bCs/>
            <w:rtl/>
          </w:rPr>
          <w:t>חוק יסוד: כבוד האדם וחירותו</w:t>
        </w:r>
      </w:hyperlink>
      <w:r>
        <w:rPr>
          <w:rFonts w:hint="cs"/>
          <w:rtl/>
        </w:rPr>
        <w:t xml:space="preserve">, לפיו: </w:t>
      </w:r>
      <w:r>
        <w:rPr>
          <w:rFonts w:cs="Miriam" w:hint="cs"/>
          <w:rtl/>
        </w:rPr>
        <w:t xml:space="preserve">"אין פוגעים בזכויות שלפי חוק זה... במידה שאינה עולה על הנדרש, או לפי חוק כאמור מכוח </w:t>
      </w:r>
      <w:r>
        <w:rPr>
          <w:rFonts w:cs="Miriam" w:hint="cs"/>
          <w:u w:val="single"/>
          <w:rtl/>
        </w:rPr>
        <w:t>הסמכה</w:t>
      </w:r>
      <w:r>
        <w:rPr>
          <w:rFonts w:cs="Miriam" w:hint="cs"/>
          <w:rtl/>
        </w:rPr>
        <w:t xml:space="preserve"> מפורשת שבו"</w:t>
      </w:r>
      <w:r>
        <w:rPr>
          <w:rFonts w:hint="cs"/>
          <w:rtl/>
        </w:rPr>
        <w:t>?</w:t>
      </w:r>
    </w:p>
    <w:p w14:paraId="3C268947" w14:textId="77777777" w:rsidR="00F17FE3" w:rsidRDefault="00FF11C6">
      <w:pPr>
        <w:spacing w:line="360" w:lineRule="auto"/>
        <w:jc w:val="both"/>
        <w:rPr>
          <w:rtl/>
        </w:rPr>
      </w:pPr>
      <w:r>
        <w:rPr>
          <w:rFonts w:hint="cs"/>
          <w:rtl/>
        </w:rPr>
        <w:t xml:space="preserve">דהיינו, אמנם "לפי חוק" </w:t>
      </w:r>
      <w:r>
        <w:rPr>
          <w:rtl/>
        </w:rPr>
        <w:t>–</w:t>
      </w:r>
      <w:r>
        <w:rPr>
          <w:rFonts w:hint="cs"/>
          <w:rtl/>
        </w:rPr>
        <w:t xml:space="preserve"> </w:t>
      </w:r>
      <w:hyperlink r:id="rId63" w:history="1">
        <w:r w:rsidR="004848F4" w:rsidRPr="004848F4">
          <w:rPr>
            <w:color w:val="0000FF"/>
            <w:u w:val="single"/>
            <w:rtl/>
          </w:rPr>
          <w:t>סעיף 40.ז</w:t>
        </w:r>
      </w:hyperlink>
      <w:r>
        <w:rPr>
          <w:rFonts w:hint="cs"/>
          <w:rtl/>
        </w:rPr>
        <w:t xml:space="preserve"> ל</w:t>
      </w:r>
      <w:hyperlink r:id="rId64" w:history="1">
        <w:r w:rsidR="00F0458C" w:rsidRPr="00F0458C">
          <w:rPr>
            <w:rStyle w:val="Hyperlink"/>
            <w:rtl/>
          </w:rPr>
          <w:t>חוק העונשין</w:t>
        </w:r>
      </w:hyperlink>
      <w:r>
        <w:rPr>
          <w:rFonts w:hint="cs"/>
          <w:rtl/>
        </w:rPr>
        <w:t xml:space="preserve"> </w:t>
      </w:r>
      <w:r>
        <w:rPr>
          <w:rtl/>
        </w:rPr>
        <w:t>–</w:t>
      </w:r>
      <w:r>
        <w:rPr>
          <w:rFonts w:hint="cs"/>
          <w:rtl/>
        </w:rPr>
        <w:t xml:space="preserve"> יש "הסמכה מפורשת" לפגוע בזכויות הנאשם, באמצעות החמרה בענישתו לצורך הרתעת הרבים, אולם, המחוקק "הסמיך במפורש" לעשות זאת רק אם הוכח "סיכוי של ממש" כי החמרה תביא להרתעה, והרי זה לא הוכח... !!</w:t>
      </w:r>
    </w:p>
    <w:p w14:paraId="2D6D48C7" w14:textId="77777777" w:rsidR="00F17FE3" w:rsidRDefault="00F17FE3">
      <w:pPr>
        <w:jc w:val="both"/>
        <w:rPr>
          <w:rtl/>
        </w:rPr>
      </w:pPr>
    </w:p>
    <w:p w14:paraId="548DC7EB" w14:textId="77777777" w:rsidR="00F17FE3" w:rsidRDefault="00FF11C6">
      <w:pPr>
        <w:spacing w:line="360" w:lineRule="auto"/>
        <w:jc w:val="both"/>
        <w:rPr>
          <w:rtl/>
        </w:rPr>
      </w:pPr>
      <w:r>
        <w:rPr>
          <w:rFonts w:hint="cs"/>
          <w:rtl/>
        </w:rPr>
        <w:t xml:space="preserve">על אף האמור לעיל, פסקי הדין של בית המשפט העליון שבאו לאחר כניסת תיקון 113 לתוקף, חזרו ושנו כי ראוי להחמיר בענישה במקרים כאלה כי כך תושג הרתעה (ראו למשל </w:t>
      </w:r>
      <w:hyperlink r:id="rId65" w:history="1">
        <w:r w:rsidR="00F0458C" w:rsidRPr="00F0458C">
          <w:rPr>
            <w:rStyle w:val="Hyperlink"/>
            <w:rtl/>
          </w:rPr>
          <w:t>ע"פ 8641/12</w:t>
        </w:r>
      </w:hyperlink>
      <w:r>
        <w:rPr>
          <w:rFonts w:hint="cs"/>
          <w:rtl/>
        </w:rPr>
        <w:t xml:space="preserve"> </w:t>
      </w:r>
      <w:r>
        <w:rPr>
          <w:rFonts w:hint="cs"/>
          <w:b/>
          <w:bCs/>
          <w:u w:val="single"/>
          <w:rtl/>
        </w:rPr>
        <w:t>מוחמד סעד נ' מדינת ישראל</w:t>
      </w:r>
      <w:r>
        <w:rPr>
          <w:rFonts w:hint="cs"/>
          <w:rtl/>
        </w:rPr>
        <w:t xml:space="preserve"> (5.2.13)). (עם זאת, מאותם פסקי דין ניתן ללמוד כי על אף מגמת ההחמרה בענישה בשנים האחרונות, לא הושגה עדיין הרתעה כיוון שמדי יום כמעט מתבשרים אנו, הן מכלי התקשורת והן מהפסיקה, כי האלימות פושה ומתגברת ברחובותינו.</w:t>
      </w:r>
    </w:p>
    <w:p w14:paraId="5E3B631A" w14:textId="77777777" w:rsidR="00F17FE3" w:rsidRDefault="00FF11C6">
      <w:pPr>
        <w:spacing w:line="360" w:lineRule="auto"/>
        <w:jc w:val="both"/>
        <w:rPr>
          <w:rtl/>
        </w:rPr>
      </w:pPr>
      <w:r>
        <w:rPr>
          <w:rFonts w:hint="cs"/>
          <w:rtl/>
        </w:rPr>
        <w:t>לפיכך, אף שאעשה שימוש בשיקול של הרתעת הרבים, לצורך קביעת העונש הראוי בתוך מתחם העונש ההולם, ראוי לעשותו בזהירות ובמתינות בשל האמור לעיל.</w:t>
      </w:r>
    </w:p>
    <w:p w14:paraId="2755C965" w14:textId="77777777" w:rsidR="00F17FE3" w:rsidRDefault="00F17FE3">
      <w:pPr>
        <w:jc w:val="both"/>
        <w:rPr>
          <w:rtl/>
        </w:rPr>
      </w:pPr>
    </w:p>
    <w:p w14:paraId="211BDF37" w14:textId="77777777" w:rsidR="00F17FE3" w:rsidRDefault="00FF11C6">
      <w:pPr>
        <w:spacing w:line="360" w:lineRule="auto"/>
        <w:jc w:val="both"/>
        <w:rPr>
          <w:rtl/>
        </w:rPr>
      </w:pPr>
      <w:r>
        <w:rPr>
          <w:rFonts w:hint="cs"/>
          <w:u w:val="single"/>
          <w:rtl/>
        </w:rPr>
        <w:t>עונשו של נאשם 2</w:t>
      </w:r>
    </w:p>
    <w:p w14:paraId="454F0B4F" w14:textId="77777777" w:rsidR="00F17FE3" w:rsidRDefault="00FF11C6">
      <w:pPr>
        <w:spacing w:line="360" w:lineRule="auto"/>
        <w:jc w:val="both"/>
        <w:rPr>
          <w:rtl/>
        </w:rPr>
      </w:pPr>
      <w:r>
        <w:rPr>
          <w:rFonts w:hint="cs"/>
          <w:rtl/>
        </w:rPr>
        <w:t xml:space="preserve">אומר זאת כבר בתחילה ובאופן מודגש כי על אף שנאשם 2 השתתף באותו ארוע, הרי שחומרת מעשיו שונה תכלית השינוי מזאת של נאשם 1 ואין להקיש מעונשו של נאשם 1 לגבי עונשו של נאשם 2. </w:t>
      </w:r>
    </w:p>
    <w:p w14:paraId="0471B6BC" w14:textId="77777777" w:rsidR="00F17FE3" w:rsidRDefault="00FF11C6">
      <w:pPr>
        <w:spacing w:line="360" w:lineRule="auto"/>
        <w:jc w:val="both"/>
        <w:rPr>
          <w:rtl/>
        </w:rPr>
      </w:pPr>
      <w:r>
        <w:rPr>
          <w:rFonts w:hint="cs"/>
          <w:rtl/>
        </w:rPr>
        <w:t xml:space="preserve">צודק הסניגור באומרו כי בדרך כלל עבירות כעבירות שביצע נאשם 2 נדונות על אף חומרתן, בבית משפט השלום. </w:t>
      </w:r>
    </w:p>
    <w:p w14:paraId="197C0664" w14:textId="77777777" w:rsidR="00F17FE3" w:rsidRDefault="00FF11C6">
      <w:pPr>
        <w:spacing w:line="360" w:lineRule="auto"/>
        <w:jc w:val="both"/>
        <w:rPr>
          <w:rtl/>
        </w:rPr>
      </w:pPr>
      <w:r>
        <w:rPr>
          <w:rFonts w:hint="cs"/>
          <w:rtl/>
        </w:rPr>
        <w:t xml:space="preserve">מעיון בפסיקה שהוגשה ע"י ב"כ הצדדים, אני סבור כי מתחם העונש ההולם בעניינו של נאשם 2 נע בין 6 חודשי מאסר לריצוי בעבודות שרות לבין 18 חודשי מאסר בפועל. </w:t>
      </w:r>
    </w:p>
    <w:p w14:paraId="460DF7BB" w14:textId="77777777" w:rsidR="00F17FE3" w:rsidRDefault="00F17FE3">
      <w:pPr>
        <w:jc w:val="both"/>
        <w:rPr>
          <w:rtl/>
        </w:rPr>
      </w:pPr>
    </w:p>
    <w:p w14:paraId="20E58CC3" w14:textId="77777777" w:rsidR="00F17FE3" w:rsidRDefault="00FF11C6">
      <w:pPr>
        <w:spacing w:line="360" w:lineRule="auto"/>
        <w:jc w:val="both"/>
        <w:rPr>
          <w:rtl/>
        </w:rPr>
      </w:pPr>
      <w:r>
        <w:rPr>
          <w:rFonts w:hint="cs"/>
          <w:rtl/>
        </w:rPr>
        <w:t>מעשיו של נאשם 2 חמורים והוא "קפץ ראש" והשתמש באלימות, בקטטה לא לו, ואיני מקבל את טענות הסניגור כי עשה זאת הואיל וראה את אֵחיו פצועים. אין לו לשופט אלא את שעיניו רואות ואוזניו שומעות, ובהקשר זה כל שאוכל לומר לזכות נאשם 2, שהיה עימות בין שתי המשפחות, במהלכו נפגע אחיו מדחאת של הנאשם באצבעו.</w:t>
      </w:r>
    </w:p>
    <w:p w14:paraId="2155E7CA" w14:textId="77777777" w:rsidR="00F17FE3" w:rsidRDefault="00FF11C6">
      <w:pPr>
        <w:spacing w:line="360" w:lineRule="auto"/>
        <w:jc w:val="both"/>
        <w:rPr>
          <w:rtl/>
        </w:rPr>
      </w:pPr>
      <w:r>
        <w:rPr>
          <w:rFonts w:hint="cs"/>
          <w:rtl/>
        </w:rPr>
        <w:t>אלו העובדות שעלו מכתב האישום ומן האישור הרפואי (ס/5), הא ותו לא.</w:t>
      </w:r>
    </w:p>
    <w:p w14:paraId="77A9E6C7" w14:textId="77777777" w:rsidR="00F17FE3" w:rsidRDefault="00F17FE3">
      <w:pPr>
        <w:jc w:val="both"/>
        <w:rPr>
          <w:rtl/>
        </w:rPr>
      </w:pPr>
    </w:p>
    <w:p w14:paraId="4C075B8D" w14:textId="77777777" w:rsidR="00F17FE3" w:rsidRDefault="00FF11C6">
      <w:pPr>
        <w:spacing w:line="360" w:lineRule="auto"/>
        <w:jc w:val="both"/>
        <w:rPr>
          <w:rtl/>
        </w:rPr>
      </w:pPr>
      <w:r>
        <w:rPr>
          <w:rFonts w:hint="cs"/>
          <w:rtl/>
        </w:rPr>
        <w:t xml:space="preserve">יחד עם זאת, אני סבור כי גם בעניינו של נאשם 2 לא היה תכנון ומדובר בביצוע עבירות באופן ספונטני, במהלך עימות בין שתי המשפחות. הנזק שנגרם בגין מעשיו לא היה גדול באופן יחסי, אך הנזק שהיה צפוי להיגרם, במיוחד מן ההכאה באמצעות קרש, גדול. הנאשם תקף ופצע ללא סיבה ויכול היה להבין את מעשיו, בהם שלט, ולהימנע מהם. </w:t>
      </w:r>
    </w:p>
    <w:p w14:paraId="5150026B" w14:textId="77777777" w:rsidR="00F17FE3" w:rsidRDefault="00F17FE3">
      <w:pPr>
        <w:jc w:val="both"/>
        <w:rPr>
          <w:rtl/>
        </w:rPr>
      </w:pPr>
    </w:p>
    <w:p w14:paraId="0579A6AE" w14:textId="77777777" w:rsidR="00F17FE3" w:rsidRDefault="00FF11C6">
      <w:pPr>
        <w:spacing w:line="360" w:lineRule="auto"/>
        <w:jc w:val="both"/>
        <w:rPr>
          <w:rtl/>
        </w:rPr>
      </w:pPr>
      <w:r>
        <w:rPr>
          <w:rFonts w:hint="cs"/>
          <w:rtl/>
        </w:rPr>
        <w:t xml:space="preserve">בבואי לקבוע את העונש הראוי לנאשם 2, בתוך מתחם העונש ההולם, אומר תחילה כי אני סבור שעל דרך הכלל, מי שמשתמש באלימות כפי שעשה נאשם 2, </w:t>
      </w:r>
      <w:r>
        <w:rPr>
          <w:rFonts w:hint="cs"/>
          <w:u w:val="single"/>
          <w:rtl/>
        </w:rPr>
        <w:t>דינו למאסר בפועל מאחורי סורג ובריח ולא למאסר בדרך של עבודות שרות</w:t>
      </w:r>
      <w:r>
        <w:rPr>
          <w:rFonts w:hint="cs"/>
          <w:rtl/>
        </w:rPr>
        <w:t xml:space="preserve">. </w:t>
      </w:r>
    </w:p>
    <w:p w14:paraId="26FC1297" w14:textId="77777777" w:rsidR="00F17FE3" w:rsidRDefault="00F17FE3">
      <w:pPr>
        <w:jc w:val="both"/>
        <w:rPr>
          <w:rtl/>
        </w:rPr>
      </w:pPr>
    </w:p>
    <w:p w14:paraId="2F61F93B" w14:textId="77777777" w:rsidR="00F17FE3" w:rsidRDefault="00FF11C6">
      <w:pPr>
        <w:spacing w:line="360" w:lineRule="auto"/>
        <w:jc w:val="both"/>
        <w:rPr>
          <w:rtl/>
        </w:rPr>
      </w:pPr>
      <w:r>
        <w:rPr>
          <w:rFonts w:hint="cs"/>
          <w:rtl/>
        </w:rPr>
        <w:t xml:space="preserve">הפסיקה העניפה אליה הופניתי על-ידי ב"כ נאשם 2, רובה ככולה גזרי דין בהם גזרתי תקופות מאסר לריצוי בעבודות שרות, </w:t>
      </w:r>
      <w:r>
        <w:rPr>
          <w:rFonts w:hint="cs"/>
          <w:u w:val="single"/>
          <w:rtl/>
        </w:rPr>
        <w:t>בהסתמך על תסקירי קצין מבחן חיוביים ביותר</w:t>
      </w:r>
      <w:r>
        <w:rPr>
          <w:rFonts w:hint="cs"/>
          <w:rtl/>
        </w:rPr>
        <w:t xml:space="preserve">. תסקיר כזה לא קיים בענייננו. </w:t>
      </w:r>
    </w:p>
    <w:p w14:paraId="5CA3261F" w14:textId="77777777" w:rsidR="00F17FE3" w:rsidRDefault="00F17FE3">
      <w:pPr>
        <w:jc w:val="both"/>
        <w:rPr>
          <w:rtl/>
        </w:rPr>
      </w:pPr>
    </w:p>
    <w:p w14:paraId="79FA5D5B" w14:textId="77777777" w:rsidR="00F17FE3" w:rsidRDefault="00FF11C6">
      <w:pPr>
        <w:spacing w:line="360" w:lineRule="auto"/>
        <w:jc w:val="both"/>
        <w:rPr>
          <w:rtl/>
        </w:rPr>
      </w:pPr>
      <w:r>
        <w:rPr>
          <w:rFonts w:hint="cs"/>
          <w:rtl/>
        </w:rPr>
        <w:t xml:space="preserve">יחד עם זאת, ראוי לזכור כי נאשם 2 שהה במעצר כשלושה חודשים ובמעצר בית מלא מורחק מביתו כ- 8 חודשים, ולא ניתן להתעלם גם מן הקושי להחזיר אדם ששוחרר מן המעצר ושהה מעבר לסורגים תקופה ארוכה, אל מאחוריהם. </w:t>
      </w:r>
    </w:p>
    <w:p w14:paraId="14DC740E" w14:textId="77777777" w:rsidR="00F17FE3" w:rsidRDefault="00F17FE3">
      <w:pPr>
        <w:jc w:val="both"/>
        <w:rPr>
          <w:rtl/>
        </w:rPr>
      </w:pPr>
    </w:p>
    <w:p w14:paraId="685D0AA2" w14:textId="77777777" w:rsidR="00F17FE3" w:rsidRDefault="00FF11C6">
      <w:pPr>
        <w:spacing w:line="360" w:lineRule="auto"/>
        <w:jc w:val="both"/>
        <w:rPr>
          <w:rtl/>
        </w:rPr>
      </w:pPr>
      <w:r>
        <w:rPr>
          <w:rFonts w:hint="cs"/>
          <w:rtl/>
        </w:rPr>
        <w:t>עוד אתחשב לקולא בכך שעברו של נאשם 2 אינו מכביד, הוא אדם מבוגר אשר ניהל חיי עבודה נורמטיביים, הודה במעשיו, חסך בזמן שיפוטי, הביע חרטה על מעשיו ואף הוא עשה מאמצים לתיקון תוצאות העבירה ופיצוי על הנזק שנגרם בגינה, בכך ששילם פיצויים בסכום משמעותי של 250,000 ₪.</w:t>
      </w:r>
    </w:p>
    <w:p w14:paraId="546DE8FA" w14:textId="77777777" w:rsidR="00F17FE3" w:rsidRDefault="00F17FE3">
      <w:pPr>
        <w:jc w:val="both"/>
        <w:rPr>
          <w:rtl/>
        </w:rPr>
      </w:pPr>
    </w:p>
    <w:p w14:paraId="178FAFE4" w14:textId="77777777" w:rsidR="00F17FE3" w:rsidRDefault="00FF11C6">
      <w:pPr>
        <w:spacing w:line="360" w:lineRule="auto"/>
        <w:jc w:val="both"/>
        <w:rPr>
          <w:rtl/>
        </w:rPr>
      </w:pPr>
      <w:r>
        <w:rPr>
          <w:rFonts w:hint="cs"/>
          <w:rtl/>
        </w:rPr>
        <w:t xml:space="preserve">מעיון בתסקיר שרות המבחן, והואיל ונראה כי נאשם 2 טרם הפנים את חומרת מעשיו, ראוי לעשות בעניינו שימוש בשיקול של הרתעת היחיד. </w:t>
      </w:r>
    </w:p>
    <w:p w14:paraId="7E5B74F9" w14:textId="77777777" w:rsidR="00F17FE3" w:rsidRDefault="00F17FE3">
      <w:pPr>
        <w:jc w:val="both"/>
        <w:rPr>
          <w:rtl/>
        </w:rPr>
      </w:pPr>
    </w:p>
    <w:p w14:paraId="15A368AC" w14:textId="77777777" w:rsidR="00F17FE3" w:rsidRDefault="00FF11C6">
      <w:pPr>
        <w:spacing w:line="360" w:lineRule="auto"/>
        <w:jc w:val="both"/>
        <w:rPr>
          <w:rtl/>
        </w:rPr>
      </w:pPr>
      <w:r>
        <w:rPr>
          <w:rFonts w:hint="cs"/>
          <w:rtl/>
        </w:rPr>
        <w:t xml:space="preserve">לאחר התלבטות, במיוחד בשל תקופת מעצר הבית הארוכה, הבעייתיות שבהחזרת נאשם 2 אל מאחורי סורג ובריח לאחר ששוחרר ממעצרו, העדר עבר פלילי (כמעט) וסכום הפיצויים ששילם, הגעתי למסקנה כי ראוי </w:t>
      </w:r>
      <w:r>
        <w:rPr>
          <w:rFonts w:hint="cs"/>
          <w:u w:val="single"/>
          <w:rtl/>
        </w:rPr>
        <w:t>לשקול</w:t>
      </w:r>
      <w:r>
        <w:rPr>
          <w:rFonts w:hint="cs"/>
          <w:rtl/>
        </w:rPr>
        <w:t xml:space="preserve"> בעניינו השתת עונש מאסר שירוצה בעבודות שרות, אני סבור כי בנוסף לתקופת המעצר ומעצר הבית, תהא זאת לגביו ענישה שיש בה סיכוי של ממש להרתעתו, תחדד עבורו את גבולות המותר והאסור ותחברו לפסול שבהתנהגותו, כהמלצת שרות המבחן. אני סבור כי בענישה זאת יש גם "סיכוי של ממש" שתביא להרתעת הרבים. דהיינו, גם מי שיסבור כי בגין עבירות אלימות "קלות" באופן יחסי הנדונות בדרך כלל בבית משפט השלום, ייצא פטור בעונש קל, ייווכח שעלול הוא לשהות כ- 3 חודשים במעצר, כ- 8 חודשים במעצר בית, 6 חודשים בעבודות שרות וישלם 250,000 ₪ פיצויים, ויחשוב "פעמיים" על מעשיו ויירתע מלבצעם.  </w:t>
      </w:r>
    </w:p>
    <w:p w14:paraId="38F35DD6" w14:textId="77777777" w:rsidR="00F17FE3" w:rsidRDefault="00F17FE3">
      <w:pPr>
        <w:jc w:val="both"/>
        <w:rPr>
          <w:rtl/>
        </w:rPr>
      </w:pPr>
    </w:p>
    <w:p w14:paraId="6B639BED" w14:textId="77777777" w:rsidR="00F17FE3" w:rsidRDefault="00FF11C6">
      <w:pPr>
        <w:jc w:val="both"/>
        <w:rPr>
          <w:rtl/>
        </w:rPr>
      </w:pPr>
      <w:r>
        <w:rPr>
          <w:rFonts w:hint="cs"/>
          <w:rtl/>
        </w:rPr>
        <w:t>בהקשר זה נפסק:</w:t>
      </w:r>
    </w:p>
    <w:p w14:paraId="6761D459" w14:textId="77777777" w:rsidR="00F17FE3" w:rsidRDefault="00F17FE3">
      <w:pPr>
        <w:jc w:val="both"/>
        <w:rPr>
          <w:rtl/>
        </w:rPr>
      </w:pPr>
    </w:p>
    <w:p w14:paraId="2F1C40E9" w14:textId="77777777" w:rsidR="00F17FE3" w:rsidRDefault="00FF11C6">
      <w:pPr>
        <w:ind w:left="1134" w:right="1134"/>
        <w:jc w:val="both"/>
        <w:rPr>
          <w:rtl/>
        </w:rPr>
      </w:pPr>
      <w:r>
        <w:rPr>
          <w:rFonts w:cs="Miriam" w:hint="cs"/>
          <w:rtl/>
        </w:rPr>
        <w:t xml:space="preserve">"מקובל עלינו, </w:t>
      </w:r>
      <w:r>
        <w:rPr>
          <w:rFonts w:ascii="Miriam" w:cs="Miriam" w:hint="cs"/>
          <w:rtl/>
        </w:rPr>
        <w:t>כי</w:t>
      </w:r>
      <w:r>
        <w:rPr>
          <w:rFonts w:ascii="Miriam" w:cs="Miriam"/>
        </w:rPr>
        <w:t xml:space="preserve"> </w:t>
      </w:r>
      <w:r>
        <w:rPr>
          <w:rFonts w:ascii="Miriam" w:cs="Miriam" w:hint="cs"/>
          <w:rtl/>
        </w:rPr>
        <w:t>התקופה</w:t>
      </w:r>
      <w:r>
        <w:rPr>
          <w:rFonts w:ascii="Miriam" w:cs="Miriam"/>
        </w:rPr>
        <w:t xml:space="preserve"> </w:t>
      </w:r>
      <w:r>
        <w:rPr>
          <w:rFonts w:ascii="Miriam" w:cs="Miriam" w:hint="cs"/>
          <w:rtl/>
        </w:rPr>
        <w:t>שבה</w:t>
      </w:r>
      <w:r>
        <w:rPr>
          <w:rFonts w:ascii="Miriam" w:cs="Miriam"/>
        </w:rPr>
        <w:t xml:space="preserve"> </w:t>
      </w:r>
      <w:r>
        <w:rPr>
          <w:rFonts w:ascii="Miriam" w:cs="Miriam" w:hint="cs"/>
          <w:rtl/>
        </w:rPr>
        <w:t>היה</w:t>
      </w:r>
      <w:r>
        <w:rPr>
          <w:rFonts w:ascii="Miriam" w:cs="Miriam"/>
        </w:rPr>
        <w:t xml:space="preserve"> </w:t>
      </w:r>
      <w:r>
        <w:rPr>
          <w:rFonts w:ascii="Miriam" w:cs="Miriam" w:hint="cs"/>
          <w:rtl/>
        </w:rPr>
        <w:t>הנאשם</w:t>
      </w:r>
      <w:r>
        <w:rPr>
          <w:rFonts w:ascii="Miriam" w:cs="Miriam"/>
        </w:rPr>
        <w:t xml:space="preserve"> </w:t>
      </w:r>
      <w:r>
        <w:rPr>
          <w:rFonts w:ascii="Miriam" w:cs="Miriam" w:hint="cs"/>
          <w:rtl/>
        </w:rPr>
        <w:t>עצור</w:t>
      </w:r>
      <w:r>
        <w:rPr>
          <w:rFonts w:ascii="Miriam" w:cs="Miriam"/>
        </w:rPr>
        <w:t xml:space="preserve"> </w:t>
      </w:r>
      <w:r>
        <w:rPr>
          <w:rFonts w:ascii="Miriam" w:cs="Miriam" w:hint="cs"/>
          <w:rtl/>
        </w:rPr>
        <w:t>מאחורי</w:t>
      </w:r>
      <w:r>
        <w:rPr>
          <w:rFonts w:ascii="Miriam" w:cs="Miriam"/>
        </w:rPr>
        <w:t xml:space="preserve"> </w:t>
      </w:r>
      <w:r>
        <w:rPr>
          <w:rFonts w:ascii="Miriam" w:cs="Miriam" w:hint="cs"/>
          <w:rtl/>
        </w:rPr>
        <w:t>סורג</w:t>
      </w:r>
      <w:r>
        <w:rPr>
          <w:rFonts w:ascii="Miriam" w:cs="Miriam"/>
        </w:rPr>
        <w:t xml:space="preserve"> </w:t>
      </w:r>
      <w:r>
        <w:rPr>
          <w:rFonts w:ascii="Miriam" w:cs="Miriam" w:hint="cs"/>
          <w:rtl/>
        </w:rPr>
        <w:t>ובריח</w:t>
      </w:r>
      <w:r>
        <w:rPr>
          <w:rFonts w:ascii="Miriam" w:cs="Miriam"/>
        </w:rPr>
        <w:t xml:space="preserve"> </w:t>
      </w:r>
      <w:r>
        <w:rPr>
          <w:rFonts w:ascii="Miriam" w:cs="Miriam" w:hint="cs"/>
          <w:rtl/>
        </w:rPr>
        <w:t>מן</w:t>
      </w:r>
      <w:r>
        <w:rPr>
          <w:rFonts w:ascii="Miriam" w:cs="Miriam"/>
        </w:rPr>
        <w:t xml:space="preserve"> </w:t>
      </w:r>
      <w:r>
        <w:rPr>
          <w:rFonts w:ascii="Miriam" w:cs="Miriam" w:hint="cs"/>
          <w:rtl/>
        </w:rPr>
        <w:t>הראוי</w:t>
      </w:r>
      <w:r>
        <w:rPr>
          <w:rFonts w:ascii="Miriam" w:cs="Miriam"/>
        </w:rPr>
        <w:t xml:space="preserve"> </w:t>
      </w:r>
      <w:r>
        <w:rPr>
          <w:rFonts w:ascii="Miriam" w:cs="Miriam" w:hint="cs"/>
          <w:rtl/>
        </w:rPr>
        <w:t>לנכותה</w:t>
      </w:r>
      <w:r>
        <w:rPr>
          <w:rFonts w:ascii="Miriam" w:cs="Miriam"/>
        </w:rPr>
        <w:t xml:space="preserve"> </w:t>
      </w:r>
      <w:r>
        <w:rPr>
          <w:rFonts w:ascii="Miriam" w:cs="Miriam" w:hint="cs"/>
          <w:rtl/>
        </w:rPr>
        <w:t>מתקופת</w:t>
      </w:r>
      <w:r>
        <w:rPr>
          <w:rFonts w:ascii="Miriam" w:cs="Miriam"/>
        </w:rPr>
        <w:t xml:space="preserve"> </w:t>
      </w:r>
      <w:r>
        <w:rPr>
          <w:rFonts w:ascii="Miriam" w:cs="Miriam" w:hint="cs"/>
          <w:rtl/>
        </w:rPr>
        <w:t>המאסר</w:t>
      </w:r>
      <w:r>
        <w:rPr>
          <w:rFonts w:ascii="Miriam" w:cs="Miriam"/>
        </w:rPr>
        <w:t xml:space="preserve"> </w:t>
      </w:r>
      <w:r>
        <w:rPr>
          <w:rFonts w:ascii="Miriam" w:cs="Miriam" w:hint="cs"/>
          <w:rtl/>
        </w:rPr>
        <w:t>בפועל</w:t>
      </w:r>
      <w:r>
        <w:rPr>
          <w:rFonts w:ascii="Miriam" w:cs="Miriam"/>
        </w:rPr>
        <w:t xml:space="preserve"> </w:t>
      </w:r>
      <w:r>
        <w:rPr>
          <w:rFonts w:ascii="Miriam" w:cs="Miriam" w:hint="cs"/>
          <w:rtl/>
        </w:rPr>
        <w:t>שנגזרה</w:t>
      </w:r>
      <w:r>
        <w:rPr>
          <w:rFonts w:ascii="Miriam" w:cs="Miriam"/>
        </w:rPr>
        <w:t xml:space="preserve"> </w:t>
      </w:r>
      <w:r>
        <w:rPr>
          <w:rFonts w:ascii="Miriam" w:cs="Miriam" w:hint="cs"/>
          <w:rtl/>
        </w:rPr>
        <w:t>על</w:t>
      </w:r>
      <w:r>
        <w:rPr>
          <w:rFonts w:ascii="Miriam" w:cs="Miriam"/>
        </w:rPr>
        <w:t xml:space="preserve"> </w:t>
      </w:r>
      <w:r>
        <w:rPr>
          <w:rFonts w:ascii="Miriam" w:cs="Miriam" w:hint="cs"/>
          <w:rtl/>
        </w:rPr>
        <w:t>הנאשם</w:t>
      </w:r>
      <w:r>
        <w:rPr>
          <w:rFonts w:ascii="Miriam" w:cs="Miriam"/>
        </w:rPr>
        <w:t xml:space="preserve">; </w:t>
      </w:r>
      <w:r>
        <w:rPr>
          <w:rFonts w:ascii="Miriam" w:cs="Miriam" w:hint="cs"/>
          <w:rtl/>
        </w:rPr>
        <w:t>אך</w:t>
      </w:r>
      <w:r>
        <w:rPr>
          <w:rFonts w:ascii="Miriam" w:cs="Miriam"/>
        </w:rPr>
        <w:t xml:space="preserve"> </w:t>
      </w:r>
      <w:r>
        <w:rPr>
          <w:rFonts w:ascii="Miriam" w:cs="Miriam" w:hint="cs"/>
          <w:rtl/>
        </w:rPr>
        <w:t>אין</w:t>
      </w:r>
      <w:r>
        <w:rPr>
          <w:rFonts w:ascii="Miriam" w:cs="Miriam"/>
        </w:rPr>
        <w:t xml:space="preserve"> </w:t>
      </w:r>
      <w:r>
        <w:rPr>
          <w:rFonts w:ascii="Miriam" w:cs="Miriam" w:hint="cs"/>
          <w:rtl/>
        </w:rPr>
        <w:t>אנו</w:t>
      </w:r>
      <w:r>
        <w:rPr>
          <w:rFonts w:ascii="Miriam" w:cs="Miriam"/>
        </w:rPr>
        <w:t xml:space="preserve"> </w:t>
      </w:r>
      <w:r>
        <w:rPr>
          <w:rFonts w:ascii="Miriam" w:cs="Miriam" w:hint="cs"/>
          <w:rtl/>
        </w:rPr>
        <w:t>נוהגים</w:t>
      </w:r>
      <w:r>
        <w:rPr>
          <w:rFonts w:ascii="Miriam" w:cs="Miriam"/>
        </w:rPr>
        <w:t xml:space="preserve"> </w:t>
      </w:r>
      <w:r>
        <w:rPr>
          <w:rFonts w:ascii="Miriam" w:cs="Miriam" w:hint="cs"/>
          <w:rtl/>
        </w:rPr>
        <w:t>לנכות</w:t>
      </w:r>
      <w:r>
        <w:rPr>
          <w:rFonts w:ascii="Miriam" w:cs="Miriam"/>
        </w:rPr>
        <w:t xml:space="preserve"> </w:t>
      </w:r>
      <w:r>
        <w:rPr>
          <w:rFonts w:ascii="Miriam" w:cs="Miriam" w:hint="cs"/>
          <w:rtl/>
        </w:rPr>
        <w:t>כאמור</w:t>
      </w:r>
      <w:r>
        <w:rPr>
          <w:rFonts w:ascii="Miriam" w:cs="Miriam"/>
        </w:rPr>
        <w:t xml:space="preserve"> </w:t>
      </w:r>
      <w:r>
        <w:rPr>
          <w:rFonts w:ascii="Miriam" w:cs="Miriam" w:hint="cs"/>
          <w:rtl/>
        </w:rPr>
        <w:t>תקופה</w:t>
      </w:r>
      <w:r>
        <w:rPr>
          <w:rFonts w:ascii="Miriam" w:cs="Miriam"/>
        </w:rPr>
        <w:t xml:space="preserve"> </w:t>
      </w:r>
      <w:r>
        <w:rPr>
          <w:rFonts w:ascii="Miriam" w:cs="Miriam" w:hint="cs"/>
          <w:rtl/>
        </w:rPr>
        <w:t>שבה</w:t>
      </w:r>
      <w:r>
        <w:rPr>
          <w:rFonts w:ascii="Miriam" w:cs="Miriam"/>
        </w:rPr>
        <w:t xml:space="preserve"> </w:t>
      </w:r>
      <w:r>
        <w:rPr>
          <w:rFonts w:ascii="Miriam" w:cs="Miriam" w:hint="cs"/>
          <w:rtl/>
        </w:rPr>
        <w:t>היה</w:t>
      </w:r>
      <w:r>
        <w:rPr>
          <w:rFonts w:ascii="Miriam" w:cs="Miriam"/>
        </w:rPr>
        <w:t xml:space="preserve"> </w:t>
      </w:r>
      <w:r>
        <w:rPr>
          <w:rFonts w:ascii="Miriam" w:cs="Miriam" w:hint="cs"/>
          <w:rtl/>
        </w:rPr>
        <w:t>הנאשם</w:t>
      </w:r>
      <w:r>
        <w:rPr>
          <w:rFonts w:ascii="Miriam" w:cs="Miriam"/>
        </w:rPr>
        <w:t xml:space="preserve"> </w:t>
      </w:r>
      <w:r>
        <w:rPr>
          <w:rFonts w:ascii="Miriam" w:cs="Miriam" w:hint="cs"/>
          <w:rtl/>
        </w:rPr>
        <w:t xml:space="preserve">במעצר בית, אף אם מוחלט. יחד עם זה, </w:t>
      </w:r>
      <w:r>
        <w:rPr>
          <w:rFonts w:ascii="Miriam" w:cs="Miriam" w:hint="cs"/>
          <w:u w:val="single"/>
          <w:rtl/>
        </w:rPr>
        <w:t xml:space="preserve">הרשות בידי בית המשפט </w:t>
      </w:r>
      <w:r>
        <w:rPr>
          <w:rFonts w:ascii="Miriam" w:cs="Miriam"/>
          <w:u w:val="single"/>
          <w:rtl/>
        </w:rPr>
        <w:t>–</w:t>
      </w:r>
      <w:r>
        <w:rPr>
          <w:rFonts w:ascii="Miriam" w:cs="Miriam" w:hint="cs"/>
          <w:u w:val="single"/>
          <w:rtl/>
        </w:rPr>
        <w:t xml:space="preserve"> ובמקרים הולמים אף רצוי הדבר </w:t>
      </w:r>
      <w:r>
        <w:rPr>
          <w:rFonts w:ascii="Miriam" w:cs="Miriam"/>
          <w:u w:val="single"/>
          <w:rtl/>
        </w:rPr>
        <w:t>–</w:t>
      </w:r>
      <w:r>
        <w:rPr>
          <w:rFonts w:ascii="Miriam" w:cs="Miriam" w:hint="cs"/>
          <w:u w:val="single"/>
          <w:rtl/>
        </w:rPr>
        <w:t xml:space="preserve"> שבבואו לקבוע את שיעור תקופת המאסר בפועל, יביא בחשבון, במידה זו או אחרת, את העובדה, שהנאשם נתון היה במעצר בית. מעצר הבית יכול שיהא אחת הנסיבות, בשקלול יתר השיקולים, בקביעת תקופת המאסר בפועל</w:t>
      </w:r>
      <w:r>
        <w:rPr>
          <w:rFonts w:cs="Miriam" w:hint="cs"/>
          <w:rtl/>
        </w:rPr>
        <w:t>"</w:t>
      </w:r>
      <w:r>
        <w:rPr>
          <w:rFonts w:hint="cs"/>
          <w:rtl/>
        </w:rPr>
        <w:t xml:space="preserve">.  </w:t>
      </w:r>
    </w:p>
    <w:p w14:paraId="69F2F7AB" w14:textId="77777777" w:rsidR="00F17FE3" w:rsidRDefault="00FF11C6">
      <w:pPr>
        <w:spacing w:line="360" w:lineRule="auto"/>
        <w:ind w:left="1134" w:right="1134"/>
        <w:jc w:val="both"/>
        <w:rPr>
          <w:rtl/>
        </w:rPr>
      </w:pPr>
      <w:r>
        <w:rPr>
          <w:rFonts w:hint="cs"/>
          <w:rtl/>
        </w:rPr>
        <w:t>(</w:t>
      </w:r>
      <w:r w:rsidRPr="00240516">
        <w:rPr>
          <w:rFonts w:hint="eastAsia"/>
          <w:color w:val="000000"/>
          <w:rtl/>
        </w:rPr>
        <w:t>ע</w:t>
      </w:r>
      <w:r w:rsidRPr="00240516">
        <w:rPr>
          <w:color w:val="000000"/>
          <w:rtl/>
        </w:rPr>
        <w:t>"פ 1621/91 אברהים דקה נ' מדינת ישראל, פ"ד מה</w:t>
      </w:r>
      <w:r>
        <w:rPr>
          <w:rFonts w:hint="cs"/>
          <w:rtl/>
        </w:rPr>
        <w:t xml:space="preserve">(5), 76). </w:t>
      </w:r>
    </w:p>
    <w:p w14:paraId="291450D6" w14:textId="77777777" w:rsidR="00F17FE3" w:rsidRDefault="00F17FE3">
      <w:pPr>
        <w:spacing w:line="360" w:lineRule="auto"/>
        <w:jc w:val="both"/>
        <w:rPr>
          <w:rtl/>
        </w:rPr>
      </w:pPr>
    </w:p>
    <w:p w14:paraId="0B6DE2EF" w14:textId="77777777" w:rsidR="00F17FE3" w:rsidRDefault="00FF11C6">
      <w:pPr>
        <w:spacing w:line="360" w:lineRule="auto"/>
        <w:jc w:val="both"/>
        <w:rPr>
          <w:rtl/>
        </w:rPr>
      </w:pPr>
      <w:r>
        <w:rPr>
          <w:rFonts w:hint="cs"/>
          <w:u w:val="single"/>
          <w:rtl/>
        </w:rPr>
        <w:t>ריבוי עבירות או ארוע אחד</w:t>
      </w:r>
    </w:p>
    <w:p w14:paraId="11A79F5A" w14:textId="77777777" w:rsidR="00F17FE3" w:rsidRDefault="00FF11C6">
      <w:pPr>
        <w:spacing w:line="360" w:lineRule="auto"/>
        <w:jc w:val="both"/>
        <w:rPr>
          <w:rtl/>
        </w:rPr>
      </w:pPr>
      <w:r>
        <w:rPr>
          <w:rFonts w:hint="cs"/>
          <w:rtl/>
        </w:rPr>
        <w:t xml:space="preserve">אני סבור כי העבירות בנשק אותן ביצע נאשם 1 אינן מאפשרות לראות את כל מעשיו כ"ארוע אחד", הואיל ועל אף שבעיקר שימשו העבירות בנשק לצורך ביצוע עבירות האלימות והן משולבות בהן, יש בהן פן נפרד, שהרי החזיק את האקדח עוד קודם לכן, בלי קשר לעבירות האלימות החמורות שביצע בתיק זה. </w:t>
      </w:r>
    </w:p>
    <w:p w14:paraId="6698FFD5" w14:textId="77777777" w:rsidR="00F17FE3" w:rsidRDefault="00FF11C6">
      <w:pPr>
        <w:spacing w:line="360" w:lineRule="auto"/>
        <w:jc w:val="both"/>
        <w:rPr>
          <w:rtl/>
        </w:rPr>
      </w:pPr>
      <w:r>
        <w:rPr>
          <w:rFonts w:hint="cs"/>
          <w:rtl/>
        </w:rPr>
        <w:t>יחד עם זאת, הואיל ובמקרה זה הנשק שימש לביצוע עבירות האלימות, אני סבור שיש לגזור על נאשם 2 "עונש כולל לכל הארועים", כאמור ב</w:t>
      </w:r>
      <w:hyperlink r:id="rId66" w:history="1">
        <w:r w:rsidR="004848F4" w:rsidRPr="004848F4">
          <w:rPr>
            <w:color w:val="0000FF"/>
            <w:u w:val="single"/>
            <w:rtl/>
          </w:rPr>
          <w:t>סעיף 40יג.(ב)</w:t>
        </w:r>
      </w:hyperlink>
      <w:r>
        <w:rPr>
          <w:rFonts w:hint="cs"/>
          <w:rtl/>
        </w:rPr>
        <w:t xml:space="preserve"> ל</w:t>
      </w:r>
      <w:hyperlink r:id="rId67" w:history="1">
        <w:r w:rsidR="00F0458C" w:rsidRPr="00F0458C">
          <w:rPr>
            <w:rStyle w:val="Hyperlink"/>
            <w:rtl/>
          </w:rPr>
          <w:t>חוק העונשין</w:t>
        </w:r>
      </w:hyperlink>
      <w:r>
        <w:rPr>
          <w:rFonts w:hint="cs"/>
          <w:rtl/>
        </w:rPr>
        <w:t xml:space="preserve">. </w:t>
      </w:r>
    </w:p>
    <w:p w14:paraId="169B7ACE" w14:textId="77777777" w:rsidR="00F17FE3" w:rsidRDefault="00F17FE3">
      <w:pPr>
        <w:jc w:val="both"/>
        <w:rPr>
          <w:rtl/>
        </w:rPr>
      </w:pPr>
    </w:p>
    <w:p w14:paraId="65C2DDF1" w14:textId="77777777" w:rsidR="00F17FE3" w:rsidRDefault="00FF11C6">
      <w:pPr>
        <w:spacing w:line="360" w:lineRule="auto"/>
        <w:jc w:val="both"/>
        <w:rPr>
          <w:rtl/>
        </w:rPr>
      </w:pPr>
      <w:r>
        <w:rPr>
          <w:rFonts w:hint="cs"/>
          <w:rtl/>
        </w:rPr>
        <w:t xml:space="preserve">לעומת זאת, אף שנאשם 2 ביצע שתי עבירות אלימות, כל אחת כלפי אדם אחר, הרי שהם סבבו כולן סביב אותו ארוע ואותו "עימות" בין שתי המשפחות, ועל כן מדובר בעניינו ב"ארוע אחד". </w:t>
      </w:r>
    </w:p>
    <w:p w14:paraId="7FC94DB9" w14:textId="77777777" w:rsidR="00F17FE3" w:rsidRDefault="00F17FE3">
      <w:pPr>
        <w:spacing w:line="360" w:lineRule="auto"/>
        <w:jc w:val="both"/>
        <w:rPr>
          <w:rtl/>
        </w:rPr>
      </w:pPr>
    </w:p>
    <w:p w14:paraId="68B7B6FA" w14:textId="77777777" w:rsidR="00F17FE3" w:rsidRDefault="00FF11C6">
      <w:pPr>
        <w:jc w:val="both"/>
        <w:rPr>
          <w:rtl/>
        </w:rPr>
      </w:pPr>
      <w:r>
        <w:rPr>
          <w:rFonts w:hint="cs"/>
          <w:rtl/>
        </w:rPr>
        <w:t>לאור האמור לעיל, אני גוזר על הנאשמים את העונשים הבאים:</w:t>
      </w:r>
    </w:p>
    <w:p w14:paraId="6AF38FED" w14:textId="77777777" w:rsidR="00F17FE3" w:rsidRDefault="00F17FE3">
      <w:pPr>
        <w:jc w:val="both"/>
        <w:rPr>
          <w:rtl/>
        </w:rPr>
      </w:pPr>
    </w:p>
    <w:p w14:paraId="1CE561A6" w14:textId="77777777" w:rsidR="00F17FE3" w:rsidRDefault="00FF11C6">
      <w:pPr>
        <w:spacing w:line="360" w:lineRule="auto"/>
        <w:jc w:val="both"/>
        <w:rPr>
          <w:rtl/>
        </w:rPr>
      </w:pPr>
      <w:r>
        <w:rPr>
          <w:rFonts w:hint="cs"/>
          <w:u w:val="single"/>
          <w:rtl/>
        </w:rPr>
        <w:t>נאשם 1</w:t>
      </w:r>
    </w:p>
    <w:p w14:paraId="26DFDC2C" w14:textId="77777777" w:rsidR="00F17FE3" w:rsidRDefault="00FF11C6">
      <w:pPr>
        <w:spacing w:line="360" w:lineRule="auto"/>
        <w:ind w:left="720" w:hanging="720"/>
        <w:jc w:val="both"/>
        <w:rPr>
          <w:rtl/>
        </w:rPr>
      </w:pPr>
      <w:r>
        <w:rPr>
          <w:rFonts w:hint="cs"/>
          <w:rtl/>
        </w:rPr>
        <w:t>א.</w:t>
      </w:r>
      <w:r>
        <w:rPr>
          <w:rFonts w:hint="cs"/>
          <w:rtl/>
        </w:rPr>
        <w:tab/>
        <w:t>12 שנות מאסר בפועל, שמניינם מיום מעצרו, 17.1.13.</w:t>
      </w:r>
    </w:p>
    <w:p w14:paraId="750E46AB" w14:textId="77777777" w:rsidR="00F17FE3" w:rsidRDefault="00FF11C6">
      <w:pPr>
        <w:spacing w:line="360" w:lineRule="auto"/>
        <w:ind w:left="720" w:hanging="720"/>
        <w:jc w:val="both"/>
        <w:rPr>
          <w:rtl/>
        </w:rPr>
      </w:pPr>
      <w:r>
        <w:rPr>
          <w:rFonts w:hint="cs"/>
          <w:rtl/>
        </w:rPr>
        <w:t>ב.</w:t>
      </w:r>
      <w:r>
        <w:rPr>
          <w:rFonts w:hint="cs"/>
          <w:rtl/>
        </w:rPr>
        <w:tab/>
        <w:t xml:space="preserve">3 שנות מאסר על תנאי, לבל יבצע במשך שלוש שנים כל עבירת אלימות מסוג פשע או עבירה בנשק מסוג פשע. </w:t>
      </w:r>
    </w:p>
    <w:p w14:paraId="3FBA0149" w14:textId="77777777" w:rsidR="00F17FE3" w:rsidRDefault="00FF11C6">
      <w:pPr>
        <w:spacing w:line="360" w:lineRule="auto"/>
        <w:ind w:left="720" w:hanging="720"/>
        <w:jc w:val="both"/>
        <w:rPr>
          <w:rtl/>
        </w:rPr>
      </w:pPr>
      <w:r>
        <w:rPr>
          <w:rFonts w:hint="cs"/>
          <w:rtl/>
        </w:rPr>
        <w:t>ג.</w:t>
      </w:r>
      <w:r>
        <w:rPr>
          <w:rFonts w:hint="cs"/>
          <w:rtl/>
        </w:rPr>
        <w:tab/>
        <w:t xml:space="preserve">12 חודשי מאסר על תנאי, לבל יבצע במשך שנתיים כל עבירת אלימות מסוג עוון או עבירה בנשק מסוג עוון. </w:t>
      </w:r>
    </w:p>
    <w:p w14:paraId="5DD02E66" w14:textId="77777777" w:rsidR="00F17FE3" w:rsidRDefault="00FF11C6">
      <w:pPr>
        <w:spacing w:line="360" w:lineRule="auto"/>
        <w:ind w:left="720" w:hanging="720"/>
        <w:jc w:val="both"/>
        <w:rPr>
          <w:rtl/>
        </w:rPr>
      </w:pPr>
      <w:r>
        <w:rPr>
          <w:rFonts w:hint="cs"/>
          <w:rtl/>
        </w:rPr>
        <w:tab/>
      </w:r>
    </w:p>
    <w:p w14:paraId="1690F9F1" w14:textId="77777777" w:rsidR="00F17FE3" w:rsidRDefault="00FF11C6">
      <w:pPr>
        <w:spacing w:line="360" w:lineRule="auto"/>
        <w:jc w:val="both"/>
        <w:rPr>
          <w:rtl/>
        </w:rPr>
      </w:pPr>
      <w:r>
        <w:rPr>
          <w:rFonts w:hint="cs"/>
          <w:rtl/>
        </w:rPr>
        <w:t xml:space="preserve">אני קובע את המשך </w:t>
      </w:r>
      <w:r>
        <w:rPr>
          <w:rFonts w:hint="cs"/>
          <w:u w:val="single"/>
          <w:rtl/>
        </w:rPr>
        <w:t>שמיעת הטיעונים לעונש בעניינו של נאשם 2 ליום ד', 11/12/13, שעה 13:15</w:t>
      </w:r>
      <w:r>
        <w:rPr>
          <w:rFonts w:hint="cs"/>
          <w:rtl/>
        </w:rPr>
        <w:t xml:space="preserve">, על מנת שעד למועד זה תוגש בעניינו חוות דעתו של הממונה על עבודות שרות. </w:t>
      </w:r>
    </w:p>
    <w:p w14:paraId="52D141D4" w14:textId="77777777" w:rsidR="00F17FE3" w:rsidRDefault="00F17FE3">
      <w:pPr>
        <w:spacing w:line="360" w:lineRule="auto"/>
        <w:jc w:val="both"/>
        <w:rPr>
          <w:rtl/>
        </w:rPr>
      </w:pPr>
    </w:p>
    <w:p w14:paraId="40D75375" w14:textId="77777777" w:rsidR="00F17FE3" w:rsidRDefault="00FF11C6">
      <w:pPr>
        <w:spacing w:line="360" w:lineRule="auto"/>
        <w:jc w:val="both"/>
        <w:rPr>
          <w:rtl/>
        </w:rPr>
      </w:pPr>
      <w:r>
        <w:rPr>
          <w:rFonts w:hint="cs"/>
          <w:rtl/>
        </w:rPr>
        <w:t xml:space="preserve">הובהר לנאשם 2 כי בית המשפט טרם החליט סופית מה יהא גזר דינו ואין לראות בהפנייתו לקבלת חוות דעתו של הממונה על עבודות שרות, הבטחה או התחייבות כי ייגזר עליו עונש מאסר שירוצה בעבודות שרות. </w:t>
      </w:r>
    </w:p>
    <w:p w14:paraId="1FA9897F" w14:textId="77777777" w:rsidR="00F17FE3" w:rsidRDefault="00F17FE3">
      <w:pPr>
        <w:spacing w:line="480" w:lineRule="auto"/>
        <w:jc w:val="both"/>
        <w:rPr>
          <w:rtl/>
        </w:rPr>
      </w:pPr>
    </w:p>
    <w:p w14:paraId="460C8662" w14:textId="77777777" w:rsidR="00F17FE3" w:rsidRDefault="00FF11C6">
      <w:pPr>
        <w:jc w:val="both"/>
        <w:rPr>
          <w:b/>
          <w:bCs/>
          <w:rtl/>
        </w:rPr>
      </w:pPr>
      <w:r>
        <w:rPr>
          <w:rFonts w:hint="cs"/>
          <w:b/>
          <w:bCs/>
          <w:rtl/>
        </w:rPr>
        <w:t xml:space="preserve">הודעה לצדדים זכות הערעור של נאשם 1 לבית המשפט העליון, תוך 45 יום מהיום. </w:t>
      </w:r>
    </w:p>
    <w:p w14:paraId="698C2EBF" w14:textId="77777777" w:rsidR="00F17FE3" w:rsidRDefault="00F17FE3">
      <w:pPr>
        <w:spacing w:line="480" w:lineRule="auto"/>
        <w:jc w:val="both"/>
        <w:rPr>
          <w:b/>
          <w:bCs/>
          <w:rtl/>
        </w:rPr>
      </w:pPr>
    </w:p>
    <w:p w14:paraId="41EA4ABA" w14:textId="77777777" w:rsidR="00F17FE3" w:rsidRDefault="00FF11C6">
      <w:pPr>
        <w:spacing w:line="360" w:lineRule="auto"/>
        <w:jc w:val="both"/>
        <w:rPr>
          <w:b/>
          <w:bCs/>
          <w:rtl/>
        </w:rPr>
      </w:pPr>
      <w:r>
        <w:rPr>
          <w:rFonts w:hint="cs"/>
          <w:b/>
          <w:bCs/>
          <w:rtl/>
        </w:rPr>
        <w:t xml:space="preserve">המזכירות תשלח העתק גזר הדין לשרות המבחן, לממונה על עבודות שרות ולב"כ הצדדים. </w:t>
      </w:r>
    </w:p>
    <w:p w14:paraId="54418647" w14:textId="77777777" w:rsidR="00F17FE3" w:rsidRDefault="00F17FE3">
      <w:pPr>
        <w:spacing w:line="360" w:lineRule="auto"/>
        <w:jc w:val="both"/>
        <w:rPr>
          <w:rtl/>
        </w:rPr>
      </w:pPr>
    </w:p>
    <w:p w14:paraId="70C94149" w14:textId="77777777" w:rsidR="00F17FE3" w:rsidRDefault="00F17FE3">
      <w:pPr>
        <w:jc w:val="both"/>
        <w:rPr>
          <w:rtl/>
        </w:rPr>
      </w:pPr>
    </w:p>
    <w:p w14:paraId="73DA7225" w14:textId="77777777" w:rsidR="00F17FE3" w:rsidRDefault="00FF11C6">
      <w:pPr>
        <w:pStyle w:val="a3"/>
        <w:jc w:val="center"/>
        <w:rPr>
          <w:rtl/>
        </w:rPr>
      </w:pPr>
      <w:r>
        <w:rPr>
          <w:rFonts w:ascii="Arial" w:hAnsi="Arial"/>
          <w:rtl/>
        </w:rPr>
        <w:t xml:space="preserve">ניתן היום,  י' כסלו תשע"ד, 13 נובמבר 2013, בנוכחות הנאשמים וב"כ הצדדים.  </w:t>
      </w:r>
    </w:p>
    <w:tbl>
      <w:tblPr>
        <w:bidiVisual/>
        <w:tblW w:w="0" w:type="auto"/>
        <w:tblLook w:val="01E0" w:firstRow="1" w:lastRow="1" w:firstColumn="1" w:lastColumn="1" w:noHBand="0" w:noVBand="0"/>
      </w:tblPr>
      <w:tblGrid>
        <w:gridCol w:w="2474"/>
        <w:gridCol w:w="360"/>
        <w:gridCol w:w="2392"/>
        <w:gridCol w:w="308"/>
        <w:gridCol w:w="2520"/>
      </w:tblGrid>
      <w:tr w:rsidR="00F17FE3" w14:paraId="5A2DE4AD" w14:textId="77777777">
        <w:tc>
          <w:tcPr>
            <w:tcW w:w="2474" w:type="dxa"/>
            <w:tcBorders>
              <w:top w:val="nil"/>
              <w:left w:val="nil"/>
              <w:right w:val="nil"/>
            </w:tcBorders>
            <w:vAlign w:val="center"/>
          </w:tcPr>
          <w:p w14:paraId="1E59F38C" w14:textId="77777777" w:rsidR="00F17FE3" w:rsidRDefault="00F17FE3">
            <w:pPr>
              <w:jc w:val="center"/>
              <w:rPr>
                <w:rFonts w:ascii="Courier New" w:hAnsi="Courier New"/>
                <w:b/>
                <w:bCs/>
              </w:rPr>
            </w:pPr>
          </w:p>
        </w:tc>
        <w:tc>
          <w:tcPr>
            <w:tcW w:w="360" w:type="dxa"/>
            <w:vAlign w:val="center"/>
          </w:tcPr>
          <w:p w14:paraId="7BE1104E" w14:textId="77777777" w:rsidR="00F17FE3" w:rsidRDefault="00F17FE3">
            <w:pPr>
              <w:jc w:val="center"/>
              <w:rPr>
                <w:rFonts w:ascii="Courier New" w:hAnsi="Courier New"/>
                <w:b/>
                <w:bCs/>
              </w:rPr>
            </w:pPr>
          </w:p>
        </w:tc>
        <w:tc>
          <w:tcPr>
            <w:tcW w:w="2392" w:type="dxa"/>
            <w:tcBorders>
              <w:top w:val="nil"/>
              <w:left w:val="nil"/>
              <w:right w:val="nil"/>
            </w:tcBorders>
            <w:vAlign w:val="center"/>
          </w:tcPr>
          <w:p w14:paraId="043B875C" w14:textId="77777777" w:rsidR="00F17FE3" w:rsidRDefault="00F17FE3">
            <w:pPr>
              <w:jc w:val="center"/>
              <w:rPr>
                <w:rFonts w:ascii="Courier New" w:hAnsi="Courier New"/>
                <w:b/>
                <w:bCs/>
              </w:rPr>
            </w:pPr>
          </w:p>
        </w:tc>
        <w:tc>
          <w:tcPr>
            <w:tcW w:w="308" w:type="dxa"/>
            <w:vAlign w:val="center"/>
          </w:tcPr>
          <w:p w14:paraId="7AC4942F" w14:textId="77777777" w:rsidR="00F17FE3" w:rsidRDefault="00F17FE3">
            <w:pPr>
              <w:jc w:val="center"/>
              <w:rPr>
                <w:rFonts w:ascii="Courier New" w:hAnsi="Courier New"/>
                <w:b/>
                <w:bCs/>
              </w:rPr>
            </w:pPr>
          </w:p>
        </w:tc>
        <w:tc>
          <w:tcPr>
            <w:tcW w:w="2520" w:type="dxa"/>
            <w:tcBorders>
              <w:top w:val="nil"/>
              <w:left w:val="nil"/>
              <w:bottom w:val="single" w:sz="4" w:space="0" w:color="auto"/>
              <w:right w:val="nil"/>
            </w:tcBorders>
            <w:vAlign w:val="center"/>
          </w:tcPr>
          <w:p w14:paraId="6275BF04" w14:textId="77777777" w:rsidR="00F17FE3" w:rsidRDefault="00F17FE3">
            <w:pPr>
              <w:jc w:val="center"/>
              <w:rPr>
                <w:rFonts w:ascii="Courier New" w:hAnsi="Courier New"/>
                <w:b/>
                <w:bCs/>
              </w:rPr>
            </w:pPr>
          </w:p>
        </w:tc>
      </w:tr>
      <w:tr w:rsidR="00F17FE3" w14:paraId="2C6D41C8" w14:textId="77777777">
        <w:tc>
          <w:tcPr>
            <w:tcW w:w="2474" w:type="dxa"/>
            <w:tcBorders>
              <w:left w:val="nil"/>
              <w:bottom w:val="nil"/>
              <w:right w:val="nil"/>
            </w:tcBorders>
          </w:tcPr>
          <w:p w14:paraId="2DAAB417" w14:textId="77777777" w:rsidR="00F17FE3" w:rsidRDefault="00F17FE3">
            <w:pPr>
              <w:jc w:val="center"/>
              <w:rPr>
                <w:b/>
                <w:bCs/>
                <w:noProof/>
                <w:sz w:val="28"/>
              </w:rPr>
            </w:pPr>
          </w:p>
        </w:tc>
        <w:tc>
          <w:tcPr>
            <w:tcW w:w="360" w:type="dxa"/>
          </w:tcPr>
          <w:p w14:paraId="08CB97C6" w14:textId="77777777" w:rsidR="00F17FE3" w:rsidRDefault="00F17FE3">
            <w:pPr>
              <w:jc w:val="center"/>
              <w:rPr>
                <w:b/>
                <w:bCs/>
                <w:noProof/>
                <w:color w:val="FF0000"/>
                <w:sz w:val="28"/>
              </w:rPr>
            </w:pPr>
          </w:p>
        </w:tc>
        <w:tc>
          <w:tcPr>
            <w:tcW w:w="2392" w:type="dxa"/>
            <w:tcBorders>
              <w:left w:val="nil"/>
              <w:bottom w:val="nil"/>
              <w:right w:val="nil"/>
            </w:tcBorders>
          </w:tcPr>
          <w:p w14:paraId="058A2A00" w14:textId="77777777" w:rsidR="00F17FE3" w:rsidRDefault="00F17FE3">
            <w:pPr>
              <w:rPr>
                <w:sz w:val="28"/>
              </w:rPr>
            </w:pPr>
          </w:p>
        </w:tc>
        <w:tc>
          <w:tcPr>
            <w:tcW w:w="308" w:type="dxa"/>
          </w:tcPr>
          <w:p w14:paraId="2079F5C7" w14:textId="77777777" w:rsidR="00F17FE3" w:rsidRDefault="00F17FE3">
            <w:pPr>
              <w:jc w:val="center"/>
              <w:rPr>
                <w:b/>
                <w:bCs/>
                <w:noProof/>
                <w:color w:val="FF0000"/>
                <w:sz w:val="28"/>
              </w:rPr>
            </w:pPr>
          </w:p>
        </w:tc>
        <w:tc>
          <w:tcPr>
            <w:tcW w:w="2520" w:type="dxa"/>
            <w:tcBorders>
              <w:top w:val="single" w:sz="4" w:space="0" w:color="auto"/>
              <w:left w:val="nil"/>
              <w:bottom w:val="nil"/>
              <w:right w:val="nil"/>
            </w:tcBorders>
          </w:tcPr>
          <w:p w14:paraId="01D69A7B" w14:textId="77777777" w:rsidR="00F17FE3" w:rsidRDefault="00FF11C6">
            <w:pPr>
              <w:jc w:val="center"/>
              <w:rPr>
                <w:b/>
                <w:bCs/>
                <w:noProof/>
                <w:sz w:val="28"/>
                <w:rtl/>
              </w:rPr>
            </w:pPr>
            <w:r>
              <w:rPr>
                <w:rFonts w:hint="cs"/>
                <w:b/>
                <w:bCs/>
                <w:sz w:val="28"/>
                <w:rtl/>
              </w:rPr>
              <w:t>מ. גלעד, שופט</w:t>
            </w:r>
          </w:p>
          <w:p w14:paraId="20F1033A" w14:textId="77777777" w:rsidR="00FF11C6" w:rsidRDefault="00FF11C6">
            <w:pPr>
              <w:jc w:val="center"/>
              <w:rPr>
                <w:b/>
                <w:bCs/>
                <w:noProof/>
                <w:sz w:val="28"/>
                <w:rtl/>
              </w:rPr>
            </w:pPr>
          </w:p>
          <w:p w14:paraId="591597CC" w14:textId="77777777" w:rsidR="00F17FE3" w:rsidRDefault="00F17FE3">
            <w:pPr>
              <w:jc w:val="center"/>
              <w:rPr>
                <w:b/>
                <w:bCs/>
                <w:noProof/>
                <w:sz w:val="28"/>
              </w:rPr>
            </w:pPr>
          </w:p>
        </w:tc>
      </w:tr>
    </w:tbl>
    <w:p w14:paraId="768152DF" w14:textId="77777777" w:rsidR="00F17FE3" w:rsidRPr="00FF11C6" w:rsidRDefault="00FF11C6">
      <w:pPr>
        <w:rPr>
          <w:color w:val="FFFFFF"/>
          <w:sz w:val="2"/>
          <w:szCs w:val="2"/>
          <w:rtl/>
        </w:rPr>
      </w:pPr>
      <w:r w:rsidRPr="00FF11C6">
        <w:rPr>
          <w:color w:val="FFFFFF"/>
          <w:sz w:val="2"/>
          <w:szCs w:val="2"/>
          <w:rtl/>
        </w:rPr>
        <w:t>5129371</w:t>
      </w:r>
    </w:p>
    <w:p w14:paraId="5A551E36" w14:textId="77777777" w:rsidR="00F17FE3" w:rsidRPr="00FF11C6" w:rsidRDefault="00FF11C6">
      <w:pPr>
        <w:rPr>
          <w:color w:val="FFFFFF"/>
          <w:sz w:val="2"/>
          <w:szCs w:val="2"/>
          <w:rtl/>
        </w:rPr>
      </w:pPr>
      <w:r w:rsidRPr="00FF11C6">
        <w:rPr>
          <w:color w:val="FFFFFF"/>
          <w:sz w:val="2"/>
          <w:szCs w:val="2"/>
          <w:rtl/>
        </w:rPr>
        <w:t>54678313</w:t>
      </w:r>
    </w:p>
    <w:p w14:paraId="0E74D85C" w14:textId="77777777" w:rsidR="00F17FE3" w:rsidRDefault="00F17FE3">
      <w:pPr>
        <w:rPr>
          <w:sz w:val="18"/>
          <w:szCs w:val="18"/>
          <w:rtl/>
        </w:rPr>
      </w:pPr>
    </w:p>
    <w:p w14:paraId="339CF3A0" w14:textId="77777777" w:rsidR="00F17FE3" w:rsidRDefault="00F17FE3">
      <w:pPr>
        <w:rPr>
          <w:sz w:val="18"/>
          <w:szCs w:val="18"/>
          <w:rtl/>
        </w:rPr>
      </w:pPr>
    </w:p>
    <w:p w14:paraId="273B0F6D" w14:textId="77777777" w:rsidR="00F17FE3" w:rsidRDefault="00FF11C6">
      <w:pPr>
        <w:rPr>
          <w:rtl/>
        </w:rPr>
      </w:pPr>
      <w:r>
        <w:rPr>
          <w:rFonts w:hint="cs"/>
          <w:sz w:val="18"/>
          <w:szCs w:val="18"/>
          <w:rtl/>
        </w:rPr>
        <w:t>קלדנית: ליאת פ.</w:t>
      </w:r>
      <w:bookmarkStart w:id="8" w:name="_GoBack"/>
      <w:bookmarkEnd w:id="8"/>
    </w:p>
    <w:p w14:paraId="1FCB9B52" w14:textId="77777777" w:rsidR="00FF11C6" w:rsidRPr="00FF11C6" w:rsidRDefault="00FF11C6" w:rsidP="00FF11C6">
      <w:pPr>
        <w:keepNext/>
        <w:rPr>
          <w:rFonts w:ascii="David" w:hAnsi="David"/>
          <w:color w:val="000000"/>
          <w:sz w:val="22"/>
          <w:szCs w:val="22"/>
          <w:rtl/>
        </w:rPr>
      </w:pPr>
    </w:p>
    <w:p w14:paraId="611260A5" w14:textId="77777777" w:rsidR="00FF11C6" w:rsidRPr="00FF11C6" w:rsidRDefault="00FF11C6" w:rsidP="00FF11C6">
      <w:pPr>
        <w:keepNext/>
        <w:rPr>
          <w:rFonts w:ascii="David" w:hAnsi="David"/>
          <w:color w:val="000000"/>
          <w:sz w:val="22"/>
          <w:szCs w:val="22"/>
          <w:rtl/>
        </w:rPr>
      </w:pPr>
      <w:r w:rsidRPr="00FF11C6">
        <w:rPr>
          <w:rFonts w:ascii="David" w:hAnsi="David"/>
          <w:color w:val="000000"/>
          <w:sz w:val="22"/>
          <w:szCs w:val="22"/>
          <w:rtl/>
        </w:rPr>
        <w:t>משה גלעד 54678313</w:t>
      </w:r>
    </w:p>
    <w:p w14:paraId="19127B33" w14:textId="77777777" w:rsidR="00FF11C6" w:rsidRDefault="00FF11C6" w:rsidP="00FF11C6">
      <w:r w:rsidRPr="00FF11C6">
        <w:rPr>
          <w:color w:val="000000"/>
          <w:rtl/>
        </w:rPr>
        <w:t>נוסח מסמך זה כפוף לשינויי ניסוח ועריכה</w:t>
      </w:r>
    </w:p>
    <w:p w14:paraId="750D2486" w14:textId="77777777" w:rsidR="00FF11C6" w:rsidRDefault="00FF11C6" w:rsidP="00FF11C6">
      <w:pPr>
        <w:rPr>
          <w:rtl/>
        </w:rPr>
      </w:pPr>
    </w:p>
    <w:p w14:paraId="143F1015" w14:textId="77777777" w:rsidR="00FF11C6" w:rsidRDefault="00FF11C6" w:rsidP="00FF11C6">
      <w:pPr>
        <w:jc w:val="center"/>
        <w:rPr>
          <w:color w:val="0000FF"/>
          <w:u w:val="single"/>
        </w:rPr>
      </w:pPr>
      <w:r w:rsidRPr="00240516">
        <w:rPr>
          <w:color w:val="000000"/>
          <w:rtl/>
        </w:rPr>
        <w:t>בעניין עריכה ושינויים במסמכי פסיקה, חקיקה ועוד באתר נבו – הקש כאן</w:t>
      </w:r>
    </w:p>
    <w:p w14:paraId="5258C294" w14:textId="77777777" w:rsidR="00F17FE3" w:rsidRPr="00FF11C6" w:rsidRDefault="00F17FE3" w:rsidP="00FF11C6">
      <w:pPr>
        <w:jc w:val="center"/>
        <w:rPr>
          <w:color w:val="0000FF"/>
          <w:u w:val="single"/>
        </w:rPr>
      </w:pPr>
    </w:p>
    <w:sectPr w:rsidR="00F17FE3" w:rsidRPr="00FF11C6" w:rsidSect="00FF11C6">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7B067" w14:textId="77777777" w:rsidR="00C4639E" w:rsidRPr="00582455" w:rsidRDefault="00C4639E">
      <w:pPr>
        <w:rPr>
          <w:rFonts w:cs="Arial"/>
          <w:szCs w:val="20"/>
        </w:rPr>
      </w:pPr>
      <w:r>
        <w:separator/>
      </w:r>
    </w:p>
  </w:endnote>
  <w:endnote w:type="continuationSeparator" w:id="0">
    <w:p w14:paraId="714019AA" w14:textId="77777777" w:rsidR="00C4639E" w:rsidRPr="00582455" w:rsidRDefault="00C4639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B348B" w14:textId="77777777" w:rsidR="00257C3F" w:rsidRDefault="00257C3F" w:rsidP="00FF11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529B8659" w14:textId="77777777" w:rsidR="00257C3F" w:rsidRPr="00FF11C6" w:rsidRDefault="00257C3F" w:rsidP="00FF11C6">
    <w:pPr>
      <w:pStyle w:val="a4"/>
      <w:pBdr>
        <w:top w:val="single" w:sz="4" w:space="1" w:color="auto"/>
        <w:between w:val="single" w:sz="4" w:space="0" w:color="auto"/>
      </w:pBdr>
      <w:spacing w:after="60"/>
      <w:jc w:val="center"/>
      <w:rPr>
        <w:rFonts w:ascii="FrankRuehl" w:hAnsi="FrankRuehl" w:cs="FrankRuehl"/>
        <w:color w:val="000000"/>
      </w:rPr>
    </w:pPr>
    <w:r w:rsidRPr="00FF11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BC1E3" w14:textId="77777777" w:rsidR="00257C3F" w:rsidRDefault="00257C3F" w:rsidP="00FF11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6CED">
      <w:rPr>
        <w:rFonts w:ascii="FrankRuehl" w:hAnsi="FrankRuehl" w:cs="FrankRuehl"/>
        <w:noProof/>
        <w:rtl/>
      </w:rPr>
      <w:t>1</w:t>
    </w:r>
    <w:r>
      <w:rPr>
        <w:rFonts w:ascii="FrankRuehl" w:hAnsi="FrankRuehl" w:cs="FrankRuehl"/>
        <w:rtl/>
      </w:rPr>
      <w:fldChar w:fldCharType="end"/>
    </w:r>
  </w:p>
  <w:p w14:paraId="12BA26D7" w14:textId="77777777" w:rsidR="00257C3F" w:rsidRPr="00FF11C6" w:rsidRDefault="00257C3F" w:rsidP="00FF11C6">
    <w:pPr>
      <w:pStyle w:val="a4"/>
      <w:pBdr>
        <w:top w:val="single" w:sz="4" w:space="1" w:color="auto"/>
        <w:between w:val="single" w:sz="4" w:space="0" w:color="auto"/>
      </w:pBdr>
      <w:spacing w:after="60"/>
      <w:jc w:val="center"/>
      <w:rPr>
        <w:rFonts w:ascii="FrankRuehl" w:hAnsi="FrankRuehl" w:cs="FrankRuehl"/>
        <w:color w:val="000000"/>
      </w:rPr>
    </w:pPr>
    <w:r w:rsidRPr="00FF11C6">
      <w:rPr>
        <w:rFonts w:ascii="FrankRuehl" w:hAnsi="FrankRuehl" w:cs="FrankRuehl"/>
        <w:color w:val="000000"/>
      </w:rPr>
      <w:pict w14:anchorId="45A01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3E4E7" w14:textId="77777777" w:rsidR="00C4639E" w:rsidRPr="00582455" w:rsidRDefault="00C4639E">
      <w:pPr>
        <w:rPr>
          <w:rFonts w:cs="Arial"/>
          <w:szCs w:val="20"/>
        </w:rPr>
      </w:pPr>
      <w:r>
        <w:separator/>
      </w:r>
    </w:p>
  </w:footnote>
  <w:footnote w:type="continuationSeparator" w:id="0">
    <w:p w14:paraId="0D3E4434" w14:textId="77777777" w:rsidR="00C4639E" w:rsidRPr="00582455" w:rsidRDefault="00C4639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F7E27" w14:textId="77777777" w:rsidR="00257C3F" w:rsidRPr="00FF11C6" w:rsidRDefault="00257C3F" w:rsidP="00FF11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15771-02-13</w:t>
    </w:r>
    <w:r>
      <w:rPr>
        <w:rFonts w:ascii="David" w:hAnsi="David"/>
        <w:color w:val="000000"/>
        <w:sz w:val="22"/>
        <w:szCs w:val="22"/>
        <w:rtl/>
      </w:rPr>
      <w:tab/>
      <w:t xml:space="preserve"> מדינת ישראל נ' מוחמד מגנדף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F930E" w14:textId="77777777" w:rsidR="00257C3F" w:rsidRPr="00FF11C6" w:rsidRDefault="00257C3F" w:rsidP="00FF11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15771-02-13</w:t>
    </w:r>
    <w:r>
      <w:rPr>
        <w:rFonts w:ascii="David" w:hAnsi="David"/>
        <w:color w:val="000000"/>
        <w:sz w:val="22"/>
        <w:szCs w:val="22"/>
        <w:rtl/>
      </w:rPr>
      <w:tab/>
      <w:t xml:space="preserve"> מדינת ישראל נ' מוחמד מגנדף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7FE3"/>
    <w:rsid w:val="00240516"/>
    <w:rsid w:val="00257C3F"/>
    <w:rsid w:val="00276CED"/>
    <w:rsid w:val="002C2349"/>
    <w:rsid w:val="00370D30"/>
    <w:rsid w:val="003E1E9F"/>
    <w:rsid w:val="004848F4"/>
    <w:rsid w:val="00587013"/>
    <w:rsid w:val="00947408"/>
    <w:rsid w:val="00C00667"/>
    <w:rsid w:val="00C4639E"/>
    <w:rsid w:val="00EB7DFB"/>
    <w:rsid w:val="00ED4320"/>
    <w:rsid w:val="00F0458C"/>
    <w:rsid w:val="00F17FE3"/>
    <w:rsid w:val="00FF11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30BCDC"/>
  <w15:chartTrackingRefBased/>
  <w15:docId w15:val="{EB790752-06B2-4A98-BE50-E9B78669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FE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17FE3"/>
    <w:pPr>
      <w:tabs>
        <w:tab w:val="center" w:pos="4153"/>
        <w:tab w:val="right" w:pos="8306"/>
      </w:tabs>
    </w:pPr>
  </w:style>
  <w:style w:type="paragraph" w:styleId="a4">
    <w:name w:val="footer"/>
    <w:basedOn w:val="a"/>
    <w:rsid w:val="00F17FE3"/>
    <w:pPr>
      <w:tabs>
        <w:tab w:val="center" w:pos="4153"/>
        <w:tab w:val="right" w:pos="8306"/>
      </w:tabs>
    </w:pPr>
  </w:style>
  <w:style w:type="character" w:styleId="a5">
    <w:name w:val="page number"/>
    <w:basedOn w:val="a0"/>
    <w:rsid w:val="00F17FE3"/>
  </w:style>
  <w:style w:type="character" w:styleId="Hyperlink">
    <w:name w:val="Hyperlink"/>
    <w:rsid w:val="00FF1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769" TargetMode="External"/><Relationship Id="rId21" Type="http://schemas.openxmlformats.org/officeDocument/2006/relationships/hyperlink" Target="http://www.nevo.co.il/law/70301/382.a" TargetMode="External"/><Relationship Id="rId42" Type="http://schemas.openxmlformats.org/officeDocument/2006/relationships/hyperlink" Target="http://www.nevo.co.il/law/72769"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0g"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29.a.1" TargetMode="External"/><Relationship Id="rId29" Type="http://schemas.openxmlformats.org/officeDocument/2006/relationships/hyperlink" Target="http://www.nevo.co.il/law/70301/298"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0301/40jc.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676908" TargetMode="External"/><Relationship Id="rId53" Type="http://schemas.openxmlformats.org/officeDocument/2006/relationships/hyperlink" Target="http://www.nevo.co.il/law/70301/40ja.5"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40jc.b" TargetMode="External"/><Relationship Id="rId5" Type="http://schemas.openxmlformats.org/officeDocument/2006/relationships/endnotes" Target="endnotes.xml"/><Relationship Id="rId61" Type="http://schemas.openxmlformats.org/officeDocument/2006/relationships/hyperlink" Target="http://www.nevo.co.il/law/70320/8" TargetMode="External"/><Relationship Id="rId19" Type="http://schemas.openxmlformats.org/officeDocument/2006/relationships/hyperlink" Target="http://www.nevo.co.il/law/70301/335.a.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ja.11" TargetMode="External"/><Relationship Id="rId27" Type="http://schemas.openxmlformats.org/officeDocument/2006/relationships/hyperlink" Target="http://www.nevo.co.il/law/70320"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35.a.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c"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70301/40c" TargetMode="External"/><Relationship Id="rId51" Type="http://schemas.openxmlformats.org/officeDocument/2006/relationships/hyperlink" Target="http://www.nevo.co.il/law/70301"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g" TargetMode="External"/><Relationship Id="rId17" Type="http://schemas.openxmlformats.org/officeDocument/2006/relationships/hyperlink" Target="http://www.nevo.co.il/law/70301/334" TargetMode="External"/><Relationship Id="rId25" Type="http://schemas.openxmlformats.org/officeDocument/2006/relationships/hyperlink" Target="http://www.nevo.co.il/law/91073" TargetMode="External"/><Relationship Id="rId33" Type="http://schemas.openxmlformats.org/officeDocument/2006/relationships/hyperlink" Target="http://www.nevo.co.il/law/70301/329.a.1" TargetMode="External"/><Relationship Id="rId38" Type="http://schemas.openxmlformats.org/officeDocument/2006/relationships/hyperlink" Target="http://www.nevo.co.il/law/70301/379" TargetMode="External"/><Relationship Id="rId46" Type="http://schemas.openxmlformats.org/officeDocument/2006/relationships/hyperlink" Target="http://www.nevo.co.il/law/70301/40b" TargetMode="External"/><Relationship Id="rId59" Type="http://schemas.openxmlformats.org/officeDocument/2006/relationships/hyperlink" Target="http://www.nevo.co.il/law/70301/40g"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79" TargetMode="External"/><Relationship Id="rId41" Type="http://schemas.openxmlformats.org/officeDocument/2006/relationships/hyperlink" Target="http://www.nevo.co.il/law/91073"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20"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98" TargetMode="External"/><Relationship Id="rId23" Type="http://schemas.openxmlformats.org/officeDocument/2006/relationships/hyperlink" Target="http://www.nevo.co.il/law/70301/40ja.5" TargetMode="External"/><Relationship Id="rId28" Type="http://schemas.openxmlformats.org/officeDocument/2006/relationships/hyperlink" Target="http://www.nevo.co.il/law/70320/8" TargetMode="External"/><Relationship Id="rId36" Type="http://schemas.openxmlformats.org/officeDocument/2006/relationships/hyperlink" Target="http://www.nevo.co.il/law/70301/335.a.2"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40f;40g"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70301/144.a.;144.b" TargetMode="External"/><Relationship Id="rId44" Type="http://schemas.openxmlformats.org/officeDocument/2006/relationships/hyperlink" Target="http://www.nevo.co.il/law/91073" TargetMode="External"/><Relationship Id="rId52" Type="http://schemas.openxmlformats.org/officeDocument/2006/relationships/hyperlink" Target="http://www.nevo.co.il/case/5833175"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5573417"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d"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335.a.1" TargetMode="External"/><Relationship Id="rId39" Type="http://schemas.openxmlformats.org/officeDocument/2006/relationships/hyperlink" Target="http://www.nevo.co.il/law/70301/382.a" TargetMode="External"/><Relationship Id="rId34" Type="http://schemas.openxmlformats.org/officeDocument/2006/relationships/hyperlink" Target="http://www.nevo.co.il/law/70301/334" TargetMode="External"/><Relationship Id="rId50" Type="http://schemas.openxmlformats.org/officeDocument/2006/relationships/hyperlink" Target="http://www.nevo.co.il/law/70301/40d;40e" TargetMode="External"/><Relationship Id="rId55" Type="http://schemas.openxmlformats.org/officeDocument/2006/relationships/hyperlink" Target="http://www.nevo.co.il/law/70301/40ja.11" TargetMode="External"/><Relationship Id="rId7" Type="http://schemas.openxmlformats.org/officeDocument/2006/relationships/hyperlink" Target="http://www.nevo.co.il/law/70301/40b"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4774</Words>
  <Characters>23875</Characters>
  <Application>Microsoft Office Word</Application>
  <DocSecurity>0</DocSecurity>
  <Lines>198</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28592</CharactersWithSpaces>
  <SharedDoc>false</SharedDoc>
  <HLinks>
    <vt:vector size="372" baseType="variant">
      <vt:variant>
        <vt:i4>7995492</vt:i4>
      </vt:variant>
      <vt:variant>
        <vt:i4>183</vt:i4>
      </vt:variant>
      <vt:variant>
        <vt:i4>0</vt:i4>
      </vt:variant>
      <vt:variant>
        <vt:i4>5</vt:i4>
      </vt:variant>
      <vt:variant>
        <vt:lpwstr>http://www.nevo.co.il/law/70301</vt:lpwstr>
      </vt:variant>
      <vt:variant>
        <vt:lpwstr/>
      </vt:variant>
      <vt:variant>
        <vt:i4>6553637</vt:i4>
      </vt:variant>
      <vt:variant>
        <vt:i4>180</vt:i4>
      </vt:variant>
      <vt:variant>
        <vt:i4>0</vt:i4>
      </vt:variant>
      <vt:variant>
        <vt:i4>5</vt:i4>
      </vt:variant>
      <vt:variant>
        <vt:lpwstr>http://www.nevo.co.il/law/70301/40jc.b</vt:lpwstr>
      </vt:variant>
      <vt:variant>
        <vt:lpwstr/>
      </vt:variant>
      <vt:variant>
        <vt:i4>3211379</vt:i4>
      </vt:variant>
      <vt:variant>
        <vt:i4>177</vt:i4>
      </vt:variant>
      <vt:variant>
        <vt:i4>0</vt:i4>
      </vt:variant>
      <vt:variant>
        <vt:i4>5</vt:i4>
      </vt:variant>
      <vt:variant>
        <vt:lpwstr>http://www.nevo.co.il/case/5573417</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http://www.nevo.co.il/law/70301/40g</vt:lpwstr>
      </vt:variant>
      <vt:variant>
        <vt:lpwstr/>
      </vt:variant>
      <vt:variant>
        <vt:i4>7864420</vt:i4>
      </vt:variant>
      <vt:variant>
        <vt:i4>168</vt:i4>
      </vt:variant>
      <vt:variant>
        <vt:i4>0</vt:i4>
      </vt:variant>
      <vt:variant>
        <vt:i4>5</vt:i4>
      </vt:variant>
      <vt:variant>
        <vt:lpwstr>http://www.nevo.co.il/law/70320</vt:lpwstr>
      </vt:variant>
      <vt:variant>
        <vt:lpwstr/>
      </vt:variant>
      <vt:variant>
        <vt:i4>5701716</vt:i4>
      </vt:variant>
      <vt:variant>
        <vt:i4>165</vt:i4>
      </vt:variant>
      <vt:variant>
        <vt:i4>0</vt:i4>
      </vt:variant>
      <vt:variant>
        <vt:i4>5</vt:i4>
      </vt:variant>
      <vt:variant>
        <vt:lpwstr>http://www.nevo.co.il/law/70320/8</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6619233</vt:i4>
      </vt:variant>
      <vt:variant>
        <vt:i4>159</vt:i4>
      </vt:variant>
      <vt:variant>
        <vt:i4>0</vt:i4>
      </vt:variant>
      <vt:variant>
        <vt:i4>5</vt:i4>
      </vt:variant>
      <vt:variant>
        <vt:lpwstr>http://www.nevo.co.il/law/70301/40g</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7209011</vt:i4>
      </vt:variant>
      <vt:variant>
        <vt:i4>153</vt:i4>
      </vt:variant>
      <vt:variant>
        <vt:i4>0</vt:i4>
      </vt:variant>
      <vt:variant>
        <vt:i4>5</vt:i4>
      </vt:variant>
      <vt:variant>
        <vt:lpwstr>http://www.nevo.co.il/law/70301/40f;40g</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3473445</vt:i4>
      </vt:variant>
      <vt:variant>
        <vt:i4>147</vt:i4>
      </vt:variant>
      <vt:variant>
        <vt:i4>0</vt:i4>
      </vt:variant>
      <vt:variant>
        <vt:i4>5</vt:i4>
      </vt:variant>
      <vt:variant>
        <vt:lpwstr>http://www.nevo.co.il/law/70301/40ja.11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3211301</vt:i4>
      </vt:variant>
      <vt:variant>
        <vt:i4>141</vt:i4>
      </vt:variant>
      <vt:variant>
        <vt:i4>0</vt:i4>
      </vt:variant>
      <vt:variant>
        <vt:i4>5</vt:i4>
      </vt:variant>
      <vt:variant>
        <vt:lpwstr>http://www.nevo.co.il/law/70301/40ja.5</vt:lpwstr>
      </vt:variant>
      <vt:variant>
        <vt:lpwstr/>
      </vt:variant>
      <vt:variant>
        <vt:i4>3276920</vt:i4>
      </vt:variant>
      <vt:variant>
        <vt:i4>138</vt:i4>
      </vt:variant>
      <vt:variant>
        <vt:i4>0</vt:i4>
      </vt:variant>
      <vt:variant>
        <vt:i4>5</vt:i4>
      </vt:variant>
      <vt:variant>
        <vt:lpwstr>http://www.nevo.co.il/case/5833175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7209009</vt:i4>
      </vt:variant>
      <vt:variant>
        <vt:i4>132</vt:i4>
      </vt:variant>
      <vt:variant>
        <vt:i4>0</vt:i4>
      </vt:variant>
      <vt:variant>
        <vt:i4>5</vt:i4>
      </vt:variant>
      <vt:variant>
        <vt:lpwstr>http://www.nevo.co.il/law/70301/40d;40e</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http://www.nevo.co.il/law/70301/40b</vt:lpwstr>
      </vt:variant>
      <vt:variant>
        <vt:lpwstr/>
      </vt:variant>
      <vt:variant>
        <vt:i4>3342452</vt:i4>
      </vt:variant>
      <vt:variant>
        <vt:i4>117</vt:i4>
      </vt:variant>
      <vt:variant>
        <vt:i4>0</vt:i4>
      </vt:variant>
      <vt:variant>
        <vt:i4>5</vt:i4>
      </vt:variant>
      <vt:variant>
        <vt:lpwstr>http://www.nevo.co.il/case/5676908</vt:lpwstr>
      </vt:variant>
      <vt:variant>
        <vt:lpwstr/>
      </vt:variant>
      <vt:variant>
        <vt:i4>8126569</vt:i4>
      </vt:variant>
      <vt:variant>
        <vt:i4>114</vt:i4>
      </vt:variant>
      <vt:variant>
        <vt:i4>0</vt:i4>
      </vt:variant>
      <vt:variant>
        <vt:i4>5</vt:i4>
      </vt:variant>
      <vt:variant>
        <vt:lpwstr>http://www.nevo.co.il/law/91073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8257632</vt:i4>
      </vt:variant>
      <vt:variant>
        <vt:i4>108</vt:i4>
      </vt:variant>
      <vt:variant>
        <vt:i4>0</vt:i4>
      </vt:variant>
      <vt:variant>
        <vt:i4>5</vt:i4>
      </vt:variant>
      <vt:variant>
        <vt:lpwstr>http://www.nevo.co.il/law/72769</vt:lpwstr>
      </vt:variant>
      <vt:variant>
        <vt:lpwstr/>
      </vt:variant>
      <vt:variant>
        <vt:i4>8126569</vt:i4>
      </vt:variant>
      <vt:variant>
        <vt:i4>105</vt:i4>
      </vt:variant>
      <vt:variant>
        <vt:i4>0</vt:i4>
      </vt:variant>
      <vt:variant>
        <vt:i4>5</vt:i4>
      </vt:variant>
      <vt:variant>
        <vt:lpwstr>http://www.nevo.co.il/law/91073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4390996</vt:i4>
      </vt:variant>
      <vt:variant>
        <vt:i4>99</vt:i4>
      </vt:variant>
      <vt:variant>
        <vt:i4>0</vt:i4>
      </vt:variant>
      <vt:variant>
        <vt:i4>5</vt:i4>
      </vt:variant>
      <vt:variant>
        <vt:lpwstr>http://www.nevo.co.il/law/70301/382.a</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6684722</vt:i4>
      </vt:variant>
      <vt:variant>
        <vt:i4>90</vt:i4>
      </vt:variant>
      <vt:variant>
        <vt:i4>0</vt:i4>
      </vt:variant>
      <vt:variant>
        <vt:i4>5</vt:i4>
      </vt:variant>
      <vt:variant>
        <vt:lpwstr>http://www.nevo.co.il/law/70301/335.a.2</vt:lpwstr>
      </vt:variant>
      <vt:variant>
        <vt:lpwstr/>
      </vt:variant>
      <vt:variant>
        <vt:i4>6684722</vt:i4>
      </vt:variant>
      <vt:variant>
        <vt:i4>87</vt:i4>
      </vt:variant>
      <vt:variant>
        <vt:i4>0</vt:i4>
      </vt:variant>
      <vt:variant>
        <vt:i4>5</vt:i4>
      </vt:variant>
      <vt:variant>
        <vt:lpwstr>http://www.nevo.co.il/law/70301/335.a.1</vt:lpwstr>
      </vt:variant>
      <vt:variant>
        <vt:lpwstr/>
      </vt:variant>
      <vt:variant>
        <vt:i4>6684774</vt:i4>
      </vt:variant>
      <vt:variant>
        <vt:i4>84</vt:i4>
      </vt:variant>
      <vt:variant>
        <vt:i4>0</vt:i4>
      </vt:variant>
      <vt:variant>
        <vt:i4>5</vt:i4>
      </vt:variant>
      <vt:variant>
        <vt:lpwstr>http://www.nevo.co.il/law/70301/334</vt:lpwstr>
      </vt:variant>
      <vt:variant>
        <vt:lpwstr/>
      </vt:variant>
      <vt:variant>
        <vt:i4>6750270</vt:i4>
      </vt:variant>
      <vt:variant>
        <vt:i4>81</vt:i4>
      </vt:variant>
      <vt:variant>
        <vt:i4>0</vt:i4>
      </vt:variant>
      <vt:variant>
        <vt:i4>5</vt:i4>
      </vt:variant>
      <vt:variant>
        <vt:lpwstr>http://www.nevo.co.il/law/70301/329.a.1</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393232</vt:i4>
      </vt:variant>
      <vt:variant>
        <vt:i4>75</vt:i4>
      </vt:variant>
      <vt:variant>
        <vt:i4>0</vt:i4>
      </vt:variant>
      <vt:variant>
        <vt:i4>5</vt:i4>
      </vt:variant>
      <vt:variant>
        <vt:lpwstr>http://www.nevo.co.il/law/70301/144.a.;144.b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http://www.nevo.co.il/law/70301/298</vt:lpwstr>
      </vt:variant>
      <vt:variant>
        <vt:lpwstr/>
      </vt:variant>
      <vt:variant>
        <vt:i4>5701716</vt:i4>
      </vt:variant>
      <vt:variant>
        <vt:i4>66</vt:i4>
      </vt:variant>
      <vt:variant>
        <vt:i4>0</vt:i4>
      </vt:variant>
      <vt:variant>
        <vt:i4>5</vt:i4>
      </vt:variant>
      <vt:variant>
        <vt:lpwstr>http://www.nevo.co.il/law/70320/8</vt:lpwstr>
      </vt:variant>
      <vt:variant>
        <vt:lpwstr/>
      </vt:variant>
      <vt:variant>
        <vt:i4>7864420</vt:i4>
      </vt:variant>
      <vt:variant>
        <vt:i4>63</vt:i4>
      </vt:variant>
      <vt:variant>
        <vt:i4>0</vt:i4>
      </vt:variant>
      <vt:variant>
        <vt:i4>5</vt:i4>
      </vt:variant>
      <vt:variant>
        <vt:lpwstr>http://www.nevo.co.il/law/70320</vt:lpwstr>
      </vt:variant>
      <vt:variant>
        <vt:lpwstr/>
      </vt:variant>
      <vt:variant>
        <vt:i4>8257632</vt:i4>
      </vt:variant>
      <vt:variant>
        <vt:i4>60</vt:i4>
      </vt:variant>
      <vt:variant>
        <vt:i4>0</vt:i4>
      </vt:variant>
      <vt:variant>
        <vt:i4>5</vt:i4>
      </vt:variant>
      <vt:variant>
        <vt:lpwstr>http://www.nevo.co.il/law/72769</vt:lpwstr>
      </vt:variant>
      <vt:variant>
        <vt:lpwstr/>
      </vt:variant>
      <vt:variant>
        <vt:i4>8126569</vt:i4>
      </vt:variant>
      <vt:variant>
        <vt:i4>57</vt:i4>
      </vt:variant>
      <vt:variant>
        <vt:i4>0</vt:i4>
      </vt:variant>
      <vt:variant>
        <vt:i4>5</vt:i4>
      </vt:variant>
      <vt:variant>
        <vt:lpwstr>http://www.nevo.co.il/law/91073</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3211301</vt:i4>
      </vt:variant>
      <vt:variant>
        <vt:i4>51</vt:i4>
      </vt:variant>
      <vt:variant>
        <vt:i4>0</vt:i4>
      </vt:variant>
      <vt:variant>
        <vt:i4>5</vt:i4>
      </vt:variant>
      <vt:variant>
        <vt:lpwstr>http://www.nevo.co.il/law/70301/40ja.5</vt:lpwstr>
      </vt:variant>
      <vt:variant>
        <vt:lpwstr/>
      </vt:variant>
      <vt:variant>
        <vt:i4>3473445</vt:i4>
      </vt:variant>
      <vt:variant>
        <vt:i4>48</vt:i4>
      </vt:variant>
      <vt:variant>
        <vt:i4>0</vt:i4>
      </vt:variant>
      <vt:variant>
        <vt:i4>5</vt:i4>
      </vt:variant>
      <vt:variant>
        <vt:lpwstr>http://www.nevo.co.il/law/70301/40ja.11</vt:lpwstr>
      </vt:variant>
      <vt:variant>
        <vt:lpwstr/>
      </vt:variant>
      <vt:variant>
        <vt:i4>4390996</vt:i4>
      </vt:variant>
      <vt:variant>
        <vt:i4>45</vt:i4>
      </vt:variant>
      <vt:variant>
        <vt:i4>0</vt:i4>
      </vt:variant>
      <vt:variant>
        <vt:i4>5</vt:i4>
      </vt:variant>
      <vt:variant>
        <vt:lpwstr>http://www.nevo.co.il/law/70301/382.a</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6684722</vt:i4>
      </vt:variant>
      <vt:variant>
        <vt:i4>39</vt:i4>
      </vt:variant>
      <vt:variant>
        <vt:i4>0</vt:i4>
      </vt:variant>
      <vt:variant>
        <vt:i4>5</vt:i4>
      </vt:variant>
      <vt:variant>
        <vt:lpwstr>http://www.nevo.co.il/law/70301/335.a.2</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7077991</vt:i4>
      </vt:variant>
      <vt:variant>
        <vt:i4>27</vt:i4>
      </vt:variant>
      <vt:variant>
        <vt:i4>0</vt:i4>
      </vt:variant>
      <vt:variant>
        <vt:i4>5</vt:i4>
      </vt:variant>
      <vt:variant>
        <vt:lpwstr>http://www.nevo.co.il/law/70301/298</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6357041</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15771</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מגנדף;אנוור מגנדף</vt:lpwstr>
  </property>
  <property fmtid="{D5CDD505-2E9C-101B-9397-08002B2CF9AE}" pid="10" name="LAWYER">
    <vt:lpwstr>ענבל ברנסון;משה שרמן;זידאן מטאנס</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20131113</vt:lpwstr>
  </property>
  <property fmtid="{D5CDD505-2E9C-101B-9397-08002B2CF9AE}" pid="14" name="TYPE_N_DATE">
    <vt:lpwstr>39020131113</vt:lpwstr>
  </property>
  <property fmtid="{D5CDD505-2E9C-101B-9397-08002B2CF9AE}" pid="15" name="WORDNUMPAGES">
    <vt:lpwstr>14</vt:lpwstr>
  </property>
  <property fmtid="{D5CDD505-2E9C-101B-9397-08002B2CF9AE}" pid="16" name="TYPE_ABS_DATE">
    <vt:lpwstr>390020131113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5676908;5833175;5573417</vt:lpwstr>
  </property>
  <property fmtid="{D5CDD505-2E9C-101B-9397-08002B2CF9AE}" pid="36" name="LAWLISTTMP1">
    <vt:lpwstr>70301/298;144.a;144.b;329.a.1;334;335.a.1;335.a.2;379;382.a;040b;040c;040d;040e;40ja.5;40ja.11;040f;040g:3;40jc.b</vt:lpwstr>
  </property>
  <property fmtid="{D5CDD505-2E9C-101B-9397-08002B2CF9AE}" pid="37" name="LAWLISTTMP2">
    <vt:lpwstr>91073:2</vt:lpwstr>
  </property>
  <property fmtid="{D5CDD505-2E9C-101B-9397-08002B2CF9AE}" pid="38" name="LAWLISTTMP3">
    <vt:lpwstr>72769</vt:lpwstr>
  </property>
  <property fmtid="{D5CDD505-2E9C-101B-9397-08002B2CF9AE}" pid="39" name="LAWLISTTMP4">
    <vt:lpwstr>70320/008</vt:lpwstr>
  </property>
</Properties>
</file>