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C91B3F" w:rsidRPr="001300C0" w14:paraId="68A4BEC0" w14:textId="77777777">
        <w:trPr>
          <w:trHeight w:hRule="exact" w:val="418"/>
          <w:jc w:val="center"/>
        </w:trPr>
        <w:tc>
          <w:tcPr>
            <w:tcW w:w="8720" w:type="dxa"/>
            <w:gridSpan w:val="3"/>
          </w:tcPr>
          <w:p w14:paraId="321B9EB8" w14:textId="77777777" w:rsidR="00C91B3F" w:rsidRPr="001300C0" w:rsidRDefault="001300C0">
            <w:pPr>
              <w:pStyle w:val="a3"/>
              <w:tabs>
                <w:tab w:val="clear" w:pos="8306"/>
              </w:tabs>
              <w:jc w:val="center"/>
              <w:rPr>
                <w:rFonts w:ascii="Tahoma" w:hAnsi="Tahoma" w:cs="Tahoma"/>
                <w:b/>
                <w:bCs/>
                <w:color w:val="000080"/>
                <w:sz w:val="20"/>
                <w:szCs w:val="20"/>
                <w:rtl/>
              </w:rPr>
            </w:pPr>
            <w:bookmarkStart w:id="0" w:name="FirstLawyer"/>
            <w:r w:rsidRPr="001300C0">
              <w:rPr>
                <w:rFonts w:ascii="Tahoma" w:hAnsi="Tahoma" w:cs="Tahoma"/>
                <w:b/>
                <w:bCs/>
                <w:color w:val="000080"/>
                <w:sz w:val="20"/>
                <w:szCs w:val="20"/>
                <w:rtl/>
              </w:rPr>
              <w:t>בית המשפט המחוזי בנצרת</w:t>
            </w:r>
          </w:p>
        </w:tc>
      </w:tr>
      <w:tr w:rsidR="00C91B3F" w:rsidRPr="001300C0" w14:paraId="305BFFE8" w14:textId="77777777">
        <w:trPr>
          <w:trHeight w:val="337"/>
          <w:jc w:val="center"/>
        </w:trPr>
        <w:tc>
          <w:tcPr>
            <w:tcW w:w="3973" w:type="dxa"/>
          </w:tcPr>
          <w:p w14:paraId="1336B7A6" w14:textId="77777777" w:rsidR="00C91B3F" w:rsidRPr="001300C0" w:rsidRDefault="001300C0">
            <w:pPr>
              <w:rPr>
                <w:b/>
                <w:bCs/>
                <w:sz w:val="26"/>
                <w:szCs w:val="26"/>
                <w:rtl/>
              </w:rPr>
            </w:pPr>
            <w:r w:rsidRPr="001300C0">
              <w:rPr>
                <w:b/>
                <w:bCs/>
                <w:sz w:val="26"/>
                <w:szCs w:val="26"/>
                <w:rtl/>
              </w:rPr>
              <w:t>ת"פ</w:t>
            </w:r>
            <w:r w:rsidRPr="001300C0">
              <w:rPr>
                <w:rFonts w:hint="cs"/>
                <w:b/>
                <w:bCs/>
                <w:sz w:val="26"/>
                <w:szCs w:val="26"/>
                <w:rtl/>
              </w:rPr>
              <w:t xml:space="preserve"> </w:t>
            </w:r>
            <w:r w:rsidRPr="001300C0">
              <w:rPr>
                <w:b/>
                <w:bCs/>
                <w:sz w:val="26"/>
                <w:szCs w:val="26"/>
                <w:rtl/>
              </w:rPr>
              <w:t>45550-02-13</w:t>
            </w:r>
            <w:r w:rsidRPr="001300C0">
              <w:rPr>
                <w:rFonts w:hint="cs"/>
                <w:b/>
                <w:bCs/>
                <w:sz w:val="26"/>
                <w:szCs w:val="26"/>
                <w:rtl/>
              </w:rPr>
              <w:t xml:space="preserve"> </w:t>
            </w:r>
            <w:r w:rsidRPr="001300C0">
              <w:rPr>
                <w:b/>
                <w:bCs/>
                <w:sz w:val="26"/>
                <w:szCs w:val="26"/>
                <w:rtl/>
              </w:rPr>
              <w:t>מדינת ישראל נ' איוב(עציר)</w:t>
            </w:r>
          </w:p>
          <w:p w14:paraId="3530245C" w14:textId="77777777" w:rsidR="00C91B3F" w:rsidRPr="001300C0" w:rsidRDefault="00C91B3F">
            <w:pPr>
              <w:rPr>
                <w:b/>
                <w:bCs/>
                <w:sz w:val="26"/>
                <w:szCs w:val="26"/>
                <w:rtl/>
              </w:rPr>
            </w:pPr>
          </w:p>
        </w:tc>
        <w:tc>
          <w:tcPr>
            <w:tcW w:w="1068" w:type="dxa"/>
          </w:tcPr>
          <w:p w14:paraId="12EFBB16" w14:textId="77777777" w:rsidR="00C91B3F" w:rsidRPr="001300C0" w:rsidRDefault="00C91B3F">
            <w:pPr>
              <w:pStyle w:val="a3"/>
              <w:jc w:val="right"/>
              <w:rPr>
                <w:b/>
                <w:bCs/>
                <w:sz w:val="26"/>
                <w:szCs w:val="26"/>
                <w:rtl/>
              </w:rPr>
            </w:pPr>
          </w:p>
        </w:tc>
        <w:tc>
          <w:tcPr>
            <w:tcW w:w="3679" w:type="dxa"/>
          </w:tcPr>
          <w:p w14:paraId="11E8F06B" w14:textId="77777777" w:rsidR="00C91B3F" w:rsidRPr="001300C0" w:rsidRDefault="001300C0">
            <w:pPr>
              <w:pStyle w:val="a3"/>
              <w:tabs>
                <w:tab w:val="clear" w:pos="4153"/>
              </w:tabs>
              <w:jc w:val="right"/>
              <w:rPr>
                <w:b/>
                <w:bCs/>
                <w:sz w:val="26"/>
                <w:szCs w:val="26"/>
                <w:rtl/>
              </w:rPr>
            </w:pPr>
            <w:r w:rsidRPr="001300C0">
              <w:rPr>
                <w:b/>
                <w:bCs/>
                <w:sz w:val="26"/>
                <w:szCs w:val="26"/>
                <w:rtl/>
              </w:rPr>
              <w:t>03 מרץ 2014</w:t>
            </w:r>
          </w:p>
        </w:tc>
      </w:tr>
    </w:tbl>
    <w:p w14:paraId="54752240" w14:textId="77777777" w:rsidR="00C91B3F" w:rsidRPr="001300C0" w:rsidRDefault="00C91B3F">
      <w:pPr>
        <w:pStyle w:val="a3"/>
        <w:jc w:val="center"/>
        <w:rPr>
          <w:rFonts w:ascii="Tahoma" w:hAnsi="Tahoma" w:cs="Tahoma"/>
          <w:b/>
          <w:bCs/>
          <w:color w:val="000080"/>
          <w:sz w:val="20"/>
          <w:szCs w:val="20"/>
          <w:rtl/>
        </w:rPr>
      </w:pPr>
    </w:p>
    <w:p w14:paraId="2CAFC938" w14:textId="77777777" w:rsidR="00C91B3F" w:rsidRPr="001300C0" w:rsidRDefault="00C91B3F">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C91B3F" w:rsidRPr="001300C0" w14:paraId="6913A5AA" w14:textId="77777777">
        <w:trPr>
          <w:gridAfter w:val="1"/>
          <w:wAfter w:w="55" w:type="dxa"/>
        </w:trPr>
        <w:tc>
          <w:tcPr>
            <w:tcW w:w="8719" w:type="dxa"/>
            <w:gridSpan w:val="2"/>
          </w:tcPr>
          <w:p w14:paraId="6EC72642" w14:textId="77777777" w:rsidR="00C91B3F" w:rsidRPr="001300C0" w:rsidRDefault="001300C0">
            <w:pPr>
              <w:spacing w:line="360" w:lineRule="auto"/>
              <w:jc w:val="both"/>
              <w:rPr>
                <w:rFonts w:ascii="Arial" w:eastAsia="Times New Roman" w:hAnsi="Arial"/>
                <w:sz w:val="26"/>
                <w:szCs w:val="26"/>
                <w:rtl/>
              </w:rPr>
            </w:pPr>
            <w:r w:rsidRPr="001300C0">
              <w:rPr>
                <w:rFonts w:ascii="Times New Roman" w:eastAsia="Times New Roman" w:hAnsi="Times New Roman" w:hint="cs"/>
                <w:b/>
                <w:bCs/>
                <w:sz w:val="26"/>
                <w:szCs w:val="26"/>
                <w:rtl/>
              </w:rPr>
              <w:t>בפני כבוד סגן הנשיא, השופט – תאופיק כתילי</w:t>
            </w:r>
          </w:p>
        </w:tc>
      </w:tr>
      <w:tr w:rsidR="00C91B3F" w:rsidRPr="001300C0" w14:paraId="2FECC9A2" w14:textId="77777777">
        <w:tc>
          <w:tcPr>
            <w:tcW w:w="2880" w:type="dxa"/>
          </w:tcPr>
          <w:p w14:paraId="31C755FB" w14:textId="77777777" w:rsidR="00C91B3F" w:rsidRPr="001300C0" w:rsidRDefault="001300C0">
            <w:pPr>
              <w:ind w:left="26"/>
              <w:rPr>
                <w:rFonts w:ascii="Times New Roman" w:eastAsia="Times New Roman" w:hAnsi="Times New Roman"/>
                <w:b/>
                <w:bCs/>
                <w:sz w:val="26"/>
                <w:szCs w:val="26"/>
                <w:rtl/>
              </w:rPr>
            </w:pPr>
            <w:bookmarkStart w:id="1" w:name="FirstAppellant"/>
            <w:bookmarkStart w:id="2" w:name="LastJudge"/>
            <w:bookmarkEnd w:id="2"/>
            <w:r w:rsidRPr="001300C0">
              <w:rPr>
                <w:rFonts w:ascii="Times New Roman" w:eastAsia="Times New Roman" w:hAnsi="Times New Roman" w:hint="cs"/>
                <w:b/>
                <w:bCs/>
                <w:sz w:val="26"/>
                <w:szCs w:val="26"/>
                <w:rtl/>
              </w:rPr>
              <w:t>המאשימה</w:t>
            </w:r>
          </w:p>
        </w:tc>
        <w:tc>
          <w:tcPr>
            <w:tcW w:w="5922" w:type="dxa"/>
            <w:gridSpan w:val="2"/>
          </w:tcPr>
          <w:p w14:paraId="473A5540" w14:textId="77777777" w:rsidR="00C91B3F" w:rsidRPr="001300C0" w:rsidRDefault="001300C0">
            <w:pPr>
              <w:rPr>
                <w:rFonts w:ascii="Times New Roman" w:eastAsia="Times New Roman" w:hAnsi="Times New Roman"/>
                <w:b/>
                <w:bCs/>
                <w:sz w:val="26"/>
                <w:szCs w:val="26"/>
              </w:rPr>
            </w:pPr>
            <w:r w:rsidRPr="001300C0">
              <w:rPr>
                <w:rFonts w:ascii="Times New Roman" w:eastAsia="Times New Roman" w:hAnsi="Times New Roman" w:hint="cs"/>
                <w:b/>
                <w:bCs/>
                <w:sz w:val="26"/>
                <w:szCs w:val="26"/>
                <w:rtl/>
              </w:rPr>
              <w:t>מדינת ישראל</w:t>
            </w:r>
          </w:p>
          <w:p w14:paraId="23E554A3" w14:textId="77777777" w:rsidR="00C91B3F" w:rsidRPr="001300C0" w:rsidRDefault="001300C0">
            <w:pPr>
              <w:rPr>
                <w:rFonts w:ascii="Times New Roman" w:eastAsia="Times New Roman" w:hAnsi="Times New Roman"/>
                <w:b/>
                <w:bCs/>
                <w:sz w:val="22"/>
                <w:szCs w:val="22"/>
                <w:rtl/>
              </w:rPr>
            </w:pPr>
            <w:r w:rsidRPr="001300C0">
              <w:rPr>
                <w:rFonts w:ascii="Times New Roman" w:eastAsia="Times New Roman" w:hAnsi="Times New Roman" w:hint="cs"/>
                <w:b/>
                <w:bCs/>
                <w:sz w:val="22"/>
                <w:szCs w:val="22"/>
                <w:rtl/>
              </w:rPr>
              <w:t>באמצעות פרקליטות מחוז צפון</w:t>
            </w:r>
          </w:p>
        </w:tc>
      </w:tr>
      <w:bookmarkEnd w:id="1"/>
      <w:tr w:rsidR="00C91B3F" w:rsidRPr="001300C0" w14:paraId="4128BB1E" w14:textId="77777777">
        <w:tc>
          <w:tcPr>
            <w:tcW w:w="8802" w:type="dxa"/>
            <w:gridSpan w:val="3"/>
          </w:tcPr>
          <w:p w14:paraId="2A000C37" w14:textId="77777777" w:rsidR="00C91B3F" w:rsidRPr="001300C0" w:rsidRDefault="00C91B3F">
            <w:pPr>
              <w:jc w:val="both"/>
              <w:rPr>
                <w:rFonts w:ascii="Arial" w:eastAsia="Times New Roman" w:hAnsi="Arial"/>
                <w:b/>
                <w:bCs/>
                <w:sz w:val="26"/>
                <w:szCs w:val="26"/>
                <w:rtl/>
              </w:rPr>
            </w:pPr>
          </w:p>
          <w:p w14:paraId="5EE174F1" w14:textId="77777777" w:rsidR="00C91B3F" w:rsidRPr="001300C0" w:rsidRDefault="001300C0">
            <w:pPr>
              <w:jc w:val="center"/>
              <w:rPr>
                <w:rFonts w:ascii="Arial" w:eastAsia="Times New Roman" w:hAnsi="Arial"/>
                <w:b/>
                <w:bCs/>
                <w:sz w:val="26"/>
                <w:szCs w:val="26"/>
                <w:rtl/>
              </w:rPr>
            </w:pPr>
            <w:r w:rsidRPr="001300C0">
              <w:rPr>
                <w:rFonts w:ascii="Arial" w:eastAsia="Times New Roman" w:hAnsi="Arial"/>
                <w:b/>
                <w:bCs/>
                <w:sz w:val="26"/>
                <w:szCs w:val="26"/>
                <w:rtl/>
              </w:rPr>
              <w:t>נגד</w:t>
            </w:r>
          </w:p>
          <w:p w14:paraId="0A502F06" w14:textId="77777777" w:rsidR="00C91B3F" w:rsidRPr="001300C0" w:rsidRDefault="00C91B3F">
            <w:pPr>
              <w:jc w:val="center"/>
              <w:rPr>
                <w:rFonts w:ascii="Arial" w:eastAsia="Times New Roman" w:hAnsi="Arial"/>
                <w:b/>
                <w:bCs/>
                <w:sz w:val="26"/>
                <w:szCs w:val="26"/>
              </w:rPr>
            </w:pPr>
          </w:p>
        </w:tc>
      </w:tr>
      <w:tr w:rsidR="00C91B3F" w:rsidRPr="001300C0" w14:paraId="0DDC5205" w14:textId="77777777">
        <w:tc>
          <w:tcPr>
            <w:tcW w:w="2880" w:type="dxa"/>
          </w:tcPr>
          <w:p w14:paraId="529F41BE" w14:textId="77777777" w:rsidR="00C91B3F" w:rsidRPr="001300C0" w:rsidRDefault="001300C0">
            <w:pPr>
              <w:ind w:left="26"/>
              <w:rPr>
                <w:rFonts w:ascii="Times New Roman" w:eastAsia="Times New Roman" w:hAnsi="Times New Roman"/>
                <w:b/>
                <w:bCs/>
                <w:sz w:val="26"/>
                <w:szCs w:val="26"/>
                <w:rtl/>
              </w:rPr>
            </w:pPr>
            <w:r w:rsidRPr="001300C0">
              <w:rPr>
                <w:rFonts w:ascii="Times New Roman" w:eastAsia="Times New Roman" w:hAnsi="Times New Roman" w:hint="cs"/>
                <w:b/>
                <w:bCs/>
                <w:sz w:val="26"/>
                <w:szCs w:val="26"/>
                <w:rtl/>
              </w:rPr>
              <w:t>הנאשם</w:t>
            </w:r>
          </w:p>
        </w:tc>
        <w:tc>
          <w:tcPr>
            <w:tcW w:w="5922" w:type="dxa"/>
            <w:gridSpan w:val="2"/>
          </w:tcPr>
          <w:p w14:paraId="42A9F9AE" w14:textId="77777777" w:rsidR="00C91B3F" w:rsidRPr="001300C0" w:rsidRDefault="001300C0">
            <w:pPr>
              <w:rPr>
                <w:rFonts w:ascii="Times New Roman" w:eastAsia="Times New Roman" w:hAnsi="Times New Roman"/>
                <w:b/>
                <w:bCs/>
                <w:sz w:val="26"/>
                <w:szCs w:val="26"/>
                <w:rtl/>
              </w:rPr>
            </w:pPr>
            <w:r w:rsidRPr="001300C0">
              <w:rPr>
                <w:rFonts w:ascii="Times New Roman" w:eastAsia="Times New Roman" w:hAnsi="Times New Roman" w:hint="cs"/>
                <w:rtl/>
              </w:rPr>
              <w:t>פאוזי איוב (עציר)</w:t>
            </w:r>
          </w:p>
        </w:tc>
      </w:tr>
    </w:tbl>
    <w:p w14:paraId="58433A12" w14:textId="77777777" w:rsidR="00C91B3F" w:rsidRPr="001300C0" w:rsidRDefault="001300C0">
      <w:pPr>
        <w:spacing w:line="360" w:lineRule="auto"/>
        <w:jc w:val="both"/>
        <w:rPr>
          <w:sz w:val="6"/>
          <w:szCs w:val="6"/>
          <w:rtl/>
        </w:rPr>
      </w:pPr>
      <w:r w:rsidRPr="001300C0">
        <w:rPr>
          <w:sz w:val="6"/>
          <w:szCs w:val="6"/>
          <w:rtl/>
        </w:rPr>
        <w:t>&lt;#2#&gt;</w:t>
      </w:r>
    </w:p>
    <w:p w14:paraId="26179D7B" w14:textId="77777777" w:rsidR="00C91B3F" w:rsidRPr="001300C0" w:rsidRDefault="001300C0">
      <w:pPr>
        <w:pStyle w:val="12"/>
        <w:rPr>
          <w:u w:val="none"/>
          <w:rtl/>
        </w:rPr>
      </w:pPr>
      <w:r w:rsidRPr="001300C0">
        <w:rPr>
          <w:rFonts w:hint="cs"/>
          <w:u w:val="none"/>
          <w:rtl/>
        </w:rPr>
        <w:t>נוכחים:</w:t>
      </w:r>
    </w:p>
    <w:p w14:paraId="73014276" w14:textId="77777777" w:rsidR="00C91B3F" w:rsidRPr="001300C0" w:rsidRDefault="001300C0">
      <w:pPr>
        <w:pStyle w:val="12"/>
        <w:rPr>
          <w:u w:val="none"/>
        </w:rPr>
      </w:pPr>
      <w:r w:rsidRPr="001300C0">
        <w:rPr>
          <w:rFonts w:hint="cs"/>
          <w:u w:val="none"/>
          <w:rtl/>
        </w:rPr>
        <w:t>מטעם המאשימה: עו"ד סופי טקצ'מן - גרניט</w:t>
      </w:r>
    </w:p>
    <w:p w14:paraId="125F8D59" w14:textId="77777777" w:rsidR="00C91B3F" w:rsidRPr="001300C0" w:rsidRDefault="001300C0">
      <w:pPr>
        <w:pStyle w:val="12"/>
        <w:rPr>
          <w:b w:val="0"/>
          <w:bCs w:val="0"/>
          <w:u w:val="none"/>
          <w:rtl/>
        </w:rPr>
      </w:pPr>
      <w:r w:rsidRPr="001300C0">
        <w:rPr>
          <w:rFonts w:hint="cs"/>
          <w:u w:val="none"/>
          <w:rtl/>
        </w:rPr>
        <w:t>מטעם הנאשם: הובא וע"י ב"כ עו"ד חאלד אבו אחמד</w:t>
      </w:r>
    </w:p>
    <w:p w14:paraId="76BE5922" w14:textId="77777777" w:rsidR="00C91B3F" w:rsidRPr="001300C0" w:rsidRDefault="00C91B3F">
      <w:pPr>
        <w:pStyle w:val="12"/>
        <w:rPr>
          <w:b w:val="0"/>
          <w:bCs w:val="0"/>
          <w:u w:val="none"/>
          <w:rtl/>
        </w:rPr>
      </w:pPr>
    </w:p>
    <w:p w14:paraId="7F6E6A54" w14:textId="77777777" w:rsidR="00713239" w:rsidRPr="00713239" w:rsidRDefault="00713239" w:rsidP="00713239">
      <w:pPr>
        <w:spacing w:after="120" w:line="240" w:lineRule="exact"/>
        <w:ind w:left="283" w:hanging="283"/>
        <w:jc w:val="both"/>
        <w:rPr>
          <w:rFonts w:ascii="FrankRuehl" w:hAnsi="FrankRuehl" w:cs="FrankRuehl"/>
          <w:color w:val="FF0000"/>
          <w:rtl/>
        </w:rPr>
      </w:pPr>
      <w:bookmarkStart w:id="3" w:name="LawTable"/>
      <w:r w:rsidRPr="00713239">
        <w:rPr>
          <w:rFonts w:ascii="FrankRuehl" w:hAnsi="FrankRuehl" w:cs="FrankRuehl"/>
          <w:color w:val="FF0000"/>
          <w:rtl/>
        </w:rPr>
        <w:t xml:space="preserve">חקיקה שאוזכרה: </w:t>
      </w:r>
    </w:p>
    <w:p w14:paraId="49F217D2" w14:textId="77777777" w:rsidR="00713239" w:rsidRPr="00713239" w:rsidRDefault="00713239" w:rsidP="00713239">
      <w:pPr>
        <w:spacing w:after="120" w:line="240" w:lineRule="exact"/>
        <w:ind w:left="283" w:hanging="283"/>
        <w:jc w:val="both"/>
        <w:rPr>
          <w:rFonts w:ascii="FrankRuehl" w:hAnsi="FrankRuehl" w:cs="FrankRuehl"/>
          <w:rtl/>
        </w:rPr>
      </w:pPr>
      <w:hyperlink r:id="rId6" w:history="1">
        <w:r w:rsidRPr="00713239">
          <w:rPr>
            <w:rFonts w:ascii="FrankRuehl" w:hAnsi="FrankRuehl" w:cs="FrankRuehl"/>
            <w:color w:val="0000FF"/>
            <w:u w:val="single"/>
            <w:rtl/>
          </w:rPr>
          <w:t>חוק העונשין, תשל"ז-1977</w:t>
        </w:r>
      </w:hyperlink>
      <w:r w:rsidRPr="00713239">
        <w:rPr>
          <w:rFonts w:ascii="FrankRuehl" w:hAnsi="FrankRuehl" w:cs="FrankRuehl"/>
          <w:rtl/>
        </w:rPr>
        <w:t xml:space="preserve">: סע'  </w:t>
      </w:r>
      <w:hyperlink r:id="rId7" w:history="1">
        <w:r w:rsidRPr="00713239">
          <w:rPr>
            <w:rFonts w:ascii="FrankRuehl" w:hAnsi="FrankRuehl" w:cs="FrankRuehl"/>
            <w:color w:val="0000FF"/>
            <w:u w:val="single"/>
            <w:rtl/>
          </w:rPr>
          <w:t>25</w:t>
        </w:r>
      </w:hyperlink>
      <w:r w:rsidRPr="00713239">
        <w:rPr>
          <w:rFonts w:ascii="FrankRuehl" w:hAnsi="FrankRuehl" w:cs="FrankRuehl"/>
          <w:rtl/>
        </w:rPr>
        <w:t xml:space="preserve">, </w:t>
      </w:r>
      <w:hyperlink r:id="rId8" w:history="1">
        <w:r w:rsidRPr="00713239">
          <w:rPr>
            <w:rFonts w:ascii="FrankRuehl" w:hAnsi="FrankRuehl" w:cs="FrankRuehl"/>
            <w:color w:val="0000FF"/>
            <w:u w:val="single"/>
            <w:rtl/>
          </w:rPr>
          <w:t>144(א)</w:t>
        </w:r>
      </w:hyperlink>
      <w:r w:rsidRPr="00713239">
        <w:rPr>
          <w:rFonts w:ascii="FrankRuehl" w:hAnsi="FrankRuehl" w:cs="FrankRuehl"/>
          <w:rtl/>
        </w:rPr>
        <w:t xml:space="preserve">, </w:t>
      </w:r>
      <w:hyperlink r:id="rId9" w:history="1">
        <w:r w:rsidRPr="00713239">
          <w:rPr>
            <w:rFonts w:ascii="FrankRuehl" w:hAnsi="FrankRuehl" w:cs="FrankRuehl"/>
            <w:color w:val="0000FF"/>
            <w:u w:val="single"/>
            <w:rtl/>
          </w:rPr>
          <w:t>144(ב)</w:t>
        </w:r>
      </w:hyperlink>
      <w:r w:rsidRPr="00713239">
        <w:rPr>
          <w:rFonts w:ascii="FrankRuehl" w:hAnsi="FrankRuehl" w:cs="FrankRuehl"/>
          <w:rtl/>
        </w:rPr>
        <w:t xml:space="preserve">, </w:t>
      </w:r>
      <w:hyperlink r:id="rId10" w:history="1">
        <w:r w:rsidRPr="00713239">
          <w:rPr>
            <w:rFonts w:ascii="FrankRuehl" w:hAnsi="FrankRuehl" w:cs="FrankRuehl"/>
            <w:color w:val="0000FF"/>
            <w:u w:val="single"/>
            <w:rtl/>
          </w:rPr>
          <w:t>192</w:t>
        </w:r>
      </w:hyperlink>
      <w:r w:rsidRPr="00713239">
        <w:rPr>
          <w:rFonts w:ascii="FrankRuehl" w:hAnsi="FrankRuehl" w:cs="FrankRuehl"/>
          <w:rtl/>
        </w:rPr>
        <w:t xml:space="preserve">, </w:t>
      </w:r>
      <w:hyperlink r:id="rId11" w:history="1">
        <w:r w:rsidRPr="00713239">
          <w:rPr>
            <w:rFonts w:ascii="FrankRuehl" w:hAnsi="FrankRuehl" w:cs="FrankRuehl"/>
            <w:color w:val="0000FF"/>
            <w:u w:val="single"/>
            <w:rtl/>
          </w:rPr>
          <w:t>334</w:t>
        </w:r>
      </w:hyperlink>
      <w:r w:rsidRPr="00713239">
        <w:rPr>
          <w:rFonts w:ascii="FrankRuehl" w:hAnsi="FrankRuehl" w:cs="FrankRuehl"/>
          <w:rtl/>
        </w:rPr>
        <w:t xml:space="preserve">, </w:t>
      </w:r>
      <w:hyperlink r:id="rId12" w:history="1">
        <w:r w:rsidRPr="00713239">
          <w:rPr>
            <w:rFonts w:ascii="FrankRuehl" w:hAnsi="FrankRuehl" w:cs="FrankRuehl"/>
            <w:color w:val="0000FF"/>
            <w:u w:val="single"/>
            <w:rtl/>
          </w:rPr>
          <w:t>340א</w:t>
        </w:r>
      </w:hyperlink>
    </w:p>
    <w:p w14:paraId="67889E24" w14:textId="77777777" w:rsidR="00713239" w:rsidRPr="00713239" w:rsidRDefault="00713239">
      <w:pPr>
        <w:spacing w:line="360" w:lineRule="auto"/>
        <w:jc w:val="center"/>
        <w:rPr>
          <w:rFonts w:ascii="Arial" w:hAnsi="Arial"/>
          <w:b/>
          <w:color w:val="FF0000"/>
          <w:sz w:val="28"/>
          <w:rtl/>
        </w:rPr>
      </w:pPr>
    </w:p>
    <w:bookmarkEnd w:id="3"/>
    <w:p w14:paraId="7F27B686" w14:textId="77777777" w:rsidR="00C91B3F" w:rsidRPr="001300C0" w:rsidRDefault="001300C0">
      <w:pPr>
        <w:spacing w:line="360" w:lineRule="auto"/>
        <w:jc w:val="center"/>
        <w:rPr>
          <w:rFonts w:ascii="Arial" w:hAnsi="Arial"/>
          <w:b/>
          <w:bCs/>
          <w:sz w:val="28"/>
          <w:szCs w:val="28"/>
          <w:rtl/>
        </w:rPr>
      </w:pPr>
      <w:r w:rsidRPr="001300C0">
        <w:rPr>
          <w:rFonts w:ascii="Arial" w:hAnsi="Arial"/>
          <w:b/>
          <w:color w:val="FF0000"/>
          <w:sz w:val="28"/>
          <w:rtl/>
        </w:rPr>
        <w:t>במסמך זה הושמטו פרוטוקולים</w:t>
      </w:r>
    </w:p>
    <w:p w14:paraId="31921EA7" w14:textId="77777777" w:rsidR="001300C0" w:rsidRPr="001300C0" w:rsidRDefault="001300C0">
      <w:pPr>
        <w:spacing w:line="360" w:lineRule="auto"/>
        <w:jc w:val="center"/>
        <w:rPr>
          <w:rFonts w:ascii="Arial" w:hAnsi="Arial"/>
          <w:b/>
          <w:bCs/>
          <w:sz w:val="28"/>
          <w:szCs w:val="28"/>
          <w:rtl/>
        </w:rPr>
      </w:pPr>
    </w:p>
    <w:p w14:paraId="4DAEBCC4" w14:textId="77777777" w:rsidR="001300C0" w:rsidRPr="001300C0" w:rsidRDefault="001300C0" w:rsidP="001300C0">
      <w:pPr>
        <w:spacing w:line="360" w:lineRule="auto"/>
        <w:jc w:val="center"/>
        <w:rPr>
          <w:rFonts w:ascii="Arial" w:hAnsi="Arial"/>
          <w:b/>
          <w:bCs/>
          <w:sz w:val="28"/>
          <w:szCs w:val="28"/>
          <w:u w:val="single"/>
          <w:rtl/>
        </w:rPr>
      </w:pPr>
      <w:bookmarkStart w:id="4" w:name="PsakDin"/>
      <w:bookmarkEnd w:id="0"/>
      <w:r w:rsidRPr="001300C0">
        <w:rPr>
          <w:rFonts w:ascii="Arial" w:hAnsi="Arial"/>
          <w:b/>
          <w:bCs/>
          <w:sz w:val="28"/>
          <w:szCs w:val="28"/>
          <w:u w:val="single"/>
          <w:rtl/>
        </w:rPr>
        <w:t>גזר דין</w:t>
      </w:r>
    </w:p>
    <w:bookmarkEnd w:id="4"/>
    <w:p w14:paraId="438C8BB6" w14:textId="77777777" w:rsidR="00C91B3F" w:rsidRDefault="001300C0">
      <w:pPr>
        <w:spacing w:line="360" w:lineRule="auto"/>
        <w:jc w:val="both"/>
        <w:rPr>
          <w:rtl/>
        </w:rPr>
      </w:pPr>
      <w:r>
        <w:rPr>
          <w:rtl/>
        </w:rPr>
        <w:t xml:space="preserve"> </w:t>
      </w:r>
    </w:p>
    <w:p w14:paraId="01D89D29" w14:textId="77777777" w:rsidR="00C91B3F" w:rsidRDefault="001300C0">
      <w:pPr>
        <w:spacing w:line="360" w:lineRule="auto"/>
        <w:ind w:left="720" w:hanging="720"/>
        <w:jc w:val="both"/>
        <w:rPr>
          <w:rtl/>
        </w:rPr>
      </w:pPr>
      <w:r>
        <w:rPr>
          <w:rtl/>
        </w:rPr>
        <w:t xml:space="preserve">1. </w:t>
      </w:r>
      <w:r>
        <w:rPr>
          <w:rtl/>
        </w:rPr>
        <w:tab/>
      </w:r>
      <w:bookmarkStart w:id="5" w:name="ABSTRACT_START"/>
      <w:bookmarkEnd w:id="5"/>
      <w:r>
        <w:rPr>
          <w:rtl/>
        </w:rPr>
        <w:t>הנאשם לפניי הורשע, על-פי הודאתו בעובדות כתב-אישום מתוקן מיום 19.11.13 (להלן: "</w:t>
      </w:r>
      <w:r>
        <w:rPr>
          <w:b/>
          <w:bCs/>
          <w:rtl/>
        </w:rPr>
        <w:t>כתב-האישום</w:t>
      </w:r>
      <w:r>
        <w:rPr>
          <w:rtl/>
        </w:rPr>
        <w:t xml:space="preserve">"), בעבירות של </w:t>
      </w:r>
      <w:r>
        <w:rPr>
          <w:u w:val="single"/>
          <w:rtl/>
        </w:rPr>
        <w:t>נשיאת נשק</w:t>
      </w:r>
      <w:r>
        <w:rPr>
          <w:rtl/>
        </w:rPr>
        <w:t xml:space="preserve">, לפי </w:t>
      </w:r>
      <w:hyperlink r:id="rId13" w:history="1">
        <w:r w:rsidR="00713239" w:rsidRPr="00713239">
          <w:rPr>
            <w:color w:val="0000FF"/>
            <w:u w:val="single"/>
            <w:rtl/>
          </w:rPr>
          <w:t>סעיף 144(ב)</w:t>
        </w:r>
      </w:hyperlink>
      <w:r>
        <w:rPr>
          <w:rtl/>
        </w:rPr>
        <w:t xml:space="preserve"> ל</w:t>
      </w:r>
      <w:hyperlink r:id="rId14" w:history="1">
        <w:r w:rsidRPr="001300C0">
          <w:rPr>
            <w:color w:val="0000FF"/>
            <w:u w:val="single"/>
            <w:rtl/>
          </w:rPr>
          <w:t>חוק העונשין</w:t>
        </w:r>
      </w:hyperlink>
      <w:r>
        <w:rPr>
          <w:rtl/>
        </w:rPr>
        <w:t>, התשל"ז-1977 (להלן: "</w:t>
      </w:r>
      <w:r>
        <w:rPr>
          <w:b/>
          <w:bCs/>
          <w:rtl/>
        </w:rPr>
        <w:t>החוק</w:t>
      </w:r>
      <w:r>
        <w:rPr>
          <w:rtl/>
        </w:rPr>
        <w:t xml:space="preserve">"); </w:t>
      </w:r>
      <w:r>
        <w:rPr>
          <w:u w:val="single"/>
          <w:rtl/>
        </w:rPr>
        <w:t>החזקת נשק</w:t>
      </w:r>
      <w:r>
        <w:rPr>
          <w:rtl/>
        </w:rPr>
        <w:t xml:space="preserve">, לפי </w:t>
      </w:r>
      <w:hyperlink r:id="rId15" w:history="1">
        <w:r w:rsidR="00713239" w:rsidRPr="00713239">
          <w:rPr>
            <w:color w:val="0000FF"/>
            <w:u w:val="single"/>
            <w:rtl/>
          </w:rPr>
          <w:t>סעיף 144(א)</w:t>
        </w:r>
      </w:hyperlink>
      <w:r>
        <w:rPr>
          <w:rtl/>
        </w:rPr>
        <w:t xml:space="preserve"> לחוק; </w:t>
      </w:r>
      <w:r>
        <w:rPr>
          <w:u w:val="single"/>
          <w:rtl/>
        </w:rPr>
        <w:t>ירי באזור מגורים</w:t>
      </w:r>
      <w:r>
        <w:rPr>
          <w:rtl/>
        </w:rPr>
        <w:t xml:space="preserve">, לפי </w:t>
      </w:r>
      <w:hyperlink r:id="rId16" w:history="1">
        <w:r w:rsidR="00713239" w:rsidRPr="00713239">
          <w:rPr>
            <w:color w:val="0000FF"/>
            <w:u w:val="single"/>
            <w:rtl/>
          </w:rPr>
          <w:t>סעיף 340א</w:t>
        </w:r>
      </w:hyperlink>
      <w:r>
        <w:rPr>
          <w:rtl/>
        </w:rPr>
        <w:t xml:space="preserve"> לחוק; </w:t>
      </w:r>
      <w:r>
        <w:rPr>
          <w:u w:val="single"/>
          <w:rtl/>
        </w:rPr>
        <w:t>איומים</w:t>
      </w:r>
      <w:r>
        <w:rPr>
          <w:rtl/>
        </w:rPr>
        <w:t xml:space="preserve">, לפי </w:t>
      </w:r>
      <w:hyperlink r:id="rId17" w:history="1">
        <w:r w:rsidR="00713239" w:rsidRPr="00713239">
          <w:rPr>
            <w:color w:val="0000FF"/>
            <w:u w:val="single"/>
            <w:rtl/>
          </w:rPr>
          <w:t>סעיף 192</w:t>
        </w:r>
      </w:hyperlink>
      <w:r>
        <w:rPr>
          <w:rtl/>
        </w:rPr>
        <w:t xml:space="preserve"> לחוק; ו</w:t>
      </w:r>
      <w:r>
        <w:rPr>
          <w:u w:val="single"/>
          <w:rtl/>
        </w:rPr>
        <w:t>ניסיון פציעה</w:t>
      </w:r>
      <w:r>
        <w:rPr>
          <w:rtl/>
        </w:rPr>
        <w:t xml:space="preserve">, לפי </w:t>
      </w:r>
      <w:hyperlink r:id="rId18" w:history="1">
        <w:r w:rsidR="00713239" w:rsidRPr="00713239">
          <w:rPr>
            <w:color w:val="0000FF"/>
            <w:u w:val="single"/>
            <w:rtl/>
          </w:rPr>
          <w:t>סעיפים 334</w:t>
        </w:r>
      </w:hyperlink>
      <w:r>
        <w:rPr>
          <w:rtl/>
        </w:rPr>
        <w:t xml:space="preserve"> ו-</w:t>
      </w:r>
      <w:hyperlink r:id="rId19" w:history="1">
        <w:r w:rsidR="00713239" w:rsidRPr="00713239">
          <w:rPr>
            <w:color w:val="0000FF"/>
            <w:u w:val="single"/>
            <w:rtl/>
          </w:rPr>
          <w:t>25</w:t>
        </w:r>
      </w:hyperlink>
      <w:r>
        <w:rPr>
          <w:rtl/>
        </w:rPr>
        <w:t xml:space="preserve"> לחוק.</w:t>
      </w:r>
    </w:p>
    <w:p w14:paraId="6E11F1C7" w14:textId="77777777" w:rsidR="00C91B3F" w:rsidRDefault="00C91B3F">
      <w:pPr>
        <w:spacing w:line="360" w:lineRule="auto"/>
        <w:jc w:val="both"/>
        <w:rPr>
          <w:rtl/>
        </w:rPr>
      </w:pPr>
      <w:bookmarkStart w:id="6" w:name="ABSTRACT_END"/>
      <w:bookmarkEnd w:id="6"/>
    </w:p>
    <w:p w14:paraId="41754EDD" w14:textId="77777777" w:rsidR="00C91B3F" w:rsidRDefault="001300C0">
      <w:pPr>
        <w:spacing w:line="360" w:lineRule="auto"/>
        <w:ind w:left="720" w:hanging="720"/>
        <w:jc w:val="both"/>
        <w:rPr>
          <w:rtl/>
        </w:rPr>
      </w:pPr>
      <w:r>
        <w:rPr>
          <w:rtl/>
        </w:rPr>
        <w:t xml:space="preserve">2. </w:t>
      </w:r>
      <w:r>
        <w:rPr>
          <w:rtl/>
        </w:rPr>
        <w:tab/>
        <w:t>על-פי המפורט בכתב -האישום, ויסאם אבו-לאשין (להלן: "</w:t>
      </w:r>
      <w:r>
        <w:rPr>
          <w:b/>
          <w:bCs/>
          <w:rtl/>
        </w:rPr>
        <w:t>המתלונן</w:t>
      </w:r>
      <w:r>
        <w:rPr>
          <w:rtl/>
        </w:rPr>
        <w:t>") מתגורר יחד עם הוריו ואחיו בשכונת אל-ראם בנצרת, בסמוך לבניין בו מתגורר הנאשם.</w:t>
      </w:r>
    </w:p>
    <w:p w14:paraId="4C5F5085" w14:textId="77777777" w:rsidR="00C91B3F" w:rsidRDefault="001300C0">
      <w:pPr>
        <w:spacing w:line="360" w:lineRule="auto"/>
        <w:ind w:left="720"/>
        <w:jc w:val="both"/>
        <w:rPr>
          <w:rtl/>
        </w:rPr>
      </w:pPr>
      <w:r>
        <w:rPr>
          <w:rtl/>
        </w:rPr>
        <w:t>ביום 08.02.13, סמוך לשעה 21:30, ניגש המתלונן אל חנות המכולת בשכונה (להלן: "</w:t>
      </w:r>
      <w:r>
        <w:rPr>
          <w:b/>
          <w:bCs/>
          <w:rtl/>
        </w:rPr>
        <w:t>המכולת</w:t>
      </w:r>
      <w:r>
        <w:rPr>
          <w:rtl/>
        </w:rPr>
        <w:t>"). באותו הזמן, סמוך למדרגות המובילות מביתו של המתלונן למכולת ישבו הנאשם ואדם נוסף ששמו טארק חמאד (להלן: "</w:t>
      </w:r>
      <w:r>
        <w:rPr>
          <w:b/>
          <w:bCs/>
          <w:rtl/>
        </w:rPr>
        <w:t>טארק</w:t>
      </w:r>
      <w:r>
        <w:rPr>
          <w:rtl/>
        </w:rPr>
        <w:t>"). משחלף המתלונן על-פני הנאשם, ירק הנאשם לעברו וקילל אותו, אולם המתלונן התעלם והמשיך בדרכו. כשחזר המתלונן, כעבור זמן מה, שב הנאשם וירק לעברו תוך שהוא מקלל אותו. המתלונן עלה אל ביתו, סיפר על שאירע לאביו, איברהים אבו-לאשין (להלן: "</w:t>
      </w:r>
      <w:r>
        <w:rPr>
          <w:b/>
          <w:bCs/>
          <w:rtl/>
        </w:rPr>
        <w:t>איברהים</w:t>
      </w:r>
      <w:r>
        <w:rPr>
          <w:rtl/>
        </w:rPr>
        <w:t>"), והשניים ירדו חזרה אל המקום בו ישבו הנאשם וטארק. איברהים פנה לנאשם ושאל אותו מדוע הוא מדבר כך אל בנו, ובתגובה החל הנאשם להשתולל וניסה לפצוע את המתלונן. המתלונן התגונן מפני הנאשם ובעט בו, והנאשם נפל. מיד לאחר מכן עזבו הנאשם וטארק את המקום תוך שהנאשם מאיים על המתלונן כי "יהרוג ויוריד אותו".</w:t>
      </w:r>
    </w:p>
    <w:p w14:paraId="7FA0EF28" w14:textId="77777777" w:rsidR="00C91B3F" w:rsidRDefault="001300C0">
      <w:pPr>
        <w:spacing w:line="360" w:lineRule="auto"/>
        <w:ind w:left="720"/>
        <w:jc w:val="both"/>
        <w:rPr>
          <w:rtl/>
        </w:rPr>
      </w:pPr>
      <w:r>
        <w:rPr>
          <w:rtl/>
        </w:rPr>
        <w:lastRenderedPageBreak/>
        <w:t>בזמן האירוע נכח במקום ידיד של הנאשם, אשר ביקש לפייס בין הצדדים. הידיד התקשר לנאשם לאחר לכתו, והנאשם אמר שיגיע חזרה תוך מספר דקות. המתלונן ואביו, שהיו מעוניינים בעריכת ה"סולחה", המתינו במקום כרבע שעה, אולם משראו כי הנאשם אינו מגיע שבו אל ביתם.</w:t>
      </w:r>
    </w:p>
    <w:p w14:paraId="5C03C080" w14:textId="77777777" w:rsidR="00C91B3F" w:rsidRDefault="001300C0">
      <w:pPr>
        <w:spacing w:line="360" w:lineRule="auto"/>
        <w:ind w:left="720"/>
        <w:jc w:val="both"/>
        <w:rPr>
          <w:rtl/>
        </w:rPr>
      </w:pPr>
      <w:r>
        <w:rPr>
          <w:rtl/>
        </w:rPr>
        <w:t>כעבור מספר דקות הגיעו הנאשם וטארק לחניון הנמצא במרחק של כארבעים-חמישים מטרים מביתו של המתלונן, כשהנאשם נושא עמו אקדח. הנאשם קילל את המתלונן, את הוריו ואת אחיותיו תוך שהוא יורה באוויר באמצעות האקדח.</w:t>
      </w:r>
    </w:p>
    <w:p w14:paraId="16FCC8CB" w14:textId="77777777" w:rsidR="00C91B3F" w:rsidRDefault="00C91B3F">
      <w:pPr>
        <w:spacing w:line="360" w:lineRule="auto"/>
        <w:jc w:val="both"/>
        <w:rPr>
          <w:rtl/>
        </w:rPr>
      </w:pPr>
    </w:p>
    <w:p w14:paraId="7AAFC280" w14:textId="77777777" w:rsidR="00C91B3F" w:rsidRDefault="001300C0">
      <w:pPr>
        <w:spacing w:line="360" w:lineRule="auto"/>
        <w:ind w:left="720" w:hanging="720"/>
        <w:jc w:val="both"/>
        <w:rPr>
          <w:rtl/>
        </w:rPr>
      </w:pPr>
      <w:r>
        <w:rPr>
          <w:rtl/>
        </w:rPr>
        <w:t xml:space="preserve">3. </w:t>
      </w:r>
      <w:r>
        <w:rPr>
          <w:rtl/>
        </w:rPr>
        <w:tab/>
        <w:t>בדיון מיום 19.11.13 הודיעו הצדדים על הסדר דיון, לפיו תטען המאשימה לעונש ראוי של 15 חודשי מאסר, ומאסר על תנאי לתקופה שתקבע על-פי שיקול דעתו של בית המשפט; כשמנגד יטען הסנגור לעונש של 12 חודשי מאסר בפועל. כן הסכימו הצדדים על פסיקת פיצוי לנפגע העבירה בסך 10,000 ₪.</w:t>
      </w:r>
    </w:p>
    <w:p w14:paraId="43C58F87" w14:textId="77777777" w:rsidR="00C91B3F" w:rsidRDefault="00C91B3F">
      <w:pPr>
        <w:spacing w:line="360" w:lineRule="auto"/>
        <w:jc w:val="both"/>
        <w:rPr>
          <w:rtl/>
        </w:rPr>
      </w:pPr>
    </w:p>
    <w:p w14:paraId="0D1FFE98" w14:textId="77777777" w:rsidR="00C91B3F" w:rsidRDefault="001300C0">
      <w:pPr>
        <w:spacing w:line="360" w:lineRule="auto"/>
        <w:jc w:val="both"/>
        <w:rPr>
          <w:b/>
          <w:bCs/>
          <w:u w:val="single"/>
          <w:rtl/>
        </w:rPr>
      </w:pPr>
      <w:r>
        <w:rPr>
          <w:b/>
          <w:bCs/>
          <w:u w:val="single"/>
          <w:rtl/>
        </w:rPr>
        <w:t>תסקיר שירות המבחן</w:t>
      </w:r>
    </w:p>
    <w:p w14:paraId="1F76CAD0" w14:textId="77777777" w:rsidR="00C91B3F" w:rsidRDefault="001300C0">
      <w:pPr>
        <w:spacing w:line="360" w:lineRule="auto"/>
        <w:ind w:left="720" w:hanging="720"/>
        <w:jc w:val="both"/>
        <w:rPr>
          <w:rtl/>
        </w:rPr>
      </w:pPr>
      <w:r>
        <w:rPr>
          <w:rtl/>
        </w:rPr>
        <w:t xml:space="preserve">4. </w:t>
      </w:r>
      <w:r>
        <w:rPr>
          <w:rtl/>
        </w:rPr>
        <w:tab/>
        <w:t>מן התסקיר עולה כי הנאשם, בן 19.5 וחצי, הנו רווק, בוגר 10 שנות לימוד, אשר עד למעצרו עבד ברצף משך שנתיים אצל קבלן לעבודות אינסטלציה. הנאשם עזב לימודיו בגיל צעיר והחל לעבוד על רקע אשפוזו של אביו, המאובחן כחולה-נפש, ועקב היותו הגדול מבין אחיו.</w:t>
      </w:r>
    </w:p>
    <w:p w14:paraId="2B4F4CE1" w14:textId="77777777" w:rsidR="00C91B3F" w:rsidRDefault="001300C0">
      <w:pPr>
        <w:spacing w:line="360" w:lineRule="auto"/>
        <w:ind w:left="720"/>
        <w:jc w:val="both"/>
        <w:rPr>
          <w:rtl/>
        </w:rPr>
      </w:pPr>
      <w:r>
        <w:rPr>
          <w:rtl/>
        </w:rPr>
        <w:t>קצין המבחן התרשם מקשיים תפקודיים במשפחת מוצאו של הנאשם, ומהיותו נעדר תמיכה והכוונה של דמויות בוגרות משמעותיות, כשמגיל צעיר הוא אשר ממלא דמות הורית במשפחתו. חרף יכולת ההסתגלות וההתמדה בעבודה, יכולותיו הרגשיות של הנאשם נמוכות, והוא תואר כחסר ביטחון וחרדתי.</w:t>
      </w:r>
    </w:p>
    <w:p w14:paraId="1C4519E0" w14:textId="77777777" w:rsidR="00C91B3F" w:rsidRDefault="00C91B3F">
      <w:pPr>
        <w:spacing w:line="360" w:lineRule="auto"/>
        <w:jc w:val="both"/>
        <w:rPr>
          <w:rtl/>
        </w:rPr>
      </w:pPr>
    </w:p>
    <w:p w14:paraId="21FE5A74" w14:textId="77777777" w:rsidR="00C91B3F" w:rsidRDefault="001300C0">
      <w:pPr>
        <w:spacing w:line="360" w:lineRule="auto"/>
        <w:ind w:left="720" w:hanging="720"/>
        <w:jc w:val="both"/>
        <w:rPr>
          <w:rtl/>
        </w:rPr>
      </w:pPr>
      <w:r>
        <w:rPr>
          <w:rtl/>
        </w:rPr>
        <w:t xml:space="preserve">5. </w:t>
      </w:r>
      <w:r>
        <w:rPr>
          <w:rtl/>
        </w:rPr>
        <w:tab/>
        <w:t>הנאשם סיפר לקצין המבחן כי הוא משתמש באופן מזדמן בסם מסוג גראס, וזאת עשה אף במהלך התקופה בה היה נתון לפיקוח יחידת המעצרים בשירות המבחן. בשיחות עמו הנאשם התקשה לערוך בדיקה עצמית מעמיקה, התייחסותו לחלקים הבעייתיים בתפקודו הייתה ברמה שטחית בלבד, באופן אשר מעיד על העדר הפנמה לחומרתן והשלכותיהן של העבירות אותן ביצע. כך, אף נטילת האחריות למעשיו נעשתה ברמה המילולית-פורמאלית בלבד, מבלי שהנאשם ידע לפרט את  מניעיו ותוך שטוען כי מצא את האקדח בחורשה סמוכה. קצין המבחן ציין, כי בהתייחסותו לעבירות בלטו קווים ילדותיים ולא בשלים, תוך מזעור אחריותו, וכן כי הוא התקשה לגלות אמפתיה לצד הנפגע.</w:t>
      </w:r>
    </w:p>
    <w:p w14:paraId="35E0D0D5" w14:textId="77777777" w:rsidR="00C91B3F" w:rsidRDefault="001300C0">
      <w:pPr>
        <w:spacing w:line="360" w:lineRule="auto"/>
        <w:ind w:left="720"/>
        <w:jc w:val="both"/>
        <w:rPr>
          <w:rtl/>
        </w:rPr>
      </w:pPr>
      <w:r>
        <w:rPr>
          <w:rtl/>
        </w:rPr>
        <w:t>לסיכום, הומלץ להטיל על הנאשם עונש  מאסר בפועל, ברף שהוצע על-ידי הצדדים, ועל שילובו בטיפול במסגרת שירות בתי הסוהר.</w:t>
      </w:r>
    </w:p>
    <w:p w14:paraId="0CB85A2B" w14:textId="77777777" w:rsidR="00C91B3F" w:rsidRDefault="00C91B3F">
      <w:pPr>
        <w:spacing w:line="360" w:lineRule="auto"/>
        <w:jc w:val="both"/>
        <w:rPr>
          <w:rtl/>
        </w:rPr>
      </w:pPr>
    </w:p>
    <w:p w14:paraId="1767CE7C" w14:textId="77777777" w:rsidR="00C91B3F" w:rsidRDefault="00C91B3F">
      <w:pPr>
        <w:spacing w:line="360" w:lineRule="auto"/>
        <w:jc w:val="both"/>
        <w:rPr>
          <w:rtl/>
        </w:rPr>
      </w:pPr>
    </w:p>
    <w:p w14:paraId="04691AA1" w14:textId="77777777" w:rsidR="00C91B3F" w:rsidRDefault="001300C0">
      <w:pPr>
        <w:spacing w:line="360" w:lineRule="auto"/>
        <w:jc w:val="both"/>
        <w:rPr>
          <w:b/>
          <w:bCs/>
          <w:u w:val="single"/>
          <w:rtl/>
        </w:rPr>
      </w:pPr>
      <w:r>
        <w:rPr>
          <w:b/>
          <w:bCs/>
          <w:u w:val="single"/>
          <w:rtl/>
        </w:rPr>
        <w:t>טיעוני הצדדים</w:t>
      </w:r>
    </w:p>
    <w:p w14:paraId="4F2F5313" w14:textId="77777777" w:rsidR="00C91B3F" w:rsidRDefault="001300C0">
      <w:pPr>
        <w:spacing w:line="360" w:lineRule="auto"/>
        <w:ind w:left="720" w:hanging="720"/>
        <w:jc w:val="both"/>
        <w:rPr>
          <w:rtl/>
        </w:rPr>
      </w:pPr>
      <w:r>
        <w:rPr>
          <w:rtl/>
        </w:rPr>
        <w:t xml:space="preserve">6. </w:t>
      </w:r>
      <w:r>
        <w:rPr>
          <w:rtl/>
        </w:rPr>
        <w:tab/>
        <w:t xml:space="preserve">המאשימה בטיעוניה חזרה על עמדתה באשר לעונש שפורט בהסדר הטיעון, בציינה את החומרה הכרוכה בעבירות שביצע הנאשם ובעבירות נשק בפרט. העונש לו היא עותרת, </w:t>
      </w:r>
      <w:r>
        <w:rPr>
          <w:rtl/>
        </w:rPr>
        <w:lastRenderedPageBreak/>
        <w:t>טענה, מצוי ברף התחתון של מתחם העונש ההולם את נסיבות ביצוע העבירה במקרה דנן, ואשר נע בין 12 ל-36 חודשי מאסר בפועל.</w:t>
      </w:r>
    </w:p>
    <w:p w14:paraId="6592EFC5" w14:textId="77777777" w:rsidR="00C91B3F" w:rsidRDefault="00C91B3F">
      <w:pPr>
        <w:spacing w:line="360" w:lineRule="auto"/>
        <w:jc w:val="both"/>
        <w:rPr>
          <w:rtl/>
        </w:rPr>
      </w:pPr>
    </w:p>
    <w:p w14:paraId="510539AC" w14:textId="77777777" w:rsidR="00C91B3F" w:rsidRDefault="001300C0">
      <w:pPr>
        <w:spacing w:line="360" w:lineRule="auto"/>
        <w:ind w:left="720" w:hanging="720"/>
        <w:jc w:val="both"/>
        <w:rPr>
          <w:rtl/>
        </w:rPr>
      </w:pPr>
      <w:r>
        <w:rPr>
          <w:rtl/>
        </w:rPr>
        <w:t xml:space="preserve">7. </w:t>
      </w:r>
      <w:r>
        <w:rPr>
          <w:rtl/>
        </w:rPr>
        <w:tab/>
        <w:t>הסנגור טען כי לזכות הנאשם עומדות עובדת היותו בחור צעיר ונעדר עבר פלילי וכן הודאתו בעובדות כתב-האישום. מעבר לכך, נטען כי יחסיו עם משפחת המתלונן הם תקינים שמדובר בסיטואציה חד פעמית עליה הוא מתחרט.</w:t>
      </w:r>
    </w:p>
    <w:p w14:paraId="508264E8" w14:textId="77777777" w:rsidR="00C91B3F" w:rsidRDefault="001300C0">
      <w:pPr>
        <w:spacing w:line="360" w:lineRule="auto"/>
        <w:ind w:left="720"/>
        <w:jc w:val="both"/>
        <w:rPr>
          <w:rtl/>
        </w:rPr>
      </w:pPr>
      <w:r>
        <w:rPr>
          <w:rtl/>
        </w:rPr>
        <w:t>באשר לנסיבותיו האישיות של הנאשם, ציין כי אביו מאושפז במחלקה לטיפול נמרץ במצב קשה (הוצג אישורו של ד"ר אבי מזרחי מהמרכז הרפואי "אסף הרופא"), וכי עול פרנסת המשפחה מוטל כעת על כתפי הנאשם. לפיכך, בהינתן נסיבותיו האישיות והמשפחתיות ביקש שלא למצות את הדין עמו, ולהסתפק בעונש של 12 חודשי מאסר בפועל.</w:t>
      </w:r>
    </w:p>
    <w:p w14:paraId="356607ED" w14:textId="77777777" w:rsidR="00C91B3F" w:rsidRDefault="00C91B3F">
      <w:pPr>
        <w:spacing w:line="360" w:lineRule="auto"/>
        <w:jc w:val="both"/>
        <w:rPr>
          <w:rtl/>
        </w:rPr>
      </w:pPr>
    </w:p>
    <w:p w14:paraId="264ADB4D" w14:textId="77777777" w:rsidR="00C91B3F" w:rsidRDefault="001300C0">
      <w:pPr>
        <w:spacing w:line="360" w:lineRule="auto"/>
        <w:jc w:val="both"/>
        <w:rPr>
          <w:rtl/>
        </w:rPr>
      </w:pPr>
      <w:r>
        <w:rPr>
          <w:rtl/>
        </w:rPr>
        <w:t xml:space="preserve">8. </w:t>
      </w:r>
      <w:r>
        <w:rPr>
          <w:rtl/>
        </w:rPr>
        <w:tab/>
        <w:t>הנאשם הביע בבית המשפט צער על מעשיו והתחייב שלא לחזור עליהם.</w:t>
      </w:r>
    </w:p>
    <w:p w14:paraId="20CBE866" w14:textId="77777777" w:rsidR="00C91B3F" w:rsidRDefault="00C91B3F">
      <w:pPr>
        <w:spacing w:line="360" w:lineRule="auto"/>
        <w:jc w:val="both"/>
        <w:rPr>
          <w:b/>
          <w:bCs/>
          <w:u w:val="single"/>
          <w:rtl/>
        </w:rPr>
      </w:pPr>
    </w:p>
    <w:p w14:paraId="499F5936" w14:textId="77777777" w:rsidR="00C91B3F" w:rsidRDefault="001300C0">
      <w:pPr>
        <w:spacing w:line="360" w:lineRule="auto"/>
        <w:jc w:val="both"/>
        <w:rPr>
          <w:b/>
          <w:bCs/>
          <w:u w:val="single"/>
          <w:rtl/>
        </w:rPr>
      </w:pPr>
      <w:r>
        <w:rPr>
          <w:b/>
          <w:bCs/>
          <w:u w:val="single"/>
          <w:rtl/>
        </w:rPr>
        <w:t>דיון והכרעה</w:t>
      </w:r>
    </w:p>
    <w:p w14:paraId="012E4363" w14:textId="77777777" w:rsidR="00C91B3F" w:rsidRDefault="001300C0">
      <w:pPr>
        <w:spacing w:line="360" w:lineRule="auto"/>
        <w:ind w:left="720" w:hanging="720"/>
        <w:jc w:val="both"/>
        <w:rPr>
          <w:rtl/>
        </w:rPr>
      </w:pPr>
      <w:r>
        <w:rPr>
          <w:rtl/>
        </w:rPr>
        <w:t xml:space="preserve">9. </w:t>
      </w:r>
      <w:r>
        <w:rPr>
          <w:rtl/>
        </w:rPr>
        <w:tab/>
        <w:t xml:space="preserve">רבות נכתב ודובר אודות הסכנה הטמונה בעבירות נשק, ובפרט כשמדובר בשימוש שנעשה בכלי הנשק במסגרת סכסוך. מעשיו של הנאשם, הן בעצם החזקת הנשק שלא כדין, ועל אחת כמה וכמה בשימוש שנעשה בו, יצרו סיכון כלפי חייהם וגופם של אנשים, ופגעו בסדר הציבורי ובתחושת הביטחון וההגנה של המתלונן ושל כלל תושבי השכונה. </w:t>
      </w:r>
    </w:p>
    <w:p w14:paraId="66DBED7A" w14:textId="77777777" w:rsidR="00C91B3F" w:rsidRDefault="00C91B3F">
      <w:pPr>
        <w:spacing w:line="360" w:lineRule="auto"/>
        <w:jc w:val="both"/>
        <w:rPr>
          <w:rtl/>
        </w:rPr>
      </w:pPr>
    </w:p>
    <w:p w14:paraId="1E324A39" w14:textId="77777777" w:rsidR="00C91B3F" w:rsidRDefault="001300C0">
      <w:pPr>
        <w:spacing w:line="360" w:lineRule="auto"/>
        <w:ind w:left="720" w:hanging="720"/>
        <w:jc w:val="both"/>
        <w:rPr>
          <w:rtl/>
        </w:rPr>
      </w:pPr>
      <w:r>
        <w:rPr>
          <w:rtl/>
        </w:rPr>
        <w:t xml:space="preserve">10. </w:t>
      </w:r>
      <w:r>
        <w:rPr>
          <w:rtl/>
        </w:rPr>
        <w:tab/>
        <w:t>באשר לנסיבות ביצוע העבירות, יש לציין כי עוד טרם ביצוע הירי הנאשם נהג כלפי המתלונן באלימות, מבלי שקדמה למעשיו התגרות מצד המתלונן. הנאשם ירק לעבר המתלונן, קיללו וניסה לפצוע אותו, ולא התעשת אף כשאביו של המתלונן ניגש לברר לפשר מעשיו. לא זאת אף זאת, הנאשם עזב את המקום, הצטייד בנשק וניגש אל מקום הסמוך לבית המתלונן מתוך מטרה וכוונה לירות באוויר, לשם איום והפחדה. במובן זה, אף כי לא נטענה או הוכחה כוונה לפגוע באדם באמצעות הנשק, הרי שיש מקום לבחון התרחשויות צפויות, לרבות על דרך של החרפת העימות בינו לבין המתלונן ובני משפחתו, באופן שהיה יכול להוביל לשימוש בנשק כלפי גופו של אדם. בשל הקלות הבלתי נסבלת של תוצאה מסוג זה, יש מקום להטלת עונשי מאסר גם על מי שמחזיק ונושא נשק שלא כדין מבלי לעשות בו שימוש, ומקל וחומר יש לנקוט גישה מחמירה כלפי המשתמשים בנשק שלא כדין.</w:t>
      </w:r>
    </w:p>
    <w:p w14:paraId="0A56370A" w14:textId="77777777" w:rsidR="00C91B3F" w:rsidRDefault="00C91B3F">
      <w:pPr>
        <w:spacing w:line="360" w:lineRule="auto"/>
        <w:ind w:left="720" w:hanging="720"/>
        <w:jc w:val="both"/>
        <w:rPr>
          <w:rtl/>
        </w:rPr>
      </w:pPr>
    </w:p>
    <w:p w14:paraId="288A354E" w14:textId="77777777" w:rsidR="00C91B3F" w:rsidRDefault="001300C0">
      <w:pPr>
        <w:spacing w:line="360" w:lineRule="auto"/>
        <w:ind w:left="720" w:hanging="720"/>
        <w:jc w:val="both"/>
        <w:rPr>
          <w:rtl/>
        </w:rPr>
      </w:pPr>
      <w:r>
        <w:rPr>
          <w:rtl/>
        </w:rPr>
        <w:t xml:space="preserve">11. </w:t>
      </w:r>
      <w:r>
        <w:rPr>
          <w:rtl/>
        </w:rPr>
        <w:tab/>
        <w:t>סקירת מדיניות הענישה הנהוגה בעבירות נשק בכלל, ובפרט בעבירות של ירי באזור מגורים, מעלה כי מתחם העונש לו עותרת המאשימה במקרה זה הולם את נסיבות המקרה ומשקף נכונה את רוח הפסיקה.</w:t>
      </w:r>
    </w:p>
    <w:p w14:paraId="592BAD6D" w14:textId="77777777" w:rsidR="00C91B3F" w:rsidRDefault="00C91B3F">
      <w:pPr>
        <w:spacing w:line="360" w:lineRule="auto"/>
        <w:ind w:left="26" w:hanging="26"/>
        <w:jc w:val="both"/>
        <w:rPr>
          <w:rtl/>
        </w:rPr>
      </w:pPr>
    </w:p>
    <w:p w14:paraId="7BA9225C" w14:textId="77777777" w:rsidR="00C91B3F" w:rsidRDefault="001300C0">
      <w:pPr>
        <w:spacing w:line="360" w:lineRule="auto"/>
        <w:ind w:left="720" w:hanging="26"/>
        <w:jc w:val="both"/>
        <w:rPr>
          <w:rtl/>
        </w:rPr>
      </w:pPr>
      <w:r>
        <w:rPr>
          <w:rtl/>
        </w:rPr>
        <w:t>כך למשל, ב</w:t>
      </w:r>
      <w:hyperlink r:id="rId20" w:history="1">
        <w:r w:rsidRPr="001300C0">
          <w:rPr>
            <w:color w:val="0000FF"/>
            <w:u w:val="single"/>
            <w:rtl/>
          </w:rPr>
          <w:t>ת"פ (מחוזי נצרת) 35709-03-12</w:t>
        </w:r>
      </w:hyperlink>
      <w:r>
        <w:rPr>
          <w:b/>
          <w:bCs/>
          <w:rtl/>
        </w:rPr>
        <w:t xml:space="preserve"> מדינת ישראל נ' חג'אזי </w:t>
      </w:r>
      <w:r>
        <w:rPr>
          <w:rtl/>
        </w:rPr>
        <w:t xml:space="preserve">(21.01.13) בו הואשמו הנאשמים </w:t>
      </w:r>
      <w:r>
        <w:rPr>
          <w:u w:val="single"/>
          <w:rtl/>
        </w:rPr>
        <w:t>במקרה יחיד של נשיאה והובלה של נשק (ברכב)</w:t>
      </w:r>
      <w:r>
        <w:rPr>
          <w:rtl/>
        </w:rPr>
        <w:t xml:space="preserve">, נקבע על-ידי מתחם ענישה שבין 12 ל-36 חודשי מאסר בפועל. על כל אחד מן הנאשמים שם נגזר בסופו של יום עונש של </w:t>
      </w:r>
      <w:r>
        <w:rPr>
          <w:b/>
          <w:bCs/>
          <w:rtl/>
        </w:rPr>
        <w:t>20 חודשי מאסר בפועל</w:t>
      </w:r>
      <w:r>
        <w:rPr>
          <w:rtl/>
        </w:rPr>
        <w:t>, וזאת תוך הפנייתי למתחם שקבעתי בתיק בו הורשע נאשם לאחר הוכחות בעבירות של נשיאת רובה ותחמושת, הובלתם והחזקתם (</w:t>
      </w:r>
      <w:hyperlink r:id="rId21" w:history="1">
        <w:r w:rsidRPr="001300C0">
          <w:rPr>
            <w:color w:val="0000FF"/>
            <w:u w:val="single"/>
            <w:rtl/>
          </w:rPr>
          <w:t>ת"פ (מחוזי נצרת) 15527-08-10</w:t>
        </w:r>
      </w:hyperlink>
      <w:r>
        <w:rPr>
          <w:rtl/>
        </w:rPr>
        <w:t xml:space="preserve"> </w:t>
      </w:r>
      <w:r>
        <w:rPr>
          <w:b/>
          <w:bCs/>
          <w:rtl/>
        </w:rPr>
        <w:t>מדינת ישראל נ' חסן אבו ליל</w:t>
      </w:r>
      <w:r>
        <w:rPr>
          <w:rtl/>
        </w:rPr>
        <w:t xml:space="preserve"> (12.06.12)) כשהנאשם שם נידון  ל-28 חודשי מאסר. </w:t>
      </w:r>
    </w:p>
    <w:p w14:paraId="2298159D" w14:textId="77777777" w:rsidR="00C91B3F" w:rsidRDefault="00C91B3F">
      <w:pPr>
        <w:spacing w:line="360" w:lineRule="auto"/>
        <w:ind w:left="26" w:hanging="26"/>
        <w:jc w:val="both"/>
        <w:rPr>
          <w:rtl/>
        </w:rPr>
      </w:pPr>
    </w:p>
    <w:p w14:paraId="3F81FAFB" w14:textId="77777777" w:rsidR="00C91B3F" w:rsidRDefault="001300C0">
      <w:pPr>
        <w:spacing w:line="360" w:lineRule="auto"/>
        <w:ind w:left="694"/>
        <w:jc w:val="both"/>
        <w:rPr>
          <w:rtl/>
        </w:rPr>
      </w:pPr>
      <w:r>
        <w:rPr>
          <w:rtl/>
        </w:rPr>
        <w:t>ב</w:t>
      </w:r>
      <w:hyperlink r:id="rId22" w:history="1">
        <w:r w:rsidRPr="001300C0">
          <w:rPr>
            <w:color w:val="0000FF"/>
            <w:u w:val="single"/>
            <w:rtl/>
          </w:rPr>
          <w:t>ת"פ (מחוזי נצרת) 12251-11-11</w:t>
        </w:r>
      </w:hyperlink>
      <w:r>
        <w:rPr>
          <w:b/>
          <w:bCs/>
          <w:rtl/>
        </w:rPr>
        <w:t xml:space="preserve"> מדינת ישראל נ' אחמד </w:t>
      </w:r>
      <w:r>
        <w:rPr>
          <w:rtl/>
        </w:rPr>
        <w:t xml:space="preserve">(13.09.12) נאשם 1 הורשע בעבירות של </w:t>
      </w:r>
      <w:r>
        <w:rPr>
          <w:u w:val="single"/>
          <w:rtl/>
        </w:rPr>
        <w:t>החזקת אקדח (שני מקרים), נשיאה (שני מקרים) וירי באזור מגורים (בחתונה</w:t>
      </w:r>
      <w:r>
        <w:rPr>
          <w:rtl/>
        </w:rPr>
        <w:t xml:space="preserve">) ונגזר עליו עונש מאסר של </w:t>
      </w:r>
      <w:r>
        <w:rPr>
          <w:b/>
          <w:bCs/>
          <w:rtl/>
        </w:rPr>
        <w:t>26 חודשים בפועל</w:t>
      </w:r>
      <w:r>
        <w:rPr>
          <w:rtl/>
        </w:rPr>
        <w:t>.</w:t>
      </w:r>
    </w:p>
    <w:p w14:paraId="78864BF1" w14:textId="77777777" w:rsidR="00C91B3F" w:rsidRDefault="00C91B3F">
      <w:pPr>
        <w:spacing w:line="360" w:lineRule="auto"/>
        <w:ind w:left="720" w:hanging="720"/>
        <w:jc w:val="both"/>
        <w:rPr>
          <w:rtl/>
        </w:rPr>
      </w:pPr>
    </w:p>
    <w:p w14:paraId="531C57CF" w14:textId="77777777" w:rsidR="00C91B3F" w:rsidRDefault="001300C0">
      <w:pPr>
        <w:spacing w:line="360" w:lineRule="auto"/>
        <w:ind w:left="694"/>
        <w:jc w:val="both"/>
        <w:rPr>
          <w:rtl/>
        </w:rPr>
      </w:pPr>
      <w:r>
        <w:rPr>
          <w:rtl/>
        </w:rPr>
        <w:t>ב</w:t>
      </w:r>
      <w:hyperlink r:id="rId23" w:history="1">
        <w:r w:rsidRPr="001300C0">
          <w:rPr>
            <w:color w:val="0000FF"/>
            <w:u w:val="single"/>
            <w:rtl/>
          </w:rPr>
          <w:t>ת"פ (מחוזי נצרת) 21113-08-12</w:t>
        </w:r>
      </w:hyperlink>
      <w:r>
        <w:rPr>
          <w:rtl/>
        </w:rPr>
        <w:t xml:space="preserve"> </w:t>
      </w:r>
      <w:r>
        <w:rPr>
          <w:b/>
          <w:bCs/>
          <w:rtl/>
        </w:rPr>
        <w:t xml:space="preserve">מדינת ישראל נ' כנאנה </w:t>
      </w:r>
      <w:r>
        <w:rPr>
          <w:rtl/>
        </w:rPr>
        <w:t xml:space="preserve">(27.11.12) הורשע נאשם בעבירות של </w:t>
      </w:r>
      <w:r>
        <w:rPr>
          <w:u w:val="single"/>
          <w:rtl/>
        </w:rPr>
        <w:t>החזקת נשק, ניסיון פציעה וירי באזור מגורים</w:t>
      </w:r>
      <w:r>
        <w:rPr>
          <w:rtl/>
        </w:rPr>
        <w:t>, ולאחר שקבעתי מתחם ענישה שבין 12 ל-36 חודשי מאסר, גזרתי את דינו ל-</w:t>
      </w:r>
      <w:r>
        <w:rPr>
          <w:b/>
          <w:bCs/>
          <w:rtl/>
        </w:rPr>
        <w:t>12 חודשי מאסר בפועל</w:t>
      </w:r>
      <w:r>
        <w:rPr>
          <w:rtl/>
        </w:rPr>
        <w:t xml:space="preserve">. יצוין כי במסגרת הסדר הטיעון בתיק זה סוכם כי התביעה תטען לעונש ראוי של 15 חודשי מאסר (על רקע קשיים ראייתים בתיק). עוד יצוין כי הנאשם שם היה בעל עבר פלילי לא מכביד, ואדם נורמטיבי ככלל.   </w:t>
      </w:r>
    </w:p>
    <w:p w14:paraId="01617266" w14:textId="77777777" w:rsidR="00C91B3F" w:rsidRDefault="00C91B3F">
      <w:pPr>
        <w:spacing w:line="360" w:lineRule="auto"/>
        <w:ind w:left="720" w:hanging="720"/>
        <w:jc w:val="both"/>
        <w:rPr>
          <w:rtl/>
        </w:rPr>
      </w:pPr>
    </w:p>
    <w:p w14:paraId="126E7080" w14:textId="77777777" w:rsidR="00C91B3F" w:rsidRDefault="001300C0">
      <w:pPr>
        <w:spacing w:line="360" w:lineRule="auto"/>
        <w:ind w:left="694"/>
        <w:jc w:val="both"/>
        <w:rPr>
          <w:rtl/>
        </w:rPr>
      </w:pPr>
      <w:r>
        <w:rPr>
          <w:rtl/>
        </w:rPr>
        <w:t>ב</w:t>
      </w:r>
      <w:hyperlink r:id="rId24" w:history="1">
        <w:r w:rsidRPr="001300C0">
          <w:rPr>
            <w:color w:val="0000FF"/>
            <w:u w:val="single"/>
            <w:rtl/>
          </w:rPr>
          <w:t>ע"פ 6989/13</w:t>
        </w:r>
      </w:hyperlink>
      <w:r>
        <w:rPr>
          <w:rtl/>
        </w:rPr>
        <w:t xml:space="preserve"> </w:t>
      </w:r>
      <w:r>
        <w:rPr>
          <w:b/>
          <w:bCs/>
          <w:rtl/>
        </w:rPr>
        <w:t>חנא פרח נ' מדינת ישראל</w:t>
      </w:r>
      <w:r>
        <w:rPr>
          <w:rtl/>
        </w:rPr>
        <w:t xml:space="preserve"> (25.02.14) נדחה ערעורו של נאשם אשר הורשע בעבירות של </w:t>
      </w:r>
      <w:r>
        <w:rPr>
          <w:u w:val="single"/>
          <w:rtl/>
        </w:rPr>
        <w:t>ירי באזור מגורים והחזקה ונשיאת נשק</w:t>
      </w:r>
      <w:r>
        <w:rPr>
          <w:rtl/>
        </w:rPr>
        <w:t xml:space="preserve">, וכן בעבירות (אישום נוסף) של </w:t>
      </w:r>
      <w:r>
        <w:rPr>
          <w:u w:val="single"/>
          <w:rtl/>
        </w:rPr>
        <w:t>תקיפת שוטר ונהיגה בשכרות</w:t>
      </w:r>
      <w:r>
        <w:rPr>
          <w:rtl/>
        </w:rPr>
        <w:t xml:space="preserve">. בית המשפט המחוזי העמיד את מתחם הענישה לגבי עבירות הנשק בין 12 ל-24 חודשי מאסר בפועל, וגזר על המערער עונש כולל של </w:t>
      </w:r>
      <w:r>
        <w:rPr>
          <w:b/>
          <w:bCs/>
          <w:rtl/>
        </w:rPr>
        <w:t>13 חודשי מאסר בפועל</w:t>
      </w:r>
      <w:r>
        <w:rPr>
          <w:rtl/>
        </w:rPr>
        <w:t>. בית-המשפט העליון אישר קביעותיו של בית המשפט המחוזי, דחה את הערעור וקבע כי עיון בפסיקה מלמד כי העונש אינו חורג מרף הענישה המקובל.</w:t>
      </w:r>
    </w:p>
    <w:p w14:paraId="31DE8FE1" w14:textId="77777777" w:rsidR="00C91B3F" w:rsidRDefault="00C91B3F">
      <w:pPr>
        <w:spacing w:line="360" w:lineRule="auto"/>
        <w:ind w:left="720" w:hanging="720"/>
        <w:jc w:val="both"/>
        <w:rPr>
          <w:rtl/>
        </w:rPr>
      </w:pPr>
    </w:p>
    <w:p w14:paraId="4242849D" w14:textId="77777777" w:rsidR="00C91B3F" w:rsidRDefault="001300C0">
      <w:pPr>
        <w:spacing w:line="360" w:lineRule="auto"/>
        <w:ind w:left="694" w:hanging="668"/>
        <w:jc w:val="both"/>
        <w:rPr>
          <w:rtl/>
        </w:rPr>
      </w:pPr>
      <w:r>
        <w:rPr>
          <w:rtl/>
        </w:rPr>
        <w:t xml:space="preserve">12. </w:t>
      </w:r>
      <w:r>
        <w:rPr>
          <w:rtl/>
        </w:rPr>
        <w:tab/>
        <w:t xml:space="preserve">כאמור, בהינתן נסיבותיו של המקרה דנן ובהשוואה למדיניות הענישה הנוהגת, אני סבור כי </w:t>
      </w:r>
      <w:r>
        <w:rPr>
          <w:b/>
          <w:bCs/>
          <w:u w:val="single"/>
          <w:rtl/>
        </w:rPr>
        <w:t>מתחם הענישה ההולם במקרה זה נע בין 12 ל-36 חודשי מאסר בפועל</w:t>
      </w:r>
      <w:r>
        <w:rPr>
          <w:rtl/>
        </w:rPr>
        <w:t>.</w:t>
      </w:r>
    </w:p>
    <w:p w14:paraId="0CE66360" w14:textId="77777777" w:rsidR="00C91B3F" w:rsidRDefault="00C91B3F">
      <w:pPr>
        <w:spacing w:line="360" w:lineRule="auto"/>
        <w:ind w:left="720" w:hanging="720"/>
        <w:jc w:val="both"/>
        <w:rPr>
          <w:rtl/>
        </w:rPr>
      </w:pPr>
    </w:p>
    <w:p w14:paraId="7D7F1E0E" w14:textId="77777777" w:rsidR="00C91B3F" w:rsidRDefault="001300C0">
      <w:pPr>
        <w:spacing w:line="360" w:lineRule="auto"/>
        <w:ind w:left="694" w:hanging="668"/>
        <w:jc w:val="both"/>
        <w:rPr>
          <w:rtl/>
        </w:rPr>
      </w:pPr>
      <w:r>
        <w:rPr>
          <w:rtl/>
        </w:rPr>
        <w:t xml:space="preserve">13. </w:t>
      </w:r>
      <w:r>
        <w:rPr>
          <w:rtl/>
        </w:rPr>
        <w:tab/>
        <w:t>באשר לנסיבותיו של הנאשם, מתוך התחשבות בגיליונו "הנקי", בגילו הצעיר, הודאתו בעובדות כתב האישום, וכן בחלקו בפרנסת משפחתו ובנכונותו לפצות את נפגע העבירה, מצאתי לנכון לכבד את הסדר הטיעון ולהטיל על הנאשם עונש המצוי ברף התחתון של מתחם הענישה הראוי.</w:t>
      </w:r>
    </w:p>
    <w:p w14:paraId="10B10A88" w14:textId="77777777" w:rsidR="00C91B3F" w:rsidRDefault="001300C0">
      <w:pPr>
        <w:spacing w:line="360" w:lineRule="auto"/>
        <w:ind w:left="26"/>
        <w:jc w:val="both"/>
        <w:rPr>
          <w:rtl/>
        </w:rPr>
      </w:pPr>
      <w:r>
        <w:rPr>
          <w:rtl/>
        </w:rPr>
        <w:t xml:space="preserve"> </w:t>
      </w:r>
    </w:p>
    <w:p w14:paraId="72EDB83A" w14:textId="77777777" w:rsidR="00C91B3F" w:rsidRDefault="001300C0">
      <w:pPr>
        <w:spacing w:line="360" w:lineRule="auto"/>
        <w:ind w:left="26"/>
        <w:jc w:val="both"/>
        <w:rPr>
          <w:rtl/>
        </w:rPr>
      </w:pPr>
      <w:r>
        <w:rPr>
          <w:rtl/>
        </w:rPr>
        <w:t xml:space="preserve">14. </w:t>
      </w:r>
      <w:r>
        <w:rPr>
          <w:rtl/>
        </w:rPr>
        <w:tab/>
        <w:t xml:space="preserve">לסיכום דבריי, אני </w:t>
      </w:r>
      <w:r>
        <w:rPr>
          <w:rFonts w:hint="cs"/>
          <w:rtl/>
        </w:rPr>
        <w:t>גוזר</w:t>
      </w:r>
      <w:r>
        <w:rPr>
          <w:rtl/>
        </w:rPr>
        <w:t xml:space="preserve"> על הנאשם את העונשים הבאים:</w:t>
      </w:r>
    </w:p>
    <w:p w14:paraId="24C18B73" w14:textId="77777777" w:rsidR="00C91B3F" w:rsidRDefault="001300C0">
      <w:pPr>
        <w:spacing w:line="360" w:lineRule="auto"/>
        <w:ind w:left="1436" w:hanging="720"/>
        <w:jc w:val="both"/>
        <w:rPr>
          <w:rtl/>
        </w:rPr>
      </w:pPr>
      <w:r>
        <w:rPr>
          <w:rtl/>
        </w:rPr>
        <w:t>א.</w:t>
      </w:r>
      <w:r>
        <w:rPr>
          <w:rtl/>
        </w:rPr>
        <w:tab/>
      </w:r>
      <w:r>
        <w:rPr>
          <w:rFonts w:hint="cs"/>
          <w:rtl/>
        </w:rPr>
        <w:t>אני דן את הנאשם ל</w:t>
      </w:r>
      <w:r>
        <w:rPr>
          <w:rtl/>
        </w:rPr>
        <w:t xml:space="preserve">שלושה עשר וחצי חודשי מאסר </w:t>
      </w:r>
      <w:r>
        <w:rPr>
          <w:rFonts w:hint="cs"/>
          <w:rtl/>
        </w:rPr>
        <w:t xml:space="preserve">לריצוי </w:t>
      </w:r>
      <w:r>
        <w:rPr>
          <w:rtl/>
        </w:rPr>
        <w:t>בפועל בניכוי ימי מעצרו, בתאריכים:</w:t>
      </w:r>
      <w:r>
        <w:rPr>
          <w:rFonts w:hint="cs"/>
          <w:rtl/>
        </w:rPr>
        <w:t xml:space="preserve"> </w:t>
      </w:r>
      <w:r>
        <w:rPr>
          <w:rtl/>
        </w:rPr>
        <w:t xml:space="preserve">מיום 10.02.13 ועד ליום 19.03.13; </w:t>
      </w:r>
      <w:r>
        <w:rPr>
          <w:rFonts w:hint="cs"/>
          <w:rtl/>
        </w:rPr>
        <w:t>ו</w:t>
      </w:r>
      <w:r>
        <w:rPr>
          <w:rtl/>
        </w:rPr>
        <w:t xml:space="preserve">מיום 11.08.13 ועד ליום 12.08.13; </w:t>
      </w:r>
      <w:r>
        <w:rPr>
          <w:rFonts w:hint="cs"/>
          <w:rtl/>
        </w:rPr>
        <w:t>ו</w:t>
      </w:r>
      <w:bookmarkStart w:id="7" w:name="_GoBack"/>
      <w:bookmarkEnd w:id="7"/>
      <w:r>
        <w:rPr>
          <w:rtl/>
        </w:rPr>
        <w:t>מיום 21.10.13 ועד היום.</w:t>
      </w:r>
    </w:p>
    <w:p w14:paraId="300F705A" w14:textId="77777777" w:rsidR="00C91B3F" w:rsidRDefault="001300C0">
      <w:pPr>
        <w:spacing w:line="360" w:lineRule="auto"/>
        <w:ind w:left="1436" w:hanging="716"/>
        <w:jc w:val="both"/>
        <w:rPr>
          <w:rtl/>
        </w:rPr>
      </w:pPr>
      <w:r>
        <w:rPr>
          <w:rtl/>
        </w:rPr>
        <w:t>ב.</w:t>
      </w:r>
      <w:r>
        <w:rPr>
          <w:rtl/>
        </w:rPr>
        <w:tab/>
        <w:t>עשרה חודשי מאסר על תנאי למשך שנתיים, והתנאי הוא שהנאשם לא יבצע בפרק זמן זה עבירת נשק או אלימות, לרבות איומים, שיורשע בגינה.</w:t>
      </w:r>
    </w:p>
    <w:p w14:paraId="5B5601AA" w14:textId="77777777" w:rsidR="00C91B3F" w:rsidRDefault="001300C0">
      <w:pPr>
        <w:spacing w:line="360" w:lineRule="auto"/>
        <w:ind w:left="1436" w:hanging="720"/>
        <w:jc w:val="both"/>
        <w:rPr>
          <w:rFonts w:ascii="Calibri" w:hAnsi="Calibri"/>
          <w:rtl/>
        </w:rPr>
      </w:pPr>
      <w:r>
        <w:rPr>
          <w:rtl/>
        </w:rPr>
        <w:t>ג.</w:t>
      </w:r>
      <w:r>
        <w:rPr>
          <w:rtl/>
        </w:rPr>
        <w:tab/>
        <w:t>אני מחייב את הנאשם לפצות את המתלונן בסכום של 10,000 ₪.</w:t>
      </w:r>
      <w:r>
        <w:rPr>
          <w:rFonts w:hint="cs"/>
          <w:rtl/>
        </w:rPr>
        <w:t xml:space="preserve"> סכום זה יופקד בקופת ביהמ"ש בתוך 90 יום מיום סיום ריצוי עונשו. ב"כ המאשימה תעביר למזכירות ביהמ"</w:t>
      </w:r>
      <w:r>
        <w:rPr>
          <w:rFonts w:ascii="Calibri" w:hAnsi="Calibri" w:hint="cs"/>
          <w:rtl/>
        </w:rPr>
        <w:t>ש</w:t>
      </w:r>
      <w:r>
        <w:rPr>
          <w:rFonts w:ascii="Calibri" w:hAnsi="Calibri"/>
        </w:rPr>
        <w:t xml:space="preserve"> </w:t>
      </w:r>
      <w:r>
        <w:rPr>
          <w:rFonts w:ascii="Calibri" w:hAnsi="Calibri" w:hint="cs"/>
          <w:rtl/>
        </w:rPr>
        <w:t xml:space="preserve">את פרטי המתלונן. </w:t>
      </w:r>
    </w:p>
    <w:p w14:paraId="0D8AAFDA" w14:textId="77777777" w:rsidR="00C91B3F" w:rsidRDefault="00C91B3F">
      <w:pPr>
        <w:spacing w:line="360" w:lineRule="auto"/>
        <w:ind w:left="26"/>
        <w:jc w:val="both"/>
        <w:rPr>
          <w:rtl/>
        </w:rPr>
      </w:pPr>
    </w:p>
    <w:p w14:paraId="1C88F08D" w14:textId="77777777" w:rsidR="00C91B3F" w:rsidRDefault="001300C0">
      <w:pPr>
        <w:spacing w:line="360" w:lineRule="auto"/>
        <w:ind w:left="26"/>
        <w:jc w:val="both"/>
        <w:rPr>
          <w:b/>
          <w:bCs/>
          <w:u w:val="single"/>
        </w:rPr>
      </w:pPr>
      <w:r>
        <w:rPr>
          <w:b/>
          <w:bCs/>
          <w:u w:val="single"/>
          <w:rtl/>
        </w:rPr>
        <w:t xml:space="preserve">זכות ערעור לבית המשפט העליון בתוך 45 יום מהיום. </w:t>
      </w:r>
    </w:p>
    <w:p w14:paraId="4C810718" w14:textId="77777777" w:rsidR="00C91B3F" w:rsidRDefault="001300C0">
      <w:pPr>
        <w:spacing w:line="360" w:lineRule="auto"/>
        <w:ind w:left="26"/>
        <w:jc w:val="both"/>
        <w:rPr>
          <w:b/>
          <w:bCs/>
          <w:sz w:val="6"/>
          <w:szCs w:val="6"/>
        </w:rPr>
      </w:pPr>
      <w:r>
        <w:rPr>
          <w:b/>
          <w:bCs/>
          <w:sz w:val="6"/>
          <w:szCs w:val="6"/>
          <w:rtl/>
        </w:rPr>
        <w:t>&lt;#4#&gt;</w:t>
      </w:r>
    </w:p>
    <w:p w14:paraId="0CFA1490" w14:textId="77777777" w:rsidR="00C91B3F" w:rsidRDefault="00C91B3F">
      <w:pPr>
        <w:jc w:val="right"/>
        <w:rPr>
          <w:rtl/>
        </w:rPr>
      </w:pPr>
    </w:p>
    <w:p w14:paraId="70F3A0EA" w14:textId="77777777" w:rsidR="00C91B3F" w:rsidRDefault="001300C0">
      <w:pPr>
        <w:spacing w:line="360" w:lineRule="auto"/>
        <w:jc w:val="both"/>
        <w:rPr>
          <w:rtl/>
        </w:rPr>
      </w:pPr>
      <w:r w:rsidRPr="001300C0">
        <w:rPr>
          <w:b/>
          <w:bCs/>
          <w:color w:val="FFFFFF"/>
          <w:sz w:val="2"/>
          <w:szCs w:val="2"/>
          <w:rtl/>
        </w:rPr>
        <w:t>5129371</w:t>
      </w:r>
      <w:r>
        <w:rPr>
          <w:b/>
          <w:bCs/>
          <w:rtl/>
        </w:rPr>
        <w:t xml:space="preserve">ניתנה והודעה היום א' אדר ב תשע"ד, 03/03/2014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91B3F" w14:paraId="0A8815A5" w14:textId="77777777">
        <w:trPr>
          <w:trHeight w:val="364"/>
          <w:jc w:val="right"/>
        </w:trPr>
        <w:tc>
          <w:tcPr>
            <w:tcW w:w="3708" w:type="dxa"/>
          </w:tcPr>
          <w:p w14:paraId="4D713196" w14:textId="77777777" w:rsidR="00C91B3F" w:rsidRPr="001300C0" w:rsidRDefault="001300C0">
            <w:pPr>
              <w:jc w:val="center"/>
              <w:rPr>
                <w:rFonts w:ascii="Times New Roman" w:eastAsia="Times New Roman" w:hAnsi="Times New Roman" w:cs="Times New Roman"/>
                <w:color w:val="FFFFFF"/>
                <w:sz w:val="2"/>
                <w:szCs w:val="2"/>
                <w:rtl/>
              </w:rPr>
            </w:pPr>
            <w:r w:rsidRPr="001300C0">
              <w:rPr>
                <w:rFonts w:ascii="Times New Roman" w:eastAsia="Times New Roman" w:hAnsi="Times New Roman" w:cs="Times New Roman"/>
                <w:color w:val="FFFFFF"/>
                <w:sz w:val="2"/>
                <w:szCs w:val="2"/>
                <w:rtl/>
              </w:rPr>
              <w:t>54678313</w:t>
            </w:r>
          </w:p>
        </w:tc>
      </w:tr>
      <w:tr w:rsidR="00C91B3F" w14:paraId="6FD4F2AB" w14:textId="77777777">
        <w:trPr>
          <w:trHeight w:val="415"/>
          <w:jc w:val="right"/>
        </w:trPr>
        <w:tc>
          <w:tcPr>
            <w:tcW w:w="3708" w:type="dxa"/>
          </w:tcPr>
          <w:p w14:paraId="21B31FBA" w14:textId="77777777" w:rsidR="00C91B3F" w:rsidRDefault="001300C0">
            <w:pPr>
              <w:jc w:val="center"/>
              <w:rPr>
                <w:rFonts w:ascii="Times New Roman" w:eastAsia="Times New Roman" w:hAnsi="Times New Roman"/>
                <w:b/>
                <w:bCs/>
                <w:rtl/>
              </w:rPr>
            </w:pPr>
            <w:r>
              <w:rPr>
                <w:rFonts w:ascii="Times New Roman" w:eastAsia="Times New Roman" w:hAnsi="Times New Roman" w:hint="cs"/>
                <w:rtl/>
              </w:rPr>
              <w:t>תאופיק</w:t>
            </w:r>
            <w:r>
              <w:rPr>
                <w:rFonts w:ascii="Times New Roman" w:eastAsia="Times New Roman" w:hAnsi="Times New Roman" w:hint="cs"/>
                <w:b/>
                <w:bCs/>
                <w:rtl/>
              </w:rPr>
              <w:t xml:space="preserve"> </w:t>
            </w:r>
            <w:r>
              <w:rPr>
                <w:rFonts w:ascii="Times New Roman" w:eastAsia="Times New Roman" w:hAnsi="Times New Roman" w:hint="cs"/>
                <w:rtl/>
              </w:rPr>
              <w:t>כתילי</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576E6AA1" w14:textId="77777777" w:rsidR="00C91B3F" w:rsidRDefault="00C91B3F">
      <w:pPr>
        <w:spacing w:line="360" w:lineRule="auto"/>
        <w:jc w:val="both"/>
        <w:rPr>
          <w:rtl/>
        </w:rPr>
      </w:pPr>
    </w:p>
    <w:p w14:paraId="41FD7A87" w14:textId="77777777" w:rsidR="001300C0" w:rsidRPr="001300C0" w:rsidRDefault="001300C0" w:rsidP="001300C0">
      <w:pPr>
        <w:keepNext/>
        <w:rPr>
          <w:color w:val="000000"/>
          <w:sz w:val="22"/>
          <w:szCs w:val="22"/>
          <w:rtl/>
        </w:rPr>
      </w:pPr>
    </w:p>
    <w:p w14:paraId="3452774B" w14:textId="77777777" w:rsidR="001300C0" w:rsidRPr="001300C0" w:rsidRDefault="001300C0" w:rsidP="001300C0">
      <w:pPr>
        <w:keepNext/>
        <w:rPr>
          <w:color w:val="000000"/>
          <w:sz w:val="22"/>
          <w:szCs w:val="22"/>
          <w:rtl/>
        </w:rPr>
      </w:pPr>
      <w:r w:rsidRPr="001300C0">
        <w:rPr>
          <w:color w:val="000000"/>
          <w:sz w:val="22"/>
          <w:szCs w:val="22"/>
          <w:rtl/>
        </w:rPr>
        <w:t>תאופיק כתילי 54678313</w:t>
      </w:r>
    </w:p>
    <w:p w14:paraId="5AB74173" w14:textId="77777777" w:rsidR="001300C0" w:rsidRDefault="001300C0" w:rsidP="001300C0">
      <w:r w:rsidRPr="001300C0">
        <w:rPr>
          <w:color w:val="000000"/>
          <w:rtl/>
        </w:rPr>
        <w:t>נוסח מסמך זה כפוף לשינויי ניסוח ועריכה</w:t>
      </w:r>
    </w:p>
    <w:p w14:paraId="4356C460" w14:textId="77777777" w:rsidR="001300C0" w:rsidRDefault="001300C0" w:rsidP="001300C0">
      <w:pPr>
        <w:rPr>
          <w:rtl/>
        </w:rPr>
      </w:pPr>
    </w:p>
    <w:p w14:paraId="72B86A6B" w14:textId="77777777" w:rsidR="001300C0" w:rsidRDefault="001300C0" w:rsidP="001300C0">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27D77904" w14:textId="77777777" w:rsidR="00C91B3F" w:rsidRPr="001300C0" w:rsidRDefault="00C91B3F" w:rsidP="001300C0">
      <w:pPr>
        <w:jc w:val="center"/>
        <w:rPr>
          <w:color w:val="0000FF"/>
          <w:u w:val="single"/>
        </w:rPr>
      </w:pPr>
    </w:p>
    <w:sectPr w:rsidR="00C91B3F" w:rsidRPr="001300C0" w:rsidSect="001300C0">
      <w:headerReference w:type="even" r:id="rId26"/>
      <w:headerReference w:type="default" r:id="rId27"/>
      <w:footerReference w:type="even" r:id="rId28"/>
      <w:footerReference w:type="default" r:id="rId2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1ADB1" w14:textId="77777777" w:rsidR="001E1CBF" w:rsidRPr="00D51FCB" w:rsidRDefault="001E1CBF">
      <w:pPr>
        <w:rPr>
          <w:rFonts w:cs="Arial"/>
          <w:szCs w:val="20"/>
        </w:rPr>
      </w:pPr>
      <w:r>
        <w:separator/>
      </w:r>
    </w:p>
  </w:endnote>
  <w:endnote w:type="continuationSeparator" w:id="0">
    <w:p w14:paraId="273747F2" w14:textId="77777777" w:rsidR="001E1CBF" w:rsidRPr="00D51FCB" w:rsidRDefault="001E1CB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2B81E" w14:textId="77777777" w:rsidR="001300C0" w:rsidRDefault="001300C0" w:rsidP="001300C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1ADE6424" w14:textId="77777777" w:rsidR="00C91B3F" w:rsidRPr="001300C0" w:rsidRDefault="001300C0" w:rsidP="001300C0">
    <w:pPr>
      <w:pStyle w:val="a4"/>
      <w:pBdr>
        <w:top w:val="single" w:sz="4" w:space="1" w:color="auto"/>
        <w:between w:val="single" w:sz="4" w:space="0" w:color="auto"/>
      </w:pBdr>
      <w:spacing w:after="60"/>
      <w:jc w:val="center"/>
      <w:rPr>
        <w:rFonts w:ascii="FrankRuehl" w:hAnsi="FrankRuehl" w:cs="FrankRuehl"/>
        <w:color w:val="000000"/>
      </w:rPr>
    </w:pPr>
    <w:r w:rsidRPr="001300C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9FB23" w14:textId="77777777" w:rsidR="001300C0" w:rsidRDefault="001300C0" w:rsidP="001300C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51314">
      <w:rPr>
        <w:rFonts w:ascii="FrankRuehl" w:hAnsi="FrankRuehl" w:cs="FrankRuehl"/>
        <w:noProof/>
        <w:rtl/>
      </w:rPr>
      <w:t>1</w:t>
    </w:r>
    <w:r>
      <w:rPr>
        <w:rFonts w:ascii="FrankRuehl" w:hAnsi="FrankRuehl" w:cs="FrankRuehl"/>
        <w:rtl/>
      </w:rPr>
      <w:fldChar w:fldCharType="end"/>
    </w:r>
  </w:p>
  <w:p w14:paraId="3F242C48" w14:textId="77777777" w:rsidR="00C91B3F" w:rsidRPr="001300C0" w:rsidRDefault="001300C0" w:rsidP="001300C0">
    <w:pPr>
      <w:pStyle w:val="a4"/>
      <w:pBdr>
        <w:top w:val="single" w:sz="4" w:space="1" w:color="auto"/>
        <w:between w:val="single" w:sz="4" w:space="0" w:color="auto"/>
      </w:pBdr>
      <w:spacing w:after="60"/>
      <w:jc w:val="center"/>
      <w:rPr>
        <w:rFonts w:ascii="FrankRuehl" w:hAnsi="FrankRuehl" w:cs="FrankRuehl"/>
        <w:color w:val="000000"/>
      </w:rPr>
    </w:pPr>
    <w:r w:rsidRPr="001300C0">
      <w:rPr>
        <w:rFonts w:ascii="FrankRuehl" w:hAnsi="FrankRuehl" w:cs="FrankRuehl"/>
        <w:color w:val="000000"/>
      </w:rPr>
      <w:pict w14:anchorId="5B518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6D5E3" w14:textId="77777777" w:rsidR="001E1CBF" w:rsidRPr="00D51FCB" w:rsidRDefault="001E1CBF">
      <w:pPr>
        <w:rPr>
          <w:rFonts w:cs="Arial"/>
          <w:szCs w:val="20"/>
        </w:rPr>
      </w:pPr>
      <w:r>
        <w:separator/>
      </w:r>
    </w:p>
  </w:footnote>
  <w:footnote w:type="continuationSeparator" w:id="0">
    <w:p w14:paraId="5D4F5EB0" w14:textId="77777777" w:rsidR="001E1CBF" w:rsidRPr="00D51FCB" w:rsidRDefault="001E1CB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72D19" w14:textId="77777777" w:rsidR="001300C0" w:rsidRPr="001300C0" w:rsidRDefault="001300C0" w:rsidP="001300C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45550-02-13</w:t>
    </w:r>
    <w:r>
      <w:rPr>
        <w:color w:val="000000"/>
        <w:sz w:val="22"/>
        <w:szCs w:val="22"/>
        <w:rtl/>
      </w:rPr>
      <w:tab/>
      <w:t xml:space="preserve"> מדינת ישראל נ' פאוזי איוב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751BC" w14:textId="77777777" w:rsidR="001300C0" w:rsidRPr="001300C0" w:rsidRDefault="001300C0" w:rsidP="001300C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45550-02-13</w:t>
    </w:r>
    <w:r>
      <w:rPr>
        <w:color w:val="000000"/>
        <w:sz w:val="22"/>
        <w:szCs w:val="22"/>
        <w:rtl/>
      </w:rPr>
      <w:tab/>
      <w:t xml:space="preserve"> מדינת ישראל נ' פאוזי איוב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91B3F"/>
    <w:rsid w:val="001300C0"/>
    <w:rsid w:val="001E1CBF"/>
    <w:rsid w:val="006B622B"/>
    <w:rsid w:val="00713239"/>
    <w:rsid w:val="008346CF"/>
    <w:rsid w:val="00C91B3F"/>
    <w:rsid w:val="00F513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9B5986"/>
  <w15:chartTrackingRefBased/>
  <w15:docId w15:val="{3A2E8DF1-5E25-4013-90C8-4516C368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1B3F"/>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91B3F"/>
    <w:pPr>
      <w:tabs>
        <w:tab w:val="center" w:pos="4153"/>
        <w:tab w:val="right" w:pos="8306"/>
      </w:tabs>
    </w:pPr>
  </w:style>
  <w:style w:type="paragraph" w:styleId="a4">
    <w:name w:val="footer"/>
    <w:basedOn w:val="a"/>
    <w:rsid w:val="00C91B3F"/>
    <w:pPr>
      <w:tabs>
        <w:tab w:val="center" w:pos="4153"/>
        <w:tab w:val="right" w:pos="8306"/>
      </w:tabs>
    </w:pPr>
  </w:style>
  <w:style w:type="character" w:styleId="a5">
    <w:name w:val="page number"/>
    <w:basedOn w:val="a0"/>
    <w:rsid w:val="00C91B3F"/>
  </w:style>
  <w:style w:type="paragraph" w:customStyle="1" w:styleId="12">
    <w:name w:val="רגיל + ‏12 נק'"/>
    <w:aliases w:val="מיושר לשני הצדדים,מרווח בין שורות:  שורה וחצי"/>
    <w:basedOn w:val="a"/>
    <w:rsid w:val="00C91B3F"/>
    <w:rPr>
      <w:rFonts w:ascii="Times New Roman" w:eastAsia="Times New Roman" w:hAnsi="Times New Roman"/>
      <w:b/>
      <w:bCs/>
      <w:u w:val="single"/>
    </w:rPr>
  </w:style>
  <w:style w:type="character" w:styleId="a6">
    <w:name w:val="line number"/>
    <w:basedOn w:val="a0"/>
    <w:rsid w:val="00C91B3F"/>
  </w:style>
  <w:style w:type="character" w:styleId="Hyperlink">
    <w:name w:val="Hyperlink"/>
    <w:basedOn w:val="a0"/>
    <w:rsid w:val="001300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334"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inks/psika/?NEWPROC=&#1514;&#1508;&amp;NEWPARTA=15527&amp;NEWPARTB=08&amp;NEWPARTC=10" TargetMode="External"/><Relationship Id="rId7" Type="http://schemas.openxmlformats.org/officeDocument/2006/relationships/hyperlink" Target="http://www.nevo.co.il/law/70301/25" TargetMode="External"/><Relationship Id="rId12" Type="http://schemas.openxmlformats.org/officeDocument/2006/relationships/hyperlink" Target="http://www.nevo.co.il/law/70301/340a" TargetMode="External"/><Relationship Id="rId17" Type="http://schemas.openxmlformats.org/officeDocument/2006/relationships/hyperlink" Target="http://www.nevo.co.il/law/70301/192"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70301/340a" TargetMode="External"/><Relationship Id="rId20" Type="http://schemas.openxmlformats.org/officeDocument/2006/relationships/hyperlink" Target="http://www.nevo.co.il/links/psika/?NEWPROC=&#1514;&#1508;&amp;NEWPARTA=35709&amp;NEWPARTB=03&amp;NEWPARTC=12"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34" TargetMode="External"/><Relationship Id="rId24" Type="http://schemas.openxmlformats.org/officeDocument/2006/relationships/hyperlink" Target="http://www.nevo.co.il/links/psika/?link=&#1506;&#1508;%206989/13" TargetMode="Externa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inks/psika/?NEWPROC=&#1514;&#1508;&amp;NEWPARTA=21113&amp;NEWPARTB=08&amp;NEWPARTC=12" TargetMode="External"/><Relationship Id="rId28" Type="http://schemas.openxmlformats.org/officeDocument/2006/relationships/footer" Target="footer1.xml"/><Relationship Id="rId10" Type="http://schemas.openxmlformats.org/officeDocument/2006/relationships/hyperlink" Target="http://www.nevo.co.il/law/70301/192" TargetMode="External"/><Relationship Id="rId19" Type="http://schemas.openxmlformats.org/officeDocument/2006/relationships/hyperlink" Target="http://www.nevo.co.il/law/70301/25"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links/psika/?NEWPROC=&#1514;&#1508;&amp;NEWPARTA=12251&amp;NEWPARTB=11&amp;NEWPARTC=1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1604</Words>
  <Characters>8022</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9607</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99026364</vt:i4>
      </vt:variant>
      <vt:variant>
        <vt:i4>54</vt:i4>
      </vt:variant>
      <vt:variant>
        <vt:i4>0</vt:i4>
      </vt:variant>
      <vt:variant>
        <vt:i4>5</vt:i4>
      </vt:variant>
      <vt:variant>
        <vt:lpwstr>http://www.nevo.co.il/links/psika/?link=עפ 6989/13</vt:lpwstr>
      </vt:variant>
      <vt:variant>
        <vt:lpwstr/>
      </vt:variant>
      <vt:variant>
        <vt:i4>97912287</vt:i4>
      </vt:variant>
      <vt:variant>
        <vt:i4>51</vt:i4>
      </vt:variant>
      <vt:variant>
        <vt:i4>0</vt:i4>
      </vt:variant>
      <vt:variant>
        <vt:i4>5</vt:i4>
      </vt:variant>
      <vt:variant>
        <vt:lpwstr>http://www.nevo.co.il/links/psika/?NEWPROC=תפ&amp;NEWPARTA=21113&amp;NEWPARTB=08&amp;NEWPARTC=12</vt:lpwstr>
      </vt:variant>
      <vt:variant>
        <vt:lpwstr/>
      </vt:variant>
      <vt:variant>
        <vt:i4>98436569</vt:i4>
      </vt:variant>
      <vt:variant>
        <vt:i4>48</vt:i4>
      </vt:variant>
      <vt:variant>
        <vt:i4>0</vt:i4>
      </vt:variant>
      <vt:variant>
        <vt:i4>5</vt:i4>
      </vt:variant>
      <vt:variant>
        <vt:lpwstr>http://www.nevo.co.il/links/psika/?NEWPROC=תפ&amp;NEWPARTA=12251&amp;NEWPARTB=11&amp;NEWPARTC=11</vt:lpwstr>
      </vt:variant>
      <vt:variant>
        <vt:lpwstr/>
      </vt:variant>
      <vt:variant>
        <vt:i4>97977816</vt:i4>
      </vt:variant>
      <vt:variant>
        <vt:i4>45</vt:i4>
      </vt:variant>
      <vt:variant>
        <vt:i4>0</vt:i4>
      </vt:variant>
      <vt:variant>
        <vt:i4>5</vt:i4>
      </vt:variant>
      <vt:variant>
        <vt:lpwstr>http://www.nevo.co.il/links/psika/?NEWPROC=תפ&amp;NEWPARTA=15527&amp;NEWPARTB=08&amp;NEWPARTC=10</vt:lpwstr>
      </vt:variant>
      <vt:variant>
        <vt:lpwstr/>
      </vt:variant>
      <vt:variant>
        <vt:i4>97519066</vt:i4>
      </vt:variant>
      <vt:variant>
        <vt:i4>42</vt:i4>
      </vt:variant>
      <vt:variant>
        <vt:i4>0</vt:i4>
      </vt:variant>
      <vt:variant>
        <vt:i4>5</vt:i4>
      </vt:variant>
      <vt:variant>
        <vt:lpwstr>http://www.nevo.co.il/links/psika/?NEWPROC=תפ&amp;NEWPARTA=35709&amp;NEWPARTB=03&amp;NEWPARTC=12</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6684774</vt:i4>
      </vt:variant>
      <vt:variant>
        <vt:i4>36</vt:i4>
      </vt:variant>
      <vt:variant>
        <vt:i4>0</vt:i4>
      </vt:variant>
      <vt:variant>
        <vt:i4>5</vt:i4>
      </vt:variant>
      <vt:variant>
        <vt:lpwstr>http://www.nevo.co.il/law/70301/334</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86</vt:i4>
      </vt:variant>
      <vt:variant>
        <vt:i4>30</vt:i4>
      </vt:variant>
      <vt:variant>
        <vt:i4>0</vt:i4>
      </vt:variant>
      <vt:variant>
        <vt:i4>5</vt:i4>
      </vt:variant>
      <vt:variant>
        <vt:lpwstr>http://www.nevo.co.il/law/70301/340a</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86</vt:i4>
      </vt:variant>
      <vt:variant>
        <vt:i4>18</vt:i4>
      </vt:variant>
      <vt:variant>
        <vt:i4>0</vt:i4>
      </vt:variant>
      <vt:variant>
        <vt:i4>5</vt:i4>
      </vt:variant>
      <vt:variant>
        <vt:lpwstr>http://www.nevo.co.il/law/70301/340a</vt:lpwstr>
      </vt:variant>
      <vt:variant>
        <vt:lpwstr/>
      </vt:variant>
      <vt:variant>
        <vt:i4>6684774</vt:i4>
      </vt:variant>
      <vt:variant>
        <vt:i4>15</vt:i4>
      </vt:variant>
      <vt:variant>
        <vt:i4>0</vt:i4>
      </vt:variant>
      <vt:variant>
        <vt:i4>5</vt:i4>
      </vt:variant>
      <vt:variant>
        <vt:lpwstr>http://www.nevo.co.il/law/70301/334</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2025-01-19T15:47:00Z</dcterms:created>
  <dcterms:modified xsi:type="dcterms:W3CDTF">2025-01-19T15:47:00Z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45550</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ישראל;פרקליטות מחוז צפון</vt:lpwstr>
  </property>
  <property fmtid="{D5CDD505-2E9C-101B-9397-08002B2CF9AE}" pid="9" name="APPELLEE">
    <vt:lpwstr>פאוזי איוב</vt:lpwstr>
  </property>
  <property fmtid="{D5CDD505-2E9C-101B-9397-08002B2CF9AE}" pid="10" name="LAWYER">
    <vt:lpwstr>הובא ו;הובא ו חאלד אבו אחמד;סופי טקצ'מן גרניט</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20140303</vt:lpwstr>
  </property>
  <property fmtid="{D5CDD505-2E9C-101B-9397-08002B2CF9AE}" pid="14" name="TYPE_N_DATE">
    <vt:lpwstr>39020140303</vt:lpwstr>
  </property>
  <property fmtid="{D5CDD505-2E9C-101B-9397-08002B2CF9AE}" pid="15" name="WORDNUMPAGES">
    <vt:lpwstr>5</vt:lpwstr>
  </property>
  <property fmtid="{D5CDD505-2E9C-101B-9397-08002B2CF9AE}" pid="16" name="TYPE_ABS_DATE">
    <vt:lpwstr>390020140303</vt:lpwstr>
  </property>
  <property fmtid="{D5CDD505-2E9C-101B-9397-08002B2CF9AE}" pid="17" name="ISABSTRACT">
    <vt:lpwstr>Y</vt:lpwstr>
  </property>
  <property fmtid="{D5CDD505-2E9C-101B-9397-08002B2CF9AE}" pid="18" name="LAWLISTTMP1">
    <vt:lpwstr>70301/144.b;144.a;340a;192;334;025</vt:lpwstr>
  </property>
</Properties>
</file>