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C0504" w:rsidRPr="00A71A20" w14:paraId="01B3F964" w14:textId="77777777">
        <w:trPr>
          <w:trHeight w:hRule="exact" w:val="418"/>
          <w:jc w:val="center"/>
        </w:trPr>
        <w:tc>
          <w:tcPr>
            <w:tcW w:w="8721" w:type="dxa"/>
            <w:gridSpan w:val="2"/>
          </w:tcPr>
          <w:p w14:paraId="1168EF60" w14:textId="77777777" w:rsidR="000C0504" w:rsidRPr="00A71A20" w:rsidRDefault="00A71A20">
            <w:pPr>
              <w:pStyle w:val="a3"/>
              <w:jc w:val="center"/>
              <w:rPr>
                <w:rFonts w:ascii="Tahoma" w:hAnsi="Tahoma" w:cs="Tahoma"/>
                <w:color w:val="000080"/>
                <w:rtl/>
              </w:rPr>
            </w:pPr>
            <w:r w:rsidRPr="00A71A20">
              <w:rPr>
                <w:rFonts w:ascii="Tahoma" w:hAnsi="Tahoma" w:cs="Tahoma"/>
                <w:b/>
                <w:bCs/>
                <w:color w:val="000080"/>
                <w:rtl/>
              </w:rPr>
              <w:t>בית המשפט המחוזי בחיפה</w:t>
            </w:r>
          </w:p>
        </w:tc>
      </w:tr>
      <w:tr w:rsidR="000C0504" w:rsidRPr="00A71A20" w14:paraId="3D3F8870" w14:textId="77777777">
        <w:trPr>
          <w:trHeight w:val="337"/>
          <w:jc w:val="center"/>
        </w:trPr>
        <w:tc>
          <w:tcPr>
            <w:tcW w:w="5054" w:type="dxa"/>
          </w:tcPr>
          <w:p w14:paraId="707317B0" w14:textId="77777777" w:rsidR="000C0504" w:rsidRPr="00A71A20" w:rsidRDefault="00A71A20">
            <w:pPr>
              <w:rPr>
                <w:rFonts w:cs="FrankRuehl"/>
                <w:sz w:val="28"/>
                <w:szCs w:val="28"/>
                <w:rtl/>
              </w:rPr>
            </w:pPr>
            <w:r w:rsidRPr="00A71A20">
              <w:rPr>
                <w:rFonts w:cs="FrankRuehl"/>
                <w:sz w:val="28"/>
                <w:szCs w:val="28"/>
                <w:rtl/>
              </w:rPr>
              <w:t>תפ"ח</w:t>
            </w:r>
            <w:r w:rsidRPr="00A71A20">
              <w:rPr>
                <w:rFonts w:cs="FrankRuehl" w:hint="cs"/>
                <w:sz w:val="28"/>
                <w:szCs w:val="28"/>
                <w:rtl/>
              </w:rPr>
              <w:t xml:space="preserve"> </w:t>
            </w:r>
            <w:r w:rsidRPr="00A71A20">
              <w:rPr>
                <w:rFonts w:cs="FrankRuehl"/>
                <w:sz w:val="28"/>
                <w:szCs w:val="28"/>
                <w:rtl/>
              </w:rPr>
              <w:t>49989-02-13</w:t>
            </w:r>
            <w:r w:rsidRPr="00A71A20">
              <w:rPr>
                <w:rFonts w:cs="FrankRuehl" w:hint="cs"/>
                <w:sz w:val="28"/>
                <w:szCs w:val="28"/>
                <w:rtl/>
              </w:rPr>
              <w:t xml:space="preserve"> </w:t>
            </w:r>
            <w:r w:rsidRPr="00A71A20">
              <w:rPr>
                <w:rFonts w:cs="FrankRuehl"/>
                <w:sz w:val="28"/>
                <w:szCs w:val="28"/>
                <w:rtl/>
              </w:rPr>
              <w:t>מדינת ישראל נ' טאהא</w:t>
            </w:r>
          </w:p>
          <w:p w14:paraId="0A60BB25" w14:textId="77777777" w:rsidR="000C0504" w:rsidRPr="00A71A20" w:rsidRDefault="000C0504">
            <w:pPr>
              <w:pStyle w:val="a3"/>
              <w:rPr>
                <w:rFonts w:cs="FrankRuehl"/>
                <w:sz w:val="28"/>
                <w:szCs w:val="28"/>
                <w:rtl/>
              </w:rPr>
            </w:pPr>
          </w:p>
        </w:tc>
        <w:tc>
          <w:tcPr>
            <w:tcW w:w="3667" w:type="dxa"/>
          </w:tcPr>
          <w:p w14:paraId="3BF83CC1" w14:textId="77777777" w:rsidR="000C0504" w:rsidRPr="00A71A20" w:rsidRDefault="000C0504">
            <w:pPr>
              <w:pStyle w:val="a3"/>
              <w:jc w:val="right"/>
              <w:rPr>
                <w:rFonts w:cs="FrankRuehl"/>
                <w:sz w:val="28"/>
                <w:szCs w:val="28"/>
                <w:rtl/>
              </w:rPr>
            </w:pPr>
          </w:p>
        </w:tc>
      </w:tr>
    </w:tbl>
    <w:p w14:paraId="4961FFBD" w14:textId="77777777" w:rsidR="000C0504" w:rsidRPr="00A71A20" w:rsidRDefault="00A71A20">
      <w:pPr>
        <w:pStyle w:val="a3"/>
        <w:rPr>
          <w:rtl/>
        </w:rPr>
      </w:pPr>
      <w:r w:rsidRPr="00A71A20">
        <w:rPr>
          <w:rFonts w:hint="cs"/>
          <w:rtl/>
        </w:rPr>
        <w:t xml:space="preserve"> </w:t>
      </w:r>
    </w:p>
    <w:p w14:paraId="4F9CC156" w14:textId="77777777" w:rsidR="000C0504" w:rsidRPr="00A71A20" w:rsidRDefault="000C050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C0504" w:rsidRPr="00A71A20" w14:paraId="49EF2E4C" w14:textId="77777777">
        <w:trPr>
          <w:trHeight w:val="295"/>
          <w:jc w:val="center"/>
        </w:trPr>
        <w:tc>
          <w:tcPr>
            <w:tcW w:w="8820" w:type="dxa"/>
            <w:gridSpan w:val="3"/>
            <w:tcBorders>
              <w:top w:val="nil"/>
              <w:left w:val="nil"/>
              <w:bottom w:val="nil"/>
              <w:right w:val="nil"/>
            </w:tcBorders>
          </w:tcPr>
          <w:p w14:paraId="4BB1EB9D" w14:textId="77777777" w:rsidR="000C0504" w:rsidRPr="00A71A20" w:rsidRDefault="00A71A20">
            <w:pPr>
              <w:spacing w:line="360" w:lineRule="auto"/>
              <w:jc w:val="both"/>
              <w:rPr>
                <w:rFonts w:ascii="Arial" w:hAnsi="Arial"/>
                <w:b/>
                <w:bCs/>
                <w:sz w:val="28"/>
                <w:szCs w:val="28"/>
                <w:rtl/>
              </w:rPr>
            </w:pPr>
            <w:r w:rsidRPr="00A71A20">
              <w:rPr>
                <w:rFonts w:ascii="Arial" w:hAnsi="Arial" w:hint="cs"/>
                <w:b/>
                <w:bCs/>
                <w:sz w:val="28"/>
                <w:szCs w:val="28"/>
                <w:rtl/>
              </w:rPr>
              <w:t>ב</w:t>
            </w:r>
            <w:r w:rsidRPr="00A71A20">
              <w:rPr>
                <w:rFonts w:ascii="Arial" w:hAnsi="Arial"/>
                <w:b/>
                <w:bCs/>
                <w:sz w:val="28"/>
                <w:szCs w:val="28"/>
                <w:rtl/>
              </w:rPr>
              <w:t xml:space="preserve">פני </w:t>
            </w:r>
            <w:r w:rsidRPr="00A71A20">
              <w:rPr>
                <w:rFonts w:ascii="Arial" w:hAnsi="Arial" w:hint="cs"/>
                <w:b/>
                <w:bCs/>
                <w:sz w:val="28"/>
                <w:szCs w:val="28"/>
                <w:rtl/>
              </w:rPr>
              <w:t>הרכב כב' השופטים:</w:t>
            </w:r>
          </w:p>
          <w:p w14:paraId="03A8CB0B" w14:textId="77777777" w:rsidR="000C0504" w:rsidRPr="00A71A20" w:rsidRDefault="00A71A20">
            <w:pPr>
              <w:spacing w:line="360" w:lineRule="auto"/>
              <w:jc w:val="both"/>
              <w:rPr>
                <w:rFonts w:ascii="Arial" w:hAnsi="Arial"/>
                <w:b/>
                <w:bCs/>
                <w:sz w:val="28"/>
                <w:szCs w:val="28"/>
                <w:rtl/>
              </w:rPr>
            </w:pPr>
            <w:r w:rsidRPr="00A71A20">
              <w:rPr>
                <w:rFonts w:ascii="Arial" w:hAnsi="Arial" w:hint="cs"/>
                <w:b/>
                <w:bCs/>
                <w:sz w:val="28"/>
                <w:szCs w:val="28"/>
                <w:rtl/>
              </w:rPr>
              <w:t>מ. גלעד [אב"ד]</w:t>
            </w:r>
          </w:p>
          <w:p w14:paraId="7D8212C6" w14:textId="77777777" w:rsidR="000C0504" w:rsidRPr="00A71A20" w:rsidRDefault="00A71A20">
            <w:pPr>
              <w:spacing w:line="360" w:lineRule="auto"/>
              <w:jc w:val="both"/>
              <w:rPr>
                <w:rFonts w:ascii="Arial" w:hAnsi="Arial"/>
                <w:b/>
                <w:bCs/>
                <w:sz w:val="28"/>
                <w:szCs w:val="28"/>
                <w:rtl/>
              </w:rPr>
            </w:pPr>
            <w:r w:rsidRPr="00A71A20">
              <w:rPr>
                <w:rFonts w:ascii="Arial" w:hAnsi="Arial" w:hint="cs"/>
                <w:b/>
                <w:bCs/>
                <w:sz w:val="28"/>
                <w:szCs w:val="28"/>
                <w:rtl/>
              </w:rPr>
              <w:t>ר. פוקס</w:t>
            </w:r>
          </w:p>
          <w:p w14:paraId="02173576" w14:textId="77777777" w:rsidR="000C0504" w:rsidRPr="00A71A20" w:rsidRDefault="00A71A20">
            <w:pPr>
              <w:spacing w:line="360" w:lineRule="auto"/>
              <w:jc w:val="both"/>
              <w:rPr>
                <w:rFonts w:ascii="Arial" w:hAnsi="Arial"/>
                <w:b/>
                <w:bCs/>
                <w:sz w:val="28"/>
                <w:szCs w:val="28"/>
              </w:rPr>
            </w:pPr>
            <w:r w:rsidRPr="00A71A20">
              <w:rPr>
                <w:rFonts w:ascii="Arial" w:hAnsi="Arial" w:hint="cs"/>
                <w:b/>
                <w:bCs/>
                <w:sz w:val="28"/>
                <w:szCs w:val="28"/>
                <w:rtl/>
              </w:rPr>
              <w:t>ד. פיש</w:t>
            </w:r>
          </w:p>
          <w:p w14:paraId="4F6AA956" w14:textId="77777777" w:rsidR="000C0504" w:rsidRPr="00A71A20" w:rsidRDefault="000C0504">
            <w:pPr>
              <w:spacing w:line="360" w:lineRule="auto"/>
              <w:rPr>
                <w:b/>
                <w:bCs/>
                <w:sz w:val="28"/>
                <w:szCs w:val="28"/>
                <w:rtl/>
              </w:rPr>
            </w:pPr>
          </w:p>
        </w:tc>
      </w:tr>
      <w:tr w:rsidR="000C0504" w:rsidRPr="00A71A20" w14:paraId="4332BBD8" w14:textId="77777777">
        <w:trPr>
          <w:trHeight w:val="355"/>
          <w:jc w:val="center"/>
        </w:trPr>
        <w:tc>
          <w:tcPr>
            <w:tcW w:w="945" w:type="dxa"/>
            <w:tcBorders>
              <w:top w:val="nil"/>
              <w:left w:val="nil"/>
              <w:bottom w:val="nil"/>
              <w:right w:val="nil"/>
            </w:tcBorders>
          </w:tcPr>
          <w:p w14:paraId="77CFF338" w14:textId="77777777" w:rsidR="000C0504" w:rsidRPr="00A71A20" w:rsidRDefault="00A71A20">
            <w:pPr>
              <w:jc w:val="both"/>
              <w:rPr>
                <w:rFonts w:ascii="Arial" w:hAnsi="Arial"/>
                <w:b/>
                <w:bCs/>
                <w:sz w:val="28"/>
                <w:szCs w:val="28"/>
              </w:rPr>
            </w:pPr>
            <w:bookmarkStart w:id="0" w:name="FirstAppellant"/>
            <w:bookmarkStart w:id="1" w:name="FirstLawyer"/>
            <w:bookmarkStart w:id="2" w:name="LastJudge"/>
            <w:bookmarkEnd w:id="2"/>
            <w:r w:rsidRPr="00A71A20">
              <w:rPr>
                <w:rFonts w:ascii="Arial" w:hAnsi="Arial" w:hint="cs"/>
                <w:b/>
                <w:bCs/>
                <w:sz w:val="28"/>
                <w:szCs w:val="28"/>
                <w:rtl/>
              </w:rPr>
              <w:t>בעניין:</w:t>
            </w:r>
          </w:p>
        </w:tc>
        <w:tc>
          <w:tcPr>
            <w:tcW w:w="4114" w:type="dxa"/>
            <w:tcBorders>
              <w:top w:val="nil"/>
              <w:left w:val="nil"/>
              <w:bottom w:val="nil"/>
              <w:right w:val="nil"/>
            </w:tcBorders>
          </w:tcPr>
          <w:p w14:paraId="7FB2B4D5" w14:textId="77777777" w:rsidR="000C0504" w:rsidRPr="00A71A20" w:rsidRDefault="00A71A20">
            <w:pPr>
              <w:rPr>
                <w:b/>
                <w:bCs/>
                <w:sz w:val="28"/>
                <w:szCs w:val="28"/>
                <w:rtl/>
              </w:rPr>
            </w:pPr>
            <w:r w:rsidRPr="00A71A20">
              <w:rPr>
                <w:rFonts w:hint="cs"/>
                <w:b/>
                <w:bCs/>
                <w:sz w:val="28"/>
                <w:szCs w:val="28"/>
                <w:rtl/>
              </w:rPr>
              <w:t>מדינת ישראל</w:t>
            </w:r>
          </w:p>
          <w:p w14:paraId="05D05B93" w14:textId="77777777" w:rsidR="000C0504" w:rsidRPr="00A71A20" w:rsidRDefault="00A71A20">
            <w:pPr>
              <w:rPr>
                <w:b/>
                <w:bCs/>
                <w:sz w:val="28"/>
                <w:szCs w:val="28"/>
                <w:rtl/>
              </w:rPr>
            </w:pPr>
            <w:r w:rsidRPr="00A71A20">
              <w:rPr>
                <w:rFonts w:hint="cs"/>
                <w:b/>
                <w:bCs/>
                <w:sz w:val="28"/>
                <w:szCs w:val="28"/>
                <w:rtl/>
              </w:rPr>
              <w:t>באמצעות פמ"ח</w:t>
            </w:r>
          </w:p>
          <w:p w14:paraId="2555C42F" w14:textId="77777777" w:rsidR="000C0504" w:rsidRPr="00A71A20" w:rsidRDefault="00A71A20">
            <w:pPr>
              <w:rPr>
                <w:b/>
                <w:bCs/>
                <w:sz w:val="28"/>
                <w:szCs w:val="28"/>
              </w:rPr>
            </w:pPr>
            <w:r w:rsidRPr="00A71A20">
              <w:rPr>
                <w:rFonts w:hint="cs"/>
                <w:b/>
                <w:bCs/>
                <w:sz w:val="28"/>
                <w:szCs w:val="28"/>
                <w:rtl/>
              </w:rPr>
              <w:t>ע"י ב"כ עו"ד גב' שרון אייל</w:t>
            </w:r>
          </w:p>
        </w:tc>
        <w:tc>
          <w:tcPr>
            <w:tcW w:w="3761" w:type="dxa"/>
            <w:tcBorders>
              <w:top w:val="nil"/>
              <w:left w:val="nil"/>
              <w:bottom w:val="nil"/>
              <w:right w:val="nil"/>
            </w:tcBorders>
          </w:tcPr>
          <w:p w14:paraId="6654183D" w14:textId="77777777" w:rsidR="000C0504" w:rsidRPr="00A71A20" w:rsidRDefault="000C0504">
            <w:pPr>
              <w:jc w:val="both"/>
              <w:rPr>
                <w:rFonts w:ascii="Arial" w:hAnsi="Arial"/>
                <w:b/>
                <w:bCs/>
                <w:sz w:val="28"/>
                <w:szCs w:val="28"/>
              </w:rPr>
            </w:pPr>
          </w:p>
        </w:tc>
      </w:tr>
      <w:bookmarkEnd w:id="0"/>
      <w:bookmarkEnd w:id="1"/>
      <w:tr w:rsidR="000C0504" w:rsidRPr="00A71A20" w14:paraId="28F683A2" w14:textId="77777777">
        <w:trPr>
          <w:trHeight w:val="355"/>
          <w:jc w:val="center"/>
        </w:trPr>
        <w:tc>
          <w:tcPr>
            <w:tcW w:w="945" w:type="dxa"/>
            <w:tcBorders>
              <w:top w:val="nil"/>
              <w:left w:val="nil"/>
              <w:bottom w:val="nil"/>
              <w:right w:val="nil"/>
            </w:tcBorders>
          </w:tcPr>
          <w:p w14:paraId="0C5D2597" w14:textId="77777777" w:rsidR="000C0504" w:rsidRPr="00A71A20" w:rsidRDefault="000C0504">
            <w:pPr>
              <w:jc w:val="both"/>
              <w:rPr>
                <w:rFonts w:ascii="Arial" w:hAnsi="Arial"/>
                <w:b/>
                <w:bCs/>
                <w:sz w:val="28"/>
                <w:szCs w:val="28"/>
                <w:rtl/>
              </w:rPr>
            </w:pPr>
          </w:p>
        </w:tc>
        <w:tc>
          <w:tcPr>
            <w:tcW w:w="4114" w:type="dxa"/>
            <w:tcBorders>
              <w:top w:val="nil"/>
              <w:left w:val="nil"/>
              <w:bottom w:val="nil"/>
              <w:right w:val="nil"/>
            </w:tcBorders>
          </w:tcPr>
          <w:p w14:paraId="6C77B658" w14:textId="77777777" w:rsidR="000C0504" w:rsidRPr="00A71A20" w:rsidRDefault="000C0504">
            <w:pPr>
              <w:jc w:val="both"/>
              <w:rPr>
                <w:b/>
                <w:bCs/>
                <w:sz w:val="28"/>
                <w:szCs w:val="28"/>
                <w:rtl/>
              </w:rPr>
            </w:pPr>
          </w:p>
        </w:tc>
        <w:tc>
          <w:tcPr>
            <w:tcW w:w="3761" w:type="dxa"/>
            <w:tcBorders>
              <w:top w:val="nil"/>
              <w:left w:val="nil"/>
              <w:bottom w:val="nil"/>
              <w:right w:val="nil"/>
            </w:tcBorders>
          </w:tcPr>
          <w:p w14:paraId="479B396A" w14:textId="77777777" w:rsidR="000C0504" w:rsidRPr="00A71A20" w:rsidRDefault="00A71A20">
            <w:pPr>
              <w:rPr>
                <w:rFonts w:ascii="Arial" w:hAnsi="Arial"/>
                <w:b/>
                <w:bCs/>
                <w:sz w:val="28"/>
                <w:szCs w:val="28"/>
                <w:rtl/>
              </w:rPr>
            </w:pPr>
            <w:r w:rsidRPr="00A71A20">
              <w:rPr>
                <w:rFonts w:ascii="Arial" w:hAnsi="Arial" w:hint="cs"/>
                <w:b/>
                <w:bCs/>
                <w:sz w:val="28"/>
                <w:szCs w:val="28"/>
                <w:rtl/>
              </w:rPr>
              <w:t>ה</w:t>
            </w:r>
            <w:r w:rsidRPr="00A71A20">
              <w:rPr>
                <w:rFonts w:hint="cs"/>
                <w:b/>
                <w:bCs/>
                <w:sz w:val="28"/>
                <w:szCs w:val="28"/>
                <w:rtl/>
              </w:rPr>
              <w:t>מאשימה</w:t>
            </w:r>
          </w:p>
        </w:tc>
      </w:tr>
      <w:tr w:rsidR="000C0504" w:rsidRPr="00A71A20" w14:paraId="69B60592" w14:textId="77777777">
        <w:trPr>
          <w:trHeight w:val="355"/>
          <w:jc w:val="center"/>
        </w:trPr>
        <w:tc>
          <w:tcPr>
            <w:tcW w:w="945" w:type="dxa"/>
            <w:tcBorders>
              <w:top w:val="nil"/>
              <w:left w:val="nil"/>
              <w:bottom w:val="nil"/>
              <w:right w:val="nil"/>
            </w:tcBorders>
          </w:tcPr>
          <w:p w14:paraId="14249574" w14:textId="77777777" w:rsidR="000C0504" w:rsidRPr="00A71A20" w:rsidRDefault="000C0504">
            <w:pPr>
              <w:jc w:val="both"/>
              <w:rPr>
                <w:rFonts w:ascii="Arial" w:hAnsi="Arial"/>
                <w:b/>
                <w:bCs/>
                <w:sz w:val="28"/>
                <w:szCs w:val="28"/>
                <w:rtl/>
              </w:rPr>
            </w:pPr>
          </w:p>
        </w:tc>
        <w:tc>
          <w:tcPr>
            <w:tcW w:w="7875" w:type="dxa"/>
            <w:gridSpan w:val="2"/>
            <w:tcBorders>
              <w:top w:val="nil"/>
              <w:left w:val="nil"/>
              <w:bottom w:val="nil"/>
              <w:right w:val="nil"/>
            </w:tcBorders>
          </w:tcPr>
          <w:p w14:paraId="5A862E13" w14:textId="77777777" w:rsidR="000C0504" w:rsidRPr="00A71A20" w:rsidRDefault="000C0504">
            <w:pPr>
              <w:rPr>
                <w:rFonts w:ascii="Arial" w:hAnsi="Arial"/>
                <w:b/>
                <w:bCs/>
                <w:sz w:val="28"/>
                <w:szCs w:val="28"/>
                <w:rtl/>
              </w:rPr>
            </w:pPr>
          </w:p>
          <w:p w14:paraId="68A26BD0" w14:textId="77777777" w:rsidR="000C0504" w:rsidRPr="00A71A20" w:rsidRDefault="00A71A20">
            <w:pPr>
              <w:rPr>
                <w:rFonts w:ascii="Arial" w:hAnsi="Arial"/>
                <w:b/>
                <w:bCs/>
                <w:sz w:val="28"/>
                <w:szCs w:val="28"/>
                <w:rtl/>
              </w:rPr>
            </w:pPr>
            <w:r w:rsidRPr="00A71A20">
              <w:rPr>
                <w:rFonts w:ascii="Arial" w:hAnsi="Arial"/>
                <w:b/>
                <w:bCs/>
                <w:sz w:val="28"/>
                <w:szCs w:val="28"/>
                <w:rtl/>
              </w:rPr>
              <w:t>נגד</w:t>
            </w:r>
          </w:p>
          <w:p w14:paraId="3A0EED65" w14:textId="77777777" w:rsidR="000C0504" w:rsidRPr="00A71A20" w:rsidRDefault="000C0504">
            <w:pPr>
              <w:jc w:val="both"/>
              <w:rPr>
                <w:rFonts w:ascii="Arial" w:hAnsi="Arial"/>
                <w:b/>
                <w:bCs/>
                <w:sz w:val="28"/>
                <w:szCs w:val="28"/>
              </w:rPr>
            </w:pPr>
          </w:p>
        </w:tc>
      </w:tr>
      <w:tr w:rsidR="000C0504" w:rsidRPr="00A71A20" w14:paraId="601818D6" w14:textId="77777777">
        <w:trPr>
          <w:trHeight w:val="355"/>
          <w:jc w:val="center"/>
        </w:trPr>
        <w:tc>
          <w:tcPr>
            <w:tcW w:w="945" w:type="dxa"/>
            <w:tcBorders>
              <w:top w:val="nil"/>
              <w:left w:val="nil"/>
              <w:bottom w:val="nil"/>
              <w:right w:val="nil"/>
            </w:tcBorders>
          </w:tcPr>
          <w:p w14:paraId="07008FA1" w14:textId="77777777" w:rsidR="000C0504" w:rsidRPr="00A71A20" w:rsidRDefault="000C0504">
            <w:pPr>
              <w:rPr>
                <w:rFonts w:ascii="Arial" w:hAnsi="Arial"/>
                <w:b/>
                <w:bCs/>
                <w:sz w:val="28"/>
                <w:szCs w:val="28"/>
                <w:rtl/>
              </w:rPr>
            </w:pPr>
          </w:p>
        </w:tc>
        <w:tc>
          <w:tcPr>
            <w:tcW w:w="4114" w:type="dxa"/>
            <w:tcBorders>
              <w:top w:val="nil"/>
              <w:left w:val="nil"/>
              <w:bottom w:val="nil"/>
              <w:right w:val="nil"/>
            </w:tcBorders>
          </w:tcPr>
          <w:p w14:paraId="3B92C1F2" w14:textId="77777777" w:rsidR="000C0504" w:rsidRPr="00A71A20" w:rsidRDefault="00A71A20">
            <w:pPr>
              <w:rPr>
                <w:b/>
                <w:bCs/>
                <w:sz w:val="28"/>
                <w:szCs w:val="28"/>
                <w:rtl/>
              </w:rPr>
            </w:pPr>
            <w:r w:rsidRPr="00A71A20">
              <w:rPr>
                <w:rFonts w:hint="cs"/>
                <w:b/>
                <w:bCs/>
                <w:sz w:val="28"/>
                <w:szCs w:val="28"/>
                <w:rtl/>
              </w:rPr>
              <w:t>מזהר טאהא, ת"ז 036882884</w:t>
            </w:r>
          </w:p>
          <w:p w14:paraId="08272C12" w14:textId="77777777" w:rsidR="000C0504" w:rsidRPr="00A71A20" w:rsidRDefault="00A71A20">
            <w:pPr>
              <w:rPr>
                <w:b/>
                <w:bCs/>
                <w:sz w:val="28"/>
                <w:szCs w:val="28"/>
                <w:rtl/>
              </w:rPr>
            </w:pPr>
            <w:r w:rsidRPr="00A71A20">
              <w:rPr>
                <w:rFonts w:hint="cs"/>
                <w:b/>
                <w:bCs/>
                <w:sz w:val="28"/>
                <w:szCs w:val="28"/>
                <w:rtl/>
              </w:rPr>
              <w:t>ע"י ב"כ עו"ד ניזאר עבוד</w:t>
            </w:r>
          </w:p>
        </w:tc>
        <w:tc>
          <w:tcPr>
            <w:tcW w:w="3761" w:type="dxa"/>
            <w:tcBorders>
              <w:top w:val="nil"/>
              <w:left w:val="nil"/>
              <w:bottom w:val="nil"/>
              <w:right w:val="nil"/>
            </w:tcBorders>
          </w:tcPr>
          <w:p w14:paraId="61D26922" w14:textId="77777777" w:rsidR="000C0504" w:rsidRPr="00A71A20" w:rsidRDefault="000C0504">
            <w:pPr>
              <w:jc w:val="right"/>
              <w:rPr>
                <w:rFonts w:ascii="Arial" w:hAnsi="Arial"/>
                <w:b/>
                <w:bCs/>
                <w:sz w:val="28"/>
                <w:szCs w:val="28"/>
              </w:rPr>
            </w:pPr>
          </w:p>
        </w:tc>
      </w:tr>
      <w:tr w:rsidR="000C0504" w:rsidRPr="00A71A20" w14:paraId="6DC676D1" w14:textId="77777777">
        <w:trPr>
          <w:trHeight w:val="355"/>
          <w:jc w:val="center"/>
        </w:trPr>
        <w:tc>
          <w:tcPr>
            <w:tcW w:w="945" w:type="dxa"/>
            <w:tcBorders>
              <w:top w:val="nil"/>
              <w:left w:val="nil"/>
              <w:bottom w:val="nil"/>
              <w:right w:val="nil"/>
            </w:tcBorders>
          </w:tcPr>
          <w:p w14:paraId="177DC1A1" w14:textId="77777777" w:rsidR="000C0504" w:rsidRPr="00A71A20" w:rsidRDefault="000C0504">
            <w:pPr>
              <w:jc w:val="both"/>
              <w:rPr>
                <w:rFonts w:ascii="Arial" w:hAnsi="Arial"/>
                <w:b/>
                <w:bCs/>
                <w:sz w:val="28"/>
                <w:szCs w:val="28"/>
                <w:rtl/>
              </w:rPr>
            </w:pPr>
          </w:p>
        </w:tc>
        <w:tc>
          <w:tcPr>
            <w:tcW w:w="4114" w:type="dxa"/>
            <w:tcBorders>
              <w:top w:val="nil"/>
              <w:left w:val="nil"/>
              <w:bottom w:val="nil"/>
              <w:right w:val="nil"/>
            </w:tcBorders>
          </w:tcPr>
          <w:p w14:paraId="4E7A08F1" w14:textId="77777777" w:rsidR="000C0504" w:rsidRPr="00A71A20" w:rsidRDefault="000C0504">
            <w:pPr>
              <w:jc w:val="both"/>
              <w:rPr>
                <w:b/>
                <w:bCs/>
                <w:sz w:val="28"/>
                <w:szCs w:val="28"/>
                <w:rtl/>
              </w:rPr>
            </w:pPr>
          </w:p>
        </w:tc>
        <w:tc>
          <w:tcPr>
            <w:tcW w:w="3761" w:type="dxa"/>
            <w:tcBorders>
              <w:top w:val="nil"/>
              <w:left w:val="nil"/>
              <w:bottom w:val="nil"/>
              <w:right w:val="nil"/>
            </w:tcBorders>
          </w:tcPr>
          <w:p w14:paraId="3AB5DC05" w14:textId="77777777" w:rsidR="000C0504" w:rsidRPr="00A71A20" w:rsidRDefault="00A71A20">
            <w:pPr>
              <w:rPr>
                <w:rFonts w:ascii="Arial" w:hAnsi="Arial"/>
                <w:b/>
                <w:bCs/>
                <w:sz w:val="28"/>
                <w:szCs w:val="28"/>
              </w:rPr>
            </w:pPr>
            <w:r w:rsidRPr="00A71A20">
              <w:rPr>
                <w:rFonts w:ascii="Arial" w:hAnsi="Arial" w:hint="cs"/>
                <w:b/>
                <w:bCs/>
                <w:sz w:val="28"/>
                <w:szCs w:val="28"/>
                <w:rtl/>
              </w:rPr>
              <w:t>ה</w:t>
            </w:r>
            <w:r w:rsidRPr="00A71A20">
              <w:rPr>
                <w:rFonts w:hint="cs"/>
                <w:b/>
                <w:bCs/>
                <w:sz w:val="28"/>
                <w:szCs w:val="28"/>
                <w:rtl/>
              </w:rPr>
              <w:t>נאשם</w:t>
            </w:r>
          </w:p>
        </w:tc>
      </w:tr>
    </w:tbl>
    <w:p w14:paraId="71C9294F" w14:textId="77777777" w:rsidR="00947315" w:rsidRDefault="00947315">
      <w:pPr>
        <w:spacing w:line="360" w:lineRule="auto"/>
        <w:rPr>
          <w:sz w:val="28"/>
          <w:szCs w:val="28"/>
          <w:rtl/>
        </w:rPr>
      </w:pPr>
      <w:bookmarkStart w:id="3" w:name="LawTable"/>
      <w:bookmarkEnd w:id="3"/>
    </w:p>
    <w:p w14:paraId="4D429F6E" w14:textId="77777777" w:rsidR="00947315" w:rsidRPr="00947315" w:rsidRDefault="00947315" w:rsidP="00947315">
      <w:pPr>
        <w:spacing w:after="120" w:line="240" w:lineRule="exact"/>
        <w:ind w:left="283" w:hanging="283"/>
        <w:jc w:val="both"/>
        <w:rPr>
          <w:rFonts w:ascii="FrankRuehl" w:hAnsi="FrankRuehl" w:cs="FrankRuehl"/>
          <w:rtl/>
        </w:rPr>
      </w:pPr>
      <w:r w:rsidRPr="00947315">
        <w:rPr>
          <w:rFonts w:ascii="FrankRuehl" w:hAnsi="FrankRuehl" w:cs="FrankRuehl"/>
          <w:rtl/>
        </w:rPr>
        <w:t xml:space="preserve">חקיקה שאוזכרה: </w:t>
      </w:r>
    </w:p>
    <w:p w14:paraId="0FEB0FD0" w14:textId="77777777" w:rsidR="00947315" w:rsidRPr="00947315" w:rsidRDefault="00947315" w:rsidP="00947315">
      <w:pPr>
        <w:spacing w:after="120" w:line="240" w:lineRule="exact"/>
        <w:ind w:left="283" w:hanging="283"/>
        <w:jc w:val="both"/>
        <w:rPr>
          <w:rFonts w:ascii="FrankRuehl" w:hAnsi="FrankRuehl" w:cs="FrankRuehl"/>
          <w:rtl/>
        </w:rPr>
      </w:pPr>
      <w:hyperlink r:id="rId6" w:history="1">
        <w:r w:rsidRPr="00947315">
          <w:rPr>
            <w:rFonts w:ascii="FrankRuehl" w:hAnsi="FrankRuehl" w:cs="FrankRuehl"/>
            <w:color w:val="0000FF"/>
            <w:u w:val="single"/>
            <w:rtl/>
          </w:rPr>
          <w:t>חוק העונשין, תשל"ז-1977</w:t>
        </w:r>
      </w:hyperlink>
      <w:r w:rsidRPr="00947315">
        <w:rPr>
          <w:rFonts w:ascii="FrankRuehl" w:hAnsi="FrankRuehl" w:cs="FrankRuehl"/>
          <w:rtl/>
        </w:rPr>
        <w:t xml:space="preserve">: סע'  </w:t>
      </w:r>
      <w:hyperlink r:id="rId7" w:history="1">
        <w:r w:rsidRPr="00947315">
          <w:rPr>
            <w:rFonts w:ascii="FrankRuehl" w:hAnsi="FrankRuehl" w:cs="FrankRuehl"/>
            <w:color w:val="0000FF"/>
            <w:u w:val="single"/>
            <w:rtl/>
          </w:rPr>
          <w:t>77</w:t>
        </w:r>
      </w:hyperlink>
      <w:r w:rsidRPr="00947315">
        <w:rPr>
          <w:rFonts w:ascii="FrankRuehl" w:hAnsi="FrankRuehl" w:cs="FrankRuehl"/>
          <w:rtl/>
        </w:rPr>
        <w:t xml:space="preserve">, </w:t>
      </w:r>
      <w:hyperlink r:id="rId8" w:history="1">
        <w:r w:rsidRPr="00947315">
          <w:rPr>
            <w:rFonts w:ascii="FrankRuehl" w:hAnsi="FrankRuehl" w:cs="FrankRuehl"/>
            <w:color w:val="0000FF"/>
            <w:u w:val="single"/>
            <w:rtl/>
          </w:rPr>
          <w:t>144 (א)</w:t>
        </w:r>
      </w:hyperlink>
      <w:r w:rsidRPr="00947315">
        <w:rPr>
          <w:rFonts w:ascii="FrankRuehl" w:hAnsi="FrankRuehl" w:cs="FrankRuehl"/>
          <w:rtl/>
        </w:rPr>
        <w:t xml:space="preserve">, </w:t>
      </w:r>
      <w:hyperlink r:id="rId9" w:history="1">
        <w:r w:rsidRPr="00947315">
          <w:rPr>
            <w:rFonts w:ascii="FrankRuehl" w:hAnsi="FrankRuehl" w:cs="FrankRuehl"/>
            <w:color w:val="0000FF"/>
            <w:u w:val="single"/>
            <w:rtl/>
          </w:rPr>
          <w:t>(ב)</w:t>
        </w:r>
      </w:hyperlink>
      <w:r w:rsidRPr="00947315">
        <w:rPr>
          <w:rFonts w:ascii="FrankRuehl" w:hAnsi="FrankRuehl" w:cs="FrankRuehl"/>
          <w:rtl/>
        </w:rPr>
        <w:t xml:space="preserve">, </w:t>
      </w:r>
      <w:hyperlink r:id="rId10" w:history="1">
        <w:r w:rsidRPr="00947315">
          <w:rPr>
            <w:rFonts w:ascii="FrankRuehl" w:hAnsi="FrankRuehl" w:cs="FrankRuehl"/>
            <w:color w:val="0000FF"/>
            <w:u w:val="single"/>
            <w:rtl/>
          </w:rPr>
          <w:t>298</w:t>
        </w:r>
      </w:hyperlink>
    </w:p>
    <w:p w14:paraId="47CA51AA" w14:textId="77777777" w:rsidR="00947315" w:rsidRPr="00947315" w:rsidRDefault="00947315" w:rsidP="00947315">
      <w:pPr>
        <w:spacing w:after="120" w:line="240" w:lineRule="exact"/>
        <w:ind w:left="283" w:hanging="283"/>
        <w:jc w:val="both"/>
        <w:rPr>
          <w:rFonts w:ascii="FrankRuehl" w:hAnsi="FrankRuehl" w:cs="FrankRuehl"/>
          <w:rtl/>
        </w:rPr>
      </w:pPr>
      <w:hyperlink r:id="rId11" w:history="1">
        <w:r w:rsidRPr="00947315">
          <w:rPr>
            <w:rFonts w:ascii="FrankRuehl" w:hAnsi="FrankRuehl" w:cs="FrankRuehl"/>
            <w:color w:val="0000FF"/>
            <w:u w:val="single"/>
            <w:rtl/>
          </w:rPr>
          <w:t>חוק הירושה, תשכ"ה-1965</w:t>
        </w:r>
      </w:hyperlink>
    </w:p>
    <w:p w14:paraId="37ABBBF4" w14:textId="77777777" w:rsidR="00947315" w:rsidRPr="00947315" w:rsidRDefault="00947315" w:rsidP="0094731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0504" w14:paraId="389F1A05" w14:textId="77777777">
        <w:trPr>
          <w:trHeight w:val="355"/>
          <w:jc w:val="center"/>
        </w:trPr>
        <w:tc>
          <w:tcPr>
            <w:tcW w:w="8820" w:type="dxa"/>
            <w:tcBorders>
              <w:top w:val="nil"/>
              <w:left w:val="nil"/>
              <w:bottom w:val="nil"/>
              <w:right w:val="nil"/>
            </w:tcBorders>
          </w:tcPr>
          <w:p w14:paraId="52564745" w14:textId="77777777" w:rsidR="00A71A20" w:rsidRPr="00A71A20" w:rsidRDefault="00A71A20" w:rsidP="00A71A20">
            <w:pPr>
              <w:jc w:val="center"/>
              <w:rPr>
                <w:rFonts w:ascii="Arial" w:hAnsi="Arial"/>
                <w:b/>
                <w:bCs/>
                <w:sz w:val="32"/>
                <w:szCs w:val="32"/>
                <w:u w:val="single"/>
                <w:rtl/>
              </w:rPr>
            </w:pPr>
            <w:bookmarkStart w:id="4" w:name="LawTable_End"/>
            <w:bookmarkStart w:id="5" w:name="PsakDin" w:colFirst="0" w:colLast="0"/>
            <w:bookmarkEnd w:id="4"/>
            <w:r w:rsidRPr="00A71A20">
              <w:rPr>
                <w:rFonts w:ascii="Arial" w:hAnsi="Arial"/>
                <w:b/>
                <w:bCs/>
                <w:sz w:val="32"/>
                <w:szCs w:val="32"/>
                <w:u w:val="single"/>
                <w:rtl/>
              </w:rPr>
              <w:t>גזר דין</w:t>
            </w:r>
          </w:p>
          <w:p w14:paraId="52F914C8" w14:textId="77777777" w:rsidR="000C0504" w:rsidRPr="00A71A20" w:rsidRDefault="000C0504" w:rsidP="00A71A20">
            <w:pPr>
              <w:jc w:val="center"/>
              <w:rPr>
                <w:rFonts w:ascii="Arial" w:hAnsi="Arial"/>
                <w:b/>
                <w:bCs/>
                <w:sz w:val="28"/>
                <w:szCs w:val="28"/>
                <w:u w:val="single"/>
                <w:rtl/>
              </w:rPr>
            </w:pPr>
          </w:p>
        </w:tc>
      </w:tr>
      <w:bookmarkEnd w:id="5"/>
    </w:tbl>
    <w:p w14:paraId="4AB5F1BB" w14:textId="77777777" w:rsidR="000C0504" w:rsidRDefault="000C0504">
      <w:pPr>
        <w:rPr>
          <w:rFonts w:ascii="Arial" w:hAnsi="Arial"/>
          <w:b/>
          <w:bCs/>
          <w:sz w:val="28"/>
          <w:szCs w:val="28"/>
          <w:rtl/>
        </w:rPr>
      </w:pPr>
    </w:p>
    <w:p w14:paraId="41076A73" w14:textId="77777777" w:rsidR="000C0504" w:rsidRDefault="000C0504">
      <w:pPr>
        <w:rPr>
          <w:rFonts w:ascii="Arial" w:hAnsi="Arial"/>
          <w:b/>
          <w:bCs/>
          <w:sz w:val="28"/>
          <w:szCs w:val="28"/>
          <w:rtl/>
        </w:rPr>
      </w:pPr>
    </w:p>
    <w:p w14:paraId="548B9D9C" w14:textId="77777777" w:rsidR="000C0504" w:rsidRDefault="00A71A20">
      <w:pPr>
        <w:spacing w:line="360" w:lineRule="auto"/>
        <w:ind w:left="720" w:hanging="720"/>
        <w:jc w:val="both"/>
        <w:rPr>
          <w:b/>
          <w:bCs/>
          <w:sz w:val="28"/>
          <w:szCs w:val="28"/>
          <w:u w:val="single"/>
          <w:rtl/>
        </w:rPr>
      </w:pPr>
      <w:r>
        <w:rPr>
          <w:rFonts w:hint="cs"/>
          <w:b/>
          <w:bCs/>
          <w:sz w:val="28"/>
          <w:szCs w:val="28"/>
          <w:u w:val="single"/>
          <w:rtl/>
        </w:rPr>
        <w:t>כללי</w:t>
      </w:r>
    </w:p>
    <w:p w14:paraId="0B2A4FBA" w14:textId="77777777" w:rsidR="000C0504" w:rsidRDefault="000C0504">
      <w:pPr>
        <w:spacing w:line="360" w:lineRule="auto"/>
        <w:ind w:left="720" w:hanging="720"/>
        <w:jc w:val="both"/>
        <w:rPr>
          <w:b/>
          <w:bCs/>
          <w:sz w:val="28"/>
          <w:szCs w:val="28"/>
          <w:u w:val="single"/>
          <w:rtl/>
        </w:rPr>
      </w:pPr>
    </w:p>
    <w:p w14:paraId="7141552E" w14:textId="77777777" w:rsidR="000C0504" w:rsidRDefault="00A71A20">
      <w:pPr>
        <w:spacing w:line="360" w:lineRule="auto"/>
        <w:ind w:left="720" w:hanging="720"/>
        <w:jc w:val="both"/>
        <w:rPr>
          <w:sz w:val="28"/>
          <w:szCs w:val="28"/>
          <w:rtl/>
        </w:rPr>
      </w:pPr>
      <w:r>
        <w:rPr>
          <w:rFonts w:hint="cs"/>
          <w:sz w:val="28"/>
          <w:szCs w:val="28"/>
          <w:rtl/>
        </w:rPr>
        <w:t>1.</w:t>
      </w:r>
      <w:r>
        <w:rPr>
          <w:rFonts w:hint="cs"/>
          <w:sz w:val="28"/>
          <w:szCs w:val="28"/>
          <w:rtl/>
        </w:rPr>
        <w:tab/>
      </w:r>
      <w:bookmarkStart w:id="6" w:name="ABSTRACT_START"/>
      <w:bookmarkEnd w:id="6"/>
      <w:r>
        <w:rPr>
          <w:rFonts w:hint="cs"/>
          <w:sz w:val="28"/>
          <w:szCs w:val="28"/>
          <w:rtl/>
        </w:rPr>
        <w:t xml:space="preserve">הנאשם, מזהר טאהא, הורשע על פי הודאתו ביום 15.12.13 במסגרת הסדר טיעון בעבירות של הריגה לפי </w:t>
      </w:r>
      <w:hyperlink r:id="rId12" w:history="1">
        <w:r w:rsidR="00082D37" w:rsidRPr="00082D37">
          <w:rPr>
            <w:color w:val="0000FF"/>
            <w:sz w:val="28"/>
            <w:szCs w:val="28"/>
            <w:u w:val="single"/>
            <w:rtl/>
          </w:rPr>
          <w:t>סעיף 298</w:t>
        </w:r>
      </w:hyperlink>
      <w:r>
        <w:rPr>
          <w:rFonts w:hint="cs"/>
          <w:sz w:val="28"/>
          <w:szCs w:val="28"/>
          <w:rtl/>
        </w:rPr>
        <w:t xml:space="preserve"> ל</w:t>
      </w:r>
      <w:hyperlink r:id="rId13" w:history="1">
        <w:r w:rsidRPr="00A71A20">
          <w:rPr>
            <w:color w:val="0000FF"/>
            <w:sz w:val="28"/>
            <w:szCs w:val="28"/>
            <w:u w:val="single"/>
            <w:rtl/>
          </w:rPr>
          <w:t>חוק העונשין</w:t>
        </w:r>
      </w:hyperlink>
      <w:r>
        <w:rPr>
          <w:rFonts w:hint="cs"/>
          <w:sz w:val="28"/>
          <w:szCs w:val="28"/>
          <w:rtl/>
        </w:rPr>
        <w:t xml:space="preserve"> התשל"ז-1977 (להלן: "חוק העונשין") ועבירות בנשק לפי </w:t>
      </w:r>
      <w:hyperlink r:id="rId14" w:history="1">
        <w:r w:rsidR="00082D37" w:rsidRPr="00082D37">
          <w:rPr>
            <w:color w:val="0000FF"/>
            <w:sz w:val="28"/>
            <w:szCs w:val="28"/>
            <w:u w:val="single"/>
            <w:rtl/>
          </w:rPr>
          <w:t>סעיף 144 (א)</w:t>
        </w:r>
      </w:hyperlink>
      <w:r>
        <w:rPr>
          <w:rFonts w:hint="cs"/>
          <w:sz w:val="28"/>
          <w:szCs w:val="28"/>
          <w:rtl/>
        </w:rPr>
        <w:t>+</w:t>
      </w:r>
      <w:hyperlink r:id="rId15" w:history="1">
        <w:r w:rsidR="00082D37" w:rsidRPr="00082D37">
          <w:rPr>
            <w:rStyle w:val="Hyperlink"/>
            <w:sz w:val="28"/>
            <w:szCs w:val="28"/>
            <w:rtl/>
          </w:rPr>
          <w:t>(ב)</w:t>
        </w:r>
      </w:hyperlink>
      <w:r>
        <w:rPr>
          <w:rFonts w:hint="cs"/>
          <w:sz w:val="28"/>
          <w:szCs w:val="28"/>
          <w:rtl/>
        </w:rPr>
        <w:t xml:space="preserve"> לחוק</w:t>
      </w:r>
      <w:bookmarkStart w:id="7" w:name="ABSTRACT_END"/>
      <w:bookmarkEnd w:id="7"/>
      <w:r>
        <w:rPr>
          <w:rFonts w:hint="cs"/>
          <w:sz w:val="28"/>
          <w:szCs w:val="28"/>
          <w:rtl/>
        </w:rPr>
        <w:t xml:space="preserve">. </w:t>
      </w:r>
    </w:p>
    <w:p w14:paraId="726DB1E8" w14:textId="77777777" w:rsidR="000C0504" w:rsidRDefault="000C0504">
      <w:pPr>
        <w:spacing w:line="360" w:lineRule="auto"/>
        <w:ind w:left="720" w:hanging="720"/>
        <w:jc w:val="both"/>
        <w:rPr>
          <w:sz w:val="28"/>
          <w:szCs w:val="28"/>
          <w:rtl/>
        </w:rPr>
      </w:pPr>
    </w:p>
    <w:p w14:paraId="754EF635" w14:textId="77777777" w:rsidR="000C0504" w:rsidRDefault="00A71A20">
      <w:pPr>
        <w:spacing w:line="360" w:lineRule="auto"/>
        <w:ind w:left="720"/>
        <w:jc w:val="both"/>
        <w:rPr>
          <w:sz w:val="28"/>
          <w:szCs w:val="28"/>
          <w:rtl/>
        </w:rPr>
      </w:pPr>
      <w:r>
        <w:rPr>
          <w:rFonts w:hint="cs"/>
          <w:sz w:val="28"/>
          <w:szCs w:val="28"/>
          <w:rtl/>
        </w:rPr>
        <w:lastRenderedPageBreak/>
        <w:t xml:space="preserve">על פי עובדות כתב האישום המתוקן, כשנה וחצי לפני האירועים נשוא כתב האישום, הנאשם היה מאורס לגב' שורוק מ'. בשלב מסויים בתקופת האירוסין החליטו שורוק והוריה, לבטל את אירוסיה לנאשם. הנאשם לא השלים עם ביטול האירוסין ואיים על שורוק מספר רב של פעמים שיפגע בה אם תימצא בקשר עם אחר. </w:t>
      </w:r>
    </w:p>
    <w:p w14:paraId="714842DE" w14:textId="77777777" w:rsidR="000C0504" w:rsidRDefault="00A71A20">
      <w:pPr>
        <w:spacing w:line="360" w:lineRule="auto"/>
        <w:ind w:left="720"/>
        <w:jc w:val="both"/>
        <w:rPr>
          <w:sz w:val="28"/>
          <w:szCs w:val="28"/>
          <w:rtl/>
        </w:rPr>
      </w:pPr>
      <w:r>
        <w:rPr>
          <w:rFonts w:hint="cs"/>
          <w:sz w:val="28"/>
          <w:szCs w:val="28"/>
          <w:rtl/>
        </w:rPr>
        <w:t xml:space="preserve">שורוק ביקשה מן הנאשם שיעזוב אותה ויתן לה להמשיך בחייה אך הוא המשיך להטרידה. </w:t>
      </w:r>
    </w:p>
    <w:p w14:paraId="7C3A22F9" w14:textId="77777777" w:rsidR="000C0504" w:rsidRDefault="000C0504">
      <w:pPr>
        <w:spacing w:line="360" w:lineRule="auto"/>
        <w:ind w:left="720"/>
        <w:jc w:val="both"/>
        <w:rPr>
          <w:sz w:val="28"/>
          <w:szCs w:val="28"/>
          <w:rtl/>
        </w:rPr>
      </w:pPr>
    </w:p>
    <w:p w14:paraId="5D5CB30D" w14:textId="77777777" w:rsidR="000C0504" w:rsidRDefault="00A71A20">
      <w:pPr>
        <w:spacing w:line="360" w:lineRule="auto"/>
        <w:ind w:left="720"/>
        <w:jc w:val="both"/>
        <w:rPr>
          <w:sz w:val="28"/>
          <w:szCs w:val="28"/>
          <w:rtl/>
        </w:rPr>
      </w:pPr>
      <w:r>
        <w:rPr>
          <w:rFonts w:hint="cs"/>
          <w:sz w:val="28"/>
          <w:szCs w:val="28"/>
          <w:rtl/>
        </w:rPr>
        <w:t xml:space="preserve">כששה חודשים לפני האירוע נשוא כתב האישום, חבר אחר ניתק את קשריו עם שורוק בעקבות איומי הנאשם. </w:t>
      </w:r>
    </w:p>
    <w:p w14:paraId="484DD8A8" w14:textId="77777777" w:rsidR="000C0504" w:rsidRDefault="000C0504">
      <w:pPr>
        <w:spacing w:line="360" w:lineRule="auto"/>
        <w:ind w:left="720"/>
        <w:jc w:val="both"/>
        <w:rPr>
          <w:sz w:val="28"/>
          <w:szCs w:val="28"/>
          <w:rtl/>
        </w:rPr>
      </w:pPr>
    </w:p>
    <w:p w14:paraId="6D7D8430" w14:textId="77777777" w:rsidR="000C0504" w:rsidRDefault="00A71A20">
      <w:pPr>
        <w:spacing w:line="360" w:lineRule="auto"/>
        <w:ind w:left="720"/>
        <w:jc w:val="both"/>
        <w:rPr>
          <w:sz w:val="28"/>
          <w:szCs w:val="28"/>
          <w:rtl/>
        </w:rPr>
      </w:pPr>
      <w:r>
        <w:rPr>
          <w:rFonts w:hint="cs"/>
          <w:sz w:val="28"/>
          <w:szCs w:val="28"/>
          <w:rtl/>
        </w:rPr>
        <w:t xml:space="preserve">בחודשים האחרונים עובר לאירוע נשוא כתב האישום, נמצאה שורוק בקשר רומנטי עם סובחי סוידאן (להלן: "המנוח") וכשבועיים עובר לאירוע נשוא כתב האישום, הגיע המנוח לבית הוריה לבקש את ידה. </w:t>
      </w:r>
    </w:p>
    <w:p w14:paraId="03451981" w14:textId="77777777" w:rsidR="000C0504" w:rsidRDefault="000C0504">
      <w:pPr>
        <w:ind w:left="720"/>
        <w:jc w:val="both"/>
        <w:rPr>
          <w:sz w:val="28"/>
          <w:szCs w:val="28"/>
          <w:rtl/>
        </w:rPr>
      </w:pPr>
    </w:p>
    <w:p w14:paraId="0CF02B47" w14:textId="77777777" w:rsidR="000C0504" w:rsidRDefault="00A71A20">
      <w:pPr>
        <w:spacing w:line="360" w:lineRule="auto"/>
        <w:ind w:left="720"/>
        <w:jc w:val="both"/>
        <w:rPr>
          <w:sz w:val="28"/>
          <w:szCs w:val="28"/>
          <w:rtl/>
        </w:rPr>
      </w:pPr>
      <w:r>
        <w:rPr>
          <w:rFonts w:hint="cs"/>
          <w:sz w:val="28"/>
          <w:szCs w:val="28"/>
          <w:rtl/>
        </w:rPr>
        <w:t xml:space="preserve">הנאשם שב ואיים על שורוק שהוא יפגע בכל מי שנמצא עמה בקשר. על אף האיום שורוק והמנוח  המשיכו בקשר. </w:t>
      </w:r>
    </w:p>
    <w:p w14:paraId="74B90C39" w14:textId="77777777" w:rsidR="000C0504" w:rsidRDefault="000C0504">
      <w:pPr>
        <w:ind w:left="720"/>
        <w:jc w:val="both"/>
        <w:rPr>
          <w:sz w:val="28"/>
          <w:szCs w:val="28"/>
          <w:rtl/>
        </w:rPr>
      </w:pPr>
    </w:p>
    <w:p w14:paraId="7A16D7D6" w14:textId="77777777" w:rsidR="000C0504" w:rsidRDefault="00A71A20">
      <w:pPr>
        <w:spacing w:line="360" w:lineRule="auto"/>
        <w:ind w:left="720"/>
        <w:jc w:val="both"/>
        <w:rPr>
          <w:sz w:val="28"/>
          <w:szCs w:val="28"/>
          <w:rtl/>
        </w:rPr>
      </w:pPr>
      <w:r>
        <w:rPr>
          <w:rFonts w:hint="cs"/>
          <w:sz w:val="28"/>
          <w:szCs w:val="28"/>
          <w:rtl/>
        </w:rPr>
        <w:t xml:space="preserve">בתאריך 18.1.13 הגיע הנאשם חמוש באקדח סמוך למכולת של עימאד אבו עבד בעכו העתיקה, פגש במנוח, שלף את האקדח שהיה ברשותו וירה במנוח 8 כדורים </w:t>
      </w:r>
      <w:r>
        <w:rPr>
          <w:sz w:val="28"/>
          <w:szCs w:val="28"/>
          <w:rtl/>
        </w:rPr>
        <w:t>–</w:t>
      </w:r>
      <w:r>
        <w:rPr>
          <w:rFonts w:hint="cs"/>
          <w:sz w:val="28"/>
          <w:szCs w:val="28"/>
          <w:rtl/>
        </w:rPr>
        <w:t xml:space="preserve"> קליע אחד פגע במותן, אחד בבטן וששה קליעים בעכוז. הפגיעות מהירי גרמו למותו של המנוח. </w:t>
      </w:r>
    </w:p>
    <w:p w14:paraId="59632873" w14:textId="77777777" w:rsidR="000C0504" w:rsidRDefault="000C0504">
      <w:pPr>
        <w:spacing w:line="360" w:lineRule="auto"/>
        <w:ind w:left="720" w:hanging="720"/>
        <w:jc w:val="both"/>
        <w:rPr>
          <w:sz w:val="28"/>
          <w:szCs w:val="28"/>
          <w:rtl/>
        </w:rPr>
      </w:pPr>
    </w:p>
    <w:p w14:paraId="4C13996C" w14:textId="77777777" w:rsidR="000C0504" w:rsidRDefault="00A71A20">
      <w:pPr>
        <w:spacing w:line="360" w:lineRule="auto"/>
        <w:ind w:left="720" w:hanging="720"/>
        <w:jc w:val="both"/>
        <w:rPr>
          <w:b/>
          <w:bCs/>
          <w:sz w:val="28"/>
          <w:szCs w:val="28"/>
          <w:u w:val="single"/>
          <w:rtl/>
        </w:rPr>
      </w:pPr>
      <w:r>
        <w:rPr>
          <w:rFonts w:hint="cs"/>
          <w:b/>
          <w:bCs/>
          <w:sz w:val="28"/>
          <w:szCs w:val="28"/>
          <w:u w:val="single"/>
          <w:rtl/>
        </w:rPr>
        <w:t>הסדר הטיעון</w:t>
      </w:r>
    </w:p>
    <w:p w14:paraId="26F18F50" w14:textId="77777777" w:rsidR="000C0504" w:rsidRDefault="00A71A20">
      <w:pPr>
        <w:spacing w:line="360" w:lineRule="auto"/>
        <w:ind w:left="720" w:hanging="720"/>
        <w:jc w:val="both"/>
        <w:rPr>
          <w:sz w:val="28"/>
          <w:szCs w:val="28"/>
          <w:rtl/>
        </w:rPr>
      </w:pPr>
      <w:r>
        <w:rPr>
          <w:rFonts w:hint="cs"/>
          <w:sz w:val="28"/>
          <w:szCs w:val="28"/>
          <w:rtl/>
        </w:rPr>
        <w:t>2.</w:t>
      </w:r>
      <w:r>
        <w:rPr>
          <w:rFonts w:hint="cs"/>
          <w:sz w:val="28"/>
          <w:szCs w:val="28"/>
          <w:rtl/>
        </w:rPr>
        <w:tab/>
        <w:t xml:space="preserve">במסגרת הסדר הטיעון תוקנו חלק מעובדות כתב האישום המקורי. </w:t>
      </w:r>
    </w:p>
    <w:p w14:paraId="1C13CA0E" w14:textId="77777777" w:rsidR="000C0504" w:rsidRDefault="00A71A20">
      <w:pPr>
        <w:spacing w:line="360" w:lineRule="auto"/>
        <w:ind w:left="720"/>
        <w:jc w:val="both"/>
        <w:rPr>
          <w:sz w:val="28"/>
          <w:szCs w:val="28"/>
          <w:rtl/>
        </w:rPr>
      </w:pPr>
      <w:r>
        <w:rPr>
          <w:rFonts w:hint="cs"/>
          <w:sz w:val="28"/>
          <w:szCs w:val="28"/>
          <w:rtl/>
        </w:rPr>
        <w:t xml:space="preserve">בעקבות כך, סעיף האישום של רצח בכוונה תחילה הומר לאישום בהריגה, והוסכם בין הצדדים על עונש של 13 שנות מאסר בפועל, מאסר על תנאי, ופיצוי למשפחת המנוח. </w:t>
      </w:r>
    </w:p>
    <w:p w14:paraId="3E3B3455" w14:textId="77777777" w:rsidR="000C0504" w:rsidRDefault="000C0504">
      <w:pPr>
        <w:ind w:left="720"/>
        <w:jc w:val="both"/>
        <w:rPr>
          <w:sz w:val="28"/>
          <w:szCs w:val="28"/>
          <w:rtl/>
        </w:rPr>
      </w:pPr>
    </w:p>
    <w:p w14:paraId="00537208" w14:textId="77777777" w:rsidR="000C0504" w:rsidRDefault="00A71A20">
      <w:pPr>
        <w:spacing w:line="360" w:lineRule="auto"/>
        <w:ind w:left="720"/>
        <w:jc w:val="both"/>
        <w:rPr>
          <w:sz w:val="28"/>
          <w:szCs w:val="28"/>
          <w:rtl/>
        </w:rPr>
      </w:pPr>
      <w:r>
        <w:rPr>
          <w:rFonts w:hint="cs"/>
          <w:sz w:val="28"/>
          <w:szCs w:val="28"/>
          <w:rtl/>
        </w:rPr>
        <w:t>לנאשם הרשעה קודמת אחת ב</w:t>
      </w:r>
      <w:hyperlink r:id="rId16" w:history="1">
        <w:r w:rsidRPr="00A71A20">
          <w:rPr>
            <w:color w:val="0000FF"/>
            <w:sz w:val="28"/>
            <w:szCs w:val="28"/>
            <w:u w:val="single"/>
            <w:rtl/>
          </w:rPr>
          <w:t>ת"פ 34516-03-11</w:t>
        </w:r>
      </w:hyperlink>
      <w:r>
        <w:rPr>
          <w:rFonts w:hint="cs"/>
          <w:sz w:val="28"/>
          <w:szCs w:val="28"/>
          <w:rtl/>
        </w:rPr>
        <w:t xml:space="preserve"> בגין החזקת חלקי נשק ותחמושת, בגינה נגזר עליו ביום 21.2.12  מאסר מותנה של 3 חודשים שהוא </w:t>
      </w:r>
      <w:r>
        <w:rPr>
          <w:rFonts w:hint="cs"/>
          <w:sz w:val="28"/>
          <w:szCs w:val="28"/>
          <w:rtl/>
        </w:rPr>
        <w:lastRenderedPageBreak/>
        <w:t xml:space="preserve">בר הפעלה בתיק זה אולם, שני הצדדים עתרו להפעלתו באופן חופף למאסר שייגזר עליו בתיק זה, על פי ההסדר הטיעון. </w:t>
      </w:r>
    </w:p>
    <w:p w14:paraId="1C4A4585" w14:textId="77777777" w:rsidR="000C0504" w:rsidRDefault="000C0504">
      <w:pPr>
        <w:ind w:left="720" w:hanging="720"/>
        <w:jc w:val="both"/>
        <w:rPr>
          <w:sz w:val="28"/>
          <w:szCs w:val="28"/>
          <w:rtl/>
        </w:rPr>
      </w:pPr>
    </w:p>
    <w:p w14:paraId="6859C406" w14:textId="77777777" w:rsidR="000C0504" w:rsidRDefault="00A71A20">
      <w:pPr>
        <w:spacing w:line="360" w:lineRule="auto"/>
        <w:ind w:left="720" w:hanging="720"/>
        <w:jc w:val="both"/>
        <w:rPr>
          <w:sz w:val="28"/>
          <w:szCs w:val="28"/>
          <w:rtl/>
        </w:rPr>
      </w:pPr>
      <w:r>
        <w:rPr>
          <w:rFonts w:hint="cs"/>
          <w:sz w:val="28"/>
          <w:szCs w:val="28"/>
          <w:rtl/>
        </w:rPr>
        <w:t>3.</w:t>
      </w:r>
      <w:r>
        <w:rPr>
          <w:rFonts w:hint="cs"/>
          <w:sz w:val="28"/>
          <w:szCs w:val="28"/>
          <w:rtl/>
        </w:rPr>
        <w:tab/>
        <w:t xml:space="preserve">הצדדים ביקשו לכבד את הסדר הטיעון, הדגישו כי קשיים ראיתיים הובילו אותם לכריתת ההסדר וטענו כי העונש המוסכם משקלל את חומרת המעשה, מסוכנותו של הנאשם והקושי הראייתי הנטען. המאשימה הפנתה לפסקי דין בהם נפסקו עונשים שנעו בין 12 ל- 13 שנות מאסר בפועל, בגין עבירת הריגה ועבירות נלוות, והסניגור איזכר מקרים בהם הוטלו עונשי מאסר שבין 4 ל- 13 שנות מאסר. </w:t>
      </w:r>
    </w:p>
    <w:p w14:paraId="56C2180F" w14:textId="77777777" w:rsidR="000C0504" w:rsidRDefault="000C0504">
      <w:pPr>
        <w:spacing w:line="360" w:lineRule="auto"/>
        <w:ind w:left="720" w:hanging="720"/>
        <w:jc w:val="both"/>
        <w:rPr>
          <w:sz w:val="28"/>
          <w:szCs w:val="28"/>
          <w:rtl/>
        </w:rPr>
      </w:pPr>
    </w:p>
    <w:p w14:paraId="6F21D748" w14:textId="77777777" w:rsidR="000C0504" w:rsidRDefault="00A71A20">
      <w:pPr>
        <w:spacing w:line="360" w:lineRule="auto"/>
        <w:ind w:left="720" w:hanging="720"/>
        <w:jc w:val="both"/>
        <w:rPr>
          <w:sz w:val="28"/>
          <w:szCs w:val="28"/>
          <w:rtl/>
        </w:rPr>
      </w:pPr>
      <w:r>
        <w:rPr>
          <w:rFonts w:hint="cs"/>
          <w:sz w:val="28"/>
          <w:szCs w:val="28"/>
          <w:rtl/>
        </w:rPr>
        <w:t>4.</w:t>
      </w:r>
      <w:r>
        <w:rPr>
          <w:rFonts w:hint="cs"/>
          <w:sz w:val="28"/>
          <w:szCs w:val="28"/>
          <w:rtl/>
        </w:rPr>
        <w:tab/>
        <w:t xml:space="preserve">לאחר ששמענו את טענות הצדדים, הגענו למסקנה כי ראוי לכבד את הסדר הטיעון אליו הגיעו הצדדים. </w:t>
      </w:r>
    </w:p>
    <w:p w14:paraId="004CCB36" w14:textId="77777777" w:rsidR="000C0504" w:rsidRDefault="000C0504">
      <w:pPr>
        <w:spacing w:line="360" w:lineRule="auto"/>
        <w:ind w:left="720" w:hanging="720"/>
        <w:jc w:val="both"/>
        <w:rPr>
          <w:sz w:val="28"/>
          <w:szCs w:val="28"/>
          <w:rtl/>
        </w:rPr>
      </w:pPr>
    </w:p>
    <w:p w14:paraId="1D1C9961" w14:textId="77777777" w:rsidR="000C0504" w:rsidRDefault="00A71A20">
      <w:pPr>
        <w:spacing w:line="360" w:lineRule="auto"/>
        <w:ind w:left="720"/>
        <w:jc w:val="both"/>
        <w:rPr>
          <w:sz w:val="28"/>
          <w:szCs w:val="28"/>
          <w:rtl/>
        </w:rPr>
      </w:pPr>
      <w:r>
        <w:rPr>
          <w:rFonts w:hint="cs"/>
          <w:sz w:val="28"/>
          <w:szCs w:val="28"/>
          <w:rtl/>
        </w:rPr>
        <w:t xml:space="preserve">בהתחשב בנתונים שהוצגו: חומרת המעשים (לאחר תיקון כתב האישום) ומסוכנותו של הנאשם מול הקשיים הראייתיים עליהם הצביעו הצדדים, מדובר בהסדר סביר העולה בקנה אחד עם האינטרס הציבורי. על אף שהעונש המוסכם נוטה במידה מסויימת לקולא, בהתחשב בתיאור נסיבות האירוע בכתב האישום המתוקן, אין הוא חורג מטווח הענישה הנוהג (ראו: </w:t>
      </w:r>
      <w:hyperlink r:id="rId17" w:history="1">
        <w:r w:rsidRPr="00A71A20">
          <w:rPr>
            <w:color w:val="0000FF"/>
            <w:sz w:val="28"/>
            <w:szCs w:val="28"/>
            <w:u w:val="single"/>
            <w:rtl/>
          </w:rPr>
          <w:t>תפ"ח 506622-12-10</w:t>
        </w:r>
      </w:hyperlink>
      <w:r>
        <w:rPr>
          <w:rFonts w:hint="cs"/>
          <w:sz w:val="28"/>
          <w:szCs w:val="28"/>
          <w:rtl/>
        </w:rPr>
        <w:t xml:space="preserve"> </w:t>
      </w:r>
      <w:r>
        <w:rPr>
          <w:rFonts w:hint="cs"/>
          <w:b/>
          <w:bCs/>
          <w:sz w:val="28"/>
          <w:szCs w:val="28"/>
          <w:rtl/>
        </w:rPr>
        <w:t xml:space="preserve">מדינת ישראל נ' עבד אל כרים ג'הלין </w:t>
      </w:r>
      <w:r>
        <w:rPr>
          <w:rFonts w:hint="cs"/>
          <w:sz w:val="28"/>
          <w:szCs w:val="28"/>
          <w:rtl/>
        </w:rPr>
        <w:t>(12.9.2011) בו נגזרו 13 שנות מאסר בגין עבירת הריגה, פציעה בנסיבות מחמירות ונשיאת נשק; ב</w:t>
      </w:r>
      <w:hyperlink r:id="rId18" w:history="1">
        <w:r w:rsidRPr="00A71A20">
          <w:rPr>
            <w:color w:val="0000FF"/>
            <w:sz w:val="28"/>
            <w:szCs w:val="28"/>
            <w:u w:val="single"/>
            <w:rtl/>
          </w:rPr>
          <w:t>ת"פ 15771-02-13</w:t>
        </w:r>
      </w:hyperlink>
      <w:r>
        <w:rPr>
          <w:rFonts w:hint="cs"/>
          <w:sz w:val="28"/>
          <w:szCs w:val="28"/>
          <w:rtl/>
        </w:rPr>
        <w:t xml:space="preserve"> </w:t>
      </w:r>
      <w:r>
        <w:rPr>
          <w:rFonts w:hint="cs"/>
          <w:b/>
          <w:bCs/>
          <w:sz w:val="28"/>
          <w:szCs w:val="28"/>
          <w:rtl/>
        </w:rPr>
        <w:t xml:space="preserve">מדינת ישראל נ' מוחמד מגנדף </w:t>
      </w:r>
      <w:r>
        <w:rPr>
          <w:rFonts w:hint="cs"/>
          <w:sz w:val="28"/>
          <w:szCs w:val="28"/>
          <w:rtl/>
        </w:rPr>
        <w:t xml:space="preserve">(13.11.2013) </w:t>
      </w:r>
      <w:r>
        <w:rPr>
          <w:sz w:val="28"/>
          <w:szCs w:val="28"/>
          <w:rtl/>
        </w:rPr>
        <w:t>–</w:t>
      </w:r>
      <w:r>
        <w:rPr>
          <w:rFonts w:hint="cs"/>
          <w:sz w:val="28"/>
          <w:szCs w:val="28"/>
          <w:rtl/>
        </w:rPr>
        <w:t xml:space="preserve"> בו נגזרו 12 שנות מאסר בפועל בגין הריגה, חבלה בכוונה מחמירה ועבירות נשק). יתר על כן, ההסדר אינו חורג ממתחם הענישה ההולם הנמצא בין 12 ל- 18 שנות מאסר. אנו מקבלים את ההסדר גם בהתחשב במדיניות השיפוטית ביחס להסדרי טיעון על פי "הלכת האיזון" כפי שפורט ב</w:t>
      </w:r>
      <w:hyperlink r:id="rId19" w:history="1">
        <w:r w:rsidRPr="00A71A20">
          <w:rPr>
            <w:color w:val="0000FF"/>
            <w:sz w:val="28"/>
            <w:szCs w:val="28"/>
            <w:u w:val="single"/>
            <w:rtl/>
          </w:rPr>
          <w:t>ע"פ 1958/98</w:t>
        </w:r>
      </w:hyperlink>
      <w:r>
        <w:rPr>
          <w:rFonts w:hint="cs"/>
          <w:sz w:val="28"/>
          <w:szCs w:val="28"/>
          <w:rtl/>
        </w:rPr>
        <w:t xml:space="preserve"> </w:t>
      </w:r>
      <w:r>
        <w:rPr>
          <w:rFonts w:hint="cs"/>
          <w:b/>
          <w:bCs/>
          <w:sz w:val="28"/>
          <w:szCs w:val="28"/>
          <w:rtl/>
        </w:rPr>
        <w:t xml:space="preserve">פלוני נ' מדינת ישראל </w:t>
      </w:r>
      <w:r>
        <w:rPr>
          <w:rFonts w:hint="cs"/>
          <w:sz w:val="28"/>
          <w:szCs w:val="28"/>
          <w:rtl/>
        </w:rPr>
        <w:t>(2002)</w:t>
      </w:r>
      <w:r>
        <w:rPr>
          <w:rFonts w:hint="cs"/>
          <w:b/>
          <w:bCs/>
          <w:sz w:val="28"/>
          <w:szCs w:val="28"/>
          <w:rtl/>
        </w:rPr>
        <w:t xml:space="preserve">. </w:t>
      </w:r>
      <w:r>
        <w:rPr>
          <w:rFonts w:hint="cs"/>
          <w:sz w:val="28"/>
          <w:szCs w:val="28"/>
          <w:rtl/>
        </w:rPr>
        <w:t>לעניין הקורלציה בין מתחם הענישה ההולם על פי תיקון 113 לחוק בעבירת ההריגה לבין עונשים הנקבעים במסגרת הסדרי טיעון ראו נימוקי הרכב זה ב</w:t>
      </w:r>
      <w:hyperlink r:id="rId20" w:history="1">
        <w:r w:rsidRPr="00A71A20">
          <w:rPr>
            <w:color w:val="0000FF"/>
            <w:sz w:val="28"/>
            <w:szCs w:val="28"/>
            <w:u w:val="single"/>
            <w:rtl/>
          </w:rPr>
          <w:t>תפ"ח 49842-03-13</w:t>
        </w:r>
      </w:hyperlink>
      <w:r>
        <w:rPr>
          <w:rFonts w:hint="cs"/>
          <w:sz w:val="28"/>
          <w:szCs w:val="28"/>
          <w:rtl/>
        </w:rPr>
        <w:t xml:space="preserve"> </w:t>
      </w:r>
      <w:r>
        <w:rPr>
          <w:rFonts w:hint="cs"/>
          <w:b/>
          <w:bCs/>
          <w:sz w:val="28"/>
          <w:szCs w:val="28"/>
          <w:rtl/>
        </w:rPr>
        <w:t>מדינת ישראל נ' אבו שנדי ואח'</w:t>
      </w:r>
      <w:r>
        <w:rPr>
          <w:rFonts w:hint="cs"/>
          <w:sz w:val="28"/>
          <w:szCs w:val="28"/>
          <w:rtl/>
        </w:rPr>
        <w:t xml:space="preserve"> (28.1.2014), שם גם ציינו שמדובר בשני מתחמים שונים שלא תמיד הינם זהים.  </w:t>
      </w:r>
    </w:p>
    <w:p w14:paraId="6D34F202" w14:textId="77777777" w:rsidR="000C0504" w:rsidRDefault="000C0504">
      <w:pPr>
        <w:spacing w:line="480" w:lineRule="auto"/>
        <w:ind w:left="720" w:hanging="720"/>
        <w:jc w:val="both"/>
        <w:rPr>
          <w:sz w:val="28"/>
          <w:szCs w:val="28"/>
          <w:rtl/>
        </w:rPr>
      </w:pPr>
    </w:p>
    <w:p w14:paraId="233521CD" w14:textId="77777777" w:rsidR="000C0504" w:rsidRDefault="000C0504">
      <w:pPr>
        <w:ind w:left="720" w:hanging="720"/>
        <w:jc w:val="both"/>
        <w:rPr>
          <w:sz w:val="28"/>
          <w:szCs w:val="28"/>
          <w:rtl/>
        </w:rPr>
      </w:pPr>
    </w:p>
    <w:p w14:paraId="485E7EAD" w14:textId="77777777" w:rsidR="000C0504" w:rsidRDefault="00A71A20">
      <w:pPr>
        <w:spacing w:line="360" w:lineRule="auto"/>
        <w:ind w:left="720" w:hanging="720"/>
        <w:jc w:val="both"/>
        <w:rPr>
          <w:sz w:val="28"/>
          <w:szCs w:val="28"/>
          <w:rtl/>
        </w:rPr>
      </w:pPr>
      <w:r>
        <w:rPr>
          <w:rFonts w:hint="cs"/>
          <w:b/>
          <w:bCs/>
          <w:sz w:val="28"/>
          <w:szCs w:val="28"/>
          <w:u w:val="single"/>
          <w:rtl/>
        </w:rPr>
        <w:t>רכיב הפיצוי</w:t>
      </w:r>
    </w:p>
    <w:p w14:paraId="6C2E9E71" w14:textId="77777777" w:rsidR="000C0504" w:rsidRDefault="000C0504">
      <w:pPr>
        <w:ind w:left="720" w:hanging="720"/>
        <w:jc w:val="both"/>
        <w:rPr>
          <w:sz w:val="28"/>
          <w:szCs w:val="28"/>
          <w:rtl/>
        </w:rPr>
      </w:pPr>
    </w:p>
    <w:p w14:paraId="53814EF5" w14:textId="77777777" w:rsidR="000C0504" w:rsidRDefault="00A71A20">
      <w:pPr>
        <w:spacing w:line="360" w:lineRule="auto"/>
        <w:ind w:left="720" w:hanging="720"/>
        <w:jc w:val="both"/>
        <w:rPr>
          <w:sz w:val="28"/>
          <w:szCs w:val="28"/>
          <w:rtl/>
        </w:rPr>
      </w:pPr>
      <w:r>
        <w:rPr>
          <w:rFonts w:hint="cs"/>
          <w:sz w:val="28"/>
          <w:szCs w:val="28"/>
          <w:rtl/>
        </w:rPr>
        <w:t>5.</w:t>
      </w:r>
      <w:r>
        <w:rPr>
          <w:rFonts w:hint="cs"/>
          <w:sz w:val="28"/>
          <w:szCs w:val="28"/>
          <w:rtl/>
        </w:rPr>
        <w:tab/>
        <w:t xml:space="preserve">הרכיב העונשי היחיד עליו חלוקים הצדדים הוא גובה הפיצוי שיש לפסוק למשפחת המנוח. </w:t>
      </w:r>
    </w:p>
    <w:p w14:paraId="22BEFB3A" w14:textId="77777777" w:rsidR="000C0504" w:rsidRDefault="00A71A20">
      <w:pPr>
        <w:spacing w:line="360" w:lineRule="auto"/>
        <w:ind w:left="720"/>
        <w:jc w:val="both"/>
        <w:rPr>
          <w:sz w:val="28"/>
          <w:szCs w:val="28"/>
          <w:rtl/>
        </w:rPr>
      </w:pPr>
      <w:r>
        <w:rPr>
          <w:rFonts w:hint="cs"/>
          <w:sz w:val="28"/>
          <w:szCs w:val="28"/>
          <w:rtl/>
        </w:rPr>
        <w:t xml:space="preserve">לטענת ב"כ המאשימה, המנוח היה בן 40 במותו, טרם נישא וטרם נולדו לו ילדים. נטען כי אלמלא נהרג, היה ככל הנראה מתחתן, מביא ילדים לעולם ומביא אושר ושמחה למשפחה. מותו בטרם עת גרם, על כן, צער רב וכאב גדול למשפחתו ועם כאב זה יאלצו להתמודד כל חייהם. כמו כן, נטען כי אילו היה המנוח נשאר בחיים הוא היה מתפרנס ותורם לפרנסת המשפחה. </w:t>
      </w:r>
    </w:p>
    <w:p w14:paraId="13B89AF8" w14:textId="77777777" w:rsidR="000C0504" w:rsidRDefault="000C0504">
      <w:pPr>
        <w:spacing w:line="360" w:lineRule="auto"/>
        <w:ind w:left="720"/>
        <w:jc w:val="both"/>
        <w:rPr>
          <w:sz w:val="28"/>
          <w:szCs w:val="28"/>
          <w:rtl/>
        </w:rPr>
      </w:pPr>
    </w:p>
    <w:p w14:paraId="2C1DC6BB" w14:textId="77777777" w:rsidR="000C0504" w:rsidRDefault="00A71A20">
      <w:pPr>
        <w:spacing w:line="360" w:lineRule="auto"/>
        <w:ind w:left="720"/>
        <w:jc w:val="both"/>
        <w:rPr>
          <w:sz w:val="28"/>
          <w:szCs w:val="28"/>
          <w:rtl/>
        </w:rPr>
      </w:pPr>
      <w:r>
        <w:rPr>
          <w:rFonts w:hint="cs"/>
          <w:sz w:val="28"/>
          <w:szCs w:val="28"/>
          <w:rtl/>
        </w:rPr>
        <w:t xml:space="preserve">מתצהירה של אחות המנוח נג'וד סוידאן, עולה כי מותו הטראומתי של המנוח השאיר עליה ועל בני המשפחה חותם, והרס את חייהם. נטען כי הנאשם גרם לנזק נפשי ולסבל מתמשך לאחותו של המנוח ולבני משפחה נוספים ועל כן נתבקשנו להטיל פיצוי משמעותי לחובת הנאשם, שיועבר למשפחת המנוח. </w:t>
      </w:r>
    </w:p>
    <w:p w14:paraId="0D5DB4FA" w14:textId="77777777" w:rsidR="000C0504" w:rsidRDefault="000C0504">
      <w:pPr>
        <w:spacing w:line="360" w:lineRule="auto"/>
        <w:ind w:left="720" w:hanging="720"/>
        <w:jc w:val="both"/>
        <w:rPr>
          <w:sz w:val="28"/>
          <w:szCs w:val="28"/>
          <w:rtl/>
        </w:rPr>
      </w:pPr>
    </w:p>
    <w:p w14:paraId="5EF48168" w14:textId="77777777" w:rsidR="000C0504" w:rsidRDefault="00A71A20">
      <w:pPr>
        <w:spacing w:line="360" w:lineRule="auto"/>
        <w:ind w:left="720" w:hanging="720"/>
        <w:jc w:val="both"/>
        <w:rPr>
          <w:sz w:val="28"/>
          <w:szCs w:val="28"/>
          <w:rtl/>
        </w:rPr>
      </w:pPr>
      <w:r>
        <w:rPr>
          <w:rFonts w:hint="cs"/>
          <w:sz w:val="28"/>
          <w:szCs w:val="28"/>
          <w:rtl/>
        </w:rPr>
        <w:t>6.</w:t>
      </w:r>
      <w:r>
        <w:rPr>
          <w:rFonts w:hint="cs"/>
          <w:sz w:val="28"/>
          <w:szCs w:val="28"/>
          <w:rtl/>
        </w:rPr>
        <w:tab/>
        <w:t xml:space="preserve">ב"כ הנאשם טען שהמנוח לא תמך במהלך חייו באדם כלשהו, לרבות בני משפחתו. נטען עוד כי המנוח לא התגורר עם בני משפחתו ונהג ללון אצל חברים. בנוסף, נטען שלא הוגש לתיק בית המשפט צו ירושה לעזבון המנוח או צו קיום צוואה. </w:t>
      </w:r>
    </w:p>
    <w:p w14:paraId="65156186" w14:textId="77777777" w:rsidR="000C0504" w:rsidRDefault="00A71A20">
      <w:pPr>
        <w:spacing w:line="360" w:lineRule="auto"/>
        <w:ind w:left="720"/>
        <w:jc w:val="both"/>
        <w:rPr>
          <w:sz w:val="28"/>
          <w:szCs w:val="28"/>
          <w:rtl/>
        </w:rPr>
      </w:pPr>
      <w:r>
        <w:rPr>
          <w:rFonts w:hint="cs"/>
          <w:sz w:val="28"/>
          <w:szCs w:val="28"/>
          <w:rtl/>
        </w:rPr>
        <w:t xml:space="preserve">לדעת הסניגור, נהוג להטיל פיצוי בסכומים שונים במקרים של אבדן חיים, אולם במקרה דנן אין הצדקה להטיל פיצוי כלשהו, שכן למשפחת הקרבן עומדת הזכות להגיש תביעה אזרחית נגד הנאשם. </w:t>
      </w:r>
    </w:p>
    <w:p w14:paraId="004B3D5B" w14:textId="77777777" w:rsidR="000C0504" w:rsidRDefault="00A71A20">
      <w:pPr>
        <w:spacing w:line="360" w:lineRule="auto"/>
        <w:ind w:left="720"/>
        <w:jc w:val="both"/>
        <w:rPr>
          <w:sz w:val="28"/>
          <w:szCs w:val="28"/>
          <w:rtl/>
        </w:rPr>
      </w:pPr>
      <w:r>
        <w:rPr>
          <w:rFonts w:hint="cs"/>
          <w:sz w:val="28"/>
          <w:szCs w:val="28"/>
          <w:rtl/>
        </w:rPr>
        <w:t xml:space="preserve">כמו כן נטען שבמגזר הערבי נהוג לערוך סולחה בין משפחת הקרבן לבין מי שפגע בו ובמסגרתה ייפסקו פיצויים למשפחת המנוח. </w:t>
      </w:r>
    </w:p>
    <w:p w14:paraId="617D8035" w14:textId="77777777" w:rsidR="000C0504" w:rsidRDefault="00A71A20">
      <w:pPr>
        <w:spacing w:line="360" w:lineRule="auto"/>
        <w:ind w:left="720"/>
        <w:jc w:val="both"/>
        <w:rPr>
          <w:sz w:val="28"/>
          <w:szCs w:val="28"/>
          <w:rtl/>
        </w:rPr>
      </w:pPr>
      <w:r>
        <w:rPr>
          <w:rFonts w:hint="cs"/>
          <w:sz w:val="28"/>
          <w:szCs w:val="28"/>
          <w:rtl/>
        </w:rPr>
        <w:t xml:space="preserve">לחלופין, הפנה הסניגור למקרים בהם נפסקו פיצויים בסכומים שבין 30,000 ₪ </w:t>
      </w:r>
      <w:r>
        <w:rPr>
          <w:sz w:val="28"/>
          <w:szCs w:val="28"/>
          <w:rtl/>
        </w:rPr>
        <w:t>–</w:t>
      </w:r>
      <w:r>
        <w:rPr>
          <w:rFonts w:hint="cs"/>
          <w:sz w:val="28"/>
          <w:szCs w:val="28"/>
          <w:rtl/>
        </w:rPr>
        <w:t xml:space="preserve"> 40,000 ₪ וטען שיש להסתפק בפיצוי שלא יחרוג מהסך של 30,000 ₪. </w:t>
      </w:r>
    </w:p>
    <w:p w14:paraId="26AC5B48" w14:textId="77777777" w:rsidR="000C0504" w:rsidRDefault="000C0504">
      <w:pPr>
        <w:spacing w:line="360" w:lineRule="auto"/>
        <w:ind w:left="720" w:hanging="720"/>
        <w:jc w:val="both"/>
        <w:rPr>
          <w:sz w:val="28"/>
          <w:szCs w:val="28"/>
          <w:rtl/>
        </w:rPr>
      </w:pPr>
    </w:p>
    <w:p w14:paraId="3D369BD8" w14:textId="77777777" w:rsidR="000C0504" w:rsidRDefault="00A71A20">
      <w:pPr>
        <w:spacing w:line="360" w:lineRule="auto"/>
        <w:ind w:left="720" w:hanging="720"/>
        <w:jc w:val="both"/>
        <w:rPr>
          <w:sz w:val="28"/>
          <w:szCs w:val="28"/>
          <w:rtl/>
        </w:rPr>
      </w:pPr>
      <w:r>
        <w:rPr>
          <w:rFonts w:hint="cs"/>
          <w:sz w:val="28"/>
          <w:szCs w:val="28"/>
          <w:rtl/>
        </w:rPr>
        <w:t>7.</w:t>
      </w:r>
      <w:r>
        <w:rPr>
          <w:rFonts w:hint="cs"/>
          <w:sz w:val="28"/>
          <w:szCs w:val="28"/>
          <w:rtl/>
        </w:rPr>
        <w:tab/>
        <w:t xml:space="preserve">בשם משפחת הקרבן, ובעיקר בשם אחות המנוח, הוגש טיעון על ידי עו"ד אילן עבאס. לטענתו, בני משפחת המנוח מתקשים לעכל את האבידה. נטען שמעשי הנאשם גרמו לאחותו של המנוח, גב' נג'וד סוידאן, נזקים רבים וכך גם לאחיו, מר אדהם סוידאן. נטען כי בעקבות המקרה האחות סובלת מקשיי הסתגלות, מקשיי ריכוז, מתח ולחץ רב ואף מטופלת נפשית, ובשל כך אינה עובדת. </w:t>
      </w:r>
    </w:p>
    <w:p w14:paraId="73057A44" w14:textId="77777777" w:rsidR="000C0504" w:rsidRDefault="00A71A20">
      <w:pPr>
        <w:spacing w:line="360" w:lineRule="auto"/>
        <w:ind w:left="720"/>
        <w:jc w:val="both"/>
        <w:rPr>
          <w:sz w:val="28"/>
          <w:szCs w:val="28"/>
          <w:rtl/>
        </w:rPr>
      </w:pPr>
      <w:r>
        <w:rPr>
          <w:rFonts w:hint="cs"/>
          <w:sz w:val="28"/>
          <w:szCs w:val="28"/>
          <w:rtl/>
        </w:rPr>
        <w:t xml:space="preserve">נטען שמדובר באחים שגדלו יחד בנסיבות בהן  אמם נפטרה ואביהם התכחש אליהם, ואפילו כיום לא מתעניין בבנו שנרצח, כך שהקשר ביניהם כאחים היה מאוד משמעותי. </w:t>
      </w:r>
    </w:p>
    <w:p w14:paraId="343089E0" w14:textId="77777777" w:rsidR="000C0504" w:rsidRDefault="00A71A20">
      <w:pPr>
        <w:spacing w:line="360" w:lineRule="auto"/>
        <w:ind w:left="720"/>
        <w:jc w:val="both"/>
        <w:rPr>
          <w:sz w:val="28"/>
          <w:szCs w:val="28"/>
          <w:rtl/>
        </w:rPr>
      </w:pPr>
      <w:r>
        <w:rPr>
          <w:rFonts w:hint="cs"/>
          <w:sz w:val="28"/>
          <w:szCs w:val="28"/>
          <w:rtl/>
        </w:rPr>
        <w:t xml:space="preserve">לדעת ב"כ משפחת הקורבן, </w:t>
      </w:r>
      <w:hyperlink r:id="rId21" w:history="1">
        <w:r w:rsidR="00082D37" w:rsidRPr="00082D37">
          <w:rPr>
            <w:rStyle w:val="Hyperlink"/>
            <w:rFonts w:hint="eastAsia"/>
            <w:sz w:val="28"/>
            <w:szCs w:val="28"/>
            <w:rtl/>
          </w:rPr>
          <w:t>סעיף</w:t>
        </w:r>
        <w:r w:rsidR="00082D37" w:rsidRPr="00082D37">
          <w:rPr>
            <w:rStyle w:val="Hyperlink"/>
            <w:sz w:val="28"/>
            <w:szCs w:val="28"/>
            <w:rtl/>
          </w:rPr>
          <w:t xml:space="preserve"> 77</w:t>
        </w:r>
      </w:hyperlink>
      <w:r>
        <w:rPr>
          <w:rFonts w:hint="cs"/>
          <w:sz w:val="28"/>
          <w:szCs w:val="28"/>
          <w:rtl/>
        </w:rPr>
        <w:t xml:space="preserve"> ל</w:t>
      </w:r>
      <w:hyperlink r:id="rId22" w:history="1">
        <w:r w:rsidRPr="00A71A20">
          <w:rPr>
            <w:color w:val="0000FF"/>
            <w:sz w:val="28"/>
            <w:szCs w:val="28"/>
            <w:u w:val="single"/>
            <w:rtl/>
          </w:rPr>
          <w:t>חוק העונשין</w:t>
        </w:r>
      </w:hyperlink>
      <w:r>
        <w:rPr>
          <w:rFonts w:hint="cs"/>
          <w:sz w:val="28"/>
          <w:szCs w:val="28"/>
          <w:rtl/>
        </w:rPr>
        <w:t xml:space="preserve">, מתיר פסיקת סכום שלא יעלה על 258,000 ₪ כפיצוי על נזק או סבל שנגרם כתוצאה מביצוע עבירה. </w:t>
      </w:r>
    </w:p>
    <w:p w14:paraId="452623ED" w14:textId="77777777" w:rsidR="000C0504" w:rsidRDefault="00A71A20">
      <w:pPr>
        <w:spacing w:line="360" w:lineRule="auto"/>
        <w:ind w:left="720"/>
        <w:jc w:val="both"/>
        <w:rPr>
          <w:sz w:val="28"/>
          <w:szCs w:val="28"/>
          <w:rtl/>
        </w:rPr>
      </w:pPr>
      <w:r>
        <w:rPr>
          <w:rFonts w:hint="cs"/>
          <w:sz w:val="28"/>
          <w:szCs w:val="28"/>
          <w:rtl/>
        </w:rPr>
        <w:t xml:space="preserve">ב"כ משפחת הקורבן סבור כי על עבריינים דוגמת הנאשם לדעת שהם צפויים לא רק לעונש אלא גם לפסיקת פיצויים לקורבן העבירה. עו"ד עבאס הוסיף כי אמנם בית המשפט דחה בקשה לעריכת תסקיר קרבן מטעם שירות המבחן לצורך הערכת הנזקים ושקילת אפשרויות הטיפול במשפחת המנוח, אך בפני בית המשפט מונח תצהירה של האחות, אליו צורף מסמך רפואי המלמד על נזקיה בעקבות האירוע. </w:t>
      </w:r>
    </w:p>
    <w:p w14:paraId="633D14DC" w14:textId="77777777" w:rsidR="000C0504" w:rsidRDefault="00A71A20">
      <w:pPr>
        <w:spacing w:line="360" w:lineRule="auto"/>
        <w:ind w:left="720"/>
        <w:jc w:val="both"/>
        <w:rPr>
          <w:sz w:val="28"/>
          <w:szCs w:val="28"/>
          <w:rtl/>
        </w:rPr>
      </w:pPr>
      <w:r>
        <w:rPr>
          <w:rFonts w:hint="cs"/>
          <w:sz w:val="28"/>
          <w:szCs w:val="28"/>
          <w:rtl/>
        </w:rPr>
        <w:t xml:space="preserve">כן צורף מכתבה של מנהלת המרכז לסיוע למשפחות עבירות המתה בחיפה, המאשר שהאחות סובלת ממצב נפשי קשה בעקבות האירוע ואף מסתגרת לרוב בביתה וזקוקה לסיוע רב מהסובבים אותה. </w:t>
      </w:r>
    </w:p>
    <w:p w14:paraId="39562CFD" w14:textId="77777777" w:rsidR="000C0504" w:rsidRDefault="00A71A20">
      <w:pPr>
        <w:spacing w:line="360" w:lineRule="auto"/>
        <w:ind w:left="720"/>
        <w:jc w:val="both"/>
        <w:rPr>
          <w:sz w:val="28"/>
          <w:szCs w:val="28"/>
          <w:rtl/>
        </w:rPr>
      </w:pPr>
      <w:r>
        <w:rPr>
          <w:rFonts w:hint="cs"/>
          <w:sz w:val="28"/>
          <w:szCs w:val="28"/>
          <w:rtl/>
        </w:rPr>
        <w:t xml:space="preserve">לדעת ב"כ משפחת הקורבן, אחת ממטרות הפיצוי הפלילי הינה מתן סעד מיידי לנפגע העבירה ועל כן ביקש להטיל על הנאשם את הפיצוי המקסימלי ללא התחשבות ביכולתו הכלכלית ואיזכר פסיקה התומכת לדעתו בעמדה זו. יצויין שהצדדים האחרים לא ביקשו להגיש ראיות לעניין הפיצוי ולא התנגדו להגשת המסמכים הנזכרים לעיל. </w:t>
      </w:r>
    </w:p>
    <w:p w14:paraId="3A08C36C" w14:textId="77777777" w:rsidR="000C0504" w:rsidRDefault="000C0504">
      <w:pPr>
        <w:spacing w:line="360" w:lineRule="auto"/>
        <w:ind w:left="720" w:hanging="720"/>
        <w:jc w:val="both"/>
        <w:rPr>
          <w:sz w:val="28"/>
          <w:szCs w:val="28"/>
          <w:rtl/>
        </w:rPr>
      </w:pPr>
    </w:p>
    <w:p w14:paraId="7D3DD415" w14:textId="77777777" w:rsidR="000C0504" w:rsidRDefault="00A71A20">
      <w:pPr>
        <w:spacing w:line="360" w:lineRule="auto"/>
        <w:ind w:left="720" w:hanging="720"/>
        <w:jc w:val="both"/>
        <w:rPr>
          <w:sz w:val="28"/>
          <w:szCs w:val="28"/>
          <w:rtl/>
        </w:rPr>
      </w:pPr>
      <w:r>
        <w:rPr>
          <w:rFonts w:hint="cs"/>
          <w:sz w:val="28"/>
          <w:szCs w:val="28"/>
          <w:rtl/>
        </w:rPr>
        <w:t>8.</w:t>
      </w:r>
      <w:r>
        <w:rPr>
          <w:rFonts w:hint="cs"/>
          <w:sz w:val="28"/>
          <w:szCs w:val="28"/>
          <w:rtl/>
        </w:rPr>
        <w:tab/>
        <w:t xml:space="preserve">הסניגור ביקש להסתמך על עמדת ב"כ המשפחה לפיה אבי המשפחה מתכחש לכל ילדיו ואינו בקשר איתם. ביחס לאחות נטען שהיא נשואה בשנית, מגדלת ילדים, בעלה מפרנס אותה ומעולם לא היתה נתמכת בכל צורה שהיא על ידי המנוח. נטען שהמנוח עצמו השתחרר ממאסר ממושך לפני כשנה בלבד ומצבה הנפשי של אחותו אינו תולדה של הריגת אחיה, אלא הינו תולדה של רצח בנה כפי שהדבר משתקף היטב ממכתבה של גב' דרגן, מנהלת המרכז לסיוע למשפחות. נטען שעל פי </w:t>
      </w:r>
      <w:hyperlink r:id="rId23" w:history="1">
        <w:r w:rsidRPr="00A71A20">
          <w:rPr>
            <w:color w:val="0000FF"/>
            <w:sz w:val="28"/>
            <w:szCs w:val="28"/>
            <w:u w:val="single"/>
            <w:rtl/>
          </w:rPr>
          <w:t>חוק הירושה</w:t>
        </w:r>
      </w:hyperlink>
      <w:r>
        <w:rPr>
          <w:rFonts w:hint="cs"/>
          <w:sz w:val="28"/>
          <w:szCs w:val="28"/>
          <w:rtl/>
        </w:rPr>
        <w:t xml:space="preserve"> ובנסיבות המקרה, יורשו של המנוח הינו אביו וכיוון שאביו לא תמך בו, אין מקום לפסוק לטובתו פיצוי.</w:t>
      </w:r>
    </w:p>
    <w:p w14:paraId="47FE1F44" w14:textId="77777777" w:rsidR="000C0504" w:rsidRDefault="000C0504">
      <w:pPr>
        <w:spacing w:line="360" w:lineRule="auto"/>
        <w:ind w:left="720" w:hanging="720"/>
        <w:jc w:val="both"/>
        <w:rPr>
          <w:sz w:val="28"/>
          <w:szCs w:val="28"/>
          <w:rtl/>
        </w:rPr>
      </w:pPr>
    </w:p>
    <w:p w14:paraId="7B02546F" w14:textId="77777777" w:rsidR="000C0504" w:rsidRDefault="00A71A20">
      <w:pPr>
        <w:spacing w:line="360" w:lineRule="auto"/>
        <w:ind w:left="720" w:hanging="720"/>
        <w:jc w:val="both"/>
        <w:rPr>
          <w:b/>
          <w:bCs/>
          <w:sz w:val="28"/>
          <w:szCs w:val="28"/>
          <w:u w:val="single"/>
          <w:rtl/>
        </w:rPr>
      </w:pPr>
      <w:r>
        <w:rPr>
          <w:rFonts w:hint="cs"/>
          <w:b/>
          <w:bCs/>
          <w:sz w:val="28"/>
          <w:szCs w:val="28"/>
          <w:u w:val="single"/>
          <w:rtl/>
        </w:rPr>
        <w:t>דיון</w:t>
      </w:r>
    </w:p>
    <w:p w14:paraId="236E1346" w14:textId="77777777" w:rsidR="000C0504" w:rsidRDefault="00A71A20">
      <w:pPr>
        <w:spacing w:line="360" w:lineRule="auto"/>
        <w:ind w:left="720" w:hanging="720"/>
        <w:jc w:val="both"/>
        <w:rPr>
          <w:sz w:val="28"/>
          <w:szCs w:val="28"/>
          <w:rtl/>
        </w:rPr>
      </w:pPr>
      <w:r>
        <w:rPr>
          <w:rFonts w:hint="cs"/>
          <w:sz w:val="28"/>
          <w:szCs w:val="28"/>
          <w:rtl/>
        </w:rPr>
        <w:t>9.</w:t>
      </w:r>
      <w:r>
        <w:rPr>
          <w:rFonts w:hint="cs"/>
          <w:sz w:val="28"/>
          <w:szCs w:val="28"/>
          <w:rtl/>
        </w:rPr>
        <w:tab/>
      </w:r>
      <w:hyperlink r:id="rId24" w:history="1">
        <w:r w:rsidR="00947315" w:rsidRPr="00947315">
          <w:rPr>
            <w:color w:val="0000FF"/>
            <w:sz w:val="28"/>
            <w:szCs w:val="28"/>
            <w:u w:val="single"/>
            <w:rtl/>
          </w:rPr>
          <w:t>סעיף 77</w:t>
        </w:r>
      </w:hyperlink>
      <w:r>
        <w:rPr>
          <w:rFonts w:hint="cs"/>
          <w:sz w:val="28"/>
          <w:szCs w:val="28"/>
          <w:rtl/>
        </w:rPr>
        <w:t xml:space="preserve"> ל</w:t>
      </w:r>
      <w:hyperlink r:id="rId25" w:history="1">
        <w:r w:rsidRPr="00A71A20">
          <w:rPr>
            <w:color w:val="0000FF"/>
            <w:sz w:val="28"/>
            <w:szCs w:val="28"/>
            <w:u w:val="single"/>
            <w:rtl/>
          </w:rPr>
          <w:t>חוק העונשין</w:t>
        </w:r>
      </w:hyperlink>
      <w:r>
        <w:rPr>
          <w:rFonts w:hint="cs"/>
          <w:sz w:val="28"/>
          <w:szCs w:val="28"/>
          <w:rtl/>
        </w:rPr>
        <w:t xml:space="preserve"> מסמיך את בית המשפט לחייב נאשם שהורשע בתשלום פיצוי לאדם שניזוק על ידי העבירה, כאשר המונח 'אדם שניזוק' הוגדר בצורה רחבה בפסיקה ואינו מוגבל ליורשים על פי </w:t>
      </w:r>
      <w:hyperlink r:id="rId26" w:history="1">
        <w:r w:rsidRPr="00A71A20">
          <w:rPr>
            <w:color w:val="0000FF"/>
            <w:sz w:val="28"/>
            <w:szCs w:val="28"/>
            <w:u w:val="single"/>
            <w:rtl/>
          </w:rPr>
          <w:t>חוק הירושה</w:t>
        </w:r>
      </w:hyperlink>
      <w:r>
        <w:rPr>
          <w:rFonts w:hint="cs"/>
          <w:sz w:val="28"/>
          <w:szCs w:val="28"/>
          <w:rtl/>
        </w:rPr>
        <w:t xml:space="preserve">. (ראו: </w:t>
      </w:r>
      <w:hyperlink r:id="rId27" w:history="1">
        <w:r w:rsidRPr="00A71A20">
          <w:rPr>
            <w:color w:val="0000FF"/>
            <w:sz w:val="28"/>
            <w:szCs w:val="28"/>
            <w:u w:val="single"/>
            <w:rtl/>
          </w:rPr>
          <w:t>ע"פ 178/65</w:t>
        </w:r>
      </w:hyperlink>
      <w:r>
        <w:rPr>
          <w:rFonts w:hint="cs"/>
          <w:sz w:val="28"/>
          <w:szCs w:val="28"/>
          <w:rtl/>
        </w:rPr>
        <w:t xml:space="preserve"> </w:t>
      </w:r>
      <w:r>
        <w:rPr>
          <w:rFonts w:hint="cs"/>
          <w:b/>
          <w:bCs/>
          <w:sz w:val="28"/>
          <w:szCs w:val="28"/>
          <w:rtl/>
        </w:rPr>
        <w:t>חיים אושה נ' היועץ המשפטי לממשלה</w:t>
      </w:r>
      <w:r>
        <w:rPr>
          <w:rFonts w:hint="cs"/>
          <w:sz w:val="28"/>
          <w:szCs w:val="28"/>
          <w:rtl/>
        </w:rPr>
        <w:t xml:space="preserve"> (1965)). גובה הפיצוי אמור להיקבע לפי ערך הנזק או הסבל שנגרמו, אולם פסיקת פיצוי מותנית בהוכחת נזק, מהותו והיקפו, לפחות באופן כללי. (ראו י' קדמי, </w:t>
      </w:r>
      <w:r>
        <w:rPr>
          <w:rFonts w:hint="cs"/>
          <w:b/>
          <w:bCs/>
          <w:sz w:val="28"/>
          <w:szCs w:val="28"/>
          <w:rtl/>
        </w:rPr>
        <w:t>סדר הדין בפלילים</w:t>
      </w:r>
      <w:r>
        <w:rPr>
          <w:rFonts w:hint="cs"/>
          <w:sz w:val="28"/>
          <w:szCs w:val="28"/>
          <w:rtl/>
        </w:rPr>
        <w:t>, חלק שני מהד' מעודכנת, (תשס"ט-2009) 1760). ככלל, החוק קובע פיצוי מירבי בסכום נמוך יחסית שאינו תמיד ממצה, בייחוד כשמדובר במקרים של עבירות חמורות, ומבטא את רצון המחוקק להעניק פיצוי כלשהו ובה בעת להימנע מהפיכת ההליך הפלילי לזירת התגוששות שמקומה במשפט האזרחי (קדמי, בעמ' 1763).</w:t>
      </w:r>
    </w:p>
    <w:p w14:paraId="50E61C1A" w14:textId="77777777" w:rsidR="000C0504" w:rsidRDefault="000C0504">
      <w:pPr>
        <w:spacing w:line="360" w:lineRule="auto"/>
        <w:ind w:left="720" w:hanging="720"/>
        <w:jc w:val="both"/>
        <w:rPr>
          <w:sz w:val="28"/>
          <w:szCs w:val="28"/>
          <w:rtl/>
        </w:rPr>
      </w:pPr>
    </w:p>
    <w:p w14:paraId="26D0E9B6" w14:textId="77777777" w:rsidR="000C0504" w:rsidRDefault="00A71A20">
      <w:pPr>
        <w:spacing w:line="360" w:lineRule="auto"/>
        <w:ind w:left="720" w:hanging="720"/>
        <w:jc w:val="both"/>
        <w:rPr>
          <w:sz w:val="28"/>
          <w:szCs w:val="28"/>
          <w:rtl/>
        </w:rPr>
      </w:pPr>
      <w:r>
        <w:rPr>
          <w:rFonts w:hint="cs"/>
          <w:sz w:val="28"/>
          <w:szCs w:val="28"/>
          <w:rtl/>
        </w:rPr>
        <w:t>10.</w:t>
      </w:r>
      <w:r>
        <w:rPr>
          <w:rFonts w:hint="cs"/>
          <w:sz w:val="28"/>
          <w:szCs w:val="28"/>
          <w:rtl/>
        </w:rPr>
        <w:tab/>
        <w:t xml:space="preserve">במקרה דנן אביו של המנוח לא הוכיח נזק שניתן לכמתו בהליך שבפנינו; היפוכו של דבר, מן הראיות המעטות שהוגשו עולה כי הוא לא היה כלל בקשר עם ילדיו. </w:t>
      </w:r>
    </w:p>
    <w:p w14:paraId="37A2C3E8" w14:textId="77777777" w:rsidR="000C0504" w:rsidRDefault="00A71A20">
      <w:pPr>
        <w:spacing w:line="360" w:lineRule="auto"/>
        <w:ind w:left="720"/>
        <w:jc w:val="both"/>
        <w:rPr>
          <w:sz w:val="28"/>
          <w:szCs w:val="28"/>
          <w:rtl/>
        </w:rPr>
      </w:pPr>
      <w:r>
        <w:rPr>
          <w:rFonts w:hint="cs"/>
          <w:sz w:val="28"/>
          <w:szCs w:val="28"/>
          <w:rtl/>
        </w:rPr>
        <w:t xml:space="preserve">אחותו של המנוח לעומת זאת, הגישה תצהיר שהאמור בו, בכל הקשור לנזקים נפשיים כתוצאה ממות אחיה, לא נסתר. לטענותיה נמצא גיבוי מסוים במכתבה של הגב' דרגן, מנהלת מרכז הסיוע, ממנו עולה כי עיקר הנזק הנפשי אכן נגרם עוד קודם למות המנוח כתוצאה מרצח בנה, ומות המנוח החזיר אותה לטרגדיה הקודמת. לא הוגשו ראיות היכולות לבסס נזקים נוספים מעבר לנזק נפשי. ביחס ליתר אחיו של המנוח לא הוגשו ראיות כלשהן אשר מצביעות על קיומו של נזק מוכח בהליך זה. </w:t>
      </w:r>
    </w:p>
    <w:p w14:paraId="7A427E7C" w14:textId="77777777" w:rsidR="000C0504" w:rsidRDefault="000C0504">
      <w:pPr>
        <w:spacing w:line="360" w:lineRule="auto"/>
        <w:ind w:left="720" w:hanging="720"/>
        <w:jc w:val="both"/>
        <w:rPr>
          <w:sz w:val="28"/>
          <w:szCs w:val="28"/>
          <w:rtl/>
        </w:rPr>
      </w:pPr>
    </w:p>
    <w:p w14:paraId="63FB47C4" w14:textId="77777777" w:rsidR="000C0504" w:rsidRDefault="00A71A20">
      <w:pPr>
        <w:spacing w:line="360" w:lineRule="auto"/>
        <w:ind w:left="720" w:hanging="720"/>
        <w:jc w:val="both"/>
        <w:rPr>
          <w:sz w:val="28"/>
          <w:szCs w:val="28"/>
          <w:rtl/>
        </w:rPr>
      </w:pPr>
      <w:r>
        <w:rPr>
          <w:rFonts w:hint="cs"/>
          <w:sz w:val="28"/>
          <w:szCs w:val="28"/>
          <w:rtl/>
        </w:rPr>
        <w:t>11.</w:t>
      </w:r>
      <w:r>
        <w:rPr>
          <w:rFonts w:hint="cs"/>
          <w:sz w:val="28"/>
          <w:szCs w:val="28"/>
          <w:rtl/>
        </w:rPr>
        <w:tab/>
        <w:t xml:space="preserve">על סמך האמור לעיל, הננו קובעים כי על הנאשם לשלם פיצוי לאחותו של המנוח בסך של 60,000 ₪. אין באמור כדי להביע כל עמדה ביחס לתביעה של בני המשפחה, לרבות אביו, במישור האזרחי, אם תוגש תביעה כזאת. </w:t>
      </w:r>
    </w:p>
    <w:p w14:paraId="39FD199F" w14:textId="77777777" w:rsidR="000C0504" w:rsidRDefault="000C0504">
      <w:pPr>
        <w:ind w:left="720" w:hanging="720"/>
        <w:jc w:val="both"/>
        <w:rPr>
          <w:sz w:val="28"/>
          <w:szCs w:val="28"/>
          <w:rtl/>
        </w:rPr>
      </w:pPr>
    </w:p>
    <w:p w14:paraId="3DCCC66C" w14:textId="77777777" w:rsidR="000C0504" w:rsidRDefault="000C0504">
      <w:pPr>
        <w:ind w:left="720" w:hanging="720"/>
        <w:jc w:val="both"/>
        <w:rPr>
          <w:sz w:val="28"/>
          <w:szCs w:val="28"/>
          <w:rtl/>
        </w:rPr>
      </w:pPr>
    </w:p>
    <w:p w14:paraId="73E4F905" w14:textId="77777777" w:rsidR="000C0504" w:rsidRDefault="00A71A20">
      <w:pPr>
        <w:ind w:left="720" w:hanging="720"/>
        <w:jc w:val="both"/>
        <w:rPr>
          <w:b/>
          <w:bCs/>
          <w:sz w:val="28"/>
          <w:szCs w:val="28"/>
          <w:u w:val="single"/>
          <w:rtl/>
        </w:rPr>
      </w:pPr>
      <w:r>
        <w:rPr>
          <w:rFonts w:hint="cs"/>
          <w:b/>
          <w:bCs/>
          <w:sz w:val="28"/>
          <w:szCs w:val="28"/>
          <w:u w:val="single"/>
          <w:rtl/>
        </w:rPr>
        <w:t>סיכום</w:t>
      </w:r>
    </w:p>
    <w:p w14:paraId="32322236" w14:textId="77777777" w:rsidR="000C0504" w:rsidRDefault="000C0504">
      <w:pPr>
        <w:ind w:left="720" w:hanging="720"/>
        <w:jc w:val="both"/>
        <w:rPr>
          <w:b/>
          <w:bCs/>
          <w:sz w:val="28"/>
          <w:szCs w:val="28"/>
          <w:u w:val="single"/>
          <w:rtl/>
        </w:rPr>
      </w:pPr>
    </w:p>
    <w:p w14:paraId="485752F3" w14:textId="77777777" w:rsidR="000C0504" w:rsidRDefault="00A71A20">
      <w:pPr>
        <w:spacing w:line="360" w:lineRule="auto"/>
        <w:ind w:left="720" w:hanging="720"/>
        <w:jc w:val="both"/>
        <w:rPr>
          <w:sz w:val="28"/>
          <w:szCs w:val="28"/>
          <w:rtl/>
        </w:rPr>
      </w:pPr>
      <w:r>
        <w:rPr>
          <w:rFonts w:hint="cs"/>
          <w:sz w:val="28"/>
          <w:szCs w:val="28"/>
          <w:rtl/>
        </w:rPr>
        <w:t>12.</w:t>
      </w:r>
      <w:r>
        <w:rPr>
          <w:rFonts w:hint="cs"/>
          <w:sz w:val="28"/>
          <w:szCs w:val="28"/>
          <w:rtl/>
        </w:rPr>
        <w:tab/>
        <w:t>לאור כל האמור, אנו גוזרים על הנאשם את העונשים הבאים:</w:t>
      </w:r>
    </w:p>
    <w:p w14:paraId="59160C3E" w14:textId="77777777" w:rsidR="000C0504" w:rsidRDefault="000C0504">
      <w:pPr>
        <w:ind w:left="720" w:hanging="720"/>
        <w:jc w:val="both"/>
        <w:rPr>
          <w:sz w:val="28"/>
          <w:szCs w:val="28"/>
          <w:rtl/>
        </w:rPr>
      </w:pPr>
    </w:p>
    <w:p w14:paraId="3DE089CE" w14:textId="77777777" w:rsidR="000C0504" w:rsidRDefault="00A71A20">
      <w:pPr>
        <w:spacing w:line="360" w:lineRule="auto"/>
        <w:ind w:left="1440" w:hanging="720"/>
        <w:jc w:val="both"/>
        <w:rPr>
          <w:sz w:val="28"/>
          <w:szCs w:val="28"/>
          <w:rtl/>
        </w:rPr>
      </w:pPr>
      <w:r>
        <w:rPr>
          <w:rFonts w:hint="cs"/>
          <w:sz w:val="28"/>
          <w:szCs w:val="28"/>
          <w:rtl/>
        </w:rPr>
        <w:t xml:space="preserve">1. </w:t>
      </w:r>
      <w:r>
        <w:rPr>
          <w:rFonts w:hint="cs"/>
          <w:sz w:val="28"/>
          <w:szCs w:val="28"/>
          <w:rtl/>
        </w:rPr>
        <w:tab/>
        <w:t xml:space="preserve">13 שנות מאסר בפועל. מתקופה זו יש לנכות את תקופת המעצר מיום 24.1.13 ועד היום. </w:t>
      </w:r>
    </w:p>
    <w:p w14:paraId="6A137129" w14:textId="77777777" w:rsidR="000C0504" w:rsidRDefault="00A71A20">
      <w:pPr>
        <w:spacing w:line="360" w:lineRule="auto"/>
        <w:ind w:left="1440" w:hanging="720"/>
        <w:jc w:val="both"/>
        <w:rPr>
          <w:sz w:val="28"/>
          <w:szCs w:val="28"/>
          <w:rtl/>
        </w:rPr>
      </w:pPr>
      <w:r>
        <w:rPr>
          <w:rFonts w:hint="cs"/>
          <w:sz w:val="28"/>
          <w:szCs w:val="28"/>
          <w:rtl/>
        </w:rPr>
        <w:t>2.</w:t>
      </w:r>
      <w:r>
        <w:rPr>
          <w:rFonts w:hint="cs"/>
          <w:sz w:val="28"/>
          <w:szCs w:val="28"/>
          <w:rtl/>
        </w:rPr>
        <w:tab/>
        <w:t>אנו מורים על הפעלת המאסר על תנאי של 3 חודשים מ</w:t>
      </w:r>
      <w:hyperlink r:id="rId28" w:history="1">
        <w:r w:rsidRPr="00A71A20">
          <w:rPr>
            <w:color w:val="0000FF"/>
            <w:sz w:val="28"/>
            <w:szCs w:val="28"/>
            <w:u w:val="single"/>
            <w:rtl/>
          </w:rPr>
          <w:t>תיק פלילי 34516-03-11</w:t>
        </w:r>
      </w:hyperlink>
      <w:r>
        <w:rPr>
          <w:rFonts w:hint="cs"/>
          <w:sz w:val="28"/>
          <w:szCs w:val="28"/>
          <w:rtl/>
        </w:rPr>
        <w:t xml:space="preserve">. מאסר זה ירוצה </w:t>
      </w:r>
      <w:r>
        <w:rPr>
          <w:rFonts w:hint="cs"/>
          <w:sz w:val="28"/>
          <w:szCs w:val="28"/>
          <w:u w:val="single"/>
          <w:rtl/>
        </w:rPr>
        <w:t>בחופף</w:t>
      </w:r>
      <w:r>
        <w:rPr>
          <w:rFonts w:hint="cs"/>
          <w:sz w:val="28"/>
          <w:szCs w:val="28"/>
          <w:rtl/>
        </w:rPr>
        <w:t xml:space="preserve"> לתקופת המאסר שנגזרה על הנאשם בתיק זה. </w:t>
      </w:r>
    </w:p>
    <w:p w14:paraId="06E91D1F" w14:textId="77777777" w:rsidR="000C0504" w:rsidRDefault="00A71A20">
      <w:pPr>
        <w:spacing w:line="360" w:lineRule="auto"/>
        <w:ind w:left="1440" w:hanging="720"/>
        <w:jc w:val="both"/>
        <w:rPr>
          <w:sz w:val="28"/>
          <w:szCs w:val="28"/>
          <w:rtl/>
        </w:rPr>
      </w:pPr>
      <w:r>
        <w:rPr>
          <w:rFonts w:hint="cs"/>
          <w:sz w:val="28"/>
          <w:szCs w:val="28"/>
          <w:rtl/>
        </w:rPr>
        <w:t>3.</w:t>
      </w:r>
      <w:r>
        <w:rPr>
          <w:rFonts w:hint="cs"/>
          <w:sz w:val="28"/>
          <w:szCs w:val="28"/>
          <w:rtl/>
        </w:rPr>
        <w:tab/>
        <w:t>שנתיים מאסר על תנאי לבל יעבור משך 3 שנים מיום שחרורו, עבירת אלימות או נשק מסוג פשע.</w:t>
      </w:r>
    </w:p>
    <w:p w14:paraId="380EDEF7" w14:textId="77777777" w:rsidR="000C0504" w:rsidRDefault="00A71A20">
      <w:pPr>
        <w:spacing w:line="360" w:lineRule="auto"/>
        <w:ind w:left="1440" w:hanging="720"/>
        <w:jc w:val="both"/>
        <w:rPr>
          <w:sz w:val="28"/>
          <w:szCs w:val="28"/>
          <w:rtl/>
        </w:rPr>
      </w:pPr>
      <w:r>
        <w:rPr>
          <w:rFonts w:hint="cs"/>
          <w:sz w:val="28"/>
          <w:szCs w:val="28"/>
          <w:rtl/>
        </w:rPr>
        <w:t>4.</w:t>
      </w:r>
      <w:r>
        <w:rPr>
          <w:rFonts w:hint="cs"/>
          <w:sz w:val="28"/>
          <w:szCs w:val="28"/>
          <w:rtl/>
        </w:rPr>
        <w:tab/>
        <w:t>12 חודשי מאסר על תנאי לבל יעבור במשך 3 שנים מיום שחרורו, עבירות בנשק  או עבירות אלימות, מסוג עוון.</w:t>
      </w:r>
    </w:p>
    <w:p w14:paraId="2D8C861E" w14:textId="77777777" w:rsidR="000C0504" w:rsidRDefault="00A71A20">
      <w:pPr>
        <w:spacing w:line="360" w:lineRule="auto"/>
        <w:ind w:left="1440" w:hanging="720"/>
        <w:jc w:val="both"/>
        <w:rPr>
          <w:sz w:val="28"/>
          <w:szCs w:val="28"/>
          <w:rtl/>
        </w:rPr>
      </w:pPr>
      <w:r>
        <w:rPr>
          <w:rFonts w:hint="cs"/>
          <w:sz w:val="28"/>
          <w:szCs w:val="28"/>
          <w:rtl/>
        </w:rPr>
        <w:t>5.</w:t>
      </w:r>
      <w:r>
        <w:rPr>
          <w:rFonts w:hint="cs"/>
          <w:sz w:val="28"/>
          <w:szCs w:val="28"/>
          <w:rtl/>
        </w:rPr>
        <w:tab/>
        <w:t>אנו מחייבים את הנאשם לשלם לגב' נג'וד סוידאן, ת"ז 026417618,  פיצויים בסך 60,000, וזאת באמצעות הפקדת סכום זה בקופת בית המשפט עד ליום 31.12.14 (ב"כ המאשימה ימציא למזכירות את פרטי חשבונה של האחות, אליו ניתן להעביר את סכום הפיצויים).</w:t>
      </w:r>
    </w:p>
    <w:p w14:paraId="03020551" w14:textId="77777777" w:rsidR="000C0504" w:rsidRDefault="000C0504">
      <w:pPr>
        <w:jc w:val="both"/>
        <w:rPr>
          <w:sz w:val="28"/>
          <w:szCs w:val="28"/>
          <w:rtl/>
        </w:rPr>
      </w:pPr>
    </w:p>
    <w:p w14:paraId="7F92B4C9" w14:textId="77777777" w:rsidR="000C0504" w:rsidRDefault="000C0504">
      <w:pPr>
        <w:jc w:val="both"/>
        <w:rPr>
          <w:sz w:val="28"/>
          <w:szCs w:val="28"/>
          <w:rtl/>
        </w:rPr>
      </w:pPr>
    </w:p>
    <w:p w14:paraId="3A2E8459" w14:textId="77777777" w:rsidR="000C0504" w:rsidRDefault="00A71A20">
      <w:pPr>
        <w:spacing w:line="360" w:lineRule="auto"/>
        <w:jc w:val="both"/>
        <w:rPr>
          <w:b/>
          <w:bCs/>
          <w:sz w:val="28"/>
          <w:szCs w:val="28"/>
          <w:u w:val="single"/>
          <w:rtl/>
        </w:rPr>
      </w:pPr>
      <w:r>
        <w:rPr>
          <w:rFonts w:hint="cs"/>
          <w:b/>
          <w:bCs/>
          <w:sz w:val="28"/>
          <w:szCs w:val="28"/>
          <w:u w:val="single"/>
          <w:rtl/>
        </w:rPr>
        <w:t xml:space="preserve">הודעה זכות ערעור לבית המשפט העליון תוך 45 יום מהיום. </w:t>
      </w:r>
    </w:p>
    <w:p w14:paraId="25982885" w14:textId="77777777" w:rsidR="000C0504" w:rsidRDefault="000C0504">
      <w:pPr>
        <w:spacing w:line="360" w:lineRule="auto"/>
        <w:jc w:val="both"/>
        <w:rPr>
          <w:b/>
          <w:bCs/>
          <w:u w:val="single"/>
          <w:rtl/>
        </w:rPr>
      </w:pPr>
    </w:p>
    <w:p w14:paraId="59573627" w14:textId="77777777" w:rsidR="000C0504" w:rsidRDefault="000C0504">
      <w:pPr>
        <w:spacing w:line="360" w:lineRule="auto"/>
        <w:jc w:val="both"/>
        <w:rPr>
          <w:b/>
          <w:bCs/>
          <w:u w:val="single"/>
          <w:rtl/>
        </w:rPr>
      </w:pPr>
    </w:p>
    <w:p w14:paraId="01C56D15" w14:textId="77777777" w:rsidR="000C0504" w:rsidRDefault="00A71A20">
      <w:pPr>
        <w:spacing w:line="360" w:lineRule="auto"/>
        <w:jc w:val="both"/>
        <w:rPr>
          <w:rFonts w:cs="FrankRuehl"/>
          <w:sz w:val="32"/>
          <w:szCs w:val="32"/>
          <w:rtl/>
        </w:rPr>
      </w:pPr>
      <w:r w:rsidRPr="00A71A20">
        <w:rPr>
          <w:rFonts w:ascii="Arial" w:hAnsi="Arial"/>
          <w:b/>
          <w:bCs/>
          <w:color w:val="FFFFFF"/>
          <w:sz w:val="2"/>
          <w:szCs w:val="2"/>
          <w:rtl/>
        </w:rPr>
        <w:t>5129371</w:t>
      </w:r>
      <w:r>
        <w:rPr>
          <w:rFonts w:ascii="Arial" w:hAnsi="Arial"/>
          <w:b/>
          <w:bCs/>
          <w:sz w:val="28"/>
          <w:szCs w:val="28"/>
          <w:rtl/>
        </w:rPr>
        <w:t xml:space="preserve">ניתן היום,  י"ב אדר תשע"ד, 12 פברואר 2014, בנוכחות הנאשם וב"כ הצדדים. </w:t>
      </w:r>
    </w:p>
    <w:tbl>
      <w:tblPr>
        <w:bidiVisual/>
        <w:tblW w:w="0" w:type="auto"/>
        <w:tblLook w:val="01E0" w:firstRow="1" w:lastRow="1" w:firstColumn="1" w:lastColumn="1" w:noHBand="0" w:noVBand="0"/>
      </w:tblPr>
      <w:tblGrid>
        <w:gridCol w:w="2474"/>
        <w:gridCol w:w="360"/>
        <w:gridCol w:w="2392"/>
        <w:gridCol w:w="308"/>
        <w:gridCol w:w="2520"/>
      </w:tblGrid>
      <w:tr w:rsidR="000C0504" w14:paraId="521AE29E" w14:textId="77777777">
        <w:tc>
          <w:tcPr>
            <w:tcW w:w="2474" w:type="dxa"/>
            <w:tcBorders>
              <w:top w:val="nil"/>
              <w:left w:val="nil"/>
              <w:bottom w:val="single" w:sz="4" w:space="0" w:color="auto"/>
              <w:right w:val="nil"/>
            </w:tcBorders>
            <w:vAlign w:val="center"/>
          </w:tcPr>
          <w:p w14:paraId="0DF67C39" w14:textId="77777777" w:rsidR="000C0504" w:rsidRPr="00A71A20" w:rsidRDefault="00A71A20">
            <w:pPr>
              <w:jc w:val="center"/>
              <w:rPr>
                <w:rFonts w:ascii="Courier New" w:hAnsi="Courier New"/>
                <w:b/>
                <w:bCs/>
                <w:color w:val="FFFFFF"/>
                <w:sz w:val="2"/>
                <w:szCs w:val="2"/>
                <w:rtl/>
              </w:rPr>
            </w:pPr>
            <w:r w:rsidRPr="00A71A20">
              <w:rPr>
                <w:rFonts w:ascii="Courier New" w:hAnsi="Courier New"/>
                <w:b/>
                <w:bCs/>
                <w:color w:val="FFFFFF"/>
                <w:sz w:val="2"/>
                <w:szCs w:val="2"/>
                <w:rtl/>
              </w:rPr>
              <w:t>54678313</w:t>
            </w:r>
          </w:p>
        </w:tc>
        <w:tc>
          <w:tcPr>
            <w:tcW w:w="360" w:type="dxa"/>
            <w:vAlign w:val="center"/>
          </w:tcPr>
          <w:p w14:paraId="44085606" w14:textId="77777777" w:rsidR="000C0504" w:rsidRDefault="000C0504">
            <w:pPr>
              <w:jc w:val="center"/>
              <w:rPr>
                <w:rFonts w:ascii="Courier New" w:hAnsi="Courier New"/>
                <w:b/>
                <w:bCs/>
                <w:sz w:val="28"/>
                <w:szCs w:val="28"/>
              </w:rPr>
            </w:pPr>
          </w:p>
        </w:tc>
        <w:tc>
          <w:tcPr>
            <w:tcW w:w="2392" w:type="dxa"/>
            <w:tcBorders>
              <w:top w:val="nil"/>
              <w:left w:val="nil"/>
              <w:bottom w:val="single" w:sz="4" w:space="0" w:color="auto"/>
              <w:right w:val="nil"/>
            </w:tcBorders>
            <w:vAlign w:val="center"/>
          </w:tcPr>
          <w:p w14:paraId="0ED90152" w14:textId="77777777" w:rsidR="000C0504" w:rsidRDefault="000C0504">
            <w:pPr>
              <w:jc w:val="center"/>
              <w:rPr>
                <w:rFonts w:ascii="Courier New" w:hAnsi="Courier New"/>
                <w:b/>
                <w:bCs/>
                <w:sz w:val="28"/>
                <w:szCs w:val="28"/>
              </w:rPr>
            </w:pPr>
          </w:p>
        </w:tc>
        <w:tc>
          <w:tcPr>
            <w:tcW w:w="308" w:type="dxa"/>
            <w:vAlign w:val="center"/>
          </w:tcPr>
          <w:p w14:paraId="361451CD" w14:textId="77777777" w:rsidR="000C0504" w:rsidRDefault="000C0504">
            <w:pPr>
              <w:jc w:val="center"/>
              <w:rPr>
                <w:rFonts w:ascii="Courier New" w:hAnsi="Courier New"/>
                <w:b/>
                <w:bCs/>
                <w:sz w:val="28"/>
                <w:szCs w:val="28"/>
              </w:rPr>
            </w:pPr>
          </w:p>
        </w:tc>
        <w:tc>
          <w:tcPr>
            <w:tcW w:w="2520" w:type="dxa"/>
            <w:tcBorders>
              <w:top w:val="nil"/>
              <w:left w:val="nil"/>
              <w:bottom w:val="single" w:sz="4" w:space="0" w:color="auto"/>
              <w:right w:val="nil"/>
            </w:tcBorders>
            <w:vAlign w:val="center"/>
          </w:tcPr>
          <w:p w14:paraId="4492E2FD" w14:textId="77777777" w:rsidR="000C0504" w:rsidRDefault="000C0504">
            <w:pPr>
              <w:jc w:val="center"/>
              <w:rPr>
                <w:rFonts w:ascii="Courier New" w:hAnsi="Courier New"/>
                <w:b/>
                <w:bCs/>
                <w:sz w:val="28"/>
                <w:szCs w:val="28"/>
              </w:rPr>
            </w:pPr>
          </w:p>
        </w:tc>
      </w:tr>
      <w:tr w:rsidR="000C0504" w14:paraId="1CCF34E6" w14:textId="77777777">
        <w:tc>
          <w:tcPr>
            <w:tcW w:w="2474" w:type="dxa"/>
            <w:tcBorders>
              <w:top w:val="single" w:sz="4" w:space="0" w:color="auto"/>
              <w:left w:val="nil"/>
              <w:bottom w:val="nil"/>
              <w:right w:val="nil"/>
            </w:tcBorders>
          </w:tcPr>
          <w:p w14:paraId="6C74B803" w14:textId="77777777" w:rsidR="000C0504" w:rsidRDefault="00A71A20">
            <w:pPr>
              <w:jc w:val="center"/>
              <w:rPr>
                <w:b/>
                <w:bCs/>
                <w:sz w:val="32"/>
                <w:szCs w:val="28"/>
                <w:rtl/>
              </w:rPr>
            </w:pPr>
            <w:r>
              <w:rPr>
                <w:rFonts w:hint="cs"/>
                <w:b/>
                <w:bCs/>
                <w:sz w:val="32"/>
                <w:szCs w:val="28"/>
                <w:rtl/>
              </w:rPr>
              <w:t>מ. גלעד, שופט</w:t>
            </w:r>
          </w:p>
          <w:p w14:paraId="54C44B84" w14:textId="77777777" w:rsidR="000C0504" w:rsidRDefault="00A71A20">
            <w:pPr>
              <w:jc w:val="center"/>
              <w:rPr>
                <w:b/>
                <w:bCs/>
                <w:noProof/>
                <w:sz w:val="32"/>
                <w:szCs w:val="28"/>
              </w:rPr>
            </w:pPr>
            <w:r>
              <w:rPr>
                <w:rFonts w:hint="cs"/>
                <w:b/>
                <w:bCs/>
                <w:noProof/>
                <w:sz w:val="32"/>
                <w:szCs w:val="28"/>
                <w:rtl/>
              </w:rPr>
              <w:t>[אב"ד]</w:t>
            </w:r>
          </w:p>
        </w:tc>
        <w:tc>
          <w:tcPr>
            <w:tcW w:w="360" w:type="dxa"/>
          </w:tcPr>
          <w:p w14:paraId="0991EDAF" w14:textId="77777777" w:rsidR="000C0504" w:rsidRDefault="000C0504">
            <w:pPr>
              <w:jc w:val="center"/>
              <w:rPr>
                <w:b/>
                <w:bCs/>
                <w:noProof/>
                <w:color w:val="FF0000"/>
                <w:sz w:val="32"/>
                <w:szCs w:val="28"/>
              </w:rPr>
            </w:pPr>
          </w:p>
        </w:tc>
        <w:tc>
          <w:tcPr>
            <w:tcW w:w="2392" w:type="dxa"/>
            <w:tcBorders>
              <w:top w:val="single" w:sz="4" w:space="0" w:color="auto"/>
              <w:left w:val="nil"/>
              <w:bottom w:val="nil"/>
              <w:right w:val="nil"/>
            </w:tcBorders>
          </w:tcPr>
          <w:p w14:paraId="3E58072D" w14:textId="77777777" w:rsidR="000C0504" w:rsidRDefault="00A71A20">
            <w:pPr>
              <w:pStyle w:val="3"/>
              <w:jc w:val="center"/>
              <w:rPr>
                <w:sz w:val="32"/>
                <w:szCs w:val="28"/>
              </w:rPr>
            </w:pPr>
            <w:r>
              <w:rPr>
                <w:rFonts w:hint="cs"/>
                <w:sz w:val="32"/>
                <w:szCs w:val="28"/>
                <w:rtl/>
              </w:rPr>
              <w:t>ר. פוקס, שופטת</w:t>
            </w:r>
          </w:p>
        </w:tc>
        <w:tc>
          <w:tcPr>
            <w:tcW w:w="308" w:type="dxa"/>
          </w:tcPr>
          <w:p w14:paraId="52181074" w14:textId="77777777" w:rsidR="000C0504" w:rsidRDefault="000C0504">
            <w:pPr>
              <w:jc w:val="center"/>
              <w:rPr>
                <w:b/>
                <w:bCs/>
                <w:noProof/>
                <w:color w:val="FF0000"/>
                <w:sz w:val="32"/>
                <w:szCs w:val="28"/>
              </w:rPr>
            </w:pPr>
          </w:p>
        </w:tc>
        <w:tc>
          <w:tcPr>
            <w:tcW w:w="2520" w:type="dxa"/>
            <w:tcBorders>
              <w:top w:val="single" w:sz="4" w:space="0" w:color="auto"/>
              <w:left w:val="nil"/>
              <w:bottom w:val="nil"/>
              <w:right w:val="nil"/>
            </w:tcBorders>
          </w:tcPr>
          <w:p w14:paraId="003C1A72" w14:textId="77777777" w:rsidR="000C0504" w:rsidRDefault="00A71A20">
            <w:pPr>
              <w:jc w:val="center"/>
              <w:rPr>
                <w:b/>
                <w:bCs/>
                <w:noProof/>
                <w:sz w:val="32"/>
                <w:szCs w:val="28"/>
                <w:rtl/>
              </w:rPr>
            </w:pPr>
            <w:r>
              <w:rPr>
                <w:rFonts w:hint="cs"/>
                <w:b/>
                <w:bCs/>
                <w:sz w:val="32"/>
                <w:szCs w:val="28"/>
                <w:rtl/>
              </w:rPr>
              <w:t>ד. פיש, שופט</w:t>
            </w:r>
          </w:p>
        </w:tc>
      </w:tr>
    </w:tbl>
    <w:p w14:paraId="542D18D9" w14:textId="77777777" w:rsidR="000C0504" w:rsidRPr="00082D37" w:rsidRDefault="00082D37">
      <w:pPr>
        <w:jc w:val="center"/>
        <w:rPr>
          <w:color w:val="FFFFFF"/>
          <w:sz w:val="2"/>
          <w:szCs w:val="2"/>
          <w:rtl/>
        </w:rPr>
      </w:pPr>
      <w:r w:rsidRPr="00082D37">
        <w:rPr>
          <w:color w:val="FFFFFF"/>
          <w:sz w:val="2"/>
          <w:szCs w:val="2"/>
          <w:rtl/>
        </w:rPr>
        <w:t>5129371</w:t>
      </w:r>
    </w:p>
    <w:p w14:paraId="611F1505" w14:textId="77777777" w:rsidR="00A71A20" w:rsidRPr="00082D37" w:rsidRDefault="00082D37" w:rsidP="00A71A20">
      <w:pPr>
        <w:keepNext/>
        <w:rPr>
          <w:rFonts w:ascii="David" w:hAnsi="David"/>
          <w:color w:val="FFFFFF"/>
          <w:sz w:val="2"/>
          <w:szCs w:val="2"/>
          <w:rtl/>
        </w:rPr>
      </w:pPr>
      <w:r w:rsidRPr="00082D37">
        <w:rPr>
          <w:rFonts w:ascii="David" w:hAnsi="David"/>
          <w:color w:val="FFFFFF"/>
          <w:sz w:val="2"/>
          <w:szCs w:val="2"/>
          <w:rtl/>
        </w:rPr>
        <w:t>54678313</w:t>
      </w:r>
    </w:p>
    <w:p w14:paraId="00765901" w14:textId="77777777" w:rsidR="00A71A20" w:rsidRDefault="00A71A20" w:rsidP="00A71A20">
      <w:pPr>
        <w:rPr>
          <w:rtl/>
        </w:rPr>
      </w:pPr>
    </w:p>
    <w:p w14:paraId="57413C53" w14:textId="77777777" w:rsidR="00A71A20" w:rsidRDefault="00A71A20" w:rsidP="00A71A2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CB4287F" w14:textId="77777777" w:rsidR="00082D37" w:rsidRPr="00082D37" w:rsidRDefault="00082D37" w:rsidP="00082D37">
      <w:pPr>
        <w:keepNext/>
        <w:rPr>
          <w:rFonts w:ascii="David" w:hAnsi="David"/>
          <w:color w:val="000000"/>
          <w:sz w:val="22"/>
          <w:szCs w:val="22"/>
          <w:rtl/>
        </w:rPr>
      </w:pPr>
    </w:p>
    <w:p w14:paraId="26828E78" w14:textId="77777777" w:rsidR="00082D37" w:rsidRPr="00082D37" w:rsidRDefault="00082D37" w:rsidP="00082D37">
      <w:pPr>
        <w:keepNext/>
        <w:rPr>
          <w:rFonts w:ascii="David" w:hAnsi="David"/>
          <w:color w:val="000000"/>
          <w:sz w:val="22"/>
          <w:szCs w:val="22"/>
          <w:rtl/>
        </w:rPr>
      </w:pPr>
      <w:r w:rsidRPr="00082D37">
        <w:rPr>
          <w:rFonts w:ascii="David" w:hAnsi="David"/>
          <w:color w:val="000000"/>
          <w:sz w:val="22"/>
          <w:szCs w:val="22"/>
          <w:rtl/>
        </w:rPr>
        <w:t>מ. גלעד 54678313-/</w:t>
      </w:r>
    </w:p>
    <w:p w14:paraId="79A04EA8" w14:textId="77777777" w:rsidR="000C0504" w:rsidRPr="00A71A20" w:rsidRDefault="00082D37" w:rsidP="00082D37">
      <w:pPr>
        <w:rPr>
          <w:color w:val="0000FF"/>
          <w:u w:val="single"/>
        </w:rPr>
      </w:pPr>
      <w:r w:rsidRPr="00082D37">
        <w:rPr>
          <w:color w:val="000000"/>
          <w:u w:val="single"/>
          <w:rtl/>
        </w:rPr>
        <w:t>נוסח מסמך זה כפוף לשינויי ניסוח ועריכה</w:t>
      </w:r>
    </w:p>
    <w:sectPr w:rsidR="000C0504" w:rsidRPr="00A71A20" w:rsidSect="00082D3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42984" w14:textId="77777777" w:rsidR="009A2460" w:rsidRPr="0087767B" w:rsidRDefault="009A2460">
      <w:pPr>
        <w:rPr>
          <w:rFonts w:cs="Arial"/>
          <w:szCs w:val="20"/>
        </w:rPr>
      </w:pPr>
      <w:r>
        <w:separator/>
      </w:r>
    </w:p>
  </w:endnote>
  <w:endnote w:type="continuationSeparator" w:id="0">
    <w:p w14:paraId="7BFBCB2C" w14:textId="77777777" w:rsidR="009A2460" w:rsidRPr="0087767B" w:rsidRDefault="009A246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DDF7" w14:textId="77777777" w:rsidR="00082D37" w:rsidRDefault="00082D37" w:rsidP="00082D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7047C3" w14:textId="77777777" w:rsidR="000C0504" w:rsidRPr="00082D37" w:rsidRDefault="00082D37" w:rsidP="00082D37">
    <w:pPr>
      <w:pStyle w:val="a4"/>
      <w:pBdr>
        <w:top w:val="single" w:sz="4" w:space="1" w:color="auto"/>
        <w:between w:val="single" w:sz="4" w:space="0" w:color="auto"/>
      </w:pBdr>
      <w:spacing w:after="60"/>
      <w:jc w:val="center"/>
      <w:rPr>
        <w:rFonts w:ascii="FrankRuehl" w:hAnsi="FrankRuehl" w:cs="FrankRuehl"/>
        <w:color w:val="000000"/>
      </w:rPr>
    </w:pPr>
    <w:r w:rsidRPr="00082D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99CE3" w14:textId="77777777" w:rsidR="00082D37" w:rsidRDefault="00082D37" w:rsidP="00082D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7315">
      <w:rPr>
        <w:rFonts w:ascii="FrankRuehl" w:hAnsi="FrankRuehl" w:cs="FrankRuehl"/>
        <w:noProof/>
        <w:rtl/>
      </w:rPr>
      <w:t>1</w:t>
    </w:r>
    <w:r>
      <w:rPr>
        <w:rFonts w:ascii="FrankRuehl" w:hAnsi="FrankRuehl" w:cs="FrankRuehl"/>
        <w:rtl/>
      </w:rPr>
      <w:fldChar w:fldCharType="end"/>
    </w:r>
  </w:p>
  <w:p w14:paraId="5F748A01" w14:textId="77777777" w:rsidR="000C0504" w:rsidRPr="00082D37" w:rsidRDefault="00082D37" w:rsidP="00082D37">
    <w:pPr>
      <w:pStyle w:val="a4"/>
      <w:pBdr>
        <w:top w:val="single" w:sz="4" w:space="1" w:color="auto"/>
        <w:between w:val="single" w:sz="4" w:space="0" w:color="auto"/>
      </w:pBdr>
      <w:spacing w:after="60"/>
      <w:jc w:val="center"/>
      <w:rPr>
        <w:rFonts w:ascii="FrankRuehl" w:hAnsi="FrankRuehl" w:cs="FrankRuehl"/>
        <w:color w:val="000000"/>
      </w:rPr>
    </w:pPr>
    <w:r w:rsidRPr="00082D37">
      <w:rPr>
        <w:rFonts w:ascii="FrankRuehl" w:hAnsi="FrankRuehl" w:cs="FrankRuehl"/>
        <w:color w:val="000000"/>
      </w:rPr>
      <w:pict w14:anchorId="58999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C042A" w14:textId="77777777" w:rsidR="009A2460" w:rsidRPr="0087767B" w:rsidRDefault="009A2460">
      <w:pPr>
        <w:rPr>
          <w:rFonts w:cs="Arial"/>
          <w:szCs w:val="20"/>
        </w:rPr>
      </w:pPr>
      <w:r>
        <w:separator/>
      </w:r>
    </w:p>
  </w:footnote>
  <w:footnote w:type="continuationSeparator" w:id="0">
    <w:p w14:paraId="702F7367" w14:textId="77777777" w:rsidR="009A2460" w:rsidRPr="0087767B" w:rsidRDefault="009A246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6019B" w14:textId="77777777" w:rsidR="00A71A20" w:rsidRPr="00082D37" w:rsidRDefault="00082D37" w:rsidP="00082D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49989-02-13</w:t>
    </w:r>
    <w:r>
      <w:rPr>
        <w:rFonts w:ascii="David" w:hAnsi="David"/>
        <w:color w:val="000000"/>
        <w:sz w:val="22"/>
        <w:szCs w:val="22"/>
        <w:rtl/>
      </w:rPr>
      <w:tab/>
      <w:t xml:space="preserve"> מדינת ישראל נ' מזהר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5FA10" w14:textId="77777777" w:rsidR="00A71A20" w:rsidRPr="00082D37" w:rsidRDefault="00082D37" w:rsidP="00082D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49989-02-13</w:t>
    </w:r>
    <w:r>
      <w:rPr>
        <w:rFonts w:ascii="David" w:hAnsi="David"/>
        <w:color w:val="000000"/>
        <w:sz w:val="22"/>
        <w:szCs w:val="22"/>
        <w:rtl/>
      </w:rPr>
      <w:tab/>
      <w:t xml:space="preserve"> מדינת ישראל נ' מזהר טאהא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0504"/>
    <w:rsid w:val="00082D37"/>
    <w:rsid w:val="000C0504"/>
    <w:rsid w:val="001A2829"/>
    <w:rsid w:val="001C545F"/>
    <w:rsid w:val="00655553"/>
    <w:rsid w:val="00947315"/>
    <w:rsid w:val="009A2460"/>
    <w:rsid w:val="00A71A20"/>
    <w:rsid w:val="00FF50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3C3B96"/>
  <w15:chartTrackingRefBased/>
  <w15:docId w15:val="{0553778B-A583-4E90-8143-C1E8EA22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0504"/>
    <w:pPr>
      <w:bidi/>
    </w:pPr>
    <w:rPr>
      <w:rFonts w:cs="David"/>
      <w:sz w:val="24"/>
      <w:szCs w:val="24"/>
    </w:rPr>
  </w:style>
  <w:style w:type="paragraph" w:styleId="3">
    <w:name w:val="heading 3"/>
    <w:basedOn w:val="a"/>
    <w:next w:val="a"/>
    <w:link w:val="30"/>
    <w:qFormat/>
    <w:rsid w:val="000C0504"/>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C0504"/>
    <w:pPr>
      <w:tabs>
        <w:tab w:val="center" w:pos="4153"/>
        <w:tab w:val="right" w:pos="8306"/>
      </w:tabs>
    </w:pPr>
  </w:style>
  <w:style w:type="paragraph" w:styleId="a4">
    <w:name w:val="footer"/>
    <w:basedOn w:val="a"/>
    <w:rsid w:val="000C0504"/>
    <w:pPr>
      <w:tabs>
        <w:tab w:val="center" w:pos="4153"/>
        <w:tab w:val="right" w:pos="8306"/>
      </w:tabs>
    </w:pPr>
  </w:style>
  <w:style w:type="character" w:styleId="a5">
    <w:name w:val="page number"/>
    <w:basedOn w:val="a0"/>
    <w:rsid w:val="000C0504"/>
  </w:style>
  <w:style w:type="character" w:customStyle="1" w:styleId="30">
    <w:name w:val="כותרת 3 תו"/>
    <w:basedOn w:val="a0"/>
    <w:link w:val="3"/>
    <w:rsid w:val="000C0504"/>
    <w:rPr>
      <w:rFonts w:cs="David"/>
      <w:b/>
      <w:bCs/>
      <w:noProof/>
      <w:szCs w:val="24"/>
      <w:lang w:val="en-US" w:eastAsia="he-IL" w:bidi="he-IL"/>
    </w:rPr>
  </w:style>
  <w:style w:type="character" w:styleId="Hyperlink">
    <w:name w:val="Hyperlink"/>
    <w:basedOn w:val="a0"/>
    <w:rsid w:val="00A71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inks/psika/?NEWPROC=&#1514;&#1508;&amp;NEWPARTA=15771&amp;NEWPARTB=02&amp;NEWPARTC=13" TargetMode="External"/><Relationship Id="rId26" Type="http://schemas.openxmlformats.org/officeDocument/2006/relationships/hyperlink" Target="http://www.nevo.co.il/law/72178" TargetMode="External"/><Relationship Id="rId3" Type="http://schemas.openxmlformats.org/officeDocument/2006/relationships/webSettings" Target="webSettings.xml"/><Relationship Id="rId21" Type="http://schemas.openxmlformats.org/officeDocument/2006/relationships/hyperlink" Target="http://www.nevo.co.il/law/70301/77" TargetMode="External"/><Relationship Id="rId34" Type="http://schemas.openxmlformats.org/officeDocument/2006/relationships/fontTable" Target="fontTable.xml"/><Relationship Id="rId7" Type="http://schemas.openxmlformats.org/officeDocument/2006/relationships/hyperlink" Target="http://www.nevo.co.il/law/70301/77" TargetMode="External"/><Relationship Id="rId12" Type="http://schemas.openxmlformats.org/officeDocument/2006/relationships/hyperlink" Target="http://www.nevo.co.il/law/70301/298" TargetMode="External"/><Relationship Id="rId17" Type="http://schemas.openxmlformats.org/officeDocument/2006/relationships/hyperlink" Target="http://www.nevo.co.il/links/psika/?NEWPROC=&#1514;&#1508;&#1495;&amp;NEWPARTA=506622&amp;NEWPARTB=12&amp;NEWPARTC=10"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inks/psika/?NEWPROC=&#1514;&#1508;&amp;NEWPARTA=34516&amp;NEWPARTB=03&amp;NEWPARTC=11" TargetMode="External"/><Relationship Id="rId20" Type="http://schemas.openxmlformats.org/officeDocument/2006/relationships/hyperlink" Target="http://www.nevo.co.il/links/psika/?NEWPROC=&#1514;&#1508;&#1495;&amp;NEWPARTA=49842&amp;NEWPARTB=03&amp;NEWPARTC=13"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178" TargetMode="External"/><Relationship Id="rId24" Type="http://schemas.openxmlformats.org/officeDocument/2006/relationships/hyperlink" Target="http://www.nevo.co.il/law/70301/7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2178" TargetMode="External"/><Relationship Id="rId28" Type="http://schemas.openxmlformats.org/officeDocument/2006/relationships/hyperlink" Target="http://www.nevo.co.il/links/psika/?NEWPROC=&#1514;&#1508;&amp;NEWPARTA=34516&amp;NEWPARTB=03&amp;NEWPARTC=11" TargetMode="External"/><Relationship Id="rId10" Type="http://schemas.openxmlformats.org/officeDocument/2006/relationships/hyperlink" Target="http://www.nevo.co.il/law/70301/298" TargetMode="External"/><Relationship Id="rId19" Type="http://schemas.openxmlformats.org/officeDocument/2006/relationships/hyperlink" Target="http://www.nevo.co.il/links/psika/?link=&#1506;&#1508;%201958/98"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inks/psika/?link=&#1506;&#1508;%20178/6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1782</Words>
  <Characters>8912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10673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98436570</vt:i4>
      </vt:variant>
      <vt:variant>
        <vt:i4>66</vt:i4>
      </vt:variant>
      <vt:variant>
        <vt:i4>0</vt:i4>
      </vt:variant>
      <vt:variant>
        <vt:i4>5</vt:i4>
      </vt:variant>
      <vt:variant>
        <vt:lpwstr>http://www.nevo.co.il/links/psika/?NEWPROC=תפ&amp;NEWPARTA=34516&amp;NEWPARTB=03&amp;NEWPARTC=11</vt:lpwstr>
      </vt:variant>
      <vt:variant>
        <vt:lpwstr/>
      </vt:variant>
      <vt:variant>
        <vt:i4>97125781</vt:i4>
      </vt:variant>
      <vt:variant>
        <vt:i4>63</vt:i4>
      </vt:variant>
      <vt:variant>
        <vt:i4>0</vt:i4>
      </vt:variant>
      <vt:variant>
        <vt:i4>5</vt:i4>
      </vt:variant>
      <vt:variant>
        <vt:lpwstr>http://www.nevo.co.il/links/psika/?link=עפ 178/65</vt:lpwstr>
      </vt:variant>
      <vt:variant>
        <vt:lpwstr/>
      </vt:variant>
      <vt:variant>
        <vt:i4>8323174</vt:i4>
      </vt:variant>
      <vt:variant>
        <vt:i4>60</vt:i4>
      </vt:variant>
      <vt:variant>
        <vt:i4>0</vt:i4>
      </vt:variant>
      <vt:variant>
        <vt:i4>5</vt:i4>
      </vt:variant>
      <vt:variant>
        <vt:lpwstr>http://www.nevo.co.il/law/72178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6422626</vt:i4>
      </vt:variant>
      <vt:variant>
        <vt:i4>54</vt:i4>
      </vt:variant>
      <vt:variant>
        <vt:i4>0</vt:i4>
      </vt:variant>
      <vt:variant>
        <vt:i4>5</vt:i4>
      </vt:variant>
      <vt:variant>
        <vt:lpwstr>http://www.nevo.co.il/law/70301/77</vt:lpwstr>
      </vt:variant>
      <vt:variant>
        <vt:lpwstr/>
      </vt:variant>
      <vt:variant>
        <vt:i4>8323174</vt:i4>
      </vt:variant>
      <vt:variant>
        <vt:i4>51</vt:i4>
      </vt:variant>
      <vt:variant>
        <vt:i4>0</vt:i4>
      </vt:variant>
      <vt:variant>
        <vt:i4>5</vt:i4>
      </vt:variant>
      <vt:variant>
        <vt:lpwstr>http://www.nevo.co.il/law/72178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6422626</vt:i4>
      </vt:variant>
      <vt:variant>
        <vt:i4>45</vt:i4>
      </vt:variant>
      <vt:variant>
        <vt:i4>0</vt:i4>
      </vt:variant>
      <vt:variant>
        <vt:i4>5</vt:i4>
      </vt:variant>
      <vt:variant>
        <vt:lpwstr>http://www.nevo.co.il/law/70301/77</vt:lpwstr>
      </vt:variant>
      <vt:variant>
        <vt:lpwstr/>
      </vt:variant>
      <vt:variant>
        <vt:i4>2557379</vt:i4>
      </vt:variant>
      <vt:variant>
        <vt:i4>42</vt:i4>
      </vt:variant>
      <vt:variant>
        <vt:i4>0</vt:i4>
      </vt:variant>
      <vt:variant>
        <vt:i4>5</vt:i4>
      </vt:variant>
      <vt:variant>
        <vt:lpwstr>http://www.nevo.co.il/links/psika/?NEWPROC=תפח&amp;NEWPARTA=49842&amp;NEWPARTB=03&amp;NEWPARTC=13</vt:lpwstr>
      </vt:variant>
      <vt:variant>
        <vt:lpwstr/>
      </vt:variant>
      <vt:variant>
        <vt:i4>98960821</vt:i4>
      </vt:variant>
      <vt:variant>
        <vt:i4>39</vt:i4>
      </vt:variant>
      <vt:variant>
        <vt:i4>0</vt:i4>
      </vt:variant>
      <vt:variant>
        <vt:i4>5</vt:i4>
      </vt:variant>
      <vt:variant>
        <vt:lpwstr>http://www.nevo.co.il/links/psika/?link=עפ 1958/98</vt:lpwstr>
      </vt:variant>
      <vt:variant>
        <vt:lpwstr/>
      </vt:variant>
      <vt:variant>
        <vt:i4>98174429</vt:i4>
      </vt:variant>
      <vt:variant>
        <vt:i4>36</vt:i4>
      </vt:variant>
      <vt:variant>
        <vt:i4>0</vt:i4>
      </vt:variant>
      <vt:variant>
        <vt:i4>5</vt:i4>
      </vt:variant>
      <vt:variant>
        <vt:lpwstr>http://www.nevo.co.il/links/psika/?NEWPROC=תפ&amp;NEWPARTA=15771&amp;NEWPARTB=02&amp;NEWPARTC=13</vt:lpwstr>
      </vt:variant>
      <vt:variant>
        <vt:lpwstr/>
      </vt:variant>
      <vt:variant>
        <vt:i4>1836542</vt:i4>
      </vt:variant>
      <vt:variant>
        <vt:i4>33</vt:i4>
      </vt:variant>
      <vt:variant>
        <vt:i4>0</vt:i4>
      </vt:variant>
      <vt:variant>
        <vt:i4>5</vt:i4>
      </vt:variant>
      <vt:variant>
        <vt:lpwstr>http://www.nevo.co.il/links/psika/?NEWPROC=תפח&amp;NEWPARTA=506622&amp;NEWPARTB=12&amp;NEWPARTC=10</vt:lpwstr>
      </vt:variant>
      <vt:variant>
        <vt:lpwstr/>
      </vt:variant>
      <vt:variant>
        <vt:i4>98436570</vt:i4>
      </vt:variant>
      <vt:variant>
        <vt:i4>30</vt:i4>
      </vt:variant>
      <vt:variant>
        <vt:i4>0</vt:i4>
      </vt:variant>
      <vt:variant>
        <vt:i4>5</vt:i4>
      </vt:variant>
      <vt:variant>
        <vt:lpwstr>http://www.nevo.co.il/links/psika/?NEWPROC=תפ&amp;NEWPARTA=34516&amp;NEWPARTB=03&amp;NEWPARTC=11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http://www.nevo.co.il/law/70301/298</vt:lpwstr>
      </vt:variant>
      <vt:variant>
        <vt:lpwstr/>
      </vt:variant>
      <vt:variant>
        <vt:i4>8323174</vt:i4>
      </vt:variant>
      <vt:variant>
        <vt:i4>15</vt:i4>
      </vt:variant>
      <vt:variant>
        <vt:i4>0</vt:i4>
      </vt:variant>
      <vt:variant>
        <vt:i4>5</vt:i4>
      </vt:variant>
      <vt:variant>
        <vt:lpwstr>http://www.nevo.co.il/law/72178</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49989</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מזהר טאהא</vt:lpwstr>
  </property>
  <property fmtid="{D5CDD505-2E9C-101B-9397-08002B2CF9AE}" pid="10" name="LAWYER">
    <vt:lpwstr>שרון אייל;ניזאר עבוד</vt:lpwstr>
  </property>
  <property fmtid="{D5CDD505-2E9C-101B-9397-08002B2CF9AE}" pid="11" name="JUDGE">
    <vt:lpwstr>מ. גלעד;ר. פוקס;ד. פיש</vt:lpwstr>
  </property>
  <property fmtid="{D5CDD505-2E9C-101B-9397-08002B2CF9AE}" pid="12" name="CITY">
    <vt:lpwstr>חי'</vt:lpwstr>
  </property>
  <property fmtid="{D5CDD505-2E9C-101B-9397-08002B2CF9AE}" pid="13" name="DATE">
    <vt:lpwstr>20140212</vt:lpwstr>
  </property>
  <property fmtid="{D5CDD505-2E9C-101B-9397-08002B2CF9AE}" pid="14" name="TYPE_N_DATE">
    <vt:lpwstr>39020140212</vt:lpwstr>
  </property>
  <property fmtid="{D5CDD505-2E9C-101B-9397-08002B2CF9AE}" pid="15" name="WORDNUMPAGES">
    <vt:lpwstr>7</vt:lpwstr>
  </property>
  <property fmtid="{D5CDD505-2E9C-101B-9397-08002B2CF9AE}" pid="16" name="TYPE_ABS_DATE">
    <vt:lpwstr>390020140212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70301/077:2;144.a;144.b;298</vt:lpwstr>
  </property>
  <property fmtid="{D5CDD505-2E9C-101B-9397-08002B2CF9AE}" pid="36" name="LAWLISTTMP2">
    <vt:lpwstr>72178:2</vt:lpwstr>
  </property>
</Properties>
</file>