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7AE08" w14:textId="77777777" w:rsidR="009D0DF6" w:rsidRPr="00AB3FCE" w:rsidRDefault="009D0DF6">
      <w:pPr>
        <w:pStyle w:val="a3"/>
        <w:tabs>
          <w:tab w:val="clear" w:pos="8306"/>
        </w:tabs>
        <w:jc w:val="center"/>
        <w:rPr>
          <w:rtl/>
        </w:rPr>
      </w:pPr>
      <w:bookmarkStart w:id="0" w:name="LastJudge"/>
    </w:p>
    <w:tbl>
      <w:tblPr>
        <w:bidiVisual/>
        <w:tblW w:w="0" w:type="auto"/>
        <w:jc w:val="center"/>
        <w:tblLook w:val="0000" w:firstRow="0" w:lastRow="0" w:firstColumn="0" w:lastColumn="0" w:noHBand="0" w:noVBand="0"/>
      </w:tblPr>
      <w:tblGrid>
        <w:gridCol w:w="6202"/>
        <w:gridCol w:w="2518"/>
      </w:tblGrid>
      <w:tr w:rsidR="009D0DF6" w:rsidRPr="00AB3FCE" w14:paraId="2B4AB4B0" w14:textId="77777777">
        <w:trPr>
          <w:trHeight w:hRule="exact" w:val="418"/>
          <w:jc w:val="center"/>
        </w:trPr>
        <w:tc>
          <w:tcPr>
            <w:tcW w:w="8720" w:type="dxa"/>
            <w:gridSpan w:val="2"/>
          </w:tcPr>
          <w:p w14:paraId="38BC4FB5" w14:textId="77777777" w:rsidR="009D0DF6" w:rsidRPr="00AB3FCE" w:rsidRDefault="00AB3FCE">
            <w:pPr>
              <w:pStyle w:val="a3"/>
              <w:tabs>
                <w:tab w:val="clear" w:pos="8306"/>
              </w:tabs>
              <w:jc w:val="center"/>
              <w:rPr>
                <w:rFonts w:ascii="Tahoma" w:hAnsi="Tahoma" w:cs="Tahoma"/>
                <w:b/>
                <w:bCs/>
                <w:color w:val="000080"/>
                <w:sz w:val="20"/>
                <w:szCs w:val="20"/>
                <w:rtl/>
              </w:rPr>
            </w:pPr>
            <w:r w:rsidRPr="00AB3FCE">
              <w:rPr>
                <w:rFonts w:ascii="Tahoma" w:hAnsi="Tahoma" w:cs="Tahoma"/>
                <w:b/>
                <w:bCs/>
                <w:color w:val="000080"/>
                <w:sz w:val="20"/>
                <w:szCs w:val="20"/>
                <w:rtl/>
              </w:rPr>
              <w:t>בית המשפט המחוזי מרכז-לוד</w:t>
            </w:r>
          </w:p>
        </w:tc>
      </w:tr>
      <w:tr w:rsidR="009D0DF6" w:rsidRPr="00AB3FCE" w14:paraId="28F80183" w14:textId="77777777">
        <w:trPr>
          <w:trHeight w:val="337"/>
          <w:jc w:val="center"/>
        </w:trPr>
        <w:tc>
          <w:tcPr>
            <w:tcW w:w="6202" w:type="dxa"/>
          </w:tcPr>
          <w:p w14:paraId="6C0286EC" w14:textId="77777777" w:rsidR="009D0DF6" w:rsidRPr="00AB3FCE" w:rsidRDefault="00AB3FCE">
            <w:pPr>
              <w:rPr>
                <w:rFonts w:ascii="Arial" w:hAnsi="Arial" w:cs="Arial"/>
                <w:b/>
                <w:bCs/>
                <w:sz w:val="26"/>
                <w:szCs w:val="26"/>
                <w:rtl/>
              </w:rPr>
            </w:pPr>
            <w:r w:rsidRPr="00AB3FCE">
              <w:rPr>
                <w:rFonts w:ascii="Arial" w:hAnsi="Arial" w:cs="Arial"/>
                <w:b/>
                <w:bCs/>
                <w:sz w:val="26"/>
                <w:szCs w:val="26"/>
                <w:rtl/>
              </w:rPr>
              <w:t>ת"פ 530-02-13 מדינת ישראל נ' קובלבסקי(עציר) ואח'</w:t>
            </w:r>
          </w:p>
          <w:p w14:paraId="37FEF469" w14:textId="77777777" w:rsidR="009D0DF6" w:rsidRPr="00AB3FCE" w:rsidRDefault="009D0DF6">
            <w:pPr>
              <w:pStyle w:val="a3"/>
              <w:jc w:val="right"/>
              <w:rPr>
                <w:rFonts w:ascii="Arial" w:hAnsi="Arial" w:cs="Arial"/>
                <w:b/>
                <w:bCs/>
                <w:sz w:val="26"/>
                <w:szCs w:val="26"/>
                <w:rtl/>
              </w:rPr>
            </w:pPr>
          </w:p>
        </w:tc>
        <w:tc>
          <w:tcPr>
            <w:tcW w:w="2518" w:type="dxa"/>
          </w:tcPr>
          <w:p w14:paraId="4AF3308B" w14:textId="77777777" w:rsidR="009D0DF6" w:rsidRPr="00AB3FCE" w:rsidRDefault="00AB3FCE">
            <w:pPr>
              <w:pStyle w:val="a3"/>
              <w:tabs>
                <w:tab w:val="clear" w:pos="4153"/>
              </w:tabs>
              <w:jc w:val="right"/>
              <w:rPr>
                <w:rFonts w:ascii="Arial" w:hAnsi="Arial" w:cs="Arial"/>
                <w:b/>
                <w:bCs/>
                <w:sz w:val="26"/>
                <w:szCs w:val="26"/>
                <w:rtl/>
              </w:rPr>
            </w:pPr>
            <w:r w:rsidRPr="00AB3FCE">
              <w:rPr>
                <w:rFonts w:ascii="Arial" w:hAnsi="Arial" w:cs="Arial"/>
                <w:b/>
                <w:bCs/>
                <w:sz w:val="26"/>
                <w:szCs w:val="26"/>
                <w:rtl/>
              </w:rPr>
              <w:t>25 נובמבר 2013</w:t>
            </w:r>
          </w:p>
          <w:p w14:paraId="6E9A1A83" w14:textId="77777777" w:rsidR="009D0DF6" w:rsidRPr="00AB3FCE" w:rsidRDefault="009D0DF6">
            <w:pPr>
              <w:pStyle w:val="a3"/>
              <w:tabs>
                <w:tab w:val="clear" w:pos="4153"/>
              </w:tabs>
              <w:jc w:val="right"/>
              <w:rPr>
                <w:rFonts w:ascii="Arial" w:hAnsi="Arial" w:cs="Arial"/>
                <w:b/>
                <w:bCs/>
                <w:sz w:val="26"/>
                <w:szCs w:val="26"/>
                <w:rtl/>
              </w:rPr>
            </w:pPr>
          </w:p>
        </w:tc>
      </w:tr>
    </w:tbl>
    <w:p w14:paraId="4D5EC40C" w14:textId="77777777" w:rsidR="009D0DF6" w:rsidRPr="00AB3FCE" w:rsidRDefault="009D0DF6">
      <w:pPr>
        <w:pStyle w:val="a3"/>
        <w:jc w:val="center"/>
        <w:rPr>
          <w:rFonts w:ascii="Tahoma" w:hAnsi="Tahoma" w:cs="Tahoma"/>
          <w:b/>
          <w:bCs/>
          <w:color w:val="000080"/>
          <w:sz w:val="20"/>
          <w:szCs w:val="20"/>
          <w:rtl/>
        </w:rPr>
      </w:pPr>
    </w:p>
    <w:p w14:paraId="4793E8CF" w14:textId="77777777" w:rsidR="009D0DF6" w:rsidRPr="00AB3FCE" w:rsidRDefault="009D0DF6">
      <w:pPr>
        <w:rPr>
          <w:rStyle w:val="a6"/>
          <w:rFonts w:ascii="Arial" w:hAnsi="Arial"/>
          <w:sz w:val="6"/>
          <w:szCs w:val="6"/>
          <w:rtl/>
        </w:rPr>
      </w:pPr>
    </w:p>
    <w:tbl>
      <w:tblPr>
        <w:bidiVisual/>
        <w:tblW w:w="0" w:type="auto"/>
        <w:jc w:val="center"/>
        <w:tblLook w:val="0000" w:firstRow="0" w:lastRow="0" w:firstColumn="0" w:lastColumn="0" w:noHBand="0" w:noVBand="0"/>
      </w:tblPr>
      <w:tblGrid>
        <w:gridCol w:w="3215"/>
        <w:gridCol w:w="2790"/>
        <w:gridCol w:w="2634"/>
        <w:gridCol w:w="81"/>
      </w:tblGrid>
      <w:tr w:rsidR="009D0DF6" w:rsidRPr="00AB3FCE" w14:paraId="7DB26E22" w14:textId="77777777">
        <w:trPr>
          <w:gridAfter w:val="1"/>
          <w:wAfter w:w="54" w:type="dxa"/>
          <w:trHeight w:val="337"/>
          <w:jc w:val="center"/>
        </w:trPr>
        <w:tc>
          <w:tcPr>
            <w:tcW w:w="6060" w:type="dxa"/>
            <w:gridSpan w:val="2"/>
          </w:tcPr>
          <w:p w14:paraId="10572EFC" w14:textId="77777777" w:rsidR="009D0DF6" w:rsidRPr="00AB3FCE" w:rsidRDefault="00AB3FCE">
            <w:pPr>
              <w:spacing w:line="360" w:lineRule="auto"/>
              <w:jc w:val="both"/>
              <w:rPr>
                <w:rFonts w:ascii="Arial" w:hAnsi="Arial" w:cs="Arial"/>
                <w:b/>
                <w:bCs/>
                <w:sz w:val="26"/>
                <w:szCs w:val="26"/>
                <w:rtl/>
              </w:rPr>
            </w:pPr>
            <w:r w:rsidRPr="00AB3FCE">
              <w:rPr>
                <w:rFonts w:ascii="Arial" w:hAnsi="Arial" w:cs="Arial"/>
                <w:b/>
                <w:bCs/>
                <w:sz w:val="26"/>
                <w:szCs w:val="26"/>
                <w:rtl/>
              </w:rPr>
              <w:t>לפני השופט יעקב שפסר</w:t>
            </w:r>
          </w:p>
        </w:tc>
        <w:tc>
          <w:tcPr>
            <w:tcW w:w="2660" w:type="dxa"/>
          </w:tcPr>
          <w:p w14:paraId="7BB22E98" w14:textId="77777777" w:rsidR="009D0DF6" w:rsidRPr="00AB3FCE" w:rsidRDefault="009D0DF6">
            <w:pPr>
              <w:pStyle w:val="a3"/>
              <w:jc w:val="both"/>
              <w:rPr>
                <w:rFonts w:ascii="Arial" w:hAnsi="Arial" w:cs="Arial"/>
                <w:b/>
                <w:bCs/>
                <w:sz w:val="26"/>
                <w:szCs w:val="26"/>
                <w:rtl/>
              </w:rPr>
            </w:pPr>
          </w:p>
        </w:tc>
      </w:tr>
      <w:tr w:rsidR="009D0DF6" w:rsidRPr="00AB3FCE" w14:paraId="7A236F1A" w14:textId="77777777">
        <w:tblPrEx>
          <w:jc w:val="left"/>
          <w:tblLook w:val="01E0" w:firstRow="1" w:lastRow="1" w:firstColumn="1" w:lastColumn="1" w:noHBand="0" w:noVBand="0"/>
        </w:tblPrEx>
        <w:tc>
          <w:tcPr>
            <w:tcW w:w="3240" w:type="dxa"/>
          </w:tcPr>
          <w:p w14:paraId="4138045D" w14:textId="77777777" w:rsidR="009D0DF6" w:rsidRPr="00AB3FCE" w:rsidRDefault="00AB3FCE">
            <w:pPr>
              <w:ind w:left="26"/>
              <w:rPr>
                <w:rFonts w:ascii="Arial" w:eastAsia="Times New Roman" w:hAnsi="Arial" w:cs="Arial"/>
                <w:b/>
                <w:bCs/>
                <w:sz w:val="26"/>
                <w:szCs w:val="26"/>
                <w:rtl/>
              </w:rPr>
            </w:pPr>
            <w:bookmarkStart w:id="1" w:name="FirstAppellant"/>
            <w:r w:rsidRPr="00AB3FCE">
              <w:rPr>
                <w:rFonts w:ascii="Arial" w:eastAsia="Times New Roman" w:hAnsi="Arial" w:cs="Arial"/>
                <w:b/>
                <w:bCs/>
                <w:sz w:val="26"/>
                <w:szCs w:val="26"/>
                <w:rtl/>
              </w:rPr>
              <w:t>המאשימה</w:t>
            </w:r>
          </w:p>
        </w:tc>
        <w:tc>
          <w:tcPr>
            <w:tcW w:w="5562" w:type="dxa"/>
            <w:gridSpan w:val="3"/>
          </w:tcPr>
          <w:p w14:paraId="1D0C40EC" w14:textId="77777777" w:rsidR="009D0DF6" w:rsidRPr="00AB3FCE" w:rsidRDefault="00AB3FCE">
            <w:pPr>
              <w:rPr>
                <w:rFonts w:ascii="Arial" w:eastAsia="Times New Roman" w:hAnsi="Arial" w:cs="Arial"/>
                <w:b/>
                <w:bCs/>
                <w:sz w:val="26"/>
                <w:szCs w:val="26"/>
                <w:rtl/>
              </w:rPr>
            </w:pPr>
            <w:r w:rsidRPr="00AB3FCE">
              <w:rPr>
                <w:rFonts w:ascii="Arial" w:eastAsia="Times New Roman" w:hAnsi="Arial" w:cs="Arial"/>
                <w:b/>
                <w:bCs/>
                <w:sz w:val="26"/>
                <w:szCs w:val="26"/>
                <w:rtl/>
              </w:rPr>
              <w:t xml:space="preserve"> מדינת ישראל</w:t>
            </w:r>
          </w:p>
        </w:tc>
      </w:tr>
      <w:bookmarkEnd w:id="1"/>
      <w:tr w:rsidR="009D0DF6" w:rsidRPr="00AB3FCE" w14:paraId="218C6BE8" w14:textId="77777777">
        <w:tblPrEx>
          <w:jc w:val="left"/>
          <w:tblLook w:val="01E0" w:firstRow="1" w:lastRow="1" w:firstColumn="1" w:lastColumn="1" w:noHBand="0" w:noVBand="0"/>
        </w:tblPrEx>
        <w:tc>
          <w:tcPr>
            <w:tcW w:w="8802" w:type="dxa"/>
            <w:gridSpan w:val="4"/>
          </w:tcPr>
          <w:p w14:paraId="3C6A42B0" w14:textId="77777777" w:rsidR="009D0DF6" w:rsidRPr="00AB3FCE" w:rsidRDefault="009D0DF6">
            <w:pPr>
              <w:jc w:val="both"/>
              <w:rPr>
                <w:rFonts w:ascii="Arial" w:eastAsia="Times New Roman" w:hAnsi="Arial" w:cs="Arial"/>
                <w:b/>
                <w:bCs/>
                <w:sz w:val="26"/>
                <w:szCs w:val="26"/>
                <w:rtl/>
              </w:rPr>
            </w:pPr>
          </w:p>
          <w:p w14:paraId="538D38B9" w14:textId="77777777" w:rsidR="009D0DF6" w:rsidRPr="00AB3FCE" w:rsidRDefault="00AB3FCE">
            <w:pPr>
              <w:jc w:val="center"/>
              <w:rPr>
                <w:rFonts w:ascii="Arial" w:eastAsia="Times New Roman" w:hAnsi="Arial" w:cs="Arial"/>
                <w:b/>
                <w:bCs/>
                <w:sz w:val="26"/>
                <w:szCs w:val="26"/>
                <w:rtl/>
              </w:rPr>
            </w:pPr>
            <w:r w:rsidRPr="00AB3FCE">
              <w:rPr>
                <w:rFonts w:ascii="Arial" w:eastAsia="Times New Roman" w:hAnsi="Arial" w:cs="Arial"/>
                <w:b/>
                <w:bCs/>
                <w:sz w:val="26"/>
                <w:szCs w:val="26"/>
                <w:rtl/>
              </w:rPr>
              <w:t>נגד</w:t>
            </w:r>
          </w:p>
          <w:p w14:paraId="6BC5E26D" w14:textId="77777777" w:rsidR="009D0DF6" w:rsidRPr="00AB3FCE" w:rsidRDefault="009D0DF6">
            <w:pPr>
              <w:jc w:val="center"/>
              <w:rPr>
                <w:rFonts w:ascii="Arial" w:eastAsia="Times New Roman" w:hAnsi="Arial" w:cs="Arial"/>
                <w:b/>
                <w:bCs/>
                <w:sz w:val="26"/>
                <w:szCs w:val="26"/>
              </w:rPr>
            </w:pPr>
          </w:p>
        </w:tc>
      </w:tr>
      <w:tr w:rsidR="009D0DF6" w:rsidRPr="00AB3FCE" w14:paraId="47B7A113" w14:textId="77777777">
        <w:tblPrEx>
          <w:jc w:val="left"/>
          <w:tblLook w:val="01E0" w:firstRow="1" w:lastRow="1" w:firstColumn="1" w:lastColumn="1" w:noHBand="0" w:noVBand="0"/>
        </w:tblPrEx>
        <w:tc>
          <w:tcPr>
            <w:tcW w:w="3240" w:type="dxa"/>
          </w:tcPr>
          <w:p w14:paraId="231463F2" w14:textId="77777777" w:rsidR="009D0DF6" w:rsidRPr="00AB3FCE" w:rsidRDefault="00AB3FCE">
            <w:pPr>
              <w:ind w:left="26"/>
              <w:rPr>
                <w:rFonts w:ascii="Arial" w:eastAsia="Times New Roman" w:hAnsi="Arial" w:cs="Arial"/>
                <w:b/>
                <w:bCs/>
                <w:sz w:val="26"/>
                <w:szCs w:val="26"/>
                <w:rtl/>
              </w:rPr>
            </w:pPr>
            <w:r w:rsidRPr="00AB3FCE">
              <w:rPr>
                <w:rFonts w:ascii="Arial" w:eastAsia="Times New Roman" w:hAnsi="Arial" w:cs="Arial"/>
                <w:b/>
                <w:bCs/>
                <w:sz w:val="26"/>
                <w:szCs w:val="26"/>
                <w:rtl/>
              </w:rPr>
              <w:t>הנאשמים</w:t>
            </w:r>
          </w:p>
        </w:tc>
        <w:tc>
          <w:tcPr>
            <w:tcW w:w="5562" w:type="dxa"/>
            <w:gridSpan w:val="3"/>
          </w:tcPr>
          <w:p w14:paraId="604B0B63" w14:textId="77777777" w:rsidR="009D0DF6" w:rsidRPr="00AB3FCE" w:rsidRDefault="00AB3FCE">
            <w:pPr>
              <w:rPr>
                <w:rFonts w:ascii="Arial" w:eastAsia="Times New Roman" w:hAnsi="Arial" w:cs="Arial"/>
                <w:b/>
                <w:bCs/>
                <w:sz w:val="26"/>
                <w:szCs w:val="26"/>
                <w:rtl/>
              </w:rPr>
            </w:pPr>
            <w:r w:rsidRPr="00AB3FCE">
              <w:rPr>
                <w:rFonts w:ascii="Arial" w:eastAsia="Times New Roman" w:hAnsi="Arial" w:cs="Arial"/>
                <w:b/>
                <w:bCs/>
                <w:sz w:val="26"/>
                <w:szCs w:val="26"/>
                <w:rtl/>
              </w:rPr>
              <w:t>1. אלכסיי קובלבסקי (עציר)</w:t>
            </w:r>
          </w:p>
          <w:p w14:paraId="3A00B1F4" w14:textId="77777777" w:rsidR="009D0DF6" w:rsidRPr="00AB3FCE" w:rsidRDefault="00AB3FCE">
            <w:pPr>
              <w:rPr>
                <w:rFonts w:ascii="Arial" w:eastAsia="Times New Roman" w:hAnsi="Arial" w:cs="Arial"/>
                <w:b/>
                <w:bCs/>
                <w:sz w:val="26"/>
                <w:szCs w:val="26"/>
                <w:rtl/>
              </w:rPr>
            </w:pPr>
            <w:r w:rsidRPr="00AB3FCE">
              <w:rPr>
                <w:rFonts w:ascii="Arial" w:eastAsia="Times New Roman" w:hAnsi="Arial" w:cs="Arial"/>
                <w:b/>
                <w:bCs/>
                <w:sz w:val="26"/>
                <w:szCs w:val="26"/>
                <w:rtl/>
              </w:rPr>
              <w:t>2. דניס שוורצפל (עציר)</w:t>
            </w:r>
          </w:p>
        </w:tc>
      </w:tr>
    </w:tbl>
    <w:p w14:paraId="6AAB4206" w14:textId="77777777" w:rsidR="009D0DF6" w:rsidRPr="00AB3FCE" w:rsidRDefault="00AB3FCE">
      <w:pPr>
        <w:rPr>
          <w:rStyle w:val="a6"/>
          <w:rFonts w:ascii="Arial" w:hAnsi="Arial"/>
          <w:sz w:val="6"/>
          <w:szCs w:val="6"/>
          <w:rtl/>
        </w:rPr>
      </w:pPr>
      <w:r w:rsidRPr="00AB3FCE">
        <w:rPr>
          <w:rStyle w:val="a6"/>
          <w:rFonts w:ascii="Arial" w:hAnsi="Arial"/>
          <w:sz w:val="6"/>
          <w:szCs w:val="6"/>
          <w:rtl/>
        </w:rPr>
        <w:t>&lt;#2#&gt;</w:t>
      </w:r>
    </w:p>
    <w:p w14:paraId="4710BE24" w14:textId="77777777" w:rsidR="009D0DF6" w:rsidRPr="00AB3FCE" w:rsidRDefault="00AB3FCE">
      <w:pPr>
        <w:pStyle w:val="12"/>
        <w:rPr>
          <w:rFonts w:ascii="Arial" w:hAnsi="Arial" w:cs="Arial"/>
          <w:u w:val="none"/>
          <w:rtl/>
        </w:rPr>
      </w:pPr>
      <w:r w:rsidRPr="00AB3FCE">
        <w:rPr>
          <w:rFonts w:ascii="Arial" w:hAnsi="Arial" w:cs="Arial"/>
          <w:u w:val="none"/>
          <w:rtl/>
        </w:rPr>
        <w:t>נוכחים:</w:t>
      </w:r>
    </w:p>
    <w:p w14:paraId="685B3C60" w14:textId="77777777" w:rsidR="009D0DF6" w:rsidRPr="00AB3FCE" w:rsidRDefault="00AB3FCE">
      <w:pPr>
        <w:pStyle w:val="12"/>
        <w:rPr>
          <w:rFonts w:ascii="Arial" w:hAnsi="Arial" w:cs="Arial"/>
          <w:sz w:val="4"/>
          <w:szCs w:val="4"/>
          <w:u w:val="none"/>
          <w:rtl/>
        </w:rPr>
      </w:pPr>
      <w:r w:rsidRPr="00AB3FCE">
        <w:rPr>
          <w:rFonts w:ascii="Arial" w:hAnsi="Arial" w:cs="Arial"/>
          <w:b w:val="0"/>
          <w:bCs w:val="0"/>
          <w:sz w:val="4"/>
          <w:szCs w:val="4"/>
          <w:u w:val="none"/>
          <w:rtl/>
        </w:rPr>
        <w:t xml:space="preserve"> </w:t>
      </w:r>
    </w:p>
    <w:p w14:paraId="0F280BCA" w14:textId="77777777" w:rsidR="009D0DF6" w:rsidRPr="00AB3FCE" w:rsidRDefault="00AB3FCE">
      <w:pPr>
        <w:pStyle w:val="12"/>
        <w:rPr>
          <w:rFonts w:ascii="Arial" w:hAnsi="Arial" w:cs="Arial"/>
          <w:b w:val="0"/>
          <w:bCs w:val="0"/>
          <w:u w:val="none"/>
          <w:rtl/>
        </w:rPr>
      </w:pPr>
      <w:bookmarkStart w:id="2" w:name="FirstLawyer"/>
      <w:r w:rsidRPr="00AB3FCE">
        <w:rPr>
          <w:rFonts w:ascii="Arial" w:hAnsi="Arial" w:cs="Arial" w:hint="cs"/>
          <w:b w:val="0"/>
          <w:bCs w:val="0"/>
          <w:u w:val="none"/>
          <w:rtl/>
        </w:rPr>
        <w:t>ב"כ</w:t>
      </w:r>
      <w:bookmarkEnd w:id="2"/>
      <w:r w:rsidRPr="00AB3FCE">
        <w:rPr>
          <w:rFonts w:ascii="Arial" w:hAnsi="Arial" w:cs="Arial" w:hint="cs"/>
          <w:b w:val="0"/>
          <w:bCs w:val="0"/>
          <w:u w:val="none"/>
          <w:rtl/>
        </w:rPr>
        <w:t xml:space="preserve"> המאשימה עו"ד עודד קלר </w:t>
      </w:r>
    </w:p>
    <w:p w14:paraId="0E5900DA" w14:textId="77777777" w:rsidR="009D0DF6" w:rsidRPr="00AB3FCE" w:rsidRDefault="00AB3FCE">
      <w:pPr>
        <w:pStyle w:val="12"/>
        <w:rPr>
          <w:rFonts w:ascii="Arial" w:hAnsi="Arial" w:cs="Arial"/>
          <w:b w:val="0"/>
          <w:bCs w:val="0"/>
          <w:u w:val="none"/>
          <w:rtl/>
        </w:rPr>
      </w:pPr>
      <w:r w:rsidRPr="00AB3FCE">
        <w:rPr>
          <w:rFonts w:ascii="Arial" w:hAnsi="Arial" w:cs="Arial" w:hint="cs"/>
          <w:b w:val="0"/>
          <w:bCs w:val="0"/>
          <w:u w:val="none"/>
          <w:rtl/>
        </w:rPr>
        <w:t>ב"כ הנאשם 1 עו"ד קטי צווטקוב</w:t>
      </w:r>
    </w:p>
    <w:p w14:paraId="07827514" w14:textId="77777777" w:rsidR="003D4066" w:rsidRDefault="00AB3FCE" w:rsidP="003D4066">
      <w:pPr>
        <w:pStyle w:val="12"/>
        <w:rPr>
          <w:rFonts w:ascii="Arial" w:hAnsi="Arial" w:cs="Arial"/>
          <w:b w:val="0"/>
          <w:bCs w:val="0"/>
          <w:u w:val="none"/>
          <w:rtl/>
        </w:rPr>
      </w:pPr>
      <w:r w:rsidRPr="00AB3FCE">
        <w:rPr>
          <w:rFonts w:ascii="Arial" w:hAnsi="Arial" w:cs="Arial" w:hint="cs"/>
          <w:b w:val="0"/>
          <w:bCs w:val="0"/>
          <w:u w:val="none"/>
          <w:rtl/>
        </w:rPr>
        <w:t>ב"כ הנאשם 2 עו"ד אייל שמחונ</w:t>
      </w:r>
      <w:bookmarkStart w:id="3" w:name="LawTable"/>
      <w:bookmarkEnd w:id="3"/>
    </w:p>
    <w:p w14:paraId="32D2377D" w14:textId="77777777" w:rsidR="003D4066" w:rsidRPr="003D4066" w:rsidRDefault="003D4066" w:rsidP="003D4066">
      <w:pPr>
        <w:pStyle w:val="12"/>
        <w:spacing w:after="120" w:line="240" w:lineRule="exact"/>
        <w:ind w:left="283" w:hanging="283"/>
        <w:jc w:val="both"/>
        <w:rPr>
          <w:rFonts w:ascii="FrankRuehl" w:hAnsi="FrankRuehl" w:cs="FrankRuehl"/>
          <w:b w:val="0"/>
          <w:bCs w:val="0"/>
          <w:u w:val="none"/>
          <w:rtl/>
        </w:rPr>
      </w:pPr>
    </w:p>
    <w:p w14:paraId="45A78B3B" w14:textId="77777777" w:rsidR="003D4066" w:rsidRPr="003D4066" w:rsidRDefault="003D4066" w:rsidP="003D4066">
      <w:pPr>
        <w:pStyle w:val="12"/>
        <w:spacing w:after="120" w:line="240" w:lineRule="exact"/>
        <w:ind w:left="283" w:hanging="283"/>
        <w:jc w:val="both"/>
        <w:rPr>
          <w:rFonts w:ascii="FrankRuehl" w:hAnsi="FrankRuehl" w:cs="FrankRuehl"/>
          <w:b w:val="0"/>
          <w:bCs w:val="0"/>
          <w:u w:val="none"/>
          <w:rtl/>
        </w:rPr>
      </w:pPr>
      <w:r w:rsidRPr="003D4066">
        <w:rPr>
          <w:rFonts w:ascii="FrankRuehl" w:hAnsi="FrankRuehl" w:cs="FrankRuehl"/>
          <w:b w:val="0"/>
          <w:bCs w:val="0"/>
          <w:u w:val="none"/>
          <w:rtl/>
        </w:rPr>
        <w:t xml:space="preserve">חקיקה שאוזכרה: </w:t>
      </w:r>
    </w:p>
    <w:p w14:paraId="47952196" w14:textId="77777777" w:rsidR="003D4066" w:rsidRPr="003D4066" w:rsidRDefault="003D4066" w:rsidP="003D4066">
      <w:pPr>
        <w:pStyle w:val="12"/>
        <w:spacing w:after="120" w:line="240" w:lineRule="exact"/>
        <w:ind w:left="283" w:hanging="283"/>
        <w:jc w:val="both"/>
        <w:rPr>
          <w:rFonts w:ascii="FrankRuehl" w:hAnsi="FrankRuehl" w:cs="FrankRuehl"/>
          <w:b w:val="0"/>
          <w:bCs w:val="0"/>
          <w:u w:val="none"/>
          <w:rtl/>
        </w:rPr>
      </w:pPr>
      <w:hyperlink r:id="rId7" w:history="1">
        <w:r w:rsidRPr="003D4066">
          <w:rPr>
            <w:rFonts w:ascii="FrankRuehl" w:hAnsi="FrankRuehl" w:cs="FrankRuehl"/>
            <w:b w:val="0"/>
            <w:bCs w:val="0"/>
            <w:color w:val="0000FF"/>
            <w:rtl/>
          </w:rPr>
          <w:t>חוק העונשין, תשל"ז-1977</w:t>
        </w:r>
      </w:hyperlink>
      <w:r w:rsidRPr="003D4066">
        <w:rPr>
          <w:rFonts w:ascii="FrankRuehl" w:hAnsi="FrankRuehl" w:cs="FrankRuehl"/>
          <w:b w:val="0"/>
          <w:bCs w:val="0"/>
          <w:u w:val="none"/>
          <w:rtl/>
        </w:rPr>
        <w:t xml:space="preserve">: סע'  </w:t>
      </w:r>
      <w:hyperlink r:id="rId8" w:history="1">
        <w:r w:rsidRPr="003D4066">
          <w:rPr>
            <w:rFonts w:ascii="FrankRuehl" w:hAnsi="FrankRuehl" w:cs="FrankRuehl"/>
            <w:b w:val="0"/>
            <w:bCs w:val="0"/>
            <w:color w:val="0000FF"/>
            <w:rtl/>
          </w:rPr>
          <w:t>25</w:t>
        </w:r>
      </w:hyperlink>
      <w:r w:rsidRPr="003D4066">
        <w:rPr>
          <w:rFonts w:ascii="FrankRuehl" w:hAnsi="FrankRuehl" w:cs="FrankRuehl"/>
          <w:b w:val="0"/>
          <w:bCs w:val="0"/>
          <w:u w:val="none"/>
          <w:rtl/>
        </w:rPr>
        <w:t xml:space="preserve">, </w:t>
      </w:r>
      <w:hyperlink r:id="rId9" w:history="1">
        <w:r w:rsidRPr="003D4066">
          <w:rPr>
            <w:rFonts w:ascii="FrankRuehl" w:hAnsi="FrankRuehl" w:cs="FrankRuehl"/>
            <w:b w:val="0"/>
            <w:bCs w:val="0"/>
            <w:color w:val="0000FF"/>
            <w:rtl/>
          </w:rPr>
          <w:t>40 ט'</w:t>
        </w:r>
      </w:hyperlink>
      <w:r w:rsidRPr="003D4066">
        <w:rPr>
          <w:rFonts w:ascii="FrankRuehl" w:hAnsi="FrankRuehl" w:cs="FrankRuehl"/>
          <w:b w:val="0"/>
          <w:bCs w:val="0"/>
          <w:u w:val="none"/>
          <w:rtl/>
        </w:rPr>
        <w:t xml:space="preserve">, </w:t>
      </w:r>
      <w:hyperlink r:id="rId10" w:history="1">
        <w:r w:rsidRPr="003D4066">
          <w:rPr>
            <w:rFonts w:ascii="FrankRuehl" w:hAnsi="FrankRuehl" w:cs="FrankRuehl"/>
            <w:b w:val="0"/>
            <w:bCs w:val="0"/>
            <w:color w:val="0000FF"/>
            <w:rtl/>
          </w:rPr>
          <w:t>144 (א)</w:t>
        </w:r>
      </w:hyperlink>
      <w:r w:rsidRPr="003D4066">
        <w:rPr>
          <w:rFonts w:ascii="FrankRuehl" w:hAnsi="FrankRuehl" w:cs="FrankRuehl"/>
          <w:b w:val="0"/>
          <w:bCs w:val="0"/>
          <w:u w:val="none"/>
          <w:rtl/>
        </w:rPr>
        <w:t xml:space="preserve">, </w:t>
      </w:r>
      <w:hyperlink r:id="rId11" w:history="1">
        <w:r w:rsidRPr="003D4066">
          <w:rPr>
            <w:rFonts w:ascii="FrankRuehl" w:hAnsi="FrankRuehl" w:cs="FrankRuehl"/>
            <w:b w:val="0"/>
            <w:bCs w:val="0"/>
            <w:color w:val="0000FF"/>
            <w:rtl/>
          </w:rPr>
          <w:t>407</w:t>
        </w:r>
      </w:hyperlink>
      <w:r w:rsidRPr="003D4066">
        <w:rPr>
          <w:rFonts w:ascii="FrankRuehl" w:hAnsi="FrankRuehl" w:cs="FrankRuehl"/>
          <w:b w:val="0"/>
          <w:bCs w:val="0"/>
          <w:u w:val="none"/>
          <w:rtl/>
        </w:rPr>
        <w:t xml:space="preserve">, </w:t>
      </w:r>
      <w:hyperlink r:id="rId12" w:history="1">
        <w:r w:rsidRPr="003D4066">
          <w:rPr>
            <w:rFonts w:ascii="FrankRuehl" w:hAnsi="FrankRuehl" w:cs="FrankRuehl"/>
            <w:b w:val="0"/>
            <w:bCs w:val="0"/>
            <w:color w:val="0000FF"/>
            <w:rtl/>
          </w:rPr>
          <w:t>408</w:t>
        </w:r>
      </w:hyperlink>
      <w:r w:rsidRPr="003D4066">
        <w:rPr>
          <w:rFonts w:ascii="FrankRuehl" w:hAnsi="FrankRuehl" w:cs="FrankRuehl"/>
          <w:b w:val="0"/>
          <w:bCs w:val="0"/>
          <w:u w:val="none"/>
          <w:rtl/>
        </w:rPr>
        <w:t xml:space="preserve">, </w:t>
      </w:r>
      <w:hyperlink r:id="rId13" w:history="1">
        <w:r w:rsidRPr="003D4066">
          <w:rPr>
            <w:rFonts w:ascii="FrankRuehl" w:hAnsi="FrankRuehl" w:cs="FrankRuehl"/>
            <w:b w:val="0"/>
            <w:bCs w:val="0"/>
            <w:color w:val="0000FF"/>
            <w:rtl/>
          </w:rPr>
          <w:t>40 יא</w:t>
        </w:r>
      </w:hyperlink>
      <w:r w:rsidRPr="003D4066">
        <w:rPr>
          <w:rFonts w:ascii="FrankRuehl" w:hAnsi="FrankRuehl" w:cs="FrankRuehl"/>
          <w:b w:val="0"/>
          <w:bCs w:val="0"/>
          <w:u w:val="none"/>
          <w:rtl/>
        </w:rPr>
        <w:t xml:space="preserve">, </w:t>
      </w:r>
      <w:hyperlink r:id="rId14" w:history="1">
        <w:r w:rsidRPr="003D4066">
          <w:rPr>
            <w:rFonts w:ascii="FrankRuehl" w:hAnsi="FrankRuehl" w:cs="FrankRuehl"/>
            <w:b w:val="0"/>
            <w:bCs w:val="0"/>
            <w:color w:val="0000FF"/>
            <w:rtl/>
          </w:rPr>
          <w:t>413 ד (ב)</w:t>
        </w:r>
      </w:hyperlink>
      <w:r w:rsidRPr="003D4066">
        <w:rPr>
          <w:rFonts w:ascii="FrankRuehl" w:hAnsi="FrankRuehl" w:cs="FrankRuehl"/>
          <w:b w:val="0"/>
          <w:bCs w:val="0"/>
          <w:u w:val="none"/>
          <w:rtl/>
        </w:rPr>
        <w:t xml:space="preserve">, </w:t>
      </w:r>
      <w:hyperlink r:id="rId15" w:history="1">
        <w:r w:rsidRPr="003D4066">
          <w:rPr>
            <w:rFonts w:ascii="FrankRuehl" w:hAnsi="FrankRuehl" w:cs="FrankRuehl"/>
            <w:b w:val="0"/>
            <w:bCs w:val="0"/>
            <w:color w:val="0000FF"/>
            <w:rtl/>
          </w:rPr>
          <w:t>499(א)(1)</w:t>
        </w:r>
      </w:hyperlink>
    </w:p>
    <w:p w14:paraId="3F365873" w14:textId="77777777" w:rsidR="003D4066" w:rsidRPr="003D4066" w:rsidRDefault="003D4066" w:rsidP="003D4066">
      <w:pPr>
        <w:pStyle w:val="12"/>
        <w:spacing w:after="120" w:line="240" w:lineRule="exact"/>
        <w:ind w:left="283" w:hanging="283"/>
        <w:jc w:val="both"/>
        <w:rPr>
          <w:rFonts w:ascii="FrankRuehl" w:hAnsi="FrankRuehl" w:cs="FrankRuehl"/>
          <w:b w:val="0"/>
          <w:bCs w:val="0"/>
          <w:u w:val="none"/>
          <w:rtl/>
        </w:rPr>
      </w:pPr>
    </w:p>
    <w:p w14:paraId="22EC0F44" w14:textId="77777777" w:rsidR="003D4066" w:rsidRPr="003D4066" w:rsidRDefault="003D4066" w:rsidP="003D4066">
      <w:pPr>
        <w:pStyle w:val="12"/>
        <w:rPr>
          <w:rFonts w:ascii="Arial" w:hAnsi="Arial" w:cs="Arial"/>
          <w:b w:val="0"/>
          <w:bCs w:val="0"/>
          <w:u w:val="none"/>
          <w:rtl/>
        </w:rPr>
      </w:pPr>
      <w:bookmarkStart w:id="4" w:name="LawTable_End"/>
      <w:bookmarkEnd w:id="4"/>
    </w:p>
    <w:p w14:paraId="55127539" w14:textId="77777777" w:rsidR="003D4066" w:rsidRPr="003D4066" w:rsidRDefault="003D4066" w:rsidP="003D4066">
      <w:pPr>
        <w:pStyle w:val="12"/>
        <w:rPr>
          <w:rFonts w:ascii="Arial" w:hAnsi="Arial" w:cs="Arial"/>
          <w:b w:val="0"/>
          <w:bCs w:val="0"/>
          <w:u w:val="none"/>
          <w:rtl/>
        </w:rPr>
      </w:pPr>
    </w:p>
    <w:p w14:paraId="4027FD86" w14:textId="77777777" w:rsidR="003D4066" w:rsidRPr="003D4066" w:rsidRDefault="00AB3FCE" w:rsidP="003D4066">
      <w:pPr>
        <w:pStyle w:val="12"/>
        <w:rPr>
          <w:rFonts w:ascii="FrankRuehl" w:hAnsi="FrankRuehl" w:cs="FrankRuehl"/>
          <w:b w:val="0"/>
          <w:bCs w:val="0"/>
          <w:u w:val="none"/>
          <w:rtl/>
        </w:rPr>
      </w:pPr>
      <w:r w:rsidRPr="003D4066">
        <w:rPr>
          <w:rFonts w:ascii="Arial" w:hAnsi="Arial" w:cs="Arial" w:hint="cs"/>
          <w:b w:val="0"/>
          <w:bCs w:val="0"/>
          <w:u w:val="none"/>
          <w:rtl/>
        </w:rPr>
        <w:t>י</w:t>
      </w:r>
    </w:p>
    <w:p w14:paraId="5935D425" w14:textId="77777777" w:rsidR="003D4066" w:rsidRPr="003D4066" w:rsidRDefault="003D4066">
      <w:pPr>
        <w:pStyle w:val="12"/>
        <w:rPr>
          <w:rFonts w:ascii="Arial" w:hAnsi="Arial" w:cs="Arial"/>
          <w:b w:val="0"/>
          <w:bCs w:val="0"/>
          <w:u w:val="none"/>
          <w:rtl/>
        </w:rPr>
      </w:pPr>
    </w:p>
    <w:p w14:paraId="011880D0" w14:textId="77777777" w:rsidR="003D4066" w:rsidRPr="003D4066" w:rsidRDefault="003D4066">
      <w:pPr>
        <w:pStyle w:val="12"/>
        <w:rPr>
          <w:rFonts w:ascii="Arial" w:hAnsi="Arial" w:cs="Arial"/>
          <w:b w:val="0"/>
          <w:bCs w:val="0"/>
          <w:u w:val="none"/>
          <w:rtl/>
        </w:rPr>
      </w:pPr>
    </w:p>
    <w:p w14:paraId="24125839" w14:textId="77777777" w:rsidR="009D0DF6" w:rsidRPr="003D4066" w:rsidRDefault="009D0DF6">
      <w:pPr>
        <w:pStyle w:val="12"/>
        <w:rPr>
          <w:rFonts w:ascii="Arial" w:hAnsi="Arial" w:cs="Arial"/>
          <w:b w:val="0"/>
          <w:bCs w:val="0"/>
          <w:u w:val="none"/>
          <w:rtl/>
        </w:rPr>
      </w:pPr>
    </w:p>
    <w:p w14:paraId="6ECF4012" w14:textId="77777777" w:rsidR="00FD1E19" w:rsidRPr="00FD1E19" w:rsidRDefault="00FD1E19">
      <w:pPr>
        <w:pStyle w:val="12"/>
        <w:rPr>
          <w:rFonts w:ascii="Arial" w:hAnsi="Arial" w:cs="Arial"/>
          <w:b w:val="0"/>
          <w:bCs w:val="0"/>
          <w:u w:val="none"/>
          <w:rtl/>
        </w:rPr>
      </w:pPr>
    </w:p>
    <w:p w14:paraId="1FD9F52E" w14:textId="77777777" w:rsidR="00FD1E19" w:rsidRPr="00FD1E19" w:rsidRDefault="00FD1E19">
      <w:pPr>
        <w:pStyle w:val="12"/>
        <w:rPr>
          <w:rFonts w:ascii="Arial" w:hAnsi="Arial" w:cs="Arial"/>
          <w:b w:val="0"/>
          <w:bCs w:val="0"/>
          <w:u w:val="none"/>
          <w:rtl/>
        </w:rPr>
      </w:pPr>
    </w:p>
    <w:p w14:paraId="079FA089" w14:textId="77777777" w:rsidR="009D0DF6" w:rsidRPr="00FD1E19" w:rsidRDefault="009D0DF6">
      <w:pPr>
        <w:pStyle w:val="12"/>
        <w:rPr>
          <w:rFonts w:ascii="Arial" w:hAnsi="Arial" w:cs="Arial"/>
          <w:b w:val="0"/>
          <w:bCs w:val="0"/>
          <w:u w:val="none"/>
          <w:rtl/>
        </w:rPr>
      </w:pPr>
    </w:p>
    <w:p w14:paraId="11DE4B70" w14:textId="77777777" w:rsidR="00AB3FCE" w:rsidRPr="00AB3FCE" w:rsidRDefault="00AB3FCE" w:rsidP="00AB3FCE">
      <w:pPr>
        <w:pStyle w:val="David"/>
        <w:jc w:val="center"/>
        <w:rPr>
          <w:rFonts w:ascii="Arial" w:eastAsia="David" w:hAnsi="Arial" w:cs="Arial"/>
          <w:b/>
          <w:bCs/>
          <w:sz w:val="28"/>
          <w:szCs w:val="28"/>
          <w:u w:val="single"/>
          <w:rtl/>
        </w:rPr>
      </w:pPr>
      <w:bookmarkStart w:id="5" w:name="PsakDin"/>
      <w:bookmarkEnd w:id="0"/>
      <w:r w:rsidRPr="00AB3FCE">
        <w:rPr>
          <w:rFonts w:ascii="Arial" w:eastAsia="David" w:hAnsi="Arial" w:cs="Arial"/>
          <w:b/>
          <w:bCs/>
          <w:sz w:val="28"/>
          <w:szCs w:val="28"/>
          <w:u w:val="single"/>
          <w:rtl/>
        </w:rPr>
        <w:t>גזר דין</w:t>
      </w:r>
    </w:p>
    <w:bookmarkEnd w:id="5"/>
    <w:p w14:paraId="1800CCD9" w14:textId="77777777" w:rsidR="009D0DF6" w:rsidRDefault="009D0DF6">
      <w:pPr>
        <w:pStyle w:val="David"/>
        <w:rPr>
          <w:rFonts w:ascii="Arial" w:hAnsi="Arial" w:cs="Arial"/>
          <w:rtl/>
        </w:rPr>
      </w:pPr>
    </w:p>
    <w:p w14:paraId="71BF6D68" w14:textId="77777777" w:rsidR="009D0DF6" w:rsidRDefault="00AB3FCE">
      <w:pPr>
        <w:spacing w:line="360" w:lineRule="auto"/>
        <w:ind w:left="386" w:hanging="386"/>
        <w:jc w:val="both"/>
        <w:rPr>
          <w:rFonts w:ascii="Arial" w:hAnsi="Arial" w:cs="Arial"/>
        </w:rPr>
      </w:pPr>
      <w:r>
        <w:rPr>
          <w:rFonts w:ascii="Arial" w:hAnsi="Arial" w:cs="Arial"/>
          <w:rtl/>
        </w:rPr>
        <w:t>1.</w:t>
      </w:r>
      <w:r>
        <w:rPr>
          <w:rFonts w:ascii="Arial" w:hAnsi="Arial" w:cs="Arial" w:hint="cs"/>
          <w:rtl/>
        </w:rPr>
        <w:tab/>
      </w:r>
      <w:bookmarkStart w:id="6" w:name="ABSTRACT_START"/>
      <w:bookmarkEnd w:id="6"/>
      <w:r>
        <w:rPr>
          <w:rFonts w:ascii="Arial" w:hAnsi="Arial" w:cs="Arial"/>
          <w:rtl/>
        </w:rPr>
        <w:t xml:space="preserve">הנאשמים הורשעו על פי הודאתם בעבודות כתב אישום מתוקן בעבירות קשירת קשר לפשע, נסיון התפרצות בנסיבות מחמירות, גניבה מרכב או פירוק רכב והחזקת נשק (עבירות לפי </w:t>
      </w:r>
      <w:hyperlink r:id="rId16" w:history="1">
        <w:r w:rsidR="003D4066" w:rsidRPr="003D4066">
          <w:rPr>
            <w:rFonts w:ascii="Arial" w:hAnsi="Arial" w:cs="Arial"/>
            <w:color w:val="0000FF"/>
            <w:u w:val="single"/>
            <w:rtl/>
          </w:rPr>
          <w:t>סעיף 499(א)(1)</w:t>
        </w:r>
      </w:hyperlink>
      <w:r>
        <w:rPr>
          <w:rFonts w:ascii="Arial" w:hAnsi="Arial" w:cs="Arial"/>
          <w:rtl/>
        </w:rPr>
        <w:t>,</w:t>
      </w:r>
      <w:hyperlink r:id="rId17" w:history="1">
        <w:r w:rsidR="003D4066" w:rsidRPr="003D4066">
          <w:rPr>
            <w:rFonts w:ascii="Arial" w:hAnsi="Arial" w:cs="Arial"/>
            <w:color w:val="0000FF"/>
            <w:u w:val="single"/>
            <w:rtl/>
          </w:rPr>
          <w:t>סעיף 408</w:t>
        </w:r>
      </w:hyperlink>
      <w:r>
        <w:rPr>
          <w:rFonts w:ascii="Arial" w:hAnsi="Arial" w:cs="Arial"/>
          <w:rtl/>
        </w:rPr>
        <w:t xml:space="preserve"> (בנסיבות </w:t>
      </w:r>
      <w:hyperlink r:id="rId18" w:history="1">
        <w:r w:rsidR="003D4066" w:rsidRPr="003D4066">
          <w:rPr>
            <w:rFonts w:ascii="Arial" w:hAnsi="Arial" w:cs="Arial"/>
            <w:color w:val="0000FF"/>
            <w:u w:val="single"/>
            <w:rtl/>
          </w:rPr>
          <w:t>סעיף 407</w:t>
        </w:r>
      </w:hyperlink>
      <w:r>
        <w:rPr>
          <w:rFonts w:ascii="Arial" w:hAnsi="Arial" w:cs="Arial"/>
          <w:rtl/>
        </w:rPr>
        <w:t xml:space="preserve"> ביחד עם </w:t>
      </w:r>
      <w:hyperlink r:id="rId19" w:history="1">
        <w:r w:rsidR="003D4066" w:rsidRPr="003D4066">
          <w:rPr>
            <w:rFonts w:ascii="Arial" w:hAnsi="Arial" w:cs="Arial"/>
            <w:color w:val="0000FF"/>
            <w:u w:val="single"/>
            <w:rtl/>
          </w:rPr>
          <w:t>סעיף 25</w:t>
        </w:r>
      </w:hyperlink>
      <w:r>
        <w:rPr>
          <w:rFonts w:ascii="Arial" w:hAnsi="Arial" w:cs="Arial"/>
          <w:rtl/>
        </w:rPr>
        <w:t xml:space="preserve">), </w:t>
      </w:r>
      <w:hyperlink r:id="rId20" w:history="1">
        <w:r w:rsidR="003D4066" w:rsidRPr="003D4066">
          <w:rPr>
            <w:rFonts w:ascii="Arial" w:hAnsi="Arial" w:cs="Arial"/>
            <w:color w:val="0000FF"/>
            <w:u w:val="single"/>
            <w:rtl/>
          </w:rPr>
          <w:t>סעיף 413 ד (ב)</w:t>
        </w:r>
      </w:hyperlink>
      <w:r>
        <w:rPr>
          <w:rFonts w:ascii="Arial" w:hAnsi="Arial" w:cs="Arial"/>
          <w:rtl/>
        </w:rPr>
        <w:t xml:space="preserve"> ו</w:t>
      </w:r>
      <w:hyperlink r:id="rId21" w:history="1">
        <w:r w:rsidR="003D4066" w:rsidRPr="003D4066">
          <w:rPr>
            <w:rFonts w:ascii="Arial" w:hAnsi="Arial" w:cs="Arial"/>
            <w:color w:val="0000FF"/>
            <w:u w:val="single"/>
            <w:rtl/>
          </w:rPr>
          <w:t xml:space="preserve">סעיף 144 (א) </w:t>
        </w:r>
      </w:hyperlink>
      <w:r>
        <w:rPr>
          <w:rFonts w:ascii="Arial" w:hAnsi="Arial" w:cs="Arial"/>
          <w:rtl/>
        </w:rPr>
        <w:t xml:space="preserve">  ל</w:t>
      </w:r>
      <w:hyperlink r:id="rId22" w:history="1">
        <w:r w:rsidR="00FD1E19" w:rsidRPr="00FD1E19">
          <w:rPr>
            <w:rStyle w:val="Hyperlink"/>
            <w:rFonts w:ascii="Arial" w:hAnsi="Arial" w:cs="Arial"/>
            <w:rtl/>
          </w:rPr>
          <w:t>חוק העונשין</w:t>
        </w:r>
      </w:hyperlink>
      <w:r>
        <w:rPr>
          <w:rFonts w:ascii="Arial" w:hAnsi="Arial" w:cs="Arial"/>
          <w:rtl/>
        </w:rPr>
        <w:t xml:space="preserve"> תשל"ז – 1977).</w:t>
      </w:r>
    </w:p>
    <w:p w14:paraId="57D5210C" w14:textId="77777777" w:rsidR="009D0DF6" w:rsidRDefault="009D0DF6">
      <w:pPr>
        <w:spacing w:line="360" w:lineRule="auto"/>
        <w:jc w:val="both"/>
        <w:rPr>
          <w:rFonts w:ascii="Arial" w:hAnsi="Arial" w:cs="Arial"/>
          <w:rtl/>
        </w:rPr>
      </w:pPr>
      <w:bookmarkStart w:id="7" w:name="ABSTRACT_END"/>
      <w:bookmarkEnd w:id="7"/>
    </w:p>
    <w:p w14:paraId="2661A35A" w14:textId="77777777" w:rsidR="009D0DF6" w:rsidRDefault="00AB3FCE">
      <w:pPr>
        <w:spacing w:line="360" w:lineRule="auto"/>
        <w:ind w:firstLine="386"/>
        <w:jc w:val="both"/>
        <w:rPr>
          <w:rFonts w:ascii="Arial" w:hAnsi="Arial" w:cs="Arial"/>
          <w:rtl/>
        </w:rPr>
      </w:pPr>
      <w:r>
        <w:rPr>
          <w:rFonts w:ascii="Arial" w:hAnsi="Arial" w:cs="Arial"/>
          <w:rtl/>
        </w:rPr>
        <w:t xml:space="preserve">הודייתם של הנאשמים באה לאחר שהחלה שמיעת הראיות בתיק. </w:t>
      </w:r>
    </w:p>
    <w:p w14:paraId="0AC46CF2" w14:textId="77777777" w:rsidR="009D0DF6" w:rsidRDefault="009D0DF6">
      <w:pPr>
        <w:spacing w:line="360" w:lineRule="auto"/>
        <w:jc w:val="both"/>
        <w:rPr>
          <w:rFonts w:ascii="Arial" w:hAnsi="Arial" w:cs="Arial"/>
          <w:rtl/>
        </w:rPr>
      </w:pPr>
    </w:p>
    <w:p w14:paraId="2C942AB3" w14:textId="77777777" w:rsidR="009D0DF6" w:rsidRDefault="00AB3FCE">
      <w:pPr>
        <w:spacing w:line="360" w:lineRule="auto"/>
        <w:ind w:left="386" w:hanging="386"/>
        <w:jc w:val="both"/>
        <w:rPr>
          <w:rFonts w:ascii="Arial" w:hAnsi="Arial" w:cs="Arial"/>
          <w:rtl/>
        </w:rPr>
      </w:pPr>
      <w:r>
        <w:rPr>
          <w:rFonts w:ascii="Arial" w:hAnsi="Arial" w:cs="Arial"/>
          <w:rtl/>
        </w:rPr>
        <w:lastRenderedPageBreak/>
        <w:t xml:space="preserve">2. </w:t>
      </w:r>
      <w:r>
        <w:rPr>
          <w:rFonts w:ascii="Arial" w:hAnsi="Arial" w:cs="Arial" w:hint="cs"/>
          <w:rtl/>
        </w:rPr>
        <w:tab/>
      </w:r>
      <w:r>
        <w:rPr>
          <w:rFonts w:ascii="Arial" w:hAnsi="Arial" w:cs="Arial"/>
          <w:rtl/>
        </w:rPr>
        <w:t xml:space="preserve">בהתאם לעובדות כתב האישום, קשרו הנאשמים ביום 13.1.13 עם שניים אחרים קשר לביצוע שוד. במסגרת הקשר ולקידומו, נסעה החבורה ברכב השייך לבת זוגו של הנאשם 1, כשהנאשם 1 נוהג בו, ובחנה מקומות שונים כיעד לביצוע מזימתם, בתל אביב, ראשון לציון ונס ציונה. כן </w:t>
      </w:r>
      <w:r>
        <w:rPr>
          <w:rFonts w:ascii="Arial" w:hAnsi="Arial" w:cs="Arial"/>
          <w:rtl/>
        </w:rPr>
        <w:tab/>
        <w:t xml:space="preserve">ביקרו הנאשם 1 והשניים האחרים למחרת בחנות תכשיטים וחנות להמרת מטבע השוכנות זו מול זו בנס ציונה ובחנו התאמתן לביצוע העבירה, כשהנאשם 1 נכנס לחנות בתואנת שווא כמחפש לרכוש טבעת אירוסין.  </w:t>
      </w:r>
    </w:p>
    <w:p w14:paraId="4B36E400" w14:textId="77777777" w:rsidR="009D0DF6" w:rsidRDefault="00AB3FCE">
      <w:pPr>
        <w:spacing w:line="360" w:lineRule="auto"/>
        <w:ind w:left="386" w:hanging="386"/>
        <w:jc w:val="both"/>
        <w:rPr>
          <w:rFonts w:ascii="Arial" w:hAnsi="Arial" w:cs="Arial"/>
          <w:rtl/>
        </w:rPr>
      </w:pPr>
      <w:r>
        <w:rPr>
          <w:rFonts w:ascii="Arial" w:hAnsi="Arial" w:cs="Arial"/>
          <w:rtl/>
        </w:rPr>
        <w:tab/>
      </w:r>
    </w:p>
    <w:p w14:paraId="13D5BF13" w14:textId="77777777" w:rsidR="009D0DF6" w:rsidRDefault="00AB3FCE">
      <w:pPr>
        <w:spacing w:line="360" w:lineRule="auto"/>
        <w:ind w:left="386" w:hanging="386"/>
        <w:jc w:val="both"/>
        <w:rPr>
          <w:rFonts w:ascii="Arial" w:hAnsi="Arial" w:cs="Arial"/>
          <w:rtl/>
        </w:rPr>
      </w:pPr>
      <w:r>
        <w:rPr>
          <w:rFonts w:ascii="Arial" w:hAnsi="Arial" w:cs="Arial"/>
          <w:rtl/>
        </w:rPr>
        <w:tab/>
        <w:t>תכניתם של הנאשמים בקשר שקשרו היתה, כי הנאשם 1 ינהג ברכב, הנאשם 2 י</w:t>
      </w:r>
      <w:smartTag w:uri="urn:schemas-microsoft-com:office:smarttags" w:element="PersonName">
        <w:r>
          <w:rPr>
            <w:rFonts w:ascii="Arial" w:hAnsi="Arial" w:cs="Arial"/>
            <w:rtl/>
          </w:rPr>
          <w:t>נט</w:t>
        </w:r>
      </w:smartTag>
      <w:r>
        <w:rPr>
          <w:rFonts w:ascii="Arial" w:hAnsi="Arial" w:cs="Arial"/>
          <w:rtl/>
        </w:rPr>
        <w:t>רל את המוכר באמצעות שוקר חשמלי ואילו השניים הנוספים יאיימו באקדח ויקחו את השלל, בו יתחלקו המעורבים לאחר שימלטו מהזירה.</w:t>
      </w:r>
    </w:p>
    <w:p w14:paraId="0A100509" w14:textId="77777777" w:rsidR="009D0DF6" w:rsidRDefault="00AB3FCE">
      <w:pPr>
        <w:spacing w:line="360" w:lineRule="auto"/>
        <w:ind w:left="386" w:hanging="386"/>
        <w:jc w:val="both"/>
        <w:rPr>
          <w:rFonts w:ascii="Arial" w:hAnsi="Arial" w:cs="Arial"/>
          <w:rtl/>
        </w:rPr>
      </w:pPr>
      <w:r>
        <w:rPr>
          <w:rFonts w:ascii="Arial" w:hAnsi="Arial" w:cs="Arial"/>
          <w:rtl/>
        </w:rPr>
        <w:tab/>
        <w:t xml:space="preserve">בהתאם לתכנית הקשר, נסעו ביום 15.1.13 הנאשמים עם השניים האחרים, גנבו יחדיו לוחיות זיהוי מרכב שחנה בחיפה. למחרת, נסעה החבורה ברכב כשהנאשם 1 נוהג בו והם מצויידים באקדח מסוג תופי גז </w:t>
      </w:r>
      <w:r>
        <w:rPr>
          <w:rFonts w:ascii="Arial" w:hAnsi="Arial" w:cs="Arial"/>
        </w:rPr>
        <w:t>RECK</w:t>
      </w:r>
      <w:r>
        <w:rPr>
          <w:rFonts w:ascii="Arial" w:hAnsi="Arial" w:cs="Arial"/>
          <w:rtl/>
        </w:rPr>
        <w:t xml:space="preserve"> קליבר </w:t>
      </w:r>
      <w:r>
        <w:rPr>
          <w:rFonts w:ascii="Arial" w:hAnsi="Arial" w:cs="Arial"/>
        </w:rPr>
        <w:t>mm</w:t>
      </w:r>
      <w:r>
        <w:rPr>
          <w:rFonts w:ascii="Arial" w:hAnsi="Arial" w:cs="Arial"/>
          <w:rtl/>
        </w:rPr>
        <w:t xml:space="preserve">9, ארבעה כובעי גרב, זוג כפפות, שוקר חשמלי, סכין, שני פטישים ומכשיר להתזת גז פלפל. </w:t>
      </w:r>
    </w:p>
    <w:p w14:paraId="239DE889" w14:textId="77777777" w:rsidR="009D0DF6" w:rsidRDefault="00AB3FCE">
      <w:pPr>
        <w:spacing w:line="360" w:lineRule="auto"/>
        <w:ind w:left="386" w:hanging="386"/>
        <w:jc w:val="both"/>
        <w:rPr>
          <w:rFonts w:ascii="Arial" w:hAnsi="Arial" w:cs="Arial"/>
          <w:rtl/>
        </w:rPr>
      </w:pPr>
      <w:r>
        <w:rPr>
          <w:rFonts w:ascii="Arial" w:hAnsi="Arial" w:cs="Arial"/>
          <w:rtl/>
        </w:rPr>
        <w:tab/>
      </w:r>
    </w:p>
    <w:p w14:paraId="7BEEA76F" w14:textId="77777777" w:rsidR="009D0DF6" w:rsidRDefault="00AB3FCE">
      <w:pPr>
        <w:spacing w:line="360" w:lineRule="auto"/>
        <w:ind w:left="386" w:hanging="386"/>
        <w:jc w:val="both"/>
        <w:rPr>
          <w:rFonts w:ascii="Arial" w:hAnsi="Arial" w:cs="Arial"/>
          <w:rtl/>
        </w:rPr>
      </w:pPr>
      <w:r>
        <w:rPr>
          <w:rFonts w:ascii="Arial" w:hAnsi="Arial" w:cs="Arial"/>
          <w:rtl/>
        </w:rPr>
        <w:tab/>
        <w:t>בשעה 12:30 או בסמוך לכך, הגיעו הנאשמים לנס ציונה והחנו את הרכב בסמוך לשביל המוליך לשתי החנויות. מספר דקות אח</w:t>
      </w:r>
      <w:r>
        <w:rPr>
          <w:rFonts w:ascii="Arial" w:hAnsi="Arial" w:cs="Arial" w:hint="cs"/>
          <w:rtl/>
        </w:rPr>
        <w:t>"</w:t>
      </w:r>
      <w:r>
        <w:rPr>
          <w:rFonts w:ascii="Arial" w:hAnsi="Arial" w:cs="Arial"/>
          <w:rtl/>
        </w:rPr>
        <w:t>כ יצאו הנאשם 1 ואחד האחרים מהרכב ותצפתו על החנויות ומשראו מספר אנשים עומדים בסמוך, החליטו לבצע את ההתפרצות בשעה 13:00.</w:t>
      </w:r>
    </w:p>
    <w:p w14:paraId="0D9A3B19" w14:textId="77777777" w:rsidR="009D0DF6" w:rsidRDefault="009D0DF6">
      <w:pPr>
        <w:spacing w:line="360" w:lineRule="auto"/>
        <w:ind w:left="386" w:hanging="386"/>
        <w:jc w:val="both"/>
        <w:rPr>
          <w:rFonts w:ascii="Arial" w:hAnsi="Arial" w:cs="Arial"/>
          <w:rtl/>
        </w:rPr>
      </w:pPr>
    </w:p>
    <w:p w14:paraId="70D9E59A" w14:textId="77777777" w:rsidR="009D0DF6" w:rsidRDefault="00AB3FCE">
      <w:pPr>
        <w:spacing w:line="360" w:lineRule="auto"/>
        <w:ind w:left="386" w:hanging="386"/>
        <w:jc w:val="both"/>
        <w:rPr>
          <w:rFonts w:ascii="Arial" w:hAnsi="Arial" w:cs="Arial"/>
          <w:rtl/>
        </w:rPr>
      </w:pPr>
      <w:r>
        <w:rPr>
          <w:rFonts w:ascii="Arial" w:hAnsi="Arial" w:cs="Arial"/>
          <w:rtl/>
        </w:rPr>
        <w:tab/>
        <w:t xml:space="preserve">פקחי עירית נס ציונה הבחינו בנאשמים ועיכבו אותם עד למעצרם על ידי שוטרים שהוזעקו למקום. </w:t>
      </w:r>
    </w:p>
    <w:p w14:paraId="724A35A2" w14:textId="77777777" w:rsidR="009D0DF6" w:rsidRDefault="009D0DF6">
      <w:pPr>
        <w:spacing w:line="360" w:lineRule="auto"/>
        <w:ind w:left="386" w:hanging="386"/>
        <w:jc w:val="both"/>
        <w:rPr>
          <w:rFonts w:ascii="Arial" w:hAnsi="Arial" w:cs="Arial"/>
          <w:rtl/>
        </w:rPr>
      </w:pPr>
    </w:p>
    <w:p w14:paraId="23F88F40" w14:textId="77777777" w:rsidR="009D0DF6" w:rsidRDefault="00AB3FCE">
      <w:pPr>
        <w:spacing w:line="360" w:lineRule="auto"/>
        <w:ind w:left="386" w:hanging="386"/>
        <w:jc w:val="both"/>
        <w:rPr>
          <w:rFonts w:ascii="Arial" w:hAnsi="Arial" w:cs="Arial"/>
          <w:rtl/>
        </w:rPr>
      </w:pPr>
      <w:r>
        <w:rPr>
          <w:rFonts w:ascii="Arial" w:hAnsi="Arial" w:cs="Arial"/>
          <w:rtl/>
        </w:rPr>
        <w:t>3.</w:t>
      </w:r>
      <w:r>
        <w:rPr>
          <w:rFonts w:ascii="Arial" w:hAnsi="Arial" w:cs="Arial" w:hint="cs"/>
          <w:rtl/>
        </w:rPr>
        <w:tab/>
      </w:r>
      <w:r>
        <w:rPr>
          <w:rFonts w:ascii="Arial" w:hAnsi="Arial" w:cs="Arial"/>
          <w:rtl/>
        </w:rPr>
        <w:t>ב"כ המאשימה הציעה לקבוע מתחם ענישה לכל עבירה בנפרד, זאת בהתאם להצעות שנתנה (שנה עד 3 שנים לעבירת קשירת הקשר, 18-36 חדשים לעבירת נסיון ההתפרצות ו- 9-16 חדשים לעבירת החזקת הנשק). בדבריה הדגישה את התכנון וההכנה שקדמו למעשה העבירה תוך בחינת מקומות אפשריים לביצועה משך מספר ימים ונסיבותיה החמורות כמפורט לעיל,  וכן את מעורבותו הפעילה והמרכזית בביצוע של הנאשם 1. לדבריה התכנון מהווה חלק משמעותי בקביעת מתחם הענישה ויש לו משמעות רבה, נוכח התפרשותו על פני מספר ימים, איסוף המידע מצד הנאשמים והצטיידותם באמצעים לביצוע.</w:t>
      </w:r>
      <w:r>
        <w:rPr>
          <w:rFonts w:ascii="Arial" w:hAnsi="Arial" w:cs="Arial" w:hint="cs"/>
          <w:rtl/>
        </w:rPr>
        <w:t xml:space="preserve"> </w:t>
      </w:r>
      <w:r>
        <w:rPr>
          <w:rFonts w:ascii="Arial" w:hAnsi="Arial" w:cs="Arial"/>
          <w:rtl/>
        </w:rPr>
        <w:t xml:space="preserve">כן ציינה את הנזק שהיה צפוי ממעשי הנאשמים ופגיעה בבטחון הציבור ורכושו, </w:t>
      </w:r>
      <w:r>
        <w:rPr>
          <w:rFonts w:ascii="Arial" w:hAnsi="Arial" w:cs="Arial"/>
          <w:rtl/>
        </w:rPr>
        <w:lastRenderedPageBreak/>
        <w:t xml:space="preserve">ביחוד נוכח הציוד בנשק ובשוקר חשמלי. גם מניעי הנאשמים – התעשרות קלה ומהירה מהווים מרכיב בחומרת העבירה, וממילא גם ההרתעה הנדרשת כנגדם. </w:t>
      </w:r>
    </w:p>
    <w:p w14:paraId="119C466C" w14:textId="77777777" w:rsidR="009D0DF6" w:rsidRDefault="00AB3FCE">
      <w:pPr>
        <w:spacing w:line="360" w:lineRule="auto"/>
        <w:ind w:left="386" w:hanging="386"/>
        <w:jc w:val="both"/>
        <w:rPr>
          <w:rFonts w:ascii="Arial" w:hAnsi="Arial" w:cs="Arial"/>
          <w:rtl/>
        </w:rPr>
      </w:pPr>
      <w:r>
        <w:rPr>
          <w:rFonts w:ascii="Arial" w:hAnsi="Arial" w:cs="Arial"/>
          <w:rtl/>
        </w:rPr>
        <w:tab/>
        <w:t>כן הפנתה המאשימה לעברם הפלילי של הנאשמים לרבות מאסר מותנה בר הפעלה התלוי ועומד כנגד הנאשם 2.  בנסיבות אלה, עתרה המאשימה לעונש מאסר בפועל ומותנה וקנס כספי</w:t>
      </w:r>
      <w:r>
        <w:rPr>
          <w:rFonts w:ascii="Arial" w:hAnsi="Arial" w:cs="Arial" w:hint="cs"/>
          <w:rtl/>
        </w:rPr>
        <w:t>.</w:t>
      </w:r>
      <w:r>
        <w:rPr>
          <w:rFonts w:ascii="Arial" w:hAnsi="Arial" w:cs="Arial"/>
          <w:rtl/>
        </w:rPr>
        <w:t xml:space="preserve"> </w:t>
      </w:r>
    </w:p>
    <w:p w14:paraId="33464B3E" w14:textId="77777777" w:rsidR="009D0DF6" w:rsidRDefault="009D0DF6">
      <w:pPr>
        <w:spacing w:line="360" w:lineRule="auto"/>
        <w:ind w:left="386" w:hanging="386"/>
        <w:jc w:val="both"/>
        <w:rPr>
          <w:rFonts w:ascii="Arial" w:hAnsi="Arial" w:cs="Arial"/>
          <w:rtl/>
        </w:rPr>
      </w:pPr>
    </w:p>
    <w:p w14:paraId="2AC1513B" w14:textId="77777777" w:rsidR="009D0DF6" w:rsidRDefault="00AB3FCE">
      <w:pPr>
        <w:spacing w:line="360" w:lineRule="auto"/>
        <w:ind w:left="386" w:hanging="386"/>
        <w:jc w:val="both"/>
        <w:rPr>
          <w:rFonts w:ascii="Arial" w:hAnsi="Arial" w:cs="Arial"/>
          <w:rtl/>
        </w:rPr>
      </w:pPr>
      <w:r>
        <w:rPr>
          <w:rFonts w:ascii="Arial" w:hAnsi="Arial" w:cs="Arial"/>
          <w:rtl/>
        </w:rPr>
        <w:t>4.</w:t>
      </w:r>
      <w:r>
        <w:rPr>
          <w:rFonts w:ascii="Arial" w:hAnsi="Arial" w:cs="Arial" w:hint="cs"/>
          <w:rtl/>
        </w:rPr>
        <w:tab/>
      </w:r>
      <w:r>
        <w:rPr>
          <w:rFonts w:ascii="Arial" w:hAnsi="Arial" w:cs="Arial"/>
          <w:rtl/>
        </w:rPr>
        <w:t>ב"כ הנאשם 1 העיד את בת זוגו של מרשו במסגרת הטיעון לעונש. בדבריה העידה כי המדובר באדם טוב ואב טוב ואחראי, כשאין ביכולתה להסביר את שקרה בענייננו, אלא כמצוקה אישית וכלכלית אליה נקלע. בדבריה הדגישה את הצורך של בנה מנישואיה הראשונים  בקשר עם הנאשם, כמו גם הולדת תינוקת משותפת לנאשם ולעדה, אשר נוכח היותו במעצר, נבצר ממנו לקחת חלק בתהליך, כמו גם לסעוד את אמו ז"ל ולהפרד ממנה, עת נפטרה במהלך מעצרו. על כן ביקשה התחשבות בעונשו.</w:t>
      </w:r>
    </w:p>
    <w:p w14:paraId="555617C1" w14:textId="77777777" w:rsidR="009D0DF6" w:rsidRDefault="00AB3FCE">
      <w:pPr>
        <w:spacing w:line="360" w:lineRule="auto"/>
        <w:ind w:left="386" w:hanging="386"/>
        <w:jc w:val="both"/>
        <w:rPr>
          <w:rFonts w:ascii="Arial" w:hAnsi="Arial" w:cs="Arial"/>
          <w:rtl/>
        </w:rPr>
      </w:pPr>
      <w:r>
        <w:rPr>
          <w:rFonts w:ascii="Arial" w:hAnsi="Arial" w:cs="Arial"/>
          <w:rtl/>
        </w:rPr>
        <w:tab/>
      </w:r>
    </w:p>
    <w:p w14:paraId="62DA205A" w14:textId="77777777" w:rsidR="009D0DF6" w:rsidRDefault="00AB3FCE">
      <w:pPr>
        <w:spacing w:line="360" w:lineRule="auto"/>
        <w:ind w:left="386"/>
        <w:jc w:val="both"/>
        <w:rPr>
          <w:rFonts w:ascii="Arial" w:hAnsi="Arial" w:cs="Arial"/>
          <w:rtl/>
        </w:rPr>
      </w:pPr>
      <w:r>
        <w:rPr>
          <w:rFonts w:ascii="Arial" w:hAnsi="Arial" w:cs="Arial"/>
          <w:rtl/>
        </w:rPr>
        <w:t xml:space="preserve">ב"כ הנאשם 1 עתר לקבוע מתחם ענישה כולל לגבי כלל העבירות, זאת משמדובר באותה מסכת אירועים, אשר להצעתו צריך להקבע בין שנה לשנתיים וחצי (כולל). </w:t>
      </w:r>
    </w:p>
    <w:p w14:paraId="65180358" w14:textId="77777777" w:rsidR="009D0DF6" w:rsidRDefault="00AB3FCE">
      <w:pPr>
        <w:spacing w:line="360" w:lineRule="auto"/>
        <w:ind w:left="386"/>
        <w:jc w:val="both"/>
        <w:rPr>
          <w:rFonts w:ascii="Arial" w:hAnsi="Arial" w:cs="Arial"/>
          <w:rtl/>
        </w:rPr>
      </w:pPr>
      <w:r>
        <w:rPr>
          <w:rFonts w:ascii="Arial" w:hAnsi="Arial" w:cs="Arial"/>
          <w:rtl/>
        </w:rPr>
        <w:t>בדבריו ציין, כי אותו תכנון מוקדם ומפורט אשר הודגש בדברי ב"כ המאשימה, לא יצא בסופו של דבר אל הפועל, והחבורה עברה לתכנית אחרת, שלא היוותה חלק מהקשר המקורי. הנסיון נמצא איפוא לדבריו של ב"כ הנאשם 1 בשלביו ההתחלתיים בלבד. ב"כ הנאשם 1 טען כי מרשו אינו מהווה עבריין מרכזי ועיקרי, זאת למרות שהמדובר ברכב של בת זוגו ובהיותו הנהג המוביל של החבורה, שכן תפקידו המתוכנן לא היה להכנס למקום העבירה, גם עפ"י התכנית המקורית – ביצוע שוד. מכל מקום, הדגיש ב"כ הנאשם 1, לא נגרם בסופו של דבר כל נזק.</w:t>
      </w:r>
    </w:p>
    <w:p w14:paraId="65454153" w14:textId="77777777" w:rsidR="009D0DF6" w:rsidRDefault="009D0DF6">
      <w:pPr>
        <w:spacing w:line="360" w:lineRule="auto"/>
        <w:ind w:left="386"/>
        <w:jc w:val="both"/>
        <w:rPr>
          <w:rFonts w:ascii="Arial" w:hAnsi="Arial" w:cs="Arial"/>
          <w:rtl/>
        </w:rPr>
      </w:pPr>
    </w:p>
    <w:p w14:paraId="2CE7FEBF" w14:textId="77777777" w:rsidR="009D0DF6" w:rsidRDefault="00AB3FCE">
      <w:pPr>
        <w:spacing w:line="360" w:lineRule="auto"/>
        <w:ind w:left="386"/>
        <w:jc w:val="both"/>
        <w:rPr>
          <w:rFonts w:ascii="Arial" w:hAnsi="Arial" w:cs="Arial"/>
          <w:rtl/>
        </w:rPr>
      </w:pPr>
      <w:r>
        <w:rPr>
          <w:rFonts w:ascii="Arial" w:hAnsi="Arial" w:cs="Arial"/>
          <w:rtl/>
        </w:rPr>
        <w:t xml:space="preserve">באשר לנסיבותיו האישיות, המדובר במצב כלכלי משפחתי עגום באותם רגעים, והענישה שתוטל תפגע במשפחתו בבת זוגו ובתינוקת שנולדה להם. יש משמעות לדבריו גם לעובדה שלא הורשה להשתתף בלווית אמו או לימי האבל, וזאת מחמת המסוכנות כלפיו, הנובעת מהעובדה כי שיתף פעולה החל מהרגע הראשון למעצרו. </w:t>
      </w:r>
    </w:p>
    <w:p w14:paraId="5B24A6F3" w14:textId="77777777" w:rsidR="009D0DF6" w:rsidRDefault="009D0DF6">
      <w:pPr>
        <w:spacing w:line="360" w:lineRule="auto"/>
        <w:ind w:left="386"/>
        <w:jc w:val="both"/>
        <w:rPr>
          <w:rFonts w:ascii="Arial" w:hAnsi="Arial" w:cs="Arial"/>
          <w:rtl/>
        </w:rPr>
      </w:pPr>
    </w:p>
    <w:p w14:paraId="28258FA5" w14:textId="77777777" w:rsidR="009D0DF6" w:rsidRDefault="00AB3FCE">
      <w:pPr>
        <w:spacing w:line="360" w:lineRule="auto"/>
        <w:ind w:left="386"/>
        <w:jc w:val="both"/>
        <w:rPr>
          <w:rFonts w:ascii="Arial" w:hAnsi="Arial" w:cs="Arial"/>
          <w:rtl/>
        </w:rPr>
      </w:pPr>
      <w:r>
        <w:rPr>
          <w:rFonts w:ascii="Arial" w:hAnsi="Arial" w:cs="Arial"/>
          <w:rtl/>
        </w:rPr>
        <w:t>באשר לעברו הפלילי, יש לשים לב כי הרשעתו האחרונה נוגעת לעבירה משנת 2007, כשבארבע השנים האחרונות הוא מחוץ לבית הסוהר. על כן, עברו אמנם מכביד, אך ישן.</w:t>
      </w:r>
    </w:p>
    <w:p w14:paraId="44047ED7" w14:textId="77777777" w:rsidR="009D0DF6" w:rsidRDefault="00AB3FCE">
      <w:pPr>
        <w:spacing w:line="360" w:lineRule="auto"/>
        <w:ind w:left="386"/>
        <w:jc w:val="both"/>
        <w:rPr>
          <w:rFonts w:ascii="Arial" w:hAnsi="Arial" w:cs="Arial"/>
          <w:rtl/>
        </w:rPr>
      </w:pPr>
      <w:r>
        <w:rPr>
          <w:rFonts w:ascii="Arial" w:hAnsi="Arial" w:cs="Arial"/>
          <w:rtl/>
        </w:rPr>
        <w:t xml:space="preserve">באשר לאקדח – המדובר באקדח גז אותו ניתן להחשיב כאקדח צעצוע כטענתו. </w:t>
      </w:r>
    </w:p>
    <w:p w14:paraId="7B82C609" w14:textId="77777777" w:rsidR="009D0DF6" w:rsidRDefault="009D0DF6">
      <w:pPr>
        <w:spacing w:line="360" w:lineRule="auto"/>
        <w:ind w:left="386"/>
        <w:jc w:val="both"/>
        <w:rPr>
          <w:rFonts w:ascii="Arial" w:hAnsi="Arial" w:cs="Arial"/>
          <w:rtl/>
        </w:rPr>
      </w:pPr>
    </w:p>
    <w:p w14:paraId="62F42F7E" w14:textId="77777777" w:rsidR="009D0DF6" w:rsidRDefault="00AB3FCE">
      <w:pPr>
        <w:spacing w:line="360" w:lineRule="auto"/>
        <w:ind w:left="386"/>
        <w:jc w:val="both"/>
        <w:rPr>
          <w:rFonts w:ascii="Arial" w:hAnsi="Arial" w:cs="Arial"/>
          <w:rtl/>
        </w:rPr>
      </w:pPr>
      <w:r>
        <w:rPr>
          <w:rFonts w:ascii="Arial" w:hAnsi="Arial" w:cs="Arial"/>
          <w:rtl/>
        </w:rPr>
        <w:t xml:space="preserve">הנאשם 1 לקח אחריות מלאה והביע חרטה כנה. הוא היה למעשה בשכרון חושים, הגיע לאחד המעורבים לבקש ממנו עזרה כלכלית ורק אז נכנס למערבולת של העבירה. </w:t>
      </w:r>
    </w:p>
    <w:p w14:paraId="4CCEE816" w14:textId="77777777" w:rsidR="009D0DF6" w:rsidRDefault="00AB3FCE">
      <w:pPr>
        <w:spacing w:line="360" w:lineRule="auto"/>
        <w:ind w:left="386"/>
        <w:jc w:val="both"/>
        <w:rPr>
          <w:rFonts w:ascii="Arial" w:hAnsi="Arial" w:cs="Arial"/>
          <w:rtl/>
        </w:rPr>
      </w:pPr>
      <w:r>
        <w:rPr>
          <w:rFonts w:ascii="Arial" w:hAnsi="Arial" w:cs="Arial"/>
          <w:rtl/>
        </w:rPr>
        <w:t>במכלול האמור עותר ב"כ הנאשם 1 להעביר מסר לפיו משתף פעולה זוכה להטבה, ועובדה זו, בצירוף עברו הפלילי הישן, חרטתו והחסכון בזמן שיפוטי הנובע מהודאתו, יש בה כדי לגזור את עונשו ברף התחתון המוצע על ידי הנאשם, היינו לשנת מאסר אחת או עונש מקורב לכך.</w:t>
      </w:r>
    </w:p>
    <w:p w14:paraId="38AA82BD" w14:textId="77777777" w:rsidR="009D0DF6" w:rsidRDefault="009D0DF6">
      <w:pPr>
        <w:spacing w:line="360" w:lineRule="auto"/>
        <w:ind w:left="386"/>
        <w:jc w:val="both"/>
        <w:rPr>
          <w:rFonts w:ascii="Arial" w:hAnsi="Arial" w:cs="Arial"/>
          <w:rtl/>
        </w:rPr>
      </w:pPr>
    </w:p>
    <w:p w14:paraId="006651F9" w14:textId="77777777" w:rsidR="009D0DF6" w:rsidRDefault="00AB3FCE">
      <w:pPr>
        <w:spacing w:line="360" w:lineRule="auto"/>
        <w:ind w:left="386"/>
        <w:jc w:val="both"/>
        <w:rPr>
          <w:rFonts w:ascii="Arial" w:hAnsi="Arial" w:cs="Arial"/>
          <w:rtl/>
        </w:rPr>
      </w:pPr>
      <w:r>
        <w:rPr>
          <w:rFonts w:ascii="Arial" w:hAnsi="Arial" w:cs="Arial"/>
          <w:rtl/>
        </w:rPr>
        <w:t>ב"כ הנאשם 2 הצטרף להצעת המתחם שהציע ב"כ הנאשם 1, ועתר שלא לבודד כל עבירה לגופה. בדבריו הדגיש כי יש לקבוע את המחיר העונשי עפ"י התכנית עצמה ולא עפ"י דמיון תוצאות התממשותה, כלומר, עפ"י התכנית היה אמור הנאשם 2 לעשות שימוש בשוקר חשמלי ואולם בפועל לא עשה כן ועל כן אין עליו לשלם את המחיר כאילו בוצעה התכנית והתממשה.</w:t>
      </w:r>
    </w:p>
    <w:p w14:paraId="7063719B" w14:textId="77777777" w:rsidR="009D0DF6" w:rsidRDefault="009D0DF6">
      <w:pPr>
        <w:spacing w:line="360" w:lineRule="auto"/>
        <w:ind w:left="386"/>
        <w:jc w:val="both"/>
        <w:rPr>
          <w:rFonts w:ascii="Arial" w:hAnsi="Arial" w:cs="Arial"/>
          <w:rtl/>
        </w:rPr>
      </w:pPr>
    </w:p>
    <w:p w14:paraId="320A3156" w14:textId="77777777" w:rsidR="009D0DF6" w:rsidRDefault="00AB3FCE">
      <w:pPr>
        <w:spacing w:line="360" w:lineRule="auto"/>
        <w:ind w:left="386"/>
        <w:jc w:val="both"/>
        <w:rPr>
          <w:rFonts w:ascii="Arial" w:hAnsi="Arial" w:cs="Arial"/>
          <w:rtl/>
        </w:rPr>
      </w:pPr>
      <w:r>
        <w:rPr>
          <w:rFonts w:ascii="Arial" w:hAnsi="Arial" w:cs="Arial"/>
          <w:rtl/>
        </w:rPr>
        <w:t>עוד הדגיש ב"כ הנאשם 2 בדבריו, כי הנאשם 2 לא השתתף בחלק מהתצפיות ומעורבותו נראית כחלקית למדי, לא דומינ</w:t>
      </w:r>
      <w:smartTag w:uri="urn:schemas-microsoft-com:office:smarttags" w:element="PersonName">
        <w:r>
          <w:rPr>
            <w:rFonts w:ascii="Arial" w:hAnsi="Arial" w:cs="Arial"/>
            <w:rtl/>
          </w:rPr>
          <w:t>נט</w:t>
        </w:r>
      </w:smartTag>
      <w:r>
        <w:rPr>
          <w:rFonts w:ascii="Arial" w:hAnsi="Arial" w:cs="Arial"/>
          <w:rtl/>
        </w:rPr>
        <w:t>ית וודאי לא ניתן לייחס לו תפקיד מרכזי.</w:t>
      </w:r>
    </w:p>
    <w:p w14:paraId="4C137301" w14:textId="77777777" w:rsidR="009D0DF6" w:rsidRDefault="00AB3FCE">
      <w:pPr>
        <w:spacing w:line="360" w:lineRule="auto"/>
        <w:ind w:left="386"/>
        <w:jc w:val="both"/>
        <w:rPr>
          <w:rFonts w:ascii="Arial" w:hAnsi="Arial" w:cs="Arial"/>
          <w:rtl/>
        </w:rPr>
      </w:pPr>
      <w:r>
        <w:rPr>
          <w:rFonts w:ascii="Arial" w:hAnsi="Arial" w:cs="Arial"/>
          <w:rtl/>
        </w:rPr>
        <w:t>בהתייחסו לעובדות האירוע ציין, כי מעובדות כתב האישום המתוקן עולה שהמדובר בהחזקת נשק קצת יותר הגנתית ולא התקפית, היינו יש לשער שהחזקתו נועדה על מנת להלך אימים ולא על מנת לבצע בו אלימות פיזית.</w:t>
      </w:r>
    </w:p>
    <w:p w14:paraId="212FC123" w14:textId="77777777" w:rsidR="009D0DF6" w:rsidRDefault="009D0DF6">
      <w:pPr>
        <w:spacing w:line="360" w:lineRule="auto"/>
        <w:ind w:left="386"/>
        <w:jc w:val="both"/>
        <w:rPr>
          <w:rFonts w:ascii="Arial" w:hAnsi="Arial" w:cs="Arial"/>
          <w:rtl/>
        </w:rPr>
      </w:pPr>
    </w:p>
    <w:p w14:paraId="4011120A" w14:textId="77777777" w:rsidR="009D0DF6" w:rsidRDefault="00AB3FCE">
      <w:pPr>
        <w:spacing w:line="360" w:lineRule="auto"/>
        <w:ind w:left="386"/>
        <w:jc w:val="both"/>
        <w:rPr>
          <w:rFonts w:ascii="Arial" w:hAnsi="Arial" w:cs="Arial"/>
          <w:rtl/>
        </w:rPr>
      </w:pPr>
      <w:r>
        <w:rPr>
          <w:rFonts w:ascii="Arial" w:hAnsi="Arial" w:cs="Arial"/>
          <w:rtl/>
        </w:rPr>
        <w:t>בפועל לא יצא כלל הנאשם 2 מהמכונית בשלב המעצר ולפיכך, ניתן לבודד את חלקו במסגרת העבירה כנמוך, שנמצא למעשה בנקודה התחלתית מאד של ביצוע.</w:t>
      </w:r>
    </w:p>
    <w:p w14:paraId="69EDD78E" w14:textId="77777777" w:rsidR="009D0DF6" w:rsidRDefault="009D0DF6">
      <w:pPr>
        <w:spacing w:line="360" w:lineRule="auto"/>
        <w:ind w:left="386"/>
        <w:jc w:val="both"/>
        <w:rPr>
          <w:rFonts w:ascii="Arial" w:hAnsi="Arial" w:cs="Arial"/>
          <w:rtl/>
        </w:rPr>
      </w:pPr>
    </w:p>
    <w:p w14:paraId="64735F31" w14:textId="77777777" w:rsidR="009D0DF6" w:rsidRDefault="00AB3FCE">
      <w:pPr>
        <w:spacing w:line="360" w:lineRule="auto"/>
        <w:ind w:left="386"/>
        <w:jc w:val="both"/>
        <w:rPr>
          <w:rFonts w:ascii="Arial" w:hAnsi="Arial" w:cs="Arial"/>
          <w:rtl/>
        </w:rPr>
      </w:pPr>
      <w:r>
        <w:rPr>
          <w:rFonts w:ascii="Arial" w:hAnsi="Arial" w:cs="Arial"/>
          <w:rtl/>
        </w:rPr>
        <w:t xml:space="preserve">באשר לנסיבותיו האישיות של הנאשם 2, המדובר ביליד אוקראינה בן 26, אשר גדל אצל סבו וסבתו, לא הכיר את אמו ואף אביו היה אסיר תקופה ממושכת. הנאשם עלה לישראל בשנת 2001 במסגרת פרויקט נוער בסיכון. חרף הקשיים האמורים סיים לימודיו בפנימיה ואף שירות בצה"ל כלוחם בגולני משך כשנתיים, עת שוחרר בשל קשיי ת"ש. עברו הפלילי אינו מכביד ומעולם לא ריצה מאסר ממש, למעט על דרך עבודות שירות. מאז 2010 ועד היום לא רשומה כנגדו כל הסתבכות נוספת. בנסיבות אלה עתר להטיל על הנאשם עונש בהיקף כולל של כ – 14 חדשים (שבו נכלל כבר המאסר המותנה התלוי ועומד כנגדו אשר יופעל בחפיפה חלקית או מלאה לעונש שיטול בתיק זה).  </w:t>
      </w:r>
    </w:p>
    <w:p w14:paraId="3917B743" w14:textId="77777777" w:rsidR="009D0DF6" w:rsidRDefault="00AB3FCE">
      <w:pPr>
        <w:spacing w:line="360" w:lineRule="auto"/>
        <w:ind w:left="386"/>
        <w:jc w:val="both"/>
        <w:rPr>
          <w:rFonts w:ascii="Arial" w:hAnsi="Arial" w:cs="Arial"/>
          <w:rtl/>
        </w:rPr>
      </w:pPr>
      <w:r>
        <w:rPr>
          <w:rFonts w:ascii="Arial" w:hAnsi="Arial" w:cs="Arial"/>
          <w:rtl/>
        </w:rPr>
        <w:t xml:space="preserve">ב"כ הצדדים המציאו לעיוני פסיקה, התומכת כל צד בטענותיו. </w:t>
      </w:r>
    </w:p>
    <w:p w14:paraId="5DDE64B9" w14:textId="77777777" w:rsidR="009D0DF6" w:rsidRDefault="009D0DF6">
      <w:pPr>
        <w:spacing w:line="360" w:lineRule="auto"/>
        <w:ind w:left="386"/>
        <w:jc w:val="both"/>
        <w:rPr>
          <w:rFonts w:ascii="Arial" w:hAnsi="Arial" w:cs="Arial"/>
          <w:rtl/>
        </w:rPr>
      </w:pPr>
    </w:p>
    <w:p w14:paraId="37CAEFD0" w14:textId="77777777" w:rsidR="009D0DF6" w:rsidRDefault="00AB3FCE">
      <w:pPr>
        <w:spacing w:line="360" w:lineRule="auto"/>
        <w:ind w:left="386"/>
        <w:jc w:val="both"/>
        <w:rPr>
          <w:rFonts w:ascii="Arial" w:hAnsi="Arial" w:cs="Arial"/>
          <w:rtl/>
        </w:rPr>
      </w:pPr>
      <w:r>
        <w:rPr>
          <w:rFonts w:ascii="Arial" w:hAnsi="Arial" w:cs="Arial"/>
          <w:rtl/>
        </w:rPr>
        <w:t xml:space="preserve">הנאשמים עצמם הביעו צערם וחרטתם על האירוע בו הם מעורבים. הנאשם 1 תיאר את קשייו הכלכליים כמניע לביצוע העבירה, מצוקתו הרבה באובדן אמו, והקושי המשפחתי אותו הוא חווה, שמחתו שלא קרה משהו גרוע יותר, וביקש לאפשר לו לעלות על דרך חדשה, לטובתו ולטובת משפחתו. </w:t>
      </w:r>
    </w:p>
    <w:p w14:paraId="7F5ED9E6" w14:textId="77777777" w:rsidR="009D0DF6" w:rsidRDefault="009D0DF6">
      <w:pPr>
        <w:spacing w:line="360" w:lineRule="auto"/>
        <w:ind w:left="386"/>
        <w:jc w:val="both"/>
        <w:rPr>
          <w:rFonts w:ascii="Arial" w:hAnsi="Arial" w:cs="Arial"/>
          <w:rtl/>
        </w:rPr>
      </w:pPr>
    </w:p>
    <w:p w14:paraId="74DA3680" w14:textId="77777777" w:rsidR="009D0DF6" w:rsidRDefault="00AB3FCE">
      <w:pPr>
        <w:spacing w:line="360" w:lineRule="auto"/>
        <w:ind w:left="386"/>
        <w:jc w:val="both"/>
        <w:rPr>
          <w:rFonts w:ascii="Arial" w:hAnsi="Arial" w:cs="Arial"/>
          <w:rtl/>
        </w:rPr>
      </w:pPr>
      <w:r>
        <w:rPr>
          <w:rFonts w:ascii="Arial" w:hAnsi="Arial" w:cs="Arial"/>
          <w:rtl/>
        </w:rPr>
        <w:t>הנאשם 2 ציין כי אינו מכיר את הנאשם 1 ותיאר את חלקו בתכנון כשולי, שבירת הקיר בשל היותו שיפוצניק. מניעו אינו פרנסה, אלא בעיות משפחתיות מיוחדות הקשורות לאמו שאינה במצב שפיר.</w:t>
      </w:r>
    </w:p>
    <w:p w14:paraId="7269C6B5" w14:textId="77777777" w:rsidR="009D0DF6" w:rsidRDefault="009D0DF6">
      <w:pPr>
        <w:spacing w:line="360" w:lineRule="auto"/>
        <w:ind w:left="386"/>
        <w:jc w:val="both"/>
        <w:rPr>
          <w:rFonts w:ascii="Arial" w:hAnsi="Arial" w:cs="Arial"/>
          <w:rtl/>
        </w:rPr>
      </w:pPr>
    </w:p>
    <w:p w14:paraId="5EF8F17B" w14:textId="77777777" w:rsidR="009D0DF6" w:rsidRDefault="00AB3FCE">
      <w:pPr>
        <w:spacing w:line="360" w:lineRule="auto"/>
        <w:ind w:left="386" w:hanging="360"/>
        <w:jc w:val="both"/>
        <w:rPr>
          <w:rFonts w:ascii="Arial" w:hAnsi="Arial" w:cs="Arial"/>
          <w:rtl/>
        </w:rPr>
      </w:pPr>
      <w:r>
        <w:rPr>
          <w:rFonts w:ascii="Arial" w:hAnsi="Arial" w:cs="Arial"/>
          <w:rtl/>
        </w:rPr>
        <w:t xml:space="preserve">5.  עבירות האלימות והרכוש, הפכו למרבה הצער לתופעה נפוצה, חמורה ומדאיגה, הגורמת לפגיעה קשה בשלומו של הציבור, בכבודו וברכושו, ובתחושת חוסר ביטחון אישי ורכושי. אלה הם איפוא הערכים המוגנים בעבירות דנן, היינו הגנה על רכוש וקניין הפרט ושמירה על תחושת הבטחון שלו ושל הציבור בכללותו. באשר לעבירת קשירת הקשר, הרי שהערך החברתי המוגן הוא מניעת ההתארגנות העבריינית כבר בשלבי התכנון המוקדמים (ר' למשל </w:t>
      </w:r>
      <w:hyperlink r:id="rId23" w:history="1">
        <w:r w:rsidR="003D4066" w:rsidRPr="003D4066">
          <w:rPr>
            <w:rFonts w:ascii="Arial" w:hAnsi="Arial" w:cs="Arial"/>
            <w:color w:val="0000FF"/>
            <w:u w:val="single"/>
            <w:rtl/>
          </w:rPr>
          <w:t>6717/09</w:t>
        </w:r>
      </w:hyperlink>
      <w:r>
        <w:rPr>
          <w:rFonts w:ascii="Arial" w:hAnsi="Arial" w:cs="Arial"/>
          <w:rtl/>
        </w:rPr>
        <w:t xml:space="preserve"> </w:t>
      </w:r>
      <w:r>
        <w:rPr>
          <w:rFonts w:ascii="Arial" w:hAnsi="Arial" w:cs="Arial"/>
          <w:b/>
          <w:bCs/>
          <w:rtl/>
        </w:rPr>
        <w:t>ישראל אוזיפה נ' היועמ"ש</w:t>
      </w:r>
      <w:r>
        <w:rPr>
          <w:rFonts w:ascii="Arial" w:hAnsi="Arial" w:cs="Arial"/>
          <w:rtl/>
        </w:rPr>
        <w:t xml:space="preserve"> (פסקה 50, מיום 6.12.10); </w:t>
      </w:r>
      <w:hyperlink r:id="rId24" w:history="1">
        <w:r w:rsidR="00FD1E19" w:rsidRPr="00FD1E19">
          <w:rPr>
            <w:rStyle w:val="Hyperlink"/>
            <w:rFonts w:ascii="Arial" w:hAnsi="Arial" w:cs="Arial"/>
            <w:rtl/>
          </w:rPr>
          <w:t>ע"פ 11068/08</w:t>
        </w:r>
      </w:hyperlink>
      <w:r>
        <w:rPr>
          <w:rFonts w:ascii="Arial" w:hAnsi="Arial" w:cs="Arial"/>
          <w:rtl/>
        </w:rPr>
        <w:t xml:space="preserve"> </w:t>
      </w:r>
      <w:r>
        <w:rPr>
          <w:rFonts w:ascii="Arial" w:hAnsi="Arial" w:cs="Arial"/>
          <w:b/>
          <w:bCs/>
          <w:rtl/>
        </w:rPr>
        <w:t xml:space="preserve">מדינת ישראל נ' סנקר </w:t>
      </w:r>
      <w:r>
        <w:rPr>
          <w:rFonts w:ascii="Arial" w:hAnsi="Arial" w:cs="Arial"/>
          <w:rtl/>
        </w:rPr>
        <w:t>(פסקה 21, מיום 12.7.10)</w:t>
      </w:r>
      <w:r>
        <w:rPr>
          <w:rFonts w:ascii="Arial" w:hAnsi="Arial" w:cs="Arial"/>
          <w:b/>
          <w:bCs/>
          <w:rtl/>
        </w:rPr>
        <w:t xml:space="preserve">. </w:t>
      </w:r>
      <w:r>
        <w:rPr>
          <w:rFonts w:ascii="Arial" w:hAnsi="Arial" w:cs="Arial"/>
          <w:sz w:val="28"/>
          <w:szCs w:val="28"/>
          <w:rtl/>
        </w:rPr>
        <w:t xml:space="preserve">ובאשר לעבירת הנשק, הערך המוגן </w:t>
      </w:r>
      <w:r>
        <w:rPr>
          <w:rFonts w:ascii="Arial" w:hAnsi="Arial" w:cs="Arial"/>
          <w:rtl/>
        </w:rPr>
        <w:t>הינו שלום הציבור, שכן נשק מהווה פוטנציאל מובהק לגרימת נזק ולהפרת שלום הציבור.</w:t>
      </w:r>
    </w:p>
    <w:p w14:paraId="0F54F2E6" w14:textId="77777777" w:rsidR="009D0DF6" w:rsidRDefault="00AB3FCE">
      <w:pPr>
        <w:spacing w:line="360" w:lineRule="auto"/>
        <w:ind w:left="386"/>
        <w:jc w:val="both"/>
        <w:rPr>
          <w:rFonts w:ascii="Arial" w:hAnsi="Arial" w:cs="Arial"/>
          <w:rtl/>
        </w:rPr>
      </w:pPr>
      <w:r>
        <w:rPr>
          <w:rFonts w:ascii="Arial" w:hAnsi="Arial" w:cs="Arial"/>
          <w:rtl/>
        </w:rPr>
        <w:t xml:space="preserve">בנסיבות אלה, אין ספק כי חובה להגן על הציבור מפני עבריינות מהסוג הנדון, בייחוד על רקע ביצוען הקל יחסית של העבירות מחד, והסיכוי להצלחתן והתעשרות מהירה בעטיין מצד העבריין מאידך. </w:t>
      </w:r>
    </w:p>
    <w:p w14:paraId="48F714A8" w14:textId="77777777" w:rsidR="009D0DF6" w:rsidRDefault="00AB3FCE">
      <w:pPr>
        <w:spacing w:line="360" w:lineRule="auto"/>
        <w:ind w:left="386"/>
        <w:jc w:val="both"/>
        <w:rPr>
          <w:rFonts w:ascii="Arial" w:hAnsi="Arial" w:cs="Arial"/>
          <w:rtl/>
        </w:rPr>
      </w:pPr>
      <w:r>
        <w:rPr>
          <w:rFonts w:ascii="Arial" w:hAnsi="Arial" w:cs="Arial"/>
          <w:rtl/>
        </w:rPr>
        <w:t>משנה תוקף יש בענייננו, בו אין המדובר בעבירה ספו</w:t>
      </w:r>
      <w:smartTag w:uri="urn:schemas-microsoft-com:office:smarttags" w:element="PersonName">
        <w:r>
          <w:rPr>
            <w:rFonts w:ascii="Arial" w:hAnsi="Arial" w:cs="Arial"/>
            <w:rtl/>
          </w:rPr>
          <w:t>נט</w:t>
        </w:r>
      </w:smartTag>
      <w:r>
        <w:rPr>
          <w:rFonts w:ascii="Arial" w:hAnsi="Arial" w:cs="Arial"/>
          <w:rtl/>
        </w:rPr>
        <w:t>נית שבוצעה על ידי הנאשמים ללא מחשבה, אלא להיפך, כעולה מכתב האישום, המדובר בעבירות שתוכננו על ידם ועל ידי חבורתם מספר ימים, ובמסגרתן אף פעלו הנאשמים לאסוף מידע על יעדי פעולתם, הצטיידו באמצעים לצורך כך, ובכלל זה בנשק, ואף החלו בביצוע העבירות עצמן עת הגיעו לזירה המיועדת והחלו בתצפית קודם ביצוע המתוכנן. הסיבה היחידה למעשה לאי השלמת פעולתם היתה עיכוב שאינו תלוי בהם, שאך נבע מהמצאות אנשים בזירה ותפיסתם בכף על ידי פקחים שהבחינו בהם, ומעצרם על ידי שוטרים שהוזעקו למקום.  בנסיבות אלה אך מובן הוא, כי יש להחמיר בענישתם של הנאשמים, הן לצורך הרתעתם והן על מנת להרחיקם מהציבור לשם הגנה על בטחונו ושלומו של הציבור.</w:t>
      </w:r>
    </w:p>
    <w:p w14:paraId="49E04639" w14:textId="77777777" w:rsidR="009D0DF6" w:rsidRDefault="009D0DF6">
      <w:pPr>
        <w:spacing w:line="360" w:lineRule="auto"/>
        <w:jc w:val="both"/>
        <w:rPr>
          <w:rFonts w:ascii="Arial" w:hAnsi="Arial" w:cs="Arial"/>
          <w:rtl/>
        </w:rPr>
      </w:pPr>
    </w:p>
    <w:p w14:paraId="3BF2E6B4" w14:textId="77777777" w:rsidR="009D0DF6" w:rsidRDefault="00AB3FCE">
      <w:pPr>
        <w:spacing w:line="360" w:lineRule="auto"/>
        <w:ind w:left="386"/>
        <w:jc w:val="both"/>
        <w:rPr>
          <w:rFonts w:ascii="Arial" w:hAnsi="Arial" w:cs="Arial"/>
          <w:rtl/>
        </w:rPr>
      </w:pPr>
      <w:r>
        <w:rPr>
          <w:rFonts w:ascii="Arial" w:hAnsi="Arial" w:cs="Arial"/>
          <w:rtl/>
        </w:rPr>
        <w:t xml:space="preserve">גם העובדה לפיה לא הושלם בסופו של דבר ביצוע העבירה, כמו גם השימוש בנשק, אין בה כדי להועיל אלא באופן חלקי בלבד. זולת העובדה כי הביצוע לא הושלם כאמור בשל התערבות גורם זר – פקחים ואנשי משטרה אשר סיכלו את ביצוע העבירה, הרי שמלכתחילה ראוי לתת את הדעת, לצד נסיבותיהם האישיות של הנאשמים ועניינם, גם לצורך לשלוח מסר ברור לפיו מי שנכון לבצע מעשים מעין אלה צפוי לעונש משמעותי שיבטא גם את פגיעתו הרעה בחברה, לצד שיקולי הענישה האחרים.  לעניין זה הוגש לי </w:t>
      </w:r>
      <w:hyperlink r:id="rId25" w:history="1">
        <w:r w:rsidR="00FD1E19" w:rsidRPr="00FD1E19">
          <w:rPr>
            <w:rStyle w:val="Hyperlink"/>
            <w:rFonts w:ascii="Arial" w:hAnsi="Arial" w:cs="Arial"/>
            <w:rtl/>
          </w:rPr>
          <w:t>רע"פ 4194/12</w:t>
        </w:r>
      </w:hyperlink>
      <w:r>
        <w:rPr>
          <w:rFonts w:ascii="Arial" w:hAnsi="Arial" w:cs="Arial"/>
          <w:rtl/>
        </w:rPr>
        <w:t xml:space="preserve"> וזאת אמנם לעניין קביעת מתחם הענישה, ואולם עיון בו מלמד שבדומה לענייננו נקבע בו ש"אין מקום לתגמל באופן משמעותי נאשם שלא הצליח להשלים את המעשה העברייני בשל נסיבות חיצוניות שאלמלא התרחשותן הוא היה ממשיך במעשיו" (עמ' 8 להחלטת כב' השופט ס' ג'ובראן מיום 19.8.12).</w:t>
      </w:r>
    </w:p>
    <w:p w14:paraId="708953BD" w14:textId="77777777" w:rsidR="009D0DF6" w:rsidRDefault="009D0DF6">
      <w:pPr>
        <w:spacing w:line="360" w:lineRule="auto"/>
        <w:ind w:left="386"/>
        <w:jc w:val="both"/>
        <w:rPr>
          <w:rFonts w:ascii="Arial" w:hAnsi="Arial" w:cs="Arial"/>
          <w:rtl/>
        </w:rPr>
      </w:pPr>
    </w:p>
    <w:p w14:paraId="5F5E7D62" w14:textId="77777777" w:rsidR="009D0DF6" w:rsidRDefault="00AB3FCE">
      <w:pPr>
        <w:spacing w:line="360" w:lineRule="auto"/>
        <w:ind w:left="386" w:hanging="386"/>
        <w:jc w:val="both"/>
        <w:rPr>
          <w:rFonts w:ascii="Arial" w:hAnsi="Arial" w:cs="Arial"/>
          <w:rtl/>
        </w:rPr>
      </w:pPr>
      <w:r>
        <w:rPr>
          <w:rFonts w:ascii="Arial" w:hAnsi="Arial" w:cs="Arial"/>
          <w:rtl/>
        </w:rPr>
        <w:t>6.  עיינתי בפסיקה אותה המציאו לי הצדדים ולא מצאתי כי תורמת היא תרומה של ממש לענייננו. ב</w:t>
      </w:r>
      <w:hyperlink r:id="rId26" w:history="1">
        <w:r w:rsidR="00FD1E19" w:rsidRPr="00FD1E19">
          <w:rPr>
            <w:rStyle w:val="Hyperlink"/>
            <w:rFonts w:ascii="Arial" w:hAnsi="Arial" w:cs="Arial"/>
            <w:rtl/>
          </w:rPr>
          <w:t>ע"פ 5546/06</w:t>
        </w:r>
      </w:hyperlink>
      <w:r>
        <w:rPr>
          <w:rFonts w:ascii="Arial" w:hAnsi="Arial" w:cs="Arial"/>
          <w:rtl/>
        </w:rPr>
        <w:t xml:space="preserve"> בו נדון הנאשם לעונש של 36 חדשי מאסר, לא הורשע הוא שם בעבירות גניבה מרכב או פירוק רכב או החזקת נשק (ממנה זוכה). ב</w:t>
      </w:r>
      <w:r w:rsidRPr="001D1DDE">
        <w:rPr>
          <w:rFonts w:ascii="Arial" w:hAnsi="Arial" w:cs="Arial"/>
          <w:color w:val="000000"/>
          <w:rtl/>
        </w:rPr>
        <w:t>ת"פ 4153/09</w:t>
      </w:r>
      <w:r>
        <w:rPr>
          <w:rFonts w:ascii="Arial" w:hAnsi="Arial" w:cs="Arial"/>
          <w:rtl/>
        </w:rPr>
        <w:t xml:space="preserve"> שאת הנקבע בו (11 ח' מאסר + הפעלה חלקית של מע"ת ובסה"כ 14 ח' מאסר) ביקשוני הסנגורים לאמץ, היה מדובר בהסדר טיעון "סגור" ללא עבירות נשק ועבירות ברכב כבענייננו. לא אוכל איפוא לגזור גזירה שווה ממנו. ב</w:t>
      </w:r>
      <w:hyperlink r:id="rId27" w:history="1">
        <w:r w:rsidR="00FD1E19" w:rsidRPr="00FD1E19">
          <w:rPr>
            <w:rStyle w:val="Hyperlink"/>
            <w:rFonts w:ascii="Arial" w:hAnsi="Arial" w:cs="Arial"/>
            <w:rtl/>
          </w:rPr>
          <w:t>ת"פ (מח' ת"א-יפו) 40222/04</w:t>
        </w:r>
      </w:hyperlink>
      <w:r>
        <w:rPr>
          <w:rFonts w:ascii="Arial" w:hAnsi="Arial" w:cs="Arial"/>
          <w:rtl/>
        </w:rPr>
        <w:t xml:space="preserve"> היה מדובר בתסקיר חיובי שהמליץ מסיבותיו שלא להטיל מאסר בפועל, בנאשמים צעירים נעדרי עבר פלילי, שתפקודם עד הסתבכותם בפרשה האמורה היה תקין. בענייננו לא הוזמן תסקיר כלל ואף נסיבותיהם של הנאשמים שונות.  </w:t>
      </w:r>
    </w:p>
    <w:p w14:paraId="46FCFF07" w14:textId="77777777" w:rsidR="009D0DF6" w:rsidRDefault="009D0DF6">
      <w:pPr>
        <w:pStyle w:val="P00"/>
        <w:spacing w:before="72" w:line="360" w:lineRule="auto"/>
        <w:ind w:right="1134"/>
        <w:rPr>
          <w:rFonts w:ascii="Arial" w:hAnsi="Arial" w:cs="Arial"/>
          <w:noProof w:val="0"/>
          <w:sz w:val="24"/>
          <w:szCs w:val="24"/>
          <w:rtl/>
          <w:lang w:eastAsia="en-US"/>
        </w:rPr>
      </w:pPr>
    </w:p>
    <w:p w14:paraId="72D094FE" w14:textId="77777777" w:rsidR="009D0DF6" w:rsidRDefault="00AB3FCE">
      <w:pPr>
        <w:numPr>
          <w:ilvl w:val="0"/>
          <w:numId w:val="1"/>
        </w:numPr>
        <w:spacing w:line="360" w:lineRule="auto"/>
        <w:jc w:val="both"/>
        <w:rPr>
          <w:rFonts w:ascii="Arial" w:hAnsi="Arial" w:cs="Arial"/>
          <w:rtl/>
        </w:rPr>
      </w:pPr>
      <w:r>
        <w:rPr>
          <w:rFonts w:ascii="Arial" w:hAnsi="Arial" w:cs="Arial"/>
          <w:rtl/>
        </w:rPr>
        <w:t>בשקלול מתחם העונש הכולל למעשי העבירה שביצעו הנאשמים (להבדיל מכל עבירה בנפרד כפי שעתרה המאשימה), אני קובע כי בהנתן חומרת הנסיבות המפורטות ב</w:t>
      </w:r>
      <w:hyperlink r:id="rId28" w:history="1">
        <w:r w:rsidR="003D4066" w:rsidRPr="003D4066">
          <w:rPr>
            <w:rFonts w:ascii="Arial" w:hAnsi="Arial" w:cs="Arial"/>
            <w:color w:val="0000FF"/>
            <w:u w:val="single"/>
            <w:rtl/>
          </w:rPr>
          <w:t>סעיף 40 ט'</w:t>
        </w:r>
      </w:hyperlink>
      <w:r>
        <w:rPr>
          <w:rFonts w:ascii="Arial" w:hAnsi="Arial" w:cs="Arial"/>
          <w:rtl/>
        </w:rPr>
        <w:t xml:space="preserve"> ל</w:t>
      </w:r>
      <w:hyperlink r:id="rId29" w:history="1">
        <w:r w:rsidR="00FD1E19" w:rsidRPr="00FD1E19">
          <w:rPr>
            <w:rStyle w:val="Hyperlink"/>
            <w:rFonts w:ascii="Arial" w:hAnsi="Arial" w:cs="Arial"/>
            <w:rtl/>
          </w:rPr>
          <w:t>חוק העונשין</w:t>
        </w:r>
      </w:hyperlink>
      <w:r>
        <w:rPr>
          <w:rFonts w:ascii="Arial" w:hAnsi="Arial" w:cs="Arial"/>
          <w:rtl/>
        </w:rPr>
        <w:t xml:space="preserve"> תשל"ז- 1977, ובכלל זה </w:t>
      </w:r>
      <w:r>
        <w:rPr>
          <w:rStyle w:val="default"/>
          <w:rFonts w:ascii="Arial" w:hAnsi="Arial" w:cs="Arial"/>
          <w:rtl/>
        </w:rPr>
        <w:t xml:space="preserve">התכנון המפורט והחמור שקדם לביצוע העבירה, חלקם היחסי של כל אחד מהנאשמים בביצועה (לרבות העובדה כי הנאשם 1 הביא את הרכב, היה שותף פעיל בתכנון ובדיקת השטח ואף הוביל בו את החבורה), החזקת הנשק – אקדח הגז והשוקר החשמלי, הסכין, הפטישים, ויתר "כלי העבודה" המפורטים בסעיף 2 לעיל, הנזק שהיה צפוי להיגרם מביצוע העבירה והסיבות שהביאו את הנאשמים לבצע את העבירה, </w:t>
      </w:r>
      <w:r>
        <w:rPr>
          <w:rFonts w:ascii="Arial" w:hAnsi="Arial" w:cs="Arial"/>
          <w:rtl/>
        </w:rPr>
        <w:t xml:space="preserve"> נע מתחם הענישה הראוי בין 18 ח' מאסר בפועל ל- 45 ח'. </w:t>
      </w:r>
    </w:p>
    <w:p w14:paraId="46F0D23A" w14:textId="77777777" w:rsidR="009D0DF6" w:rsidRDefault="009D0DF6">
      <w:pPr>
        <w:spacing w:line="360" w:lineRule="auto"/>
        <w:ind w:left="26"/>
        <w:jc w:val="both"/>
        <w:rPr>
          <w:rFonts w:ascii="Arial" w:hAnsi="Arial" w:cs="Arial"/>
          <w:rtl/>
        </w:rPr>
      </w:pPr>
    </w:p>
    <w:p w14:paraId="1FBDE1F3" w14:textId="77777777" w:rsidR="009D0DF6" w:rsidRDefault="00AB3FCE">
      <w:pPr>
        <w:spacing w:line="360" w:lineRule="auto"/>
        <w:ind w:left="386" w:hanging="360"/>
        <w:jc w:val="both"/>
        <w:rPr>
          <w:rStyle w:val="default"/>
          <w:rFonts w:ascii="Arial" w:hAnsi="Arial" w:cs="Arial"/>
          <w:rtl/>
        </w:rPr>
      </w:pPr>
      <w:r>
        <w:rPr>
          <w:rFonts w:ascii="Arial" w:hAnsi="Arial" w:cs="Arial"/>
          <w:rtl/>
        </w:rPr>
        <w:t>8.</w:t>
      </w:r>
      <w:r>
        <w:rPr>
          <w:rFonts w:ascii="Arial" w:hAnsi="Arial" w:cs="Arial" w:hint="cs"/>
          <w:rtl/>
        </w:rPr>
        <w:tab/>
      </w:r>
      <w:r>
        <w:rPr>
          <w:rFonts w:ascii="Arial" w:hAnsi="Arial" w:cs="Arial"/>
          <w:rtl/>
        </w:rPr>
        <w:t xml:space="preserve">באשר לנסיבות שאינן קשורות לעבירה (עפ"י </w:t>
      </w:r>
      <w:hyperlink r:id="rId30" w:history="1">
        <w:r w:rsidR="003D4066" w:rsidRPr="003D4066">
          <w:rPr>
            <w:rFonts w:ascii="Arial" w:hAnsi="Arial" w:cs="Arial"/>
            <w:color w:val="0000FF"/>
            <w:u w:val="single"/>
            <w:rtl/>
          </w:rPr>
          <w:t>סעיף 40 יא</w:t>
        </w:r>
      </w:hyperlink>
      <w:r>
        <w:rPr>
          <w:rFonts w:ascii="Arial" w:hAnsi="Arial" w:cs="Arial"/>
          <w:rtl/>
        </w:rPr>
        <w:t xml:space="preserve"> לחוק) אביא כמובן בחשבון את עובדת הודייתם של הנאשמים וחסכון בזמן שיפוטי הנובע מכך, את </w:t>
      </w:r>
      <w:smartTag w:uri="urn:schemas-microsoft-com:office:smarttags" w:element="PersonName">
        <w:r>
          <w:rPr>
            <w:rFonts w:ascii="Arial" w:hAnsi="Arial" w:cs="Arial"/>
            <w:rtl/>
          </w:rPr>
          <w:t>נט</w:t>
        </w:r>
      </w:smartTag>
      <w:r>
        <w:rPr>
          <w:rFonts w:ascii="Arial" w:hAnsi="Arial" w:cs="Arial"/>
          <w:rtl/>
        </w:rPr>
        <w:t xml:space="preserve">ילת האחריות מצידם והבעת החרטה על ידם, </w:t>
      </w:r>
      <w:r>
        <w:rPr>
          <w:rStyle w:val="default"/>
          <w:rFonts w:ascii="Arial" w:hAnsi="Arial" w:cs="Arial"/>
          <w:rtl/>
        </w:rPr>
        <w:t>הפגיעה במשפחתו של הנאשם 1, ונסיבות חייו הקשות של נאשם 2, העובדה כי בסופו של דבר לא יצא לפועל הנזק המתוכנן, ואת שיתוף הפעולה של הנאשמים ועברם הפלילי. בעניין זה רשומות לחובת הנאשם 1, 12 הרשעות קודמות בתחומים מגוונים (אלימות ובכלל זה תקיפות שונות וסחיטה באיומים, עבירות רכוש ובכלל זה עבירות ברכב, התפרצות וגניבה, הפרת הוראה חוקית, התחזות, שיבוש הלכי משפט וסמים), בעטיין אף ריצה תקופות מאסר לא מבוטלות. עם זאת העבירה האחרונה הרשומה הינה משנת 2008.  גם עברו של הנאשם 2 אינו חף מהרשעות פליליות ובכללן עבירות נשק, הפרעה לשוטר והחזקת סכין, אם כי היקפן מצומצם יותר. עם זאת תלוי ועומד כנגדו מאסר מותנה בר הפעלה בן 9 חדשים. גם חלקו של הנאשם 2 פחות מזה של הנאשם 1, שכן לא זו בלבד שלא השתתף בחלק מהתצפיות, הוא לא הביא הרכב ובמועד האירוע אף לא הספיק לצאת ממנו, ואולם מאידך, ביצע הנאשם 2 את העבירות כאשר תלוי ועומד כנגדו מאסר מותנה בר הפעלה, אשר לא הרתיעו מהשתתפות בביצוע העבירות דנן. מכל מקום, נוכח הודייתם והבעת החרטה מצידם, החלטתי שלא למצות את הדין עם הנאשמים תוך הותרת פתח של תקווה לחזרתם עם שחרורם לחיים נורמטיביים.</w:t>
      </w:r>
    </w:p>
    <w:p w14:paraId="5291E9D0" w14:textId="77777777" w:rsidR="009D0DF6" w:rsidRDefault="00AB3FCE">
      <w:pPr>
        <w:spacing w:line="360" w:lineRule="auto"/>
        <w:jc w:val="both"/>
        <w:rPr>
          <w:rFonts w:ascii="Arial" w:hAnsi="Arial" w:cs="Arial"/>
          <w:rtl/>
        </w:rPr>
      </w:pPr>
      <w:r>
        <w:rPr>
          <w:rFonts w:ascii="Arial" w:hAnsi="Arial" w:cs="Arial"/>
          <w:rtl/>
        </w:rPr>
        <w:t xml:space="preserve">9.   בהנתן כל האמור, </w:t>
      </w:r>
      <w:r>
        <w:rPr>
          <w:rFonts w:ascii="Arial" w:hAnsi="Arial" w:cs="Arial" w:hint="cs"/>
          <w:rtl/>
        </w:rPr>
        <w:t xml:space="preserve">החלטתי שלא למצות את הדין עם הנאשמים והנני דן אותם </w:t>
      </w:r>
      <w:r>
        <w:rPr>
          <w:rFonts w:ascii="Arial" w:hAnsi="Arial" w:cs="Arial"/>
          <w:rtl/>
        </w:rPr>
        <w:t>כדלקמן:</w:t>
      </w:r>
    </w:p>
    <w:p w14:paraId="42C3B5CA" w14:textId="77777777" w:rsidR="009D0DF6" w:rsidRDefault="009D0DF6">
      <w:pPr>
        <w:spacing w:line="360" w:lineRule="auto"/>
        <w:jc w:val="both"/>
        <w:rPr>
          <w:rFonts w:ascii="Arial" w:hAnsi="Arial" w:cs="Arial"/>
          <w:rtl/>
        </w:rPr>
      </w:pPr>
    </w:p>
    <w:p w14:paraId="6921EF6E" w14:textId="77777777" w:rsidR="009D0DF6" w:rsidRDefault="00AB3FCE">
      <w:pPr>
        <w:numPr>
          <w:ilvl w:val="0"/>
          <w:numId w:val="2"/>
        </w:numPr>
        <w:spacing w:line="360" w:lineRule="auto"/>
        <w:jc w:val="both"/>
        <w:rPr>
          <w:rFonts w:ascii="Arial" w:hAnsi="Arial" w:cs="Arial"/>
          <w:rtl/>
        </w:rPr>
      </w:pPr>
      <w:r>
        <w:rPr>
          <w:rFonts w:ascii="Arial" w:hAnsi="Arial" w:cs="Arial"/>
          <w:u w:val="single"/>
          <w:rtl/>
        </w:rPr>
        <w:t>הנאשם 1</w:t>
      </w:r>
      <w:r>
        <w:rPr>
          <w:rFonts w:ascii="Arial" w:hAnsi="Arial" w:cs="Arial"/>
          <w:rtl/>
        </w:rPr>
        <w:t xml:space="preserve">: </w:t>
      </w:r>
    </w:p>
    <w:p w14:paraId="55EB4220" w14:textId="77777777" w:rsidR="009D0DF6" w:rsidRDefault="00AB3FCE">
      <w:pPr>
        <w:spacing w:line="360" w:lineRule="auto"/>
        <w:ind w:left="720" w:firstLine="4"/>
        <w:jc w:val="both"/>
        <w:rPr>
          <w:rFonts w:ascii="Arial" w:hAnsi="Arial" w:cs="Arial"/>
          <w:rtl/>
        </w:rPr>
      </w:pPr>
      <w:r>
        <w:rPr>
          <w:rFonts w:ascii="Arial" w:hAnsi="Arial" w:cs="Arial"/>
          <w:rtl/>
        </w:rPr>
        <w:t>מאסר למשך 42 חדשים מתוכם, 3</w:t>
      </w:r>
      <w:r>
        <w:rPr>
          <w:rFonts w:ascii="Arial" w:hAnsi="Arial" w:cs="Arial" w:hint="cs"/>
          <w:rtl/>
        </w:rPr>
        <w:t>0</w:t>
      </w:r>
      <w:r>
        <w:rPr>
          <w:rFonts w:ascii="Arial" w:hAnsi="Arial" w:cs="Arial"/>
          <w:rtl/>
        </w:rPr>
        <w:t xml:space="preserve"> חדשים יהיו לריצוי בפועל ומניינם מיום מעצרו (16.1.13), והיתרה תהא על תנאי והתנאי הוא שלא יעבור משך 3 שנים משחרורו, אחת העבירות בהן הורשע, בין כעבירת נסיון ובין כעבירה מוגמרת.</w:t>
      </w:r>
    </w:p>
    <w:p w14:paraId="3D54A66F" w14:textId="77777777" w:rsidR="009D0DF6" w:rsidRDefault="009D0DF6">
      <w:pPr>
        <w:spacing w:line="360" w:lineRule="auto"/>
        <w:ind w:left="386" w:firstLine="4"/>
        <w:jc w:val="both"/>
        <w:rPr>
          <w:rFonts w:ascii="Arial" w:hAnsi="Arial" w:cs="Arial"/>
          <w:rtl/>
        </w:rPr>
      </w:pPr>
    </w:p>
    <w:p w14:paraId="7381BDDF" w14:textId="77777777" w:rsidR="009D0DF6" w:rsidRDefault="00AB3FCE">
      <w:pPr>
        <w:numPr>
          <w:ilvl w:val="0"/>
          <w:numId w:val="2"/>
        </w:numPr>
        <w:spacing w:line="360" w:lineRule="auto"/>
        <w:jc w:val="both"/>
        <w:rPr>
          <w:rFonts w:ascii="Arial" w:hAnsi="Arial" w:cs="Arial"/>
          <w:rtl/>
        </w:rPr>
      </w:pPr>
      <w:r>
        <w:rPr>
          <w:rFonts w:ascii="Arial" w:hAnsi="Arial" w:cs="Arial"/>
          <w:u w:val="single"/>
          <w:rtl/>
        </w:rPr>
        <w:t>הנאשם 2</w:t>
      </w:r>
      <w:r>
        <w:rPr>
          <w:rFonts w:ascii="Arial" w:hAnsi="Arial" w:cs="Arial"/>
          <w:rtl/>
        </w:rPr>
        <w:t>:</w:t>
      </w:r>
    </w:p>
    <w:p w14:paraId="535E1423" w14:textId="77777777" w:rsidR="009D0DF6" w:rsidRDefault="00AB3FCE">
      <w:pPr>
        <w:spacing w:line="360" w:lineRule="auto"/>
        <w:ind w:left="720" w:firstLine="4"/>
        <w:jc w:val="both"/>
        <w:rPr>
          <w:rFonts w:ascii="Arial" w:hAnsi="Arial" w:cs="Arial"/>
          <w:rtl/>
        </w:rPr>
      </w:pPr>
      <w:r>
        <w:rPr>
          <w:rFonts w:ascii="Arial" w:hAnsi="Arial" w:cs="Arial"/>
          <w:rtl/>
        </w:rPr>
        <w:t>מאסר למשך 36 חדשים מתוכם, 2</w:t>
      </w:r>
      <w:r>
        <w:rPr>
          <w:rFonts w:ascii="Arial" w:hAnsi="Arial" w:cs="Arial" w:hint="cs"/>
          <w:rtl/>
        </w:rPr>
        <w:t>4</w:t>
      </w:r>
      <w:r>
        <w:rPr>
          <w:rFonts w:ascii="Arial" w:hAnsi="Arial" w:cs="Arial"/>
          <w:rtl/>
        </w:rPr>
        <w:t xml:space="preserve"> חדשים יהיו לריצוי בפועל ומניינם מיום מעצרו (16.1.13), והיתרה תהא על תנאי והתנאי הוא שלא יעבור משך 3 שנים משחרורו, אחת העבירות בהן הורשע, בין כעבירת נסיון ובין כעבירה מוגמרת.</w:t>
      </w:r>
    </w:p>
    <w:p w14:paraId="5B3773EE" w14:textId="77777777" w:rsidR="009D0DF6" w:rsidRDefault="009D0DF6">
      <w:pPr>
        <w:spacing w:line="360" w:lineRule="auto"/>
        <w:ind w:left="386" w:firstLine="4"/>
        <w:jc w:val="both"/>
        <w:rPr>
          <w:rFonts w:ascii="Arial" w:hAnsi="Arial" w:cs="Arial"/>
          <w:rtl/>
        </w:rPr>
      </w:pPr>
    </w:p>
    <w:p w14:paraId="79675CE8" w14:textId="77777777" w:rsidR="009D0DF6" w:rsidRDefault="00AB3FCE">
      <w:pPr>
        <w:spacing w:line="360" w:lineRule="auto"/>
        <w:ind w:left="720" w:firstLine="4"/>
        <w:jc w:val="both"/>
        <w:rPr>
          <w:rFonts w:ascii="Arial" w:hAnsi="Arial" w:cs="Arial"/>
          <w:rtl/>
        </w:rPr>
      </w:pPr>
      <w:r>
        <w:rPr>
          <w:rFonts w:ascii="Arial" w:hAnsi="Arial" w:cs="Arial"/>
          <w:rtl/>
        </w:rPr>
        <w:t>כמו כן הנני מפעיל את המאסר המותנה בן 9 החדשים התלוי ועומד כנגד הנאשם מ</w:t>
      </w:r>
      <w:hyperlink r:id="rId31" w:history="1">
        <w:r w:rsidR="00FD1E19" w:rsidRPr="00FD1E19">
          <w:rPr>
            <w:rStyle w:val="Hyperlink"/>
            <w:rFonts w:ascii="Arial" w:hAnsi="Arial" w:cs="Arial"/>
            <w:rtl/>
          </w:rPr>
          <w:t>ת"פ (מח' ת"א-יפו) 36886-01-11</w:t>
        </w:r>
      </w:hyperlink>
      <w:r>
        <w:rPr>
          <w:rFonts w:ascii="Arial" w:hAnsi="Arial" w:cs="Arial"/>
          <w:rtl/>
        </w:rPr>
        <w:t>, אשר ירוצה 6 חדשים במצטבר לעונש המאסר דלעיל ו-3 חדשים בחופף לו. סה"כ ירצה איפוא הנאשם</w:t>
      </w:r>
      <w:r>
        <w:rPr>
          <w:rFonts w:ascii="Arial" w:hAnsi="Arial" w:cs="Arial" w:hint="cs"/>
          <w:rtl/>
        </w:rPr>
        <w:t xml:space="preserve"> 2,</w:t>
      </w:r>
      <w:r>
        <w:rPr>
          <w:rFonts w:ascii="Arial" w:hAnsi="Arial" w:cs="Arial"/>
          <w:rtl/>
        </w:rPr>
        <w:t xml:space="preserve"> 3</w:t>
      </w:r>
      <w:r>
        <w:rPr>
          <w:rFonts w:ascii="Arial" w:hAnsi="Arial" w:cs="Arial" w:hint="cs"/>
          <w:rtl/>
        </w:rPr>
        <w:t>0</w:t>
      </w:r>
      <w:r>
        <w:rPr>
          <w:rFonts w:ascii="Arial" w:hAnsi="Arial" w:cs="Arial"/>
          <w:rtl/>
        </w:rPr>
        <w:t xml:space="preserve"> חדשי מאסר בפועל שמניינם מיום מאסרו.</w:t>
      </w:r>
    </w:p>
    <w:p w14:paraId="0D641C42" w14:textId="77777777" w:rsidR="009D0DF6" w:rsidRDefault="00AB3FCE">
      <w:pPr>
        <w:spacing w:line="360" w:lineRule="auto"/>
        <w:ind w:left="386" w:firstLine="4"/>
        <w:jc w:val="both"/>
        <w:rPr>
          <w:rFonts w:ascii="Arial" w:hAnsi="Arial" w:cs="Arial"/>
          <w:rtl/>
        </w:rPr>
      </w:pPr>
      <w:r>
        <w:rPr>
          <w:rFonts w:ascii="Arial" w:hAnsi="Arial" w:cs="Arial"/>
          <w:rtl/>
        </w:rPr>
        <w:t xml:space="preserve"> </w:t>
      </w:r>
    </w:p>
    <w:p w14:paraId="549CB9B6" w14:textId="77777777" w:rsidR="009D0DF6" w:rsidRDefault="00AB3FCE">
      <w:pPr>
        <w:numPr>
          <w:ilvl w:val="0"/>
          <w:numId w:val="2"/>
        </w:numPr>
        <w:tabs>
          <w:tab w:val="num" w:pos="386"/>
        </w:tabs>
        <w:spacing w:line="360" w:lineRule="auto"/>
        <w:jc w:val="both"/>
        <w:rPr>
          <w:rFonts w:ascii="Arial" w:hAnsi="Arial" w:cs="Arial"/>
          <w:rtl/>
        </w:rPr>
      </w:pPr>
      <w:r>
        <w:rPr>
          <w:rFonts w:ascii="Arial" w:hAnsi="Arial" w:cs="Arial"/>
          <w:rtl/>
        </w:rPr>
        <w:t xml:space="preserve">בהתחשב נסיבותיהם האישיות והכלכליות ונוכח תקופת המאסר שהושתה עליהם, החלטתי להימנע מהשתת מרכיב כספי במסגרת גזר הדין. </w:t>
      </w:r>
    </w:p>
    <w:p w14:paraId="1B8D5BA1" w14:textId="77777777" w:rsidR="009D0DF6" w:rsidRDefault="009D0DF6">
      <w:pPr>
        <w:spacing w:line="360" w:lineRule="auto"/>
        <w:ind w:left="390"/>
        <w:jc w:val="both"/>
        <w:rPr>
          <w:rFonts w:ascii="Arial" w:hAnsi="Arial" w:cs="Arial"/>
          <w:rtl/>
        </w:rPr>
      </w:pPr>
    </w:p>
    <w:p w14:paraId="1900E12B" w14:textId="77777777" w:rsidR="009D0DF6" w:rsidRDefault="00AB3FCE">
      <w:pPr>
        <w:spacing w:line="360" w:lineRule="auto"/>
        <w:ind w:left="386" w:firstLine="4"/>
        <w:jc w:val="both"/>
        <w:rPr>
          <w:rFonts w:ascii="Arial" w:hAnsi="Arial" w:cs="Arial"/>
          <w:rtl/>
        </w:rPr>
      </w:pPr>
      <w:r>
        <w:rPr>
          <w:rFonts w:ascii="Arial" w:hAnsi="Arial" w:cs="Arial"/>
          <w:rtl/>
        </w:rPr>
        <w:t>זכות ערעור לבית המשפט העליון בתוך 45 יום מהיום.</w:t>
      </w:r>
    </w:p>
    <w:p w14:paraId="51CAF281" w14:textId="77777777" w:rsidR="009D0DF6" w:rsidRDefault="00AB3FCE">
      <w:pPr>
        <w:spacing w:line="360" w:lineRule="auto"/>
        <w:jc w:val="both"/>
        <w:rPr>
          <w:rStyle w:val="a6"/>
          <w:rFonts w:ascii="Arial" w:hAnsi="Arial"/>
          <w:sz w:val="6"/>
          <w:szCs w:val="6"/>
          <w:rtl/>
        </w:rPr>
      </w:pPr>
      <w:r>
        <w:rPr>
          <w:rStyle w:val="a6"/>
          <w:rFonts w:ascii="Arial" w:hAnsi="Arial"/>
          <w:sz w:val="6"/>
          <w:szCs w:val="6"/>
          <w:rtl/>
        </w:rPr>
        <w:t>&lt;#4#&gt;</w:t>
      </w:r>
    </w:p>
    <w:p w14:paraId="71C62E6E" w14:textId="77777777" w:rsidR="009D0DF6" w:rsidRDefault="00AB3FCE">
      <w:pPr>
        <w:jc w:val="both"/>
        <w:rPr>
          <w:rStyle w:val="a6"/>
          <w:rFonts w:ascii="Arial" w:hAnsi="Arial"/>
          <w:szCs w:val="24"/>
          <w:rtl/>
        </w:rPr>
      </w:pPr>
      <w:r w:rsidRPr="00AB3FCE">
        <w:rPr>
          <w:rFonts w:ascii="Arial" w:hAnsi="Arial" w:cs="Arial"/>
          <w:b/>
          <w:bCs/>
          <w:color w:val="FFFFFF"/>
          <w:sz w:val="2"/>
          <w:szCs w:val="2"/>
          <w:rtl/>
        </w:rPr>
        <w:t>5129371</w:t>
      </w:r>
      <w:r>
        <w:rPr>
          <w:rFonts w:ascii="Arial" w:hAnsi="Arial" w:cs="Arial"/>
          <w:b/>
          <w:bCs/>
          <w:rtl/>
        </w:rPr>
        <w:t xml:space="preserve">ניתנה והודעה היום כ"ב כסלו תשע"ד, 25/11/2013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9D0DF6" w14:paraId="5B2731EB" w14:textId="77777777">
        <w:trPr>
          <w:trHeight w:val="364"/>
          <w:jc w:val="right"/>
        </w:trPr>
        <w:tc>
          <w:tcPr>
            <w:tcW w:w="3708" w:type="dxa"/>
          </w:tcPr>
          <w:p w14:paraId="5AF01D8F" w14:textId="77777777" w:rsidR="009D0DF6" w:rsidRPr="00AB3FCE" w:rsidRDefault="00AB3FCE">
            <w:pPr>
              <w:jc w:val="center"/>
              <w:rPr>
                <w:rFonts w:ascii="Arial" w:eastAsia="Times New Roman" w:hAnsi="Arial" w:cs="Arial"/>
                <w:color w:val="FFFFFF"/>
                <w:sz w:val="2"/>
                <w:szCs w:val="2"/>
              </w:rPr>
            </w:pPr>
            <w:r w:rsidRPr="00AB3FCE">
              <w:rPr>
                <w:rFonts w:ascii="Arial" w:eastAsia="Times New Roman" w:hAnsi="Arial" w:cs="Arial"/>
                <w:color w:val="FFFFFF"/>
                <w:sz w:val="2"/>
                <w:szCs w:val="2"/>
                <w:rtl/>
              </w:rPr>
              <w:t>54678313</w:t>
            </w:r>
          </w:p>
          <w:p w14:paraId="48AACA7E" w14:textId="77777777" w:rsidR="009D0DF6" w:rsidRDefault="009D0DF6">
            <w:pPr>
              <w:jc w:val="center"/>
              <w:rPr>
                <w:rFonts w:ascii="Arial" w:eastAsia="Times New Roman" w:hAnsi="Arial" w:cs="Arial"/>
                <w:rtl/>
              </w:rPr>
            </w:pPr>
          </w:p>
        </w:tc>
      </w:tr>
      <w:tr w:rsidR="009D0DF6" w14:paraId="2E14CE84" w14:textId="77777777">
        <w:trPr>
          <w:trHeight w:val="415"/>
          <w:jc w:val="right"/>
        </w:trPr>
        <w:tc>
          <w:tcPr>
            <w:tcW w:w="3708" w:type="dxa"/>
          </w:tcPr>
          <w:p w14:paraId="09B2DEAA" w14:textId="77777777" w:rsidR="009D0DF6" w:rsidRDefault="00AB3FCE">
            <w:pPr>
              <w:jc w:val="center"/>
              <w:rPr>
                <w:rFonts w:ascii="Arial" w:eastAsia="Times New Roman" w:hAnsi="Arial" w:cs="Arial"/>
                <w:b/>
                <w:bCs/>
                <w:rtl/>
              </w:rPr>
            </w:pPr>
            <w:r>
              <w:rPr>
                <w:rFonts w:ascii="Arial" w:eastAsia="Times New Roman" w:hAnsi="Arial" w:cs="Arial" w:hint="cs"/>
                <w:rtl/>
              </w:rPr>
              <w:t>יעקב</w:t>
            </w:r>
            <w:r>
              <w:rPr>
                <w:rFonts w:ascii="Arial" w:eastAsia="Times New Roman" w:hAnsi="Arial" w:cs="Arial"/>
                <w:b/>
                <w:bCs/>
                <w:rtl/>
              </w:rPr>
              <w:t xml:space="preserve"> </w:t>
            </w:r>
            <w:r>
              <w:rPr>
                <w:rFonts w:ascii="Arial" w:eastAsia="Times New Roman" w:hAnsi="Arial" w:cs="Arial" w:hint="cs"/>
                <w:rtl/>
              </w:rPr>
              <w:t>שפסר</w:t>
            </w:r>
            <w:r>
              <w:rPr>
                <w:rFonts w:ascii="Arial" w:eastAsia="Times New Roman" w:hAnsi="Arial" w:cs="Arial"/>
                <w:b/>
                <w:bCs/>
                <w:rtl/>
              </w:rPr>
              <w:t xml:space="preserve">, </w:t>
            </w:r>
            <w:r>
              <w:rPr>
                <w:rFonts w:ascii="Arial" w:eastAsia="Times New Roman" w:hAnsi="Arial" w:cs="Arial" w:hint="cs"/>
                <w:rtl/>
              </w:rPr>
              <w:t>שופט</w:t>
            </w:r>
          </w:p>
        </w:tc>
      </w:tr>
    </w:tbl>
    <w:p w14:paraId="6F435E9D" w14:textId="77777777" w:rsidR="009D0DF6" w:rsidRDefault="00AB3FCE">
      <w:pPr>
        <w:jc w:val="both"/>
        <w:rPr>
          <w:rStyle w:val="a6"/>
          <w:rFonts w:cs="David"/>
          <w:szCs w:val="24"/>
          <w:rtl/>
        </w:rPr>
      </w:pPr>
      <w:r>
        <w:rPr>
          <w:rStyle w:val="a6"/>
          <w:rFonts w:ascii="Arial" w:hAnsi="Arial"/>
          <w:szCs w:val="24"/>
          <w:rtl/>
        </w:rPr>
        <w:t xml:space="preserve">  </w:t>
      </w:r>
      <w:bookmarkStart w:id="8" w:name="_GoBack"/>
      <w:bookmarkEnd w:id="8"/>
    </w:p>
    <w:p w14:paraId="0691A3E0" w14:textId="77777777" w:rsidR="00AB3FCE" w:rsidRPr="00AB3FCE" w:rsidRDefault="00AB3FCE" w:rsidP="00AB3FCE">
      <w:pPr>
        <w:keepNext/>
        <w:rPr>
          <w:color w:val="000000"/>
          <w:sz w:val="22"/>
          <w:szCs w:val="22"/>
          <w:rtl/>
        </w:rPr>
      </w:pPr>
    </w:p>
    <w:p w14:paraId="1C487F26" w14:textId="77777777" w:rsidR="00AB3FCE" w:rsidRPr="00AB3FCE" w:rsidRDefault="00AB3FCE" w:rsidP="00AB3FCE">
      <w:pPr>
        <w:keepNext/>
        <w:rPr>
          <w:color w:val="000000"/>
          <w:sz w:val="22"/>
          <w:szCs w:val="22"/>
          <w:rtl/>
        </w:rPr>
      </w:pPr>
      <w:r w:rsidRPr="00AB3FCE">
        <w:rPr>
          <w:color w:val="000000"/>
          <w:sz w:val="22"/>
          <w:szCs w:val="22"/>
          <w:rtl/>
        </w:rPr>
        <w:t>יעקב שפסר 54678313</w:t>
      </w:r>
    </w:p>
    <w:p w14:paraId="2442A62E" w14:textId="77777777" w:rsidR="00AB3FCE" w:rsidRDefault="00AB3FCE" w:rsidP="00AB3FCE">
      <w:r w:rsidRPr="00AB3FCE">
        <w:rPr>
          <w:color w:val="000000"/>
          <w:rtl/>
        </w:rPr>
        <w:t>נוסח מסמך זה כפוף לשינויי ניסוח ועריכה</w:t>
      </w:r>
    </w:p>
    <w:p w14:paraId="2BEDF03B" w14:textId="77777777" w:rsidR="00AB3FCE" w:rsidRDefault="00AB3FCE" w:rsidP="00AB3FCE">
      <w:pPr>
        <w:rPr>
          <w:rtl/>
        </w:rPr>
      </w:pPr>
    </w:p>
    <w:p w14:paraId="6225BFC7" w14:textId="77777777" w:rsidR="00AB3FCE" w:rsidRDefault="00AB3FCE" w:rsidP="00AB3FCE">
      <w:pPr>
        <w:jc w:val="center"/>
        <w:rPr>
          <w:color w:val="0000FF"/>
          <w:u w:val="single"/>
        </w:rPr>
      </w:pPr>
      <w:r w:rsidRPr="001D1DDE">
        <w:rPr>
          <w:color w:val="000000"/>
          <w:rtl/>
        </w:rPr>
        <w:t>בעניין עריכה ושינויים במסמכי פסיקה, חקיקה ועוד באתר נבו – הקש כאן</w:t>
      </w:r>
    </w:p>
    <w:p w14:paraId="5D3B25E9" w14:textId="77777777" w:rsidR="009D0DF6" w:rsidRPr="00AB3FCE" w:rsidRDefault="009D0DF6" w:rsidP="00AB3FCE">
      <w:pPr>
        <w:jc w:val="center"/>
        <w:rPr>
          <w:color w:val="0000FF"/>
          <w:u w:val="single"/>
        </w:rPr>
      </w:pPr>
    </w:p>
    <w:sectPr w:rsidR="009D0DF6" w:rsidRPr="00AB3FCE" w:rsidSect="00AB3FCE">
      <w:headerReference w:type="even" r:id="rId32"/>
      <w:headerReference w:type="default" r:id="rId33"/>
      <w:footerReference w:type="even" r:id="rId34"/>
      <w:footerReference w:type="default" r:id="rId3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15185" w14:textId="77777777" w:rsidR="0030743F" w:rsidRPr="00644106" w:rsidRDefault="0030743F">
      <w:pPr>
        <w:rPr>
          <w:rFonts w:cs="Arial"/>
          <w:szCs w:val="20"/>
        </w:rPr>
      </w:pPr>
      <w:r>
        <w:separator/>
      </w:r>
    </w:p>
  </w:endnote>
  <w:endnote w:type="continuationSeparator" w:id="0">
    <w:p w14:paraId="3419BB38" w14:textId="77777777" w:rsidR="0030743F" w:rsidRPr="00644106" w:rsidRDefault="0030743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9B69D" w14:textId="77777777" w:rsidR="00707560" w:rsidRDefault="00707560" w:rsidP="00AB3FC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34</w:t>
    </w:r>
    <w:r>
      <w:rPr>
        <w:rFonts w:ascii="FrankRuehl" w:hAnsi="FrankRuehl" w:cs="FrankRuehl"/>
        <w:rtl/>
      </w:rPr>
      <w:fldChar w:fldCharType="end"/>
    </w:r>
  </w:p>
  <w:p w14:paraId="3D4F8C36" w14:textId="77777777" w:rsidR="00707560" w:rsidRPr="00AB3FCE" w:rsidRDefault="00707560" w:rsidP="00AB3FCE">
    <w:pPr>
      <w:pStyle w:val="a4"/>
      <w:pBdr>
        <w:top w:val="single" w:sz="4" w:space="1" w:color="auto"/>
        <w:between w:val="single" w:sz="4" w:space="0" w:color="auto"/>
      </w:pBdr>
      <w:spacing w:after="60"/>
      <w:jc w:val="center"/>
      <w:rPr>
        <w:rFonts w:ascii="FrankRuehl" w:hAnsi="FrankRuehl" w:cs="FrankRuehl"/>
        <w:color w:val="000000"/>
      </w:rPr>
    </w:pPr>
    <w:r w:rsidRPr="00AB3FC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02B49" w14:textId="77777777" w:rsidR="00707560" w:rsidRDefault="00707560" w:rsidP="00AB3FC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E7990">
      <w:rPr>
        <w:rFonts w:ascii="FrankRuehl" w:hAnsi="FrankRuehl" w:cs="FrankRuehl"/>
        <w:noProof/>
        <w:rtl/>
      </w:rPr>
      <w:t>1</w:t>
    </w:r>
    <w:r>
      <w:rPr>
        <w:rFonts w:ascii="FrankRuehl" w:hAnsi="FrankRuehl" w:cs="FrankRuehl"/>
        <w:rtl/>
      </w:rPr>
      <w:fldChar w:fldCharType="end"/>
    </w:r>
  </w:p>
  <w:p w14:paraId="01897A12" w14:textId="77777777" w:rsidR="00707560" w:rsidRPr="00AB3FCE" w:rsidRDefault="00707560" w:rsidP="00AB3FCE">
    <w:pPr>
      <w:pStyle w:val="a4"/>
      <w:pBdr>
        <w:top w:val="single" w:sz="4" w:space="1" w:color="auto"/>
        <w:between w:val="single" w:sz="4" w:space="0" w:color="auto"/>
      </w:pBdr>
      <w:spacing w:after="60"/>
      <w:jc w:val="center"/>
      <w:rPr>
        <w:rFonts w:ascii="FrankRuehl" w:hAnsi="FrankRuehl" w:cs="FrankRuehl"/>
        <w:color w:val="000000"/>
      </w:rPr>
    </w:pPr>
    <w:r w:rsidRPr="00AB3FCE">
      <w:rPr>
        <w:rFonts w:ascii="FrankRuehl" w:hAnsi="FrankRuehl" w:cs="FrankRuehl"/>
        <w:color w:val="000000"/>
      </w:rPr>
      <w:pict w14:anchorId="3E7A1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B4756" w14:textId="77777777" w:rsidR="0030743F" w:rsidRPr="00644106" w:rsidRDefault="0030743F">
      <w:pPr>
        <w:rPr>
          <w:rFonts w:cs="Arial"/>
          <w:szCs w:val="20"/>
        </w:rPr>
      </w:pPr>
      <w:r>
        <w:separator/>
      </w:r>
    </w:p>
  </w:footnote>
  <w:footnote w:type="continuationSeparator" w:id="0">
    <w:p w14:paraId="04E217A2" w14:textId="77777777" w:rsidR="0030743F" w:rsidRPr="00644106" w:rsidRDefault="0030743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FC7DB" w14:textId="77777777" w:rsidR="00707560" w:rsidRPr="00AB3FCE" w:rsidRDefault="00707560" w:rsidP="00AB3FC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530-02-13</w:t>
    </w:r>
    <w:r>
      <w:rPr>
        <w:color w:val="000000"/>
        <w:sz w:val="22"/>
        <w:szCs w:val="22"/>
        <w:rtl/>
      </w:rPr>
      <w:tab/>
      <w:t xml:space="preserve"> מדינת ישראל נ' אלכסיי קובלבסקי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BF921" w14:textId="77777777" w:rsidR="00707560" w:rsidRPr="00AB3FCE" w:rsidRDefault="00707560" w:rsidP="00AB3FC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530-02-13</w:t>
    </w:r>
    <w:r>
      <w:rPr>
        <w:color w:val="000000"/>
        <w:sz w:val="22"/>
        <w:szCs w:val="22"/>
        <w:rtl/>
      </w:rPr>
      <w:tab/>
      <w:t xml:space="preserve"> מדינת ישראל נ' אלכסיי קובלבסקי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5278"/>
    <w:multiLevelType w:val="hybridMultilevel"/>
    <w:tmpl w:val="64463158"/>
    <w:lvl w:ilvl="0" w:tplc="A3DEF820">
      <w:start w:val="7"/>
      <w:numFmt w:val="decimal"/>
      <w:lvlText w:val="%1."/>
      <w:lvlJc w:val="left"/>
      <w:pPr>
        <w:tabs>
          <w:tab w:val="num" w:pos="386"/>
        </w:tabs>
        <w:ind w:left="386" w:hanging="360"/>
      </w:p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 w15:restartNumberingAfterBreak="0">
    <w:nsid w:val="53510CB4"/>
    <w:multiLevelType w:val="hybridMultilevel"/>
    <w:tmpl w:val="25DCB684"/>
    <w:lvl w:ilvl="0" w:tplc="A0F8CF38">
      <w:start w:val="1"/>
      <w:numFmt w:val="hebrew1"/>
      <w:lvlText w:val="%1."/>
      <w:lvlJc w:val="left"/>
      <w:pPr>
        <w:tabs>
          <w:tab w:val="num" w:pos="750"/>
        </w:tabs>
        <w:ind w:left="750" w:hanging="360"/>
      </w:pPr>
    </w:lvl>
    <w:lvl w:ilvl="1" w:tplc="04090019">
      <w:start w:val="1"/>
      <w:numFmt w:val="lowerLetter"/>
      <w:lvlText w:val="%2."/>
      <w:lvlJc w:val="left"/>
      <w:pPr>
        <w:tabs>
          <w:tab w:val="num" w:pos="1470"/>
        </w:tabs>
        <w:ind w:left="1470" w:hanging="360"/>
      </w:pPr>
    </w:lvl>
    <w:lvl w:ilvl="2" w:tplc="0409001B">
      <w:start w:val="1"/>
      <w:numFmt w:val="lowerRoman"/>
      <w:lvlText w:val="%3."/>
      <w:lvlJc w:val="right"/>
      <w:pPr>
        <w:tabs>
          <w:tab w:val="num" w:pos="2190"/>
        </w:tabs>
        <w:ind w:left="2190" w:hanging="180"/>
      </w:pPr>
    </w:lvl>
    <w:lvl w:ilvl="3" w:tplc="0409000F">
      <w:start w:val="1"/>
      <w:numFmt w:val="decimal"/>
      <w:lvlText w:val="%4."/>
      <w:lvlJc w:val="left"/>
      <w:pPr>
        <w:tabs>
          <w:tab w:val="num" w:pos="2910"/>
        </w:tabs>
        <w:ind w:left="2910" w:hanging="360"/>
      </w:pPr>
    </w:lvl>
    <w:lvl w:ilvl="4" w:tplc="04090019">
      <w:start w:val="1"/>
      <w:numFmt w:val="lowerLetter"/>
      <w:lvlText w:val="%5."/>
      <w:lvlJc w:val="left"/>
      <w:pPr>
        <w:tabs>
          <w:tab w:val="num" w:pos="3630"/>
        </w:tabs>
        <w:ind w:left="3630" w:hanging="360"/>
      </w:pPr>
    </w:lvl>
    <w:lvl w:ilvl="5" w:tplc="0409001B">
      <w:start w:val="1"/>
      <w:numFmt w:val="lowerRoman"/>
      <w:lvlText w:val="%6."/>
      <w:lvlJc w:val="right"/>
      <w:pPr>
        <w:tabs>
          <w:tab w:val="num" w:pos="4350"/>
        </w:tabs>
        <w:ind w:left="4350" w:hanging="180"/>
      </w:pPr>
    </w:lvl>
    <w:lvl w:ilvl="6" w:tplc="0409000F">
      <w:start w:val="1"/>
      <w:numFmt w:val="decimal"/>
      <w:lvlText w:val="%7."/>
      <w:lvlJc w:val="left"/>
      <w:pPr>
        <w:tabs>
          <w:tab w:val="num" w:pos="5070"/>
        </w:tabs>
        <w:ind w:left="5070" w:hanging="360"/>
      </w:pPr>
    </w:lvl>
    <w:lvl w:ilvl="7" w:tplc="04090019">
      <w:start w:val="1"/>
      <w:numFmt w:val="lowerLetter"/>
      <w:lvlText w:val="%8."/>
      <w:lvlJc w:val="left"/>
      <w:pPr>
        <w:tabs>
          <w:tab w:val="num" w:pos="5790"/>
        </w:tabs>
        <w:ind w:left="5790" w:hanging="360"/>
      </w:pPr>
    </w:lvl>
    <w:lvl w:ilvl="8" w:tplc="0409001B">
      <w:start w:val="1"/>
      <w:numFmt w:val="lowerRoman"/>
      <w:lvlText w:val="%9."/>
      <w:lvlJc w:val="right"/>
      <w:pPr>
        <w:tabs>
          <w:tab w:val="num" w:pos="6510"/>
        </w:tabs>
        <w:ind w:left="6510" w:hanging="180"/>
      </w:pPr>
    </w:lvl>
  </w:abstractNum>
  <w:num w:numId="1" w16cid:durableId="838236379">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48563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0DF6"/>
    <w:rsid w:val="000E43E0"/>
    <w:rsid w:val="001D1DDE"/>
    <w:rsid w:val="0030743F"/>
    <w:rsid w:val="003A10CA"/>
    <w:rsid w:val="003D4066"/>
    <w:rsid w:val="004058EB"/>
    <w:rsid w:val="00536228"/>
    <w:rsid w:val="006D594F"/>
    <w:rsid w:val="00707560"/>
    <w:rsid w:val="009D0DF6"/>
    <w:rsid w:val="009E3EF3"/>
    <w:rsid w:val="00A1451E"/>
    <w:rsid w:val="00A255D0"/>
    <w:rsid w:val="00AB3FCE"/>
    <w:rsid w:val="00FD1E19"/>
    <w:rsid w:val="00FE7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5BCB2556"/>
  <w15:chartTrackingRefBased/>
  <w15:docId w15:val="{FD178A4F-AD18-47BF-AB6E-E9FFCCF7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0DF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D0DF6"/>
    <w:pPr>
      <w:tabs>
        <w:tab w:val="center" w:pos="4153"/>
        <w:tab w:val="right" w:pos="8306"/>
      </w:tabs>
    </w:pPr>
  </w:style>
  <w:style w:type="paragraph" w:styleId="a4">
    <w:name w:val="footer"/>
    <w:basedOn w:val="a"/>
    <w:rsid w:val="009D0DF6"/>
    <w:pPr>
      <w:tabs>
        <w:tab w:val="center" w:pos="4153"/>
        <w:tab w:val="right" w:pos="8306"/>
      </w:tabs>
    </w:pPr>
  </w:style>
  <w:style w:type="character" w:styleId="a5">
    <w:name w:val="page number"/>
    <w:basedOn w:val="a0"/>
    <w:rsid w:val="009D0DF6"/>
  </w:style>
  <w:style w:type="character" w:styleId="a6">
    <w:name w:val="line number"/>
    <w:rsid w:val="009D0DF6"/>
    <w:rPr>
      <w:rFonts w:cs="Arial"/>
      <w:szCs w:val="20"/>
    </w:rPr>
  </w:style>
  <w:style w:type="paragraph" w:customStyle="1" w:styleId="12">
    <w:name w:val="רגיל + ‏12 נק'"/>
    <w:aliases w:val="מיושר לשני הצדדים,מרווח בין שורות:  שורה וחצי"/>
    <w:basedOn w:val="a"/>
    <w:rsid w:val="009D0DF6"/>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9D0DF6"/>
    <w:pPr>
      <w:spacing w:line="360" w:lineRule="auto"/>
      <w:jc w:val="both"/>
    </w:pPr>
    <w:rPr>
      <w:rFonts w:ascii="Times New Roman" w:eastAsia="Times New Roman" w:hAnsi="Times New Roman"/>
    </w:rPr>
  </w:style>
  <w:style w:type="paragraph" w:customStyle="1" w:styleId="P00">
    <w:name w:val="P00"/>
    <w:rsid w:val="009D0DF6"/>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default">
    <w:name w:val="default"/>
    <w:rsid w:val="009D0DF6"/>
    <w:rPr>
      <w:rFonts w:ascii="Times New Roman" w:hAnsi="Times New Roman" w:cs="Times New Roman" w:hint="default"/>
      <w:sz w:val="26"/>
      <w:szCs w:val="26"/>
    </w:rPr>
  </w:style>
  <w:style w:type="character" w:styleId="Hyperlink">
    <w:name w:val="Hyperlink"/>
    <w:rsid w:val="00AB3F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407" TargetMode="External"/><Relationship Id="rId26" Type="http://schemas.openxmlformats.org/officeDocument/2006/relationships/hyperlink" Target="http://www.nevo.co.il/case/5859978" TargetMode="External"/><Relationship Id="rId21" Type="http://schemas.openxmlformats.org/officeDocument/2006/relationships/hyperlink" Target="http://www.nevo.co.il/law/70301/144.a"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408" TargetMode="External"/><Relationship Id="rId17" Type="http://schemas.openxmlformats.org/officeDocument/2006/relationships/hyperlink" Target="http://www.nevo.co.il/law/70301/408" TargetMode="External"/><Relationship Id="rId25" Type="http://schemas.openxmlformats.org/officeDocument/2006/relationships/hyperlink" Target="http://www.nevo.co.il/case/5585940"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499.a.1" TargetMode="External"/><Relationship Id="rId20" Type="http://schemas.openxmlformats.org/officeDocument/2006/relationships/hyperlink" Target="http://www.nevo.co.il/law/70301/413d.b"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7" TargetMode="External"/><Relationship Id="rId24" Type="http://schemas.openxmlformats.org/officeDocument/2006/relationships/hyperlink" Target="http://www.nevo.co.il/case/5777967"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99.a.1" TargetMode="External"/><Relationship Id="rId23" Type="http://schemas.openxmlformats.org/officeDocument/2006/relationships/hyperlink" Target="http://www.nevo.co.il/case/6080497" TargetMode="External"/><Relationship Id="rId28" Type="http://schemas.openxmlformats.org/officeDocument/2006/relationships/hyperlink" Target="http://www.nevo.co.il/law/70301/40i" TargetMode="External"/><Relationship Id="rId36" Type="http://schemas.openxmlformats.org/officeDocument/2006/relationships/fontTable" Target="fontTable.xml"/><Relationship Id="rId10" Type="http://schemas.openxmlformats.org/officeDocument/2006/relationships/hyperlink" Target="http://www.nevo.co.il/law/70301/144.a" TargetMode="External"/><Relationship Id="rId19" Type="http://schemas.openxmlformats.org/officeDocument/2006/relationships/hyperlink" Target="http://www.nevo.co.il/law/70301/25" TargetMode="External"/><Relationship Id="rId31" Type="http://schemas.openxmlformats.org/officeDocument/2006/relationships/hyperlink" Target="http://www.nevo.co.il/case/4650878"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413d.b"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238560" TargetMode="External"/><Relationship Id="rId30" Type="http://schemas.openxmlformats.org/officeDocument/2006/relationships/hyperlink" Target="http://www.nevo.co.il/law/70301/40ja" TargetMode="External"/><Relationship Id="rId35" Type="http://schemas.openxmlformats.org/officeDocument/2006/relationships/footer" Target="footer2.xml"/><Relationship Id="rId8" Type="http://schemas.openxmlformats.org/officeDocument/2006/relationships/hyperlink" Target="http://www.nevo.co.il/law/70301/25"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2273</Words>
  <Characters>11370</Characters>
  <Application>Microsoft Office Word</Application>
  <DocSecurity>0</DocSecurity>
  <Lines>94</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13616</CharactersWithSpaces>
  <SharedDoc>false</SharedDoc>
  <HLinks>
    <vt:vector size="150" baseType="variant">
      <vt:variant>
        <vt:i4>3211381</vt:i4>
      </vt:variant>
      <vt:variant>
        <vt:i4>72</vt:i4>
      </vt:variant>
      <vt:variant>
        <vt:i4>0</vt:i4>
      </vt:variant>
      <vt:variant>
        <vt:i4>5</vt:i4>
      </vt:variant>
      <vt:variant>
        <vt:lpwstr>http://www.nevo.co.il/case/4650878</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3407992</vt:i4>
      </vt:variant>
      <vt:variant>
        <vt:i4>60</vt:i4>
      </vt:variant>
      <vt:variant>
        <vt:i4>0</vt:i4>
      </vt:variant>
      <vt:variant>
        <vt:i4>5</vt:i4>
      </vt:variant>
      <vt:variant>
        <vt:lpwstr>http://www.nevo.co.il/case/2238560</vt:lpwstr>
      </vt:variant>
      <vt:variant>
        <vt:lpwstr/>
      </vt:variant>
      <vt:variant>
        <vt:i4>3211378</vt:i4>
      </vt:variant>
      <vt:variant>
        <vt:i4>57</vt:i4>
      </vt:variant>
      <vt:variant>
        <vt:i4>0</vt:i4>
      </vt:variant>
      <vt:variant>
        <vt:i4>5</vt:i4>
      </vt:variant>
      <vt:variant>
        <vt:lpwstr>http://www.nevo.co.il/case/5859978</vt:lpwstr>
      </vt:variant>
      <vt:variant>
        <vt:lpwstr/>
      </vt:variant>
      <vt:variant>
        <vt:i4>3407984</vt:i4>
      </vt:variant>
      <vt:variant>
        <vt:i4>54</vt:i4>
      </vt:variant>
      <vt:variant>
        <vt:i4>0</vt:i4>
      </vt:variant>
      <vt:variant>
        <vt:i4>5</vt:i4>
      </vt:variant>
      <vt:variant>
        <vt:lpwstr>http://www.nevo.co.il/case/5585940</vt:lpwstr>
      </vt:variant>
      <vt:variant>
        <vt:lpwstr/>
      </vt:variant>
      <vt:variant>
        <vt:i4>3932274</vt:i4>
      </vt:variant>
      <vt:variant>
        <vt:i4>51</vt:i4>
      </vt:variant>
      <vt:variant>
        <vt:i4>0</vt:i4>
      </vt:variant>
      <vt:variant>
        <vt:i4>5</vt:i4>
      </vt:variant>
      <vt:variant>
        <vt:lpwstr>http://www.nevo.co.il/case/5777967</vt:lpwstr>
      </vt:variant>
      <vt:variant>
        <vt:lpwstr/>
      </vt:variant>
      <vt:variant>
        <vt:i4>3997821</vt:i4>
      </vt:variant>
      <vt:variant>
        <vt:i4>48</vt:i4>
      </vt:variant>
      <vt:variant>
        <vt:i4>0</vt:i4>
      </vt:variant>
      <vt:variant>
        <vt:i4>5</vt:i4>
      </vt:variant>
      <vt:variant>
        <vt:lpwstr>http://www.nevo.co.il/case/6080497</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6422652</vt:i4>
      </vt:variant>
      <vt:variant>
        <vt:i4>39</vt:i4>
      </vt:variant>
      <vt:variant>
        <vt:i4>0</vt:i4>
      </vt:variant>
      <vt:variant>
        <vt:i4>5</vt:i4>
      </vt:variant>
      <vt:variant>
        <vt:lpwstr>http://www.nevo.co.il/law/70301/413d.b</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6619233</vt:i4>
      </vt:variant>
      <vt:variant>
        <vt:i4>33</vt:i4>
      </vt:variant>
      <vt:variant>
        <vt:i4>0</vt:i4>
      </vt:variant>
      <vt:variant>
        <vt:i4>5</vt:i4>
      </vt:variant>
      <vt:variant>
        <vt:lpwstr>http://www.nevo.co.il/law/70301/407</vt:lpwstr>
      </vt:variant>
      <vt:variant>
        <vt:lpwstr/>
      </vt:variant>
      <vt:variant>
        <vt:i4>6619233</vt:i4>
      </vt:variant>
      <vt:variant>
        <vt:i4>30</vt:i4>
      </vt:variant>
      <vt:variant>
        <vt:i4>0</vt:i4>
      </vt:variant>
      <vt:variant>
        <vt:i4>5</vt:i4>
      </vt:variant>
      <vt:variant>
        <vt:lpwstr>http://www.nevo.co.il/law/70301/408</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6422652</vt:i4>
      </vt:variant>
      <vt:variant>
        <vt:i4>21</vt:i4>
      </vt:variant>
      <vt:variant>
        <vt:i4>0</vt:i4>
      </vt:variant>
      <vt:variant>
        <vt:i4>5</vt:i4>
      </vt:variant>
      <vt:variant>
        <vt:lpwstr>http://www.nevo.co.il/law/70301/413d.b</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http://www.nevo.co.il/law/70301/408</vt:lpwstr>
      </vt:variant>
      <vt:variant>
        <vt:lpwstr/>
      </vt:variant>
      <vt:variant>
        <vt:i4>6619233</vt:i4>
      </vt:variant>
      <vt:variant>
        <vt:i4>12</vt:i4>
      </vt:variant>
      <vt:variant>
        <vt:i4>0</vt:i4>
      </vt:variant>
      <vt:variant>
        <vt:i4>5</vt:i4>
      </vt:variant>
      <vt:variant>
        <vt:lpwstr>http://www.nevo.co.il/law/70301/407</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2025-04-25T10:30:00Z</dcterms:created>
  <dcterms:modified xsi:type="dcterms:W3CDTF">2025-04-25T10:30:00Z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530</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אלכסיי קובלבסקי;דניס שוורצפל</vt:lpwstr>
  </property>
  <property fmtid="{D5CDD505-2E9C-101B-9397-08002B2CF9AE}" pid="10" name="LAWYER">
    <vt:lpwstr>עודד קלר;קטי צווטקוב;אייל שמחוני</vt:lpwstr>
  </property>
  <property fmtid="{D5CDD505-2E9C-101B-9397-08002B2CF9AE}" pid="11" name="JUDGE">
    <vt:lpwstr>יעקב שפסר</vt:lpwstr>
  </property>
  <property fmtid="{D5CDD505-2E9C-101B-9397-08002B2CF9AE}" pid="12" name="CITY">
    <vt:lpwstr>מרכז</vt:lpwstr>
  </property>
  <property fmtid="{D5CDD505-2E9C-101B-9397-08002B2CF9AE}" pid="13" name="DATE">
    <vt:lpwstr>20131125</vt:lpwstr>
  </property>
  <property fmtid="{D5CDD505-2E9C-101B-9397-08002B2CF9AE}" pid="14" name="TYPE_N_DATE">
    <vt:lpwstr>39020131125</vt:lpwstr>
  </property>
  <property fmtid="{D5CDD505-2E9C-101B-9397-08002B2CF9AE}" pid="15" name="WORDNUMPAGES">
    <vt:lpwstr>8</vt:lpwstr>
  </property>
  <property fmtid="{D5CDD505-2E9C-101B-9397-08002B2CF9AE}" pid="16" name="TYPE_ABS_DATE">
    <vt:lpwstr>390020131125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6080497;5777967;5585940;5859978;2238560;4650878</vt:lpwstr>
  </property>
  <property fmtid="{D5CDD505-2E9C-101B-9397-08002B2CF9AE}" pid="36" name="LAWLISTTMP1">
    <vt:lpwstr>70301/499.a.1;408;407;025;413d.b;144.a;040i;40ja</vt:lpwstr>
  </property>
</Properties>
</file>