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6150E6" w:rsidRPr="00BB43A3" w14:paraId="712D9E1D" w14:textId="77777777">
        <w:trPr>
          <w:trHeight w:hRule="exact" w:val="418"/>
          <w:jc w:val="center"/>
        </w:trPr>
        <w:tc>
          <w:tcPr>
            <w:tcW w:w="8721" w:type="dxa"/>
            <w:gridSpan w:val="2"/>
          </w:tcPr>
          <w:p w14:paraId="6B673372" w14:textId="77777777" w:rsidR="006150E6" w:rsidRPr="00BB43A3" w:rsidRDefault="00BB43A3">
            <w:pPr>
              <w:pStyle w:val="a3"/>
              <w:jc w:val="center"/>
              <w:rPr>
                <w:rFonts w:ascii="Tahoma" w:hAnsi="Tahoma" w:cs="Tahoma"/>
                <w:color w:val="000080"/>
                <w:rtl/>
              </w:rPr>
            </w:pPr>
            <w:r w:rsidRPr="00BB43A3">
              <w:rPr>
                <w:rFonts w:ascii="Tahoma" w:hAnsi="Tahoma" w:cs="Tahoma"/>
                <w:b/>
                <w:bCs/>
                <w:color w:val="000080"/>
                <w:rtl/>
              </w:rPr>
              <w:t>בית המשפט המחוזי בחיפה</w:t>
            </w:r>
          </w:p>
        </w:tc>
      </w:tr>
      <w:tr w:rsidR="006150E6" w:rsidRPr="00BB43A3" w14:paraId="097B2B1D" w14:textId="77777777">
        <w:trPr>
          <w:trHeight w:val="337"/>
          <w:jc w:val="center"/>
        </w:trPr>
        <w:tc>
          <w:tcPr>
            <w:tcW w:w="5054" w:type="dxa"/>
          </w:tcPr>
          <w:p w14:paraId="7E17A88E" w14:textId="77777777" w:rsidR="006150E6" w:rsidRPr="00BB43A3" w:rsidRDefault="00BB43A3">
            <w:pPr>
              <w:rPr>
                <w:sz w:val="26"/>
                <w:szCs w:val="26"/>
                <w:rtl/>
              </w:rPr>
            </w:pPr>
            <w:r w:rsidRPr="00BB43A3">
              <w:rPr>
                <w:sz w:val="26"/>
                <w:szCs w:val="26"/>
                <w:rtl/>
              </w:rPr>
              <w:t>תפ"ח</w:t>
            </w:r>
            <w:r w:rsidRPr="00BB43A3">
              <w:rPr>
                <w:rFonts w:hint="cs"/>
                <w:sz w:val="26"/>
                <w:szCs w:val="26"/>
                <w:rtl/>
              </w:rPr>
              <w:t xml:space="preserve"> </w:t>
            </w:r>
            <w:r w:rsidRPr="00BB43A3">
              <w:rPr>
                <w:sz w:val="26"/>
                <w:szCs w:val="26"/>
                <w:rtl/>
              </w:rPr>
              <w:t>55800-02-13</w:t>
            </w:r>
            <w:r w:rsidRPr="00BB43A3">
              <w:rPr>
                <w:rFonts w:hint="cs"/>
                <w:sz w:val="26"/>
                <w:szCs w:val="26"/>
                <w:rtl/>
              </w:rPr>
              <w:t xml:space="preserve"> </w:t>
            </w:r>
            <w:r w:rsidRPr="00BB43A3">
              <w:rPr>
                <w:sz w:val="26"/>
                <w:szCs w:val="26"/>
                <w:rtl/>
              </w:rPr>
              <w:t>מדינת ישראל נ' סלמאן</w:t>
            </w:r>
          </w:p>
          <w:p w14:paraId="6CAA50AF" w14:textId="77777777" w:rsidR="006150E6" w:rsidRPr="00BB43A3" w:rsidRDefault="006150E6">
            <w:pPr>
              <w:pStyle w:val="a3"/>
              <w:rPr>
                <w:sz w:val="26"/>
                <w:szCs w:val="26"/>
                <w:rtl/>
              </w:rPr>
            </w:pPr>
          </w:p>
        </w:tc>
        <w:tc>
          <w:tcPr>
            <w:tcW w:w="3667" w:type="dxa"/>
          </w:tcPr>
          <w:p w14:paraId="5CE64894" w14:textId="77777777" w:rsidR="006150E6" w:rsidRPr="00BB43A3" w:rsidRDefault="006150E6">
            <w:pPr>
              <w:pStyle w:val="a3"/>
              <w:jc w:val="right"/>
              <w:rPr>
                <w:sz w:val="26"/>
                <w:szCs w:val="26"/>
                <w:rtl/>
              </w:rPr>
            </w:pPr>
          </w:p>
        </w:tc>
      </w:tr>
    </w:tbl>
    <w:p w14:paraId="5531A6BD" w14:textId="77777777" w:rsidR="006150E6" w:rsidRPr="00BB43A3" w:rsidRDefault="00BB43A3">
      <w:pPr>
        <w:pStyle w:val="a3"/>
        <w:rPr>
          <w:rtl/>
        </w:rPr>
      </w:pPr>
      <w:r w:rsidRPr="00BB43A3">
        <w:rPr>
          <w:rFonts w:hint="cs"/>
          <w:rtl/>
        </w:rPr>
        <w:t xml:space="preserve"> </w:t>
      </w:r>
    </w:p>
    <w:p w14:paraId="6CD68B21" w14:textId="77777777" w:rsidR="006150E6" w:rsidRPr="00BB43A3" w:rsidRDefault="006150E6">
      <w:pPr>
        <w:rPr>
          <w:rtl/>
        </w:rPr>
      </w:pPr>
    </w:p>
    <w:tbl>
      <w:tblPr>
        <w:bidiVisual/>
        <w:tblW w:w="8802" w:type="dxa"/>
        <w:tblInd w:w="-28" w:type="dxa"/>
        <w:tblLook w:val="01E0" w:firstRow="1" w:lastRow="1" w:firstColumn="1" w:lastColumn="1" w:noHBand="0" w:noVBand="0"/>
      </w:tblPr>
      <w:tblGrid>
        <w:gridCol w:w="2880"/>
        <w:gridCol w:w="5839"/>
        <w:gridCol w:w="83"/>
      </w:tblGrid>
      <w:tr w:rsidR="006150E6" w:rsidRPr="00BB43A3" w14:paraId="1BD5CCA1" w14:textId="77777777">
        <w:trPr>
          <w:gridAfter w:val="1"/>
          <w:wAfter w:w="55" w:type="dxa"/>
        </w:trPr>
        <w:tc>
          <w:tcPr>
            <w:tcW w:w="8719" w:type="dxa"/>
            <w:gridSpan w:val="2"/>
          </w:tcPr>
          <w:p w14:paraId="7DA47575" w14:textId="77777777" w:rsidR="006150E6" w:rsidRPr="00BB43A3" w:rsidRDefault="00BB43A3">
            <w:pPr>
              <w:spacing w:line="360" w:lineRule="auto"/>
              <w:rPr>
                <w:b/>
                <w:bCs/>
                <w:sz w:val="26"/>
                <w:szCs w:val="26"/>
                <w:rtl/>
              </w:rPr>
            </w:pPr>
            <w:bookmarkStart w:id="0" w:name="_GoBack"/>
            <w:bookmarkEnd w:id="0"/>
            <w:r w:rsidRPr="00BB43A3">
              <w:rPr>
                <w:rFonts w:hint="cs"/>
                <w:b/>
                <w:bCs/>
                <w:sz w:val="26"/>
                <w:szCs w:val="26"/>
                <w:rtl/>
              </w:rPr>
              <w:t>בפני הרכב כב' השופטים:</w:t>
            </w:r>
          </w:p>
          <w:p w14:paraId="293B0F1A" w14:textId="77777777" w:rsidR="006150E6" w:rsidRPr="00BB43A3" w:rsidRDefault="00BB43A3">
            <w:pPr>
              <w:spacing w:line="360" w:lineRule="auto"/>
              <w:rPr>
                <w:b/>
                <w:bCs/>
                <w:sz w:val="26"/>
                <w:szCs w:val="26"/>
                <w:rtl/>
              </w:rPr>
            </w:pPr>
            <w:r w:rsidRPr="00BB43A3">
              <w:rPr>
                <w:rFonts w:hint="cs"/>
                <w:b/>
                <w:bCs/>
                <w:sz w:val="26"/>
                <w:szCs w:val="26"/>
                <w:rtl/>
              </w:rPr>
              <w:t>מ. גלעד [אב"ד]</w:t>
            </w:r>
          </w:p>
          <w:p w14:paraId="59BF2D30" w14:textId="77777777" w:rsidR="006150E6" w:rsidRPr="00BB43A3" w:rsidRDefault="00BB43A3">
            <w:pPr>
              <w:spacing w:line="360" w:lineRule="auto"/>
              <w:rPr>
                <w:b/>
                <w:bCs/>
                <w:sz w:val="26"/>
                <w:szCs w:val="26"/>
                <w:rtl/>
              </w:rPr>
            </w:pPr>
            <w:r w:rsidRPr="00BB43A3">
              <w:rPr>
                <w:rFonts w:hint="cs"/>
                <w:b/>
                <w:bCs/>
                <w:sz w:val="26"/>
                <w:szCs w:val="26"/>
                <w:rtl/>
              </w:rPr>
              <w:t>ר. פוקס</w:t>
            </w:r>
          </w:p>
          <w:p w14:paraId="163574FD" w14:textId="77777777" w:rsidR="006150E6" w:rsidRPr="00BB43A3" w:rsidRDefault="00BB43A3">
            <w:pPr>
              <w:spacing w:line="480" w:lineRule="auto"/>
              <w:rPr>
                <w:b/>
                <w:bCs/>
                <w:sz w:val="26"/>
                <w:szCs w:val="26"/>
              </w:rPr>
            </w:pPr>
            <w:r w:rsidRPr="00BB43A3">
              <w:rPr>
                <w:rFonts w:hint="cs"/>
                <w:b/>
                <w:bCs/>
                <w:sz w:val="26"/>
                <w:szCs w:val="26"/>
                <w:rtl/>
              </w:rPr>
              <w:t>ד. פיש</w:t>
            </w:r>
          </w:p>
        </w:tc>
      </w:tr>
      <w:tr w:rsidR="006150E6" w:rsidRPr="00BB43A3" w14:paraId="0EB7424A" w14:textId="77777777">
        <w:tc>
          <w:tcPr>
            <w:tcW w:w="2880" w:type="dxa"/>
          </w:tcPr>
          <w:p w14:paraId="7417F13C" w14:textId="77777777" w:rsidR="006150E6" w:rsidRPr="00BB43A3" w:rsidRDefault="00BB43A3">
            <w:pPr>
              <w:ind w:left="26"/>
              <w:rPr>
                <w:b/>
                <w:bCs/>
                <w:sz w:val="26"/>
                <w:szCs w:val="26"/>
              </w:rPr>
            </w:pPr>
            <w:bookmarkStart w:id="1" w:name="FirstAppellant"/>
            <w:bookmarkStart w:id="2" w:name="FirstLawyer"/>
            <w:bookmarkStart w:id="3" w:name="LastJudge"/>
            <w:bookmarkEnd w:id="3"/>
            <w:r w:rsidRPr="00BB43A3">
              <w:rPr>
                <w:rFonts w:hint="cs"/>
                <w:b/>
                <w:bCs/>
                <w:sz w:val="26"/>
                <w:szCs w:val="26"/>
                <w:rtl/>
              </w:rPr>
              <w:t>ה</w:t>
            </w:r>
            <w:r w:rsidRPr="00BB43A3">
              <w:rPr>
                <w:rFonts w:hint="cs"/>
                <w:rtl/>
              </w:rPr>
              <w:t>מאשימה</w:t>
            </w:r>
          </w:p>
        </w:tc>
        <w:tc>
          <w:tcPr>
            <w:tcW w:w="5922" w:type="dxa"/>
            <w:gridSpan w:val="2"/>
          </w:tcPr>
          <w:p w14:paraId="558E8634" w14:textId="77777777" w:rsidR="006150E6" w:rsidRPr="00BB43A3" w:rsidRDefault="00BB43A3">
            <w:pPr>
              <w:rPr>
                <w:rtl/>
              </w:rPr>
            </w:pPr>
            <w:r w:rsidRPr="00BB43A3">
              <w:rPr>
                <w:rFonts w:hint="cs"/>
                <w:rtl/>
              </w:rPr>
              <w:t>מדינת ישראל</w:t>
            </w:r>
          </w:p>
          <w:p w14:paraId="57BF5906" w14:textId="77777777" w:rsidR="006150E6" w:rsidRPr="00BB43A3" w:rsidRDefault="00BB43A3">
            <w:pPr>
              <w:rPr>
                <w:b/>
                <w:bCs/>
                <w:rtl/>
              </w:rPr>
            </w:pPr>
            <w:r w:rsidRPr="00BB43A3">
              <w:rPr>
                <w:rFonts w:hint="cs"/>
                <w:b/>
                <w:bCs/>
                <w:rtl/>
              </w:rPr>
              <w:t>באמצעות פרקליטות מחוז חיפה - פלילי</w:t>
            </w:r>
          </w:p>
          <w:p w14:paraId="62C716BE" w14:textId="77777777" w:rsidR="006150E6" w:rsidRPr="00BB43A3" w:rsidRDefault="00BB43A3">
            <w:pPr>
              <w:rPr>
                <w:b/>
                <w:bCs/>
                <w:sz w:val="26"/>
                <w:szCs w:val="26"/>
                <w:rtl/>
              </w:rPr>
            </w:pPr>
            <w:r w:rsidRPr="00BB43A3">
              <w:rPr>
                <w:rFonts w:hint="cs"/>
                <w:b/>
                <w:bCs/>
                <w:rtl/>
              </w:rPr>
              <w:t>ע"י ב"כ עו"ד גב' מירה רווה</w:t>
            </w:r>
          </w:p>
          <w:p w14:paraId="0AC04F84" w14:textId="77777777" w:rsidR="006150E6" w:rsidRPr="00BB43A3" w:rsidRDefault="006150E6">
            <w:pPr>
              <w:rPr>
                <w:b/>
                <w:bCs/>
                <w:sz w:val="26"/>
                <w:szCs w:val="26"/>
              </w:rPr>
            </w:pPr>
          </w:p>
        </w:tc>
      </w:tr>
      <w:bookmarkEnd w:id="1"/>
      <w:bookmarkEnd w:id="2"/>
      <w:tr w:rsidR="006150E6" w:rsidRPr="00BB43A3" w14:paraId="08CE694A" w14:textId="77777777">
        <w:tc>
          <w:tcPr>
            <w:tcW w:w="8802" w:type="dxa"/>
            <w:gridSpan w:val="3"/>
          </w:tcPr>
          <w:p w14:paraId="2776C15D" w14:textId="77777777" w:rsidR="006150E6" w:rsidRPr="00BB43A3" w:rsidRDefault="006150E6">
            <w:pPr>
              <w:jc w:val="both"/>
              <w:rPr>
                <w:rFonts w:ascii="Arial" w:hAnsi="Arial"/>
                <w:b/>
                <w:bCs/>
                <w:sz w:val="26"/>
                <w:szCs w:val="26"/>
                <w:rtl/>
              </w:rPr>
            </w:pPr>
          </w:p>
          <w:p w14:paraId="11E4D445" w14:textId="77777777" w:rsidR="006150E6" w:rsidRPr="00BB43A3" w:rsidRDefault="00BB43A3">
            <w:pPr>
              <w:jc w:val="center"/>
              <w:rPr>
                <w:rFonts w:ascii="Arial" w:hAnsi="Arial"/>
                <w:b/>
                <w:bCs/>
                <w:sz w:val="26"/>
                <w:szCs w:val="26"/>
                <w:rtl/>
              </w:rPr>
            </w:pPr>
            <w:r w:rsidRPr="00BB43A3">
              <w:rPr>
                <w:rFonts w:ascii="Arial" w:hAnsi="Arial" w:hint="cs"/>
                <w:b/>
                <w:bCs/>
                <w:sz w:val="26"/>
                <w:szCs w:val="26"/>
                <w:rtl/>
              </w:rPr>
              <w:t>נגד</w:t>
            </w:r>
          </w:p>
          <w:p w14:paraId="12B0197C" w14:textId="77777777" w:rsidR="006150E6" w:rsidRPr="00BB43A3" w:rsidRDefault="006150E6">
            <w:pPr>
              <w:jc w:val="center"/>
              <w:rPr>
                <w:rFonts w:ascii="Arial" w:hAnsi="Arial"/>
                <w:b/>
                <w:bCs/>
                <w:sz w:val="26"/>
                <w:szCs w:val="26"/>
              </w:rPr>
            </w:pPr>
          </w:p>
        </w:tc>
      </w:tr>
      <w:tr w:rsidR="006150E6" w:rsidRPr="00BB43A3" w14:paraId="6B6ECE26" w14:textId="77777777">
        <w:tc>
          <w:tcPr>
            <w:tcW w:w="2880" w:type="dxa"/>
          </w:tcPr>
          <w:p w14:paraId="71A9FB0B" w14:textId="77777777" w:rsidR="006150E6" w:rsidRPr="00BB43A3" w:rsidRDefault="00BB43A3">
            <w:pPr>
              <w:ind w:left="26"/>
              <w:rPr>
                <w:b/>
                <w:bCs/>
                <w:sz w:val="26"/>
                <w:szCs w:val="26"/>
              </w:rPr>
            </w:pPr>
            <w:r w:rsidRPr="00BB43A3">
              <w:rPr>
                <w:rFonts w:hint="cs"/>
                <w:b/>
                <w:bCs/>
                <w:sz w:val="26"/>
                <w:szCs w:val="26"/>
                <w:rtl/>
              </w:rPr>
              <w:t>ה</w:t>
            </w:r>
            <w:r w:rsidRPr="00BB43A3">
              <w:rPr>
                <w:rFonts w:hint="cs"/>
                <w:rtl/>
              </w:rPr>
              <w:t>נאשם</w:t>
            </w:r>
          </w:p>
        </w:tc>
        <w:tc>
          <w:tcPr>
            <w:tcW w:w="5922" w:type="dxa"/>
            <w:gridSpan w:val="2"/>
          </w:tcPr>
          <w:p w14:paraId="2110D9EC" w14:textId="77777777" w:rsidR="006150E6" w:rsidRPr="00BB43A3" w:rsidRDefault="00BB43A3">
            <w:pPr>
              <w:rPr>
                <w:rtl/>
              </w:rPr>
            </w:pPr>
            <w:r w:rsidRPr="00BB43A3">
              <w:rPr>
                <w:rFonts w:hint="cs"/>
                <w:rtl/>
              </w:rPr>
              <w:t>ראגב סלמאן, ת"ז 305244139</w:t>
            </w:r>
          </w:p>
          <w:p w14:paraId="1E84EF34" w14:textId="77777777" w:rsidR="006150E6" w:rsidRPr="00BB43A3" w:rsidRDefault="00BB43A3">
            <w:pPr>
              <w:rPr>
                <w:b/>
                <w:bCs/>
                <w:sz w:val="26"/>
                <w:szCs w:val="26"/>
                <w:rtl/>
              </w:rPr>
            </w:pPr>
            <w:r w:rsidRPr="00BB43A3">
              <w:rPr>
                <w:rFonts w:hint="cs"/>
                <w:b/>
                <w:bCs/>
                <w:rtl/>
              </w:rPr>
              <w:t>ע"י ב"כ עוה"ד משה שרמן וזידאן מטאנס</w:t>
            </w:r>
          </w:p>
          <w:p w14:paraId="6CD967C4" w14:textId="77777777" w:rsidR="006150E6" w:rsidRPr="00BB43A3" w:rsidRDefault="006150E6">
            <w:pPr>
              <w:rPr>
                <w:b/>
                <w:bCs/>
                <w:sz w:val="26"/>
                <w:szCs w:val="26"/>
              </w:rPr>
            </w:pPr>
          </w:p>
        </w:tc>
      </w:tr>
    </w:tbl>
    <w:p w14:paraId="14E78311" w14:textId="77777777" w:rsidR="00144147" w:rsidRDefault="00144147">
      <w:pPr>
        <w:rPr>
          <w:rtl/>
        </w:rPr>
      </w:pPr>
      <w:bookmarkStart w:id="4" w:name="LawTable"/>
    </w:p>
    <w:p w14:paraId="109BCF03" w14:textId="77777777" w:rsidR="00144147" w:rsidRPr="00144147" w:rsidRDefault="00144147" w:rsidP="00144147">
      <w:pPr>
        <w:spacing w:after="120" w:line="240" w:lineRule="exact"/>
        <w:ind w:left="283" w:hanging="283"/>
        <w:jc w:val="both"/>
        <w:rPr>
          <w:rFonts w:ascii="FrankRuehl" w:hAnsi="FrankRuehl" w:cs="FrankRuehl"/>
          <w:rtl/>
        </w:rPr>
      </w:pPr>
    </w:p>
    <w:p w14:paraId="44616388" w14:textId="77777777" w:rsidR="00144147" w:rsidRPr="00144147" w:rsidRDefault="00144147" w:rsidP="00144147">
      <w:pPr>
        <w:spacing w:after="120" w:line="240" w:lineRule="exact"/>
        <w:ind w:left="283" w:hanging="283"/>
        <w:jc w:val="both"/>
        <w:rPr>
          <w:rFonts w:ascii="FrankRuehl" w:hAnsi="FrankRuehl" w:cs="FrankRuehl"/>
          <w:rtl/>
        </w:rPr>
      </w:pPr>
      <w:r w:rsidRPr="00144147">
        <w:rPr>
          <w:rFonts w:ascii="FrankRuehl" w:hAnsi="FrankRuehl" w:cs="FrankRuehl"/>
          <w:rtl/>
        </w:rPr>
        <w:t xml:space="preserve">חקיקה שאוזכרה: </w:t>
      </w:r>
    </w:p>
    <w:p w14:paraId="67343025" w14:textId="77777777" w:rsidR="00144147" w:rsidRPr="00144147" w:rsidRDefault="00144147" w:rsidP="00144147">
      <w:pPr>
        <w:spacing w:after="120" w:line="240" w:lineRule="exact"/>
        <w:ind w:left="283" w:hanging="283"/>
        <w:jc w:val="both"/>
        <w:rPr>
          <w:rFonts w:ascii="FrankRuehl" w:hAnsi="FrankRuehl" w:cs="FrankRuehl"/>
          <w:rtl/>
        </w:rPr>
      </w:pPr>
      <w:hyperlink r:id="rId6" w:history="1">
        <w:r w:rsidRPr="00144147">
          <w:rPr>
            <w:rFonts w:ascii="FrankRuehl" w:hAnsi="FrankRuehl" w:cs="FrankRuehl"/>
            <w:color w:val="0000FF"/>
            <w:u w:val="single"/>
            <w:rtl/>
          </w:rPr>
          <w:t>חוק העונשין, תשל"ז-1977</w:t>
        </w:r>
      </w:hyperlink>
      <w:r w:rsidRPr="00144147">
        <w:rPr>
          <w:rFonts w:ascii="FrankRuehl" w:hAnsi="FrankRuehl" w:cs="FrankRuehl"/>
          <w:rtl/>
        </w:rPr>
        <w:t xml:space="preserve">: סע'  </w:t>
      </w:r>
      <w:hyperlink r:id="rId7" w:history="1">
        <w:r w:rsidRPr="00144147">
          <w:rPr>
            <w:rFonts w:ascii="FrankRuehl" w:hAnsi="FrankRuehl" w:cs="FrankRuehl"/>
            <w:color w:val="0000FF"/>
            <w:u w:val="single"/>
            <w:rtl/>
          </w:rPr>
          <w:t>77</w:t>
        </w:r>
      </w:hyperlink>
      <w:r w:rsidRPr="00144147">
        <w:rPr>
          <w:rFonts w:ascii="FrankRuehl" w:hAnsi="FrankRuehl" w:cs="FrankRuehl"/>
          <w:rtl/>
        </w:rPr>
        <w:t xml:space="preserve">, </w:t>
      </w:r>
      <w:hyperlink r:id="rId8" w:history="1">
        <w:r w:rsidRPr="00144147">
          <w:rPr>
            <w:rFonts w:ascii="FrankRuehl" w:hAnsi="FrankRuehl" w:cs="FrankRuehl"/>
            <w:color w:val="0000FF"/>
            <w:u w:val="single"/>
            <w:rtl/>
          </w:rPr>
          <w:t>144(ב)</w:t>
        </w:r>
      </w:hyperlink>
      <w:r w:rsidRPr="00144147">
        <w:rPr>
          <w:rFonts w:ascii="FrankRuehl" w:hAnsi="FrankRuehl" w:cs="FrankRuehl"/>
          <w:rtl/>
        </w:rPr>
        <w:t xml:space="preserve">, </w:t>
      </w:r>
      <w:hyperlink r:id="rId9" w:history="1">
        <w:r w:rsidRPr="00144147">
          <w:rPr>
            <w:rFonts w:ascii="FrankRuehl" w:hAnsi="FrankRuehl" w:cs="FrankRuehl"/>
            <w:color w:val="0000FF"/>
            <w:u w:val="single"/>
            <w:rtl/>
          </w:rPr>
          <w:t>298</w:t>
        </w:r>
      </w:hyperlink>
      <w:r w:rsidRPr="00144147">
        <w:rPr>
          <w:rFonts w:ascii="FrankRuehl" w:hAnsi="FrankRuehl" w:cs="FrankRuehl"/>
          <w:rtl/>
        </w:rPr>
        <w:t xml:space="preserve">, </w:t>
      </w:r>
      <w:hyperlink r:id="rId10" w:history="1">
        <w:r w:rsidRPr="00144147">
          <w:rPr>
            <w:rFonts w:ascii="FrankRuehl" w:hAnsi="FrankRuehl" w:cs="FrankRuehl"/>
            <w:color w:val="0000FF"/>
            <w:u w:val="single"/>
            <w:rtl/>
          </w:rPr>
          <w:t>329(א)(1)</w:t>
        </w:r>
      </w:hyperlink>
      <w:r w:rsidRPr="00144147">
        <w:rPr>
          <w:rFonts w:ascii="FrankRuehl" w:hAnsi="FrankRuehl" w:cs="FrankRuehl"/>
          <w:rtl/>
        </w:rPr>
        <w:t xml:space="preserve">, </w:t>
      </w:r>
      <w:hyperlink r:id="rId11" w:history="1">
        <w:r w:rsidRPr="00144147">
          <w:rPr>
            <w:rFonts w:ascii="FrankRuehl" w:hAnsi="FrankRuehl" w:cs="FrankRuehl"/>
            <w:color w:val="0000FF"/>
            <w:u w:val="single"/>
            <w:rtl/>
          </w:rPr>
          <w:t>40יג.(ב)</w:t>
        </w:r>
      </w:hyperlink>
    </w:p>
    <w:bookmarkEnd w:id="4"/>
    <w:p w14:paraId="5827F02E" w14:textId="77777777" w:rsidR="006150E6" w:rsidRPr="00BB43A3" w:rsidRDefault="006150E6"/>
    <w:p w14:paraId="0F35EE67" w14:textId="77777777" w:rsidR="006150E6" w:rsidRPr="00BB43A3" w:rsidRDefault="006150E6">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150E6" w14:paraId="78376BF2" w14:textId="77777777">
        <w:trPr>
          <w:trHeight w:val="355"/>
          <w:jc w:val="center"/>
        </w:trPr>
        <w:tc>
          <w:tcPr>
            <w:tcW w:w="8820" w:type="dxa"/>
            <w:tcBorders>
              <w:top w:val="nil"/>
              <w:left w:val="nil"/>
              <w:bottom w:val="nil"/>
              <w:right w:val="nil"/>
            </w:tcBorders>
          </w:tcPr>
          <w:p w14:paraId="2307A928" w14:textId="77777777" w:rsidR="00BB43A3" w:rsidRPr="00BB43A3" w:rsidRDefault="00BB43A3" w:rsidP="00BB43A3">
            <w:pPr>
              <w:jc w:val="center"/>
              <w:rPr>
                <w:rFonts w:ascii="Arial" w:hAnsi="Arial"/>
                <w:b/>
                <w:bCs/>
                <w:sz w:val="32"/>
                <w:szCs w:val="32"/>
                <w:u w:val="single"/>
                <w:rtl/>
              </w:rPr>
            </w:pPr>
            <w:bookmarkStart w:id="5" w:name="PsakDin" w:colFirst="0" w:colLast="0"/>
            <w:r w:rsidRPr="00BB43A3">
              <w:rPr>
                <w:rFonts w:ascii="Arial" w:hAnsi="Arial"/>
                <w:b/>
                <w:bCs/>
                <w:sz w:val="32"/>
                <w:szCs w:val="32"/>
                <w:u w:val="single"/>
                <w:rtl/>
              </w:rPr>
              <w:t>גזר דין</w:t>
            </w:r>
          </w:p>
          <w:p w14:paraId="77F11ECC" w14:textId="77777777" w:rsidR="006150E6" w:rsidRPr="00BB43A3" w:rsidRDefault="006150E6" w:rsidP="00BB43A3">
            <w:pPr>
              <w:jc w:val="center"/>
              <w:rPr>
                <w:rFonts w:ascii="Arial" w:hAnsi="Arial"/>
                <w:bCs/>
                <w:sz w:val="32"/>
                <w:szCs w:val="32"/>
                <w:u w:val="single"/>
                <w:rtl/>
              </w:rPr>
            </w:pPr>
          </w:p>
        </w:tc>
      </w:tr>
      <w:bookmarkEnd w:id="5"/>
    </w:tbl>
    <w:p w14:paraId="01351C3A" w14:textId="77777777" w:rsidR="006150E6" w:rsidRDefault="006150E6">
      <w:pPr>
        <w:rPr>
          <w:rFonts w:ascii="Arial" w:hAnsi="Arial"/>
          <w:rtl/>
        </w:rPr>
      </w:pPr>
    </w:p>
    <w:p w14:paraId="6D88938A" w14:textId="77777777" w:rsidR="006150E6" w:rsidRDefault="006150E6">
      <w:pPr>
        <w:rPr>
          <w:rFonts w:ascii="Arial" w:hAnsi="Arial"/>
          <w:rtl/>
        </w:rPr>
      </w:pPr>
    </w:p>
    <w:p w14:paraId="2B91175C" w14:textId="77777777" w:rsidR="006150E6" w:rsidRDefault="00BB43A3">
      <w:pPr>
        <w:spacing w:line="360" w:lineRule="auto"/>
        <w:jc w:val="both"/>
        <w:rPr>
          <w:rtl/>
        </w:rPr>
      </w:pPr>
      <w:bookmarkStart w:id="6" w:name="ABSTRACT_START"/>
      <w:bookmarkEnd w:id="6"/>
      <w:r>
        <w:rPr>
          <w:rFonts w:hint="cs"/>
          <w:rtl/>
        </w:rPr>
        <w:t>לאחר שנשמעו שני עדי תביעה בראשית שמיעת הראיות בהליך, הגיעו הצדדים ביום 29/1/14 להסדר טיעון (ט/2) במסגרתו הוגש כתב אישום מתוקן (ט/1). הנאשם הודה בעובדותיו והורשע בביצוע העבירות הבאות:</w:t>
      </w:r>
    </w:p>
    <w:p w14:paraId="7839FDF5" w14:textId="77777777" w:rsidR="006150E6" w:rsidRDefault="006150E6">
      <w:pPr>
        <w:spacing w:line="360" w:lineRule="auto"/>
        <w:jc w:val="both"/>
        <w:rPr>
          <w:b/>
          <w:bCs/>
          <w:rtl/>
        </w:rPr>
      </w:pPr>
    </w:p>
    <w:p w14:paraId="63D0A287" w14:textId="77777777" w:rsidR="006150E6" w:rsidRDefault="00BB43A3">
      <w:pPr>
        <w:spacing w:line="360" w:lineRule="auto"/>
        <w:jc w:val="both"/>
        <w:rPr>
          <w:rtl/>
        </w:rPr>
      </w:pPr>
      <w:r>
        <w:rPr>
          <w:rFonts w:hint="cs"/>
          <w:b/>
          <w:bCs/>
          <w:rtl/>
        </w:rPr>
        <w:t>הריגה</w:t>
      </w:r>
      <w:r>
        <w:rPr>
          <w:rFonts w:hint="cs"/>
          <w:rtl/>
        </w:rPr>
        <w:t xml:space="preserve"> </w:t>
      </w:r>
      <w:r>
        <w:rPr>
          <w:rtl/>
        </w:rPr>
        <w:t>–</w:t>
      </w:r>
      <w:r>
        <w:rPr>
          <w:rFonts w:hint="cs"/>
          <w:rtl/>
        </w:rPr>
        <w:t xml:space="preserve"> לפי </w:t>
      </w:r>
      <w:hyperlink r:id="rId12" w:history="1">
        <w:r w:rsidR="00144147" w:rsidRPr="00144147">
          <w:rPr>
            <w:color w:val="0000FF"/>
            <w:u w:val="single"/>
            <w:rtl/>
          </w:rPr>
          <w:t>סעיף 298</w:t>
        </w:r>
      </w:hyperlink>
      <w:r>
        <w:rPr>
          <w:rFonts w:hint="cs"/>
          <w:rtl/>
        </w:rPr>
        <w:t xml:space="preserve"> ל</w:t>
      </w:r>
      <w:hyperlink r:id="rId13" w:history="1">
        <w:r w:rsidRPr="00BB43A3">
          <w:rPr>
            <w:color w:val="0000FF"/>
            <w:u w:val="single"/>
            <w:rtl/>
          </w:rPr>
          <w:t>חוק העונשין</w:t>
        </w:r>
      </w:hyperlink>
      <w:r>
        <w:rPr>
          <w:rFonts w:hint="cs"/>
          <w:rtl/>
        </w:rPr>
        <w:t xml:space="preserve">, התשל"ז-1977 (להלן: "חוק העונשין"). </w:t>
      </w:r>
    </w:p>
    <w:p w14:paraId="55F7FF11" w14:textId="77777777" w:rsidR="006150E6" w:rsidRDefault="00BB43A3">
      <w:pPr>
        <w:spacing w:line="360" w:lineRule="auto"/>
        <w:jc w:val="both"/>
        <w:rPr>
          <w:rtl/>
        </w:rPr>
      </w:pPr>
      <w:r>
        <w:rPr>
          <w:rFonts w:hint="cs"/>
          <w:b/>
          <w:bCs/>
          <w:rtl/>
        </w:rPr>
        <w:t>חבלה בכוונה מחמירה</w:t>
      </w:r>
      <w:r>
        <w:rPr>
          <w:rFonts w:hint="cs"/>
          <w:rtl/>
        </w:rPr>
        <w:t xml:space="preserve"> </w:t>
      </w:r>
      <w:r>
        <w:rPr>
          <w:rtl/>
        </w:rPr>
        <w:t>–</w:t>
      </w:r>
      <w:r>
        <w:rPr>
          <w:rFonts w:hint="cs"/>
          <w:rtl/>
        </w:rPr>
        <w:t xml:space="preserve"> לפי </w:t>
      </w:r>
      <w:hyperlink r:id="rId14" w:history="1">
        <w:r w:rsidR="00144147" w:rsidRPr="00144147">
          <w:rPr>
            <w:color w:val="0000FF"/>
            <w:u w:val="single"/>
            <w:rtl/>
          </w:rPr>
          <w:t>סעיף 329(א)(1)</w:t>
        </w:r>
      </w:hyperlink>
      <w:r>
        <w:rPr>
          <w:rFonts w:hint="cs"/>
          <w:rtl/>
        </w:rPr>
        <w:t xml:space="preserve"> ל</w:t>
      </w:r>
      <w:hyperlink r:id="rId15" w:history="1">
        <w:r w:rsidRPr="00BB43A3">
          <w:rPr>
            <w:color w:val="0000FF"/>
            <w:u w:val="single"/>
            <w:rtl/>
          </w:rPr>
          <w:t>חוק העונשין</w:t>
        </w:r>
      </w:hyperlink>
      <w:r>
        <w:rPr>
          <w:rFonts w:hint="cs"/>
          <w:rtl/>
        </w:rPr>
        <w:t>.</w:t>
      </w:r>
    </w:p>
    <w:p w14:paraId="260109D7" w14:textId="77777777" w:rsidR="006150E6" w:rsidRDefault="00BB43A3">
      <w:pPr>
        <w:spacing w:line="360" w:lineRule="auto"/>
        <w:jc w:val="both"/>
        <w:rPr>
          <w:rtl/>
        </w:rPr>
      </w:pPr>
      <w:r>
        <w:rPr>
          <w:rFonts w:hint="cs"/>
          <w:b/>
          <w:bCs/>
          <w:rtl/>
        </w:rPr>
        <w:t>עבירות בנשק</w:t>
      </w:r>
      <w:r>
        <w:rPr>
          <w:rtl/>
        </w:rPr>
        <w:t>–</w:t>
      </w:r>
      <w:r>
        <w:rPr>
          <w:rFonts w:hint="cs"/>
          <w:rtl/>
        </w:rPr>
        <w:t xml:space="preserve"> לפי </w:t>
      </w:r>
      <w:hyperlink r:id="rId16" w:history="1">
        <w:r w:rsidR="00144147" w:rsidRPr="00144147">
          <w:rPr>
            <w:color w:val="0000FF"/>
            <w:u w:val="single"/>
            <w:rtl/>
          </w:rPr>
          <w:t>סעיף 144(ב)</w:t>
        </w:r>
      </w:hyperlink>
      <w:r>
        <w:rPr>
          <w:rFonts w:hint="cs"/>
          <w:rtl/>
        </w:rPr>
        <w:t xml:space="preserve"> רישא ל</w:t>
      </w:r>
      <w:hyperlink r:id="rId17" w:history="1">
        <w:r w:rsidRPr="00BB43A3">
          <w:rPr>
            <w:color w:val="0000FF"/>
            <w:u w:val="single"/>
            <w:rtl/>
          </w:rPr>
          <w:t>חוק העונשין</w:t>
        </w:r>
      </w:hyperlink>
      <w:r>
        <w:rPr>
          <w:rFonts w:hint="cs"/>
          <w:rtl/>
        </w:rPr>
        <w:t>.</w:t>
      </w:r>
    </w:p>
    <w:p w14:paraId="10E34EB5" w14:textId="77777777" w:rsidR="006150E6" w:rsidRDefault="006150E6">
      <w:pPr>
        <w:spacing w:line="360" w:lineRule="auto"/>
        <w:jc w:val="both"/>
        <w:rPr>
          <w:rtl/>
        </w:rPr>
      </w:pPr>
      <w:bookmarkStart w:id="7" w:name="ABSTRACT_END"/>
      <w:bookmarkEnd w:id="7"/>
    </w:p>
    <w:p w14:paraId="7B4F21CF" w14:textId="77777777" w:rsidR="006150E6" w:rsidRDefault="00BB43A3">
      <w:pPr>
        <w:spacing w:line="360" w:lineRule="auto"/>
        <w:jc w:val="both"/>
        <w:rPr>
          <w:rtl/>
        </w:rPr>
      </w:pPr>
      <w:r>
        <w:rPr>
          <w:rFonts w:hint="cs"/>
          <w:rtl/>
        </w:rPr>
        <w:t xml:space="preserve">עיקר התיקון בכתב האישום, בעקבות הסדר הטיעון, הוא המרת עבירת הרצח בכוונה תחילה בה הואשם הנאשם בכתב האישום המקורי, בעבירת ההריגה. </w:t>
      </w:r>
    </w:p>
    <w:p w14:paraId="25D0FAE9" w14:textId="77777777" w:rsidR="006150E6" w:rsidRDefault="006150E6">
      <w:pPr>
        <w:spacing w:line="360" w:lineRule="auto"/>
        <w:jc w:val="both"/>
        <w:rPr>
          <w:rtl/>
        </w:rPr>
      </w:pPr>
    </w:p>
    <w:p w14:paraId="5D368819" w14:textId="77777777" w:rsidR="006150E6" w:rsidRDefault="00BB43A3">
      <w:pPr>
        <w:spacing w:line="360" w:lineRule="auto"/>
        <w:jc w:val="both"/>
        <w:rPr>
          <w:rtl/>
        </w:rPr>
      </w:pPr>
      <w:r>
        <w:rPr>
          <w:rFonts w:hint="cs"/>
          <w:rtl/>
        </w:rPr>
        <w:lastRenderedPageBreak/>
        <w:t xml:space="preserve">על פי הסדר הטיעון הוסכם בין הצדדים כי יושתו על הנאשם העונשים הבאים: </w:t>
      </w:r>
    </w:p>
    <w:p w14:paraId="100FFD8D" w14:textId="77777777" w:rsidR="006150E6" w:rsidRDefault="006150E6">
      <w:pPr>
        <w:spacing w:line="360" w:lineRule="auto"/>
        <w:jc w:val="both"/>
        <w:rPr>
          <w:rtl/>
        </w:rPr>
      </w:pPr>
    </w:p>
    <w:p w14:paraId="507ED53A" w14:textId="77777777" w:rsidR="006150E6" w:rsidRDefault="00BB43A3">
      <w:pPr>
        <w:spacing w:line="360" w:lineRule="auto"/>
        <w:ind w:left="720" w:hanging="720"/>
        <w:jc w:val="both"/>
        <w:rPr>
          <w:rtl/>
        </w:rPr>
      </w:pPr>
      <w:r>
        <w:rPr>
          <w:rFonts w:hint="cs"/>
          <w:rtl/>
        </w:rPr>
        <w:t>1.</w:t>
      </w:r>
      <w:r>
        <w:rPr>
          <w:rFonts w:hint="cs"/>
          <w:rtl/>
        </w:rPr>
        <w:tab/>
        <w:t>20 שנות מאסר בפועל בגין עבירת ההריגה.</w:t>
      </w:r>
    </w:p>
    <w:p w14:paraId="2CC6E518" w14:textId="77777777" w:rsidR="006150E6" w:rsidRDefault="00BB43A3">
      <w:pPr>
        <w:spacing w:line="360" w:lineRule="auto"/>
        <w:ind w:left="720" w:hanging="720"/>
        <w:jc w:val="both"/>
        <w:rPr>
          <w:rtl/>
        </w:rPr>
      </w:pPr>
      <w:r>
        <w:rPr>
          <w:rFonts w:hint="cs"/>
          <w:rtl/>
        </w:rPr>
        <w:t>2.</w:t>
      </w:r>
      <w:r>
        <w:rPr>
          <w:rFonts w:hint="cs"/>
          <w:rtl/>
        </w:rPr>
        <w:tab/>
        <w:t xml:space="preserve">4 שנות מאסר בפועל בגין עבירת החבלה בכוונה מחמירה. </w:t>
      </w:r>
    </w:p>
    <w:p w14:paraId="654F8715" w14:textId="77777777" w:rsidR="006150E6" w:rsidRDefault="00BB43A3">
      <w:pPr>
        <w:spacing w:line="360" w:lineRule="auto"/>
        <w:ind w:left="720" w:hanging="720"/>
        <w:jc w:val="both"/>
        <w:rPr>
          <w:rtl/>
        </w:rPr>
      </w:pPr>
      <w:r>
        <w:rPr>
          <w:rFonts w:hint="cs"/>
          <w:rtl/>
        </w:rPr>
        <w:t>3.</w:t>
      </w:r>
      <w:r>
        <w:rPr>
          <w:rFonts w:hint="cs"/>
          <w:rtl/>
        </w:rPr>
        <w:tab/>
        <w:t xml:space="preserve">4 שנות מאסר בגין העבירות בנשק. </w:t>
      </w:r>
    </w:p>
    <w:p w14:paraId="36FE27C4" w14:textId="77777777" w:rsidR="006150E6" w:rsidRDefault="006150E6">
      <w:pPr>
        <w:spacing w:line="360" w:lineRule="auto"/>
        <w:ind w:left="720" w:hanging="720"/>
        <w:jc w:val="both"/>
        <w:rPr>
          <w:rtl/>
        </w:rPr>
      </w:pPr>
    </w:p>
    <w:p w14:paraId="4F485CB3" w14:textId="77777777" w:rsidR="006150E6" w:rsidRDefault="00BB43A3">
      <w:pPr>
        <w:spacing w:line="360" w:lineRule="auto"/>
        <w:jc w:val="both"/>
        <w:rPr>
          <w:rtl/>
        </w:rPr>
      </w:pPr>
      <w:r>
        <w:rPr>
          <w:rFonts w:hint="cs"/>
          <w:rtl/>
        </w:rPr>
        <w:t xml:space="preserve">עוד הוסכם בין הצדדים, כי עונשי המאסר בפועל שייגזרו בגין העבירות של חבלה בכוונה מחמירה ועבירות בנשק ירוצו באופן חופף זה לזה ובאופן מצטבר לעונש המאסר בפועל שיושת בגין עבירת ההריגה, כך שסך הכל ירצה הנאשם 24 שנות מאסר בפועל, בניכוי תקופת מעצרו מיום 9/2/13 ועד ליום גזר הדין. </w:t>
      </w:r>
    </w:p>
    <w:p w14:paraId="26191858" w14:textId="77777777" w:rsidR="006150E6" w:rsidRDefault="006150E6">
      <w:pPr>
        <w:jc w:val="both"/>
        <w:rPr>
          <w:rtl/>
        </w:rPr>
      </w:pPr>
    </w:p>
    <w:p w14:paraId="2BC7AF3A" w14:textId="77777777" w:rsidR="006150E6" w:rsidRDefault="00BB43A3">
      <w:pPr>
        <w:jc w:val="both"/>
        <w:rPr>
          <w:rtl/>
        </w:rPr>
      </w:pPr>
      <w:r>
        <w:rPr>
          <w:rFonts w:hint="cs"/>
          <w:rtl/>
        </w:rPr>
        <w:t xml:space="preserve">עוד הוסכם בין הצדדים כי יושת על הנאשם מאסר על תנאי וכן יחוייב לשלם פיצוי למשפחת </w:t>
      </w:r>
      <w:r>
        <w:rPr>
          <w:rFonts w:hint="cs"/>
          <w:u w:val="single"/>
          <w:rtl/>
        </w:rPr>
        <w:t>המנוח</w:t>
      </w:r>
      <w:r>
        <w:rPr>
          <w:rFonts w:hint="cs"/>
          <w:rtl/>
        </w:rPr>
        <w:t xml:space="preserve">. </w:t>
      </w:r>
    </w:p>
    <w:p w14:paraId="269A13F2" w14:textId="77777777" w:rsidR="006150E6" w:rsidRDefault="006150E6">
      <w:pPr>
        <w:spacing w:line="360" w:lineRule="auto"/>
        <w:jc w:val="both"/>
        <w:rPr>
          <w:rtl/>
        </w:rPr>
      </w:pPr>
    </w:p>
    <w:p w14:paraId="7FFBF683" w14:textId="77777777" w:rsidR="006150E6" w:rsidRDefault="00BB43A3">
      <w:pPr>
        <w:spacing w:line="360" w:lineRule="auto"/>
        <w:jc w:val="both"/>
        <w:rPr>
          <w:rtl/>
        </w:rPr>
      </w:pPr>
      <w:r>
        <w:rPr>
          <w:rFonts w:hint="cs"/>
          <w:rtl/>
        </w:rPr>
        <w:t xml:space="preserve">סכום הפיצויים ואורך תקופת המאסר על תנאי, הושארו לשיקול דעת בית המשפט. </w:t>
      </w:r>
    </w:p>
    <w:p w14:paraId="002D0A5C" w14:textId="77777777" w:rsidR="006150E6" w:rsidRDefault="006150E6">
      <w:pPr>
        <w:jc w:val="both"/>
        <w:rPr>
          <w:rtl/>
        </w:rPr>
      </w:pPr>
    </w:p>
    <w:p w14:paraId="5AF32E2F" w14:textId="77777777" w:rsidR="006150E6" w:rsidRDefault="00BB43A3">
      <w:pPr>
        <w:spacing w:line="360" w:lineRule="auto"/>
        <w:jc w:val="both"/>
        <w:rPr>
          <w:rtl/>
        </w:rPr>
      </w:pPr>
      <w:r>
        <w:rPr>
          <w:rFonts w:hint="cs"/>
          <w:rtl/>
        </w:rPr>
        <w:t xml:space="preserve">על פי כתב האישום, התגורר הנאשם בשכנות למנוח רביע טוקאן ז"ל, ולאחיו, וורד טוקאן (להלן: "המתלונן"), בכפר אעבלין. ביום 8/2/13 בשעות הלילה, יצא הנאשם מביתו והבחין במנוח שעמד סמוך לביתו והשמיע קללות ודברי נאצה כלפי הגברים בשכונה. התנהגות זו הרגיזה את הנאשם. </w:t>
      </w:r>
    </w:p>
    <w:p w14:paraId="3E3F94D9" w14:textId="77777777" w:rsidR="006150E6" w:rsidRDefault="006150E6">
      <w:pPr>
        <w:jc w:val="both"/>
        <w:rPr>
          <w:rtl/>
        </w:rPr>
      </w:pPr>
    </w:p>
    <w:p w14:paraId="283E0D8B" w14:textId="77777777" w:rsidR="006150E6" w:rsidRDefault="00BB43A3">
      <w:pPr>
        <w:spacing w:line="360" w:lineRule="auto"/>
        <w:jc w:val="both"/>
        <w:rPr>
          <w:rtl/>
        </w:rPr>
      </w:pPr>
      <w:r>
        <w:rPr>
          <w:rFonts w:hint="cs"/>
          <w:rtl/>
        </w:rPr>
        <w:t xml:space="preserve">הנאשם נכנס לביתו, הצטייד באקדח ובתחמושת אותם החזיק ללא היתר חוקי, התקשר למתלונן, סיפר לו על התנהגות המנוח וביקש ממנו להרגיעו. סמוך לשעת חצות, יצא הנאשם מביתו מצויד באקדח ובתחמושת ופגש במנוח אשר שב והשמיע דברי נאצה וקללות. </w:t>
      </w:r>
    </w:p>
    <w:p w14:paraId="6F9A56A0" w14:textId="77777777" w:rsidR="006150E6" w:rsidRDefault="006150E6">
      <w:pPr>
        <w:jc w:val="both"/>
        <w:rPr>
          <w:rtl/>
        </w:rPr>
      </w:pPr>
    </w:p>
    <w:p w14:paraId="0EFA1CC2" w14:textId="77777777" w:rsidR="006150E6" w:rsidRDefault="00BB43A3">
      <w:pPr>
        <w:spacing w:line="360" w:lineRule="auto"/>
        <w:jc w:val="both"/>
        <w:rPr>
          <w:rtl/>
        </w:rPr>
      </w:pPr>
      <w:r>
        <w:rPr>
          <w:rFonts w:hint="cs"/>
          <w:rtl/>
        </w:rPr>
        <w:t xml:space="preserve">הנאשם פנה אל המנוח וביקש ממנו לחדול. המנוח הבטיח לחדול ולמקום הגיע גם המתלונן שפנה אף הוא למנוח וניסה להרגיעו. </w:t>
      </w:r>
    </w:p>
    <w:p w14:paraId="2C2DEFDB" w14:textId="77777777" w:rsidR="006150E6" w:rsidRDefault="006150E6">
      <w:pPr>
        <w:jc w:val="both"/>
        <w:rPr>
          <w:rtl/>
        </w:rPr>
      </w:pPr>
    </w:p>
    <w:p w14:paraId="795772EE" w14:textId="77777777" w:rsidR="006150E6" w:rsidRDefault="00BB43A3">
      <w:pPr>
        <w:spacing w:line="360" w:lineRule="auto"/>
        <w:jc w:val="both"/>
        <w:rPr>
          <w:rtl/>
        </w:rPr>
      </w:pPr>
      <w:r>
        <w:rPr>
          <w:rFonts w:hint="cs"/>
          <w:rtl/>
        </w:rPr>
        <w:t xml:space="preserve">הנאשם עזב את המקום עלה במעלה הרחוב והתיישב על חומה בקרבת מקום. בהמשך, המנוח שב לקלל ולצעוק והחל להתקדם לעבר הנאשם, תוך השמעת איומים ודברי נאצה כלפיו. באותן נסיבות שלף הנאשם את האקדח וכשהיה המנוח במרחק של כ </w:t>
      </w:r>
      <w:r>
        <w:rPr>
          <w:rtl/>
        </w:rPr>
        <w:t>–</w:t>
      </w:r>
      <w:r>
        <w:rPr>
          <w:rFonts w:hint="cs"/>
          <w:rtl/>
        </w:rPr>
        <w:t xml:space="preserve"> 2.5 מטרים ממנו, ירה לעברו 4 יריות אשר פגעו בחזהו, גבו, ירכו הימנית העליונה ובירכו הימנית בחלקה התחתון. </w:t>
      </w:r>
    </w:p>
    <w:p w14:paraId="2AE11484" w14:textId="77777777" w:rsidR="006150E6" w:rsidRDefault="00BB43A3">
      <w:pPr>
        <w:spacing w:line="360" w:lineRule="auto"/>
        <w:jc w:val="both"/>
        <w:rPr>
          <w:rtl/>
        </w:rPr>
      </w:pPr>
      <w:r>
        <w:rPr>
          <w:rFonts w:hint="cs"/>
          <w:rtl/>
        </w:rPr>
        <w:t xml:space="preserve">המנוח התמוטט על הכביש. </w:t>
      </w:r>
    </w:p>
    <w:p w14:paraId="17DCCFC4" w14:textId="77777777" w:rsidR="006150E6" w:rsidRDefault="00BB43A3">
      <w:pPr>
        <w:spacing w:line="360" w:lineRule="auto"/>
        <w:jc w:val="both"/>
        <w:rPr>
          <w:rtl/>
        </w:rPr>
      </w:pPr>
      <w:r>
        <w:rPr>
          <w:rFonts w:hint="cs"/>
          <w:rtl/>
        </w:rPr>
        <w:t xml:space="preserve">המתלונן הבחין בנעשה והחל לרוץ לעבר המנוח והנאשם. הנאשם הסיט את האקדח לכיוון המתלונן, ירה לעברו יריה אחת בכוונה לגרום לו לחבלה חמורה. הקליע שירה הנאשם חדר לירכו הימנית של המתלונן, גרם לו חבלה חמורה ובעקבות כך אושפז ונותח. </w:t>
      </w:r>
    </w:p>
    <w:p w14:paraId="0D1B5471" w14:textId="77777777" w:rsidR="006150E6" w:rsidRDefault="006150E6">
      <w:pPr>
        <w:jc w:val="both"/>
        <w:rPr>
          <w:rtl/>
        </w:rPr>
      </w:pPr>
    </w:p>
    <w:p w14:paraId="6C833C67" w14:textId="77777777" w:rsidR="006150E6" w:rsidRDefault="00BB43A3">
      <w:pPr>
        <w:spacing w:line="360" w:lineRule="auto"/>
        <w:jc w:val="both"/>
        <w:rPr>
          <w:rtl/>
        </w:rPr>
      </w:pPr>
      <w:r>
        <w:rPr>
          <w:rFonts w:hint="cs"/>
          <w:rtl/>
        </w:rPr>
        <w:t xml:space="preserve">עוד נטען בכתב האישום כי מותו של המנוח נגרם כתוצאה משני פצעי כניסת קליע בגוו משמאל, אשר גרמו לנזק חמור ללב, לריאות ולכבד, עם איבוד דם נרחב. עוד נגרמו למנוח שני פצעי מעבר קליע בירך ימין ופצע מעבר קליע באמה הימנית. </w:t>
      </w:r>
    </w:p>
    <w:p w14:paraId="01B134F5" w14:textId="77777777" w:rsidR="006150E6" w:rsidRDefault="006150E6">
      <w:pPr>
        <w:jc w:val="both"/>
        <w:rPr>
          <w:rtl/>
        </w:rPr>
      </w:pPr>
    </w:p>
    <w:p w14:paraId="06494019" w14:textId="77777777" w:rsidR="006150E6" w:rsidRDefault="00BB43A3">
      <w:pPr>
        <w:spacing w:line="360" w:lineRule="auto"/>
        <w:jc w:val="both"/>
        <w:rPr>
          <w:rtl/>
        </w:rPr>
      </w:pPr>
      <w:r>
        <w:rPr>
          <w:rFonts w:hint="cs"/>
          <w:rtl/>
        </w:rPr>
        <w:t xml:space="preserve">לבסוף נטען בכתב האישום, כי במעשיו המתוארים לעיל גרם הנאשם במעשה אסור למות המנוח, לחבלה חמורה בכוונה מחמירה למתלונן, וכן נשא והוביל נשק ותחמושת ללא היתר. </w:t>
      </w:r>
    </w:p>
    <w:p w14:paraId="432CAF30" w14:textId="77777777" w:rsidR="006150E6" w:rsidRDefault="006150E6">
      <w:pPr>
        <w:jc w:val="both"/>
        <w:rPr>
          <w:rtl/>
        </w:rPr>
      </w:pPr>
    </w:p>
    <w:p w14:paraId="2449A670" w14:textId="77777777" w:rsidR="006150E6" w:rsidRDefault="00BB43A3">
      <w:pPr>
        <w:spacing w:line="360" w:lineRule="auto"/>
        <w:jc w:val="both"/>
        <w:rPr>
          <w:rtl/>
        </w:rPr>
      </w:pPr>
      <w:r>
        <w:rPr>
          <w:rFonts w:hint="cs"/>
          <w:rtl/>
        </w:rPr>
        <w:t xml:space="preserve">כאמור, הנאשם הודה בכל עובדות כתב האישום והורשע בעבירות הנ"ל על פי הודייתו. </w:t>
      </w:r>
    </w:p>
    <w:p w14:paraId="3882D15B" w14:textId="77777777" w:rsidR="006150E6" w:rsidRDefault="006150E6">
      <w:pPr>
        <w:spacing w:line="360" w:lineRule="auto"/>
        <w:jc w:val="both"/>
        <w:rPr>
          <w:rtl/>
        </w:rPr>
      </w:pPr>
    </w:p>
    <w:p w14:paraId="0DA67285" w14:textId="77777777" w:rsidR="006150E6" w:rsidRDefault="00BB43A3">
      <w:pPr>
        <w:spacing w:line="360" w:lineRule="auto"/>
        <w:jc w:val="both"/>
        <w:rPr>
          <w:rtl/>
        </w:rPr>
      </w:pPr>
      <w:r>
        <w:rPr>
          <w:rFonts w:hint="cs"/>
          <w:rtl/>
        </w:rPr>
        <w:t xml:space="preserve">ב"כ המאשימה הגישה תצהיר אמו של המנוח (ט/3) המבכה מרה את מות בנה שהיה כל חייה. האֵם תיארה את סבלה וסבל משפחתה, לרבות סבל בתה בת ה-12, את הצורך בטיפולים פסיכולוגיים הניתנים באופן אישי ומשפחתי, את הסתגרותו של האב והפיכתו לאדם עצוב שאינו עובד אלא רק מעביר זמנו ליד קבר בנו. כמו כן תיארה האם את סבל בנה השני, המתלונן, שמתקשה עדיין בהליכה וסובל מכאבים, ואף הוא הפסיק את עבודתו לזמן מה. </w:t>
      </w:r>
    </w:p>
    <w:p w14:paraId="4583FF5B" w14:textId="77777777" w:rsidR="006150E6" w:rsidRDefault="006150E6">
      <w:pPr>
        <w:spacing w:line="360" w:lineRule="auto"/>
        <w:jc w:val="both"/>
        <w:rPr>
          <w:rtl/>
        </w:rPr>
      </w:pPr>
    </w:p>
    <w:p w14:paraId="73E811E2" w14:textId="77777777" w:rsidR="006150E6" w:rsidRDefault="00BB43A3">
      <w:pPr>
        <w:spacing w:line="360" w:lineRule="auto"/>
        <w:jc w:val="both"/>
        <w:rPr>
          <w:rtl/>
        </w:rPr>
      </w:pPr>
      <w:r>
        <w:rPr>
          <w:rFonts w:hint="cs"/>
          <w:rtl/>
        </w:rPr>
        <w:t>לסיכום, ציינה אמם של המנוח והמתלונן בתצהירה, כדלקמן:</w:t>
      </w:r>
    </w:p>
    <w:p w14:paraId="2903046A" w14:textId="77777777" w:rsidR="006150E6" w:rsidRDefault="006150E6">
      <w:pPr>
        <w:spacing w:line="360" w:lineRule="auto"/>
        <w:jc w:val="both"/>
        <w:rPr>
          <w:rtl/>
        </w:rPr>
      </w:pPr>
    </w:p>
    <w:p w14:paraId="73CD0CFA" w14:textId="77777777" w:rsidR="006150E6" w:rsidRDefault="00BB43A3">
      <w:pPr>
        <w:ind w:left="720" w:right="709"/>
        <w:jc w:val="both"/>
        <w:rPr>
          <w:rFonts w:cs="Miriam"/>
          <w:b/>
          <w:bCs/>
          <w:rtl/>
        </w:rPr>
      </w:pPr>
      <w:r>
        <w:rPr>
          <w:rFonts w:cs="Miriam" w:hint="cs"/>
          <w:b/>
          <w:bCs/>
          <w:rtl/>
        </w:rPr>
        <w:t xml:space="preserve">"משפחתי נהרסה בשל מעשיו של הנאשם, האובדן הוא קשה מנשוא ואאלץ לשאת זאת על ליבי למשך כל חיי. </w:t>
      </w:r>
    </w:p>
    <w:p w14:paraId="1C77D50C" w14:textId="77777777" w:rsidR="006150E6" w:rsidRDefault="00BB43A3">
      <w:pPr>
        <w:ind w:left="720" w:right="709"/>
        <w:jc w:val="both"/>
        <w:rPr>
          <w:rFonts w:cs="Miriam"/>
          <w:b/>
          <w:bCs/>
          <w:rtl/>
        </w:rPr>
      </w:pPr>
      <w:r>
        <w:rPr>
          <w:rFonts w:cs="Miriam" w:hint="cs"/>
          <w:b/>
          <w:bCs/>
          <w:rtl/>
        </w:rPr>
        <w:t>אני סבורה כי הנאשם צריך להיענש על מעשהו הנלוז אשר בעטיו נגרמה התוצאה הקטלנית, לא רק במאסר מאחורי סורג ובריח אלא גם בפיצוי כספי משמעותי, אשר יעביר את המסר ככל הניתן לאחרים האוחזים בנשק.</w:t>
      </w:r>
    </w:p>
    <w:p w14:paraId="3C34FB83" w14:textId="77777777" w:rsidR="006150E6" w:rsidRDefault="00BB43A3">
      <w:pPr>
        <w:ind w:left="720" w:right="709"/>
        <w:jc w:val="both"/>
        <w:rPr>
          <w:rFonts w:cs="Miriam"/>
          <w:b/>
          <w:bCs/>
          <w:rtl/>
        </w:rPr>
      </w:pPr>
      <w:r>
        <w:rPr>
          <w:rFonts w:cs="Miriam" w:hint="cs"/>
          <w:b/>
          <w:bCs/>
          <w:rtl/>
        </w:rPr>
        <w:t xml:space="preserve">בנסיבות אלו, אני מבקשת מבית המשפט להטיל על הנאשם פיצוי בגובה הסכום המקסימלי האפשרי בחוק, לכל אחד מנפגעי העבירה וזאת כדי שנוכל לנסות ולשקם את הריסות חיי ומשפחתי". </w:t>
      </w:r>
    </w:p>
    <w:p w14:paraId="57A1955F" w14:textId="77777777" w:rsidR="006150E6" w:rsidRDefault="006150E6">
      <w:pPr>
        <w:jc w:val="both"/>
        <w:rPr>
          <w:rFonts w:cs="Miriam"/>
          <w:b/>
          <w:bCs/>
          <w:rtl/>
        </w:rPr>
      </w:pPr>
    </w:p>
    <w:p w14:paraId="6CEC53F9" w14:textId="77777777" w:rsidR="006150E6" w:rsidRDefault="006150E6">
      <w:pPr>
        <w:jc w:val="both"/>
        <w:rPr>
          <w:rFonts w:cs="Miriam"/>
          <w:b/>
          <w:bCs/>
          <w:rtl/>
        </w:rPr>
      </w:pPr>
    </w:p>
    <w:p w14:paraId="415E57F7" w14:textId="77777777" w:rsidR="006150E6" w:rsidRDefault="006150E6">
      <w:pPr>
        <w:jc w:val="both"/>
        <w:rPr>
          <w:rFonts w:cs="Miriam"/>
          <w:b/>
          <w:bCs/>
          <w:rtl/>
        </w:rPr>
      </w:pPr>
    </w:p>
    <w:p w14:paraId="5B6176C5" w14:textId="77777777" w:rsidR="006150E6" w:rsidRDefault="00BB43A3">
      <w:pPr>
        <w:spacing w:line="360" w:lineRule="auto"/>
        <w:jc w:val="both"/>
        <w:rPr>
          <w:rtl/>
        </w:rPr>
      </w:pPr>
      <w:r>
        <w:rPr>
          <w:rFonts w:hint="cs"/>
          <w:rtl/>
        </w:rPr>
        <w:t>ב"כ המאשימה נימקה את הסדר הטיעון בקיום קושי ראייתי להוכיח את רכיב "הכוונה תחילה" הדרוש להרשעה בעבירת הרצח והביעה דעתה שמדובר בהסדר המצוי בטווח הענישה ההולם את חומרת העבירה ונסיבותיה. לעמדתה:</w:t>
      </w:r>
    </w:p>
    <w:p w14:paraId="45164DD1" w14:textId="77777777" w:rsidR="006150E6" w:rsidRDefault="006150E6">
      <w:pPr>
        <w:spacing w:line="360" w:lineRule="auto"/>
        <w:jc w:val="both"/>
        <w:rPr>
          <w:rtl/>
        </w:rPr>
      </w:pPr>
    </w:p>
    <w:p w14:paraId="03B41422" w14:textId="77777777" w:rsidR="006150E6" w:rsidRDefault="00BB43A3">
      <w:pPr>
        <w:spacing w:line="360" w:lineRule="auto"/>
        <w:ind w:left="720" w:right="709"/>
        <w:jc w:val="both"/>
        <w:rPr>
          <w:rFonts w:cs="Miriam"/>
          <w:b/>
          <w:bCs/>
          <w:rtl/>
        </w:rPr>
      </w:pPr>
      <w:r>
        <w:rPr>
          <w:rFonts w:cs="Miriam" w:hint="cs"/>
          <w:b/>
          <w:bCs/>
          <w:rtl/>
        </w:rPr>
        <w:t xml:space="preserve">"... התיק נמצא בקו התפר בין תיק הריגה לתיק רצח, מחד היה שימוש בכלי נשק חם, מספר יריות והמרחק מהמנוח ומאידך, </w:t>
      </w:r>
      <w:r>
        <w:rPr>
          <w:rFonts w:cs="Miriam" w:hint="cs"/>
          <w:b/>
          <w:bCs/>
          <w:u w:val="single"/>
          <w:rtl/>
        </w:rPr>
        <w:t>העובדה שהנאשם ניסה מספר פעמים להרגיע את המנוח, בין באמצעות שיחה איתו ובין ביצירת קשר עם אחיו. הירי בוצע תוך כדי שהמנוח התקדם לעברו</w:t>
      </w:r>
      <w:r>
        <w:rPr>
          <w:rFonts w:cs="Miriam" w:hint="cs"/>
          <w:b/>
          <w:bCs/>
          <w:rtl/>
        </w:rPr>
        <w:t>..."</w:t>
      </w:r>
    </w:p>
    <w:p w14:paraId="2E752196" w14:textId="77777777" w:rsidR="006150E6" w:rsidRDefault="006150E6">
      <w:pPr>
        <w:spacing w:line="480" w:lineRule="auto"/>
        <w:jc w:val="both"/>
        <w:rPr>
          <w:rtl/>
        </w:rPr>
      </w:pPr>
    </w:p>
    <w:p w14:paraId="5E964B09" w14:textId="77777777" w:rsidR="006150E6" w:rsidRDefault="00BB43A3">
      <w:pPr>
        <w:spacing w:line="360" w:lineRule="auto"/>
        <w:jc w:val="both"/>
        <w:rPr>
          <w:rtl/>
        </w:rPr>
      </w:pPr>
      <w:r>
        <w:rPr>
          <w:rFonts w:hint="cs"/>
          <w:rtl/>
        </w:rPr>
        <w:t xml:space="preserve">אף שב"כ המאשימה ציינה כי ההסדר נערך בתיאום ועל דעת משפחת המנוח, טענה היא כי לפי </w:t>
      </w:r>
      <w:hyperlink r:id="rId18" w:history="1">
        <w:r w:rsidR="00144147" w:rsidRPr="00144147">
          <w:rPr>
            <w:color w:val="0000FF"/>
            <w:u w:val="single"/>
            <w:rtl/>
          </w:rPr>
          <w:t>סעיף 77</w:t>
        </w:r>
      </w:hyperlink>
      <w:r>
        <w:rPr>
          <w:rFonts w:hint="cs"/>
          <w:rtl/>
        </w:rPr>
        <w:t xml:space="preserve"> ל</w:t>
      </w:r>
      <w:hyperlink r:id="rId19" w:history="1">
        <w:r w:rsidRPr="00BB43A3">
          <w:rPr>
            <w:color w:val="0000FF"/>
            <w:u w:val="single"/>
            <w:rtl/>
          </w:rPr>
          <w:t>חוק העונשין</w:t>
        </w:r>
      </w:hyperlink>
      <w:r>
        <w:rPr>
          <w:rFonts w:hint="cs"/>
          <w:rtl/>
        </w:rPr>
        <w:t>, ניתן וראוי לפצות כל אדם שניזוק מן העבירות שבהן הורשע הנאשם, ואין סבל יותר גדול מסבלה של אם ומשפחה שאיבדו את הבן. ב"כ המאשימה הפנתה להלכה הנוהגת, לפיה אין בית המשפט מתחשב, בפוסקו פיצויים לקורבנות, ביכולת הכלכלית של הנאשמים או של משפחתם.</w:t>
      </w:r>
    </w:p>
    <w:p w14:paraId="46C9866A" w14:textId="77777777" w:rsidR="006150E6" w:rsidRDefault="00BB43A3">
      <w:pPr>
        <w:spacing w:line="360" w:lineRule="auto"/>
        <w:jc w:val="both"/>
        <w:rPr>
          <w:rtl/>
        </w:rPr>
      </w:pPr>
      <w:r>
        <w:rPr>
          <w:rFonts w:hint="cs"/>
          <w:rtl/>
        </w:rPr>
        <w:t xml:space="preserve">לדבריה, הניזוקים בגין עבירת ההריגה הם הורי המנוח, האח המתלונן, והאחות בת ה- 12 ובנוסף, קיים נזק ישיר ואישי למתלונן, שבוצעה כלפיו עבירה של חבלה בכוונה מחמירה ע"י הנאשם. </w:t>
      </w:r>
    </w:p>
    <w:p w14:paraId="3C366ACC" w14:textId="77777777" w:rsidR="006150E6" w:rsidRDefault="006150E6">
      <w:pPr>
        <w:spacing w:line="360" w:lineRule="auto"/>
        <w:jc w:val="both"/>
        <w:rPr>
          <w:rtl/>
        </w:rPr>
      </w:pPr>
    </w:p>
    <w:p w14:paraId="0EABE93B" w14:textId="77777777" w:rsidR="006150E6" w:rsidRDefault="00BB43A3">
      <w:pPr>
        <w:spacing w:line="360" w:lineRule="auto"/>
        <w:jc w:val="both"/>
        <w:rPr>
          <w:rtl/>
        </w:rPr>
      </w:pPr>
      <w:r>
        <w:rPr>
          <w:rFonts w:hint="cs"/>
          <w:rtl/>
        </w:rPr>
        <w:t xml:space="preserve">ב"כ הנאשם עו"ד משה שרמן הצטרף, בהגינות רבה יש לומר, לדברי ב"כ המאשימה בדבר סבלה של אם המנוח ומשפחתה ולא ניסה להמעיט מסבל זה, כלל. </w:t>
      </w:r>
    </w:p>
    <w:p w14:paraId="741F3D18" w14:textId="77777777" w:rsidR="006150E6" w:rsidRDefault="006150E6">
      <w:pPr>
        <w:spacing w:line="360" w:lineRule="auto"/>
        <w:jc w:val="both"/>
        <w:rPr>
          <w:rtl/>
        </w:rPr>
      </w:pPr>
    </w:p>
    <w:p w14:paraId="6D77B88D" w14:textId="77777777" w:rsidR="006150E6" w:rsidRDefault="00BB43A3">
      <w:pPr>
        <w:spacing w:line="360" w:lineRule="auto"/>
        <w:jc w:val="both"/>
        <w:rPr>
          <w:rtl/>
        </w:rPr>
      </w:pPr>
      <w:r>
        <w:rPr>
          <w:rFonts w:hint="cs"/>
          <w:rtl/>
        </w:rPr>
        <w:t xml:space="preserve">לדעת הסניגור, מדובר במקרה המגלם מעין "הגנה עצמית" וזאת הסיבה בגינה נערך הסדר הטיעון. </w:t>
      </w:r>
    </w:p>
    <w:p w14:paraId="24EFFCB9" w14:textId="77777777" w:rsidR="006150E6" w:rsidRDefault="00BB43A3">
      <w:pPr>
        <w:spacing w:line="360" w:lineRule="auto"/>
        <w:jc w:val="both"/>
        <w:rPr>
          <w:rtl/>
        </w:rPr>
      </w:pPr>
      <w:r>
        <w:rPr>
          <w:rFonts w:hint="cs"/>
          <w:rtl/>
        </w:rPr>
        <w:t>עוד הדגיש הסניגור שהנאשם היה אדם נורמטיבי שעבד לפרנסתו, נעדר עבר פלילי, הודה בירי ובהמתת המנוח כבר בחקירתו במשטרה, שיתף פעולה עם החוקרים ומיד בחקירתו הביע צער וחרטה על מעשיו, חרטה עליה חזר בדבריו בפני בית המשפט.</w:t>
      </w:r>
    </w:p>
    <w:p w14:paraId="25BF16A8" w14:textId="77777777" w:rsidR="006150E6" w:rsidRDefault="006150E6">
      <w:pPr>
        <w:spacing w:line="360" w:lineRule="auto"/>
        <w:jc w:val="both"/>
        <w:rPr>
          <w:rtl/>
        </w:rPr>
      </w:pPr>
    </w:p>
    <w:p w14:paraId="2ED4EF84" w14:textId="77777777" w:rsidR="006150E6" w:rsidRDefault="00BB43A3">
      <w:pPr>
        <w:spacing w:line="360" w:lineRule="auto"/>
        <w:jc w:val="both"/>
        <w:rPr>
          <w:rtl/>
        </w:rPr>
      </w:pPr>
      <w:r>
        <w:rPr>
          <w:rFonts w:hint="cs"/>
          <w:rtl/>
        </w:rPr>
        <w:t>ב"כ הנאשם הביע דעתו כי העונש המוסכם בין הצדדים מצוי ברף הגבוה של הענישה בנסיבות המקרה וביקש להתחשב בתקופת המאסר הארוכה, בבוא בית המשפט לשקול את גובה הפיצוי, כשלכך הפנה ליכולתו הכלכלית המוגבלת מאוד של אבי הנאשם, המשתכר כ- 6,000 ₪ אשר יצטרך לשאת בעול הפיצויים בשל כליאת בנו לתקופה ארוכה. לפיכך, ביקש כי נחלק את סכום הפיצויים למספר רב מאוד של תשלומים.</w:t>
      </w:r>
    </w:p>
    <w:p w14:paraId="39F5758B" w14:textId="77777777" w:rsidR="006150E6" w:rsidRDefault="006150E6">
      <w:pPr>
        <w:spacing w:line="360" w:lineRule="auto"/>
        <w:jc w:val="both"/>
        <w:rPr>
          <w:rtl/>
        </w:rPr>
      </w:pPr>
    </w:p>
    <w:p w14:paraId="18AB2021" w14:textId="77777777" w:rsidR="006150E6" w:rsidRDefault="00BB43A3">
      <w:pPr>
        <w:spacing w:line="360" w:lineRule="auto"/>
        <w:jc w:val="both"/>
        <w:rPr>
          <w:rtl/>
        </w:rPr>
      </w:pPr>
      <w:r>
        <w:rPr>
          <w:rFonts w:hint="cs"/>
          <w:rtl/>
        </w:rPr>
        <w:t xml:space="preserve">אף שכאמור לא המעיט הסניגור מסבלו של המתלונן אשר נחבל באירוע, ביקש הוא לא להתחשב בדברי האם בתצהירה בדבר קיומם כיום של קשיי הליכה וכאבים למתלונן, כשלדעתו אם אלה הטענות כי אז היה נדרש להגיש תצהיר של המתלונן עצמו ותעודות רפואיות, ואלה לא הוגשו. </w:t>
      </w:r>
    </w:p>
    <w:p w14:paraId="77FC422A" w14:textId="77777777" w:rsidR="006150E6" w:rsidRDefault="006150E6">
      <w:pPr>
        <w:spacing w:line="360" w:lineRule="auto"/>
        <w:jc w:val="both"/>
        <w:rPr>
          <w:rtl/>
        </w:rPr>
      </w:pPr>
    </w:p>
    <w:p w14:paraId="23833D98" w14:textId="77777777" w:rsidR="006150E6" w:rsidRDefault="00BB43A3">
      <w:pPr>
        <w:spacing w:line="360" w:lineRule="auto"/>
        <w:jc w:val="both"/>
        <w:rPr>
          <w:rtl/>
        </w:rPr>
      </w:pPr>
      <w:r>
        <w:rPr>
          <w:rFonts w:hint="cs"/>
          <w:rtl/>
        </w:rPr>
        <w:t xml:space="preserve">לאחר ששמענו טענות הצדדים הגענו לכלל דעה כי הסדר הטיעון אליו הגיעו ראוי ויש לכבדו. </w:t>
      </w:r>
    </w:p>
    <w:p w14:paraId="7CDEBF44" w14:textId="77777777" w:rsidR="006150E6" w:rsidRDefault="006150E6">
      <w:pPr>
        <w:spacing w:line="360" w:lineRule="auto"/>
        <w:jc w:val="both"/>
        <w:rPr>
          <w:rtl/>
        </w:rPr>
      </w:pPr>
    </w:p>
    <w:p w14:paraId="085C85BF" w14:textId="77777777" w:rsidR="006150E6" w:rsidRDefault="00BB43A3">
      <w:pPr>
        <w:spacing w:line="360" w:lineRule="auto"/>
        <w:jc w:val="both"/>
        <w:rPr>
          <w:rtl/>
        </w:rPr>
      </w:pPr>
      <w:r>
        <w:rPr>
          <w:rFonts w:hint="cs"/>
          <w:rtl/>
        </w:rPr>
        <w:t xml:space="preserve">אנו מודעים לכך כי לא תמיד קיימת זהות בין מתחם העונש ההולם, המהווה כיום את השיקול המרכזי בין שיקולי הענישה, לבין טווח ענישה או עונש מוסכם אליו מגיעים הצדדים, בהסדר טיעון (ראו בעניין זה: </w:t>
      </w:r>
      <w:hyperlink r:id="rId20" w:history="1">
        <w:r w:rsidRPr="00BB43A3">
          <w:rPr>
            <w:color w:val="0000FF"/>
            <w:u w:val="single"/>
            <w:rtl/>
          </w:rPr>
          <w:t>ע"פ 512/13</w:t>
        </w:r>
      </w:hyperlink>
      <w:r>
        <w:rPr>
          <w:rFonts w:hint="cs"/>
          <w:rtl/>
        </w:rPr>
        <w:t xml:space="preserve"> </w:t>
      </w:r>
      <w:r>
        <w:rPr>
          <w:rFonts w:hint="cs"/>
          <w:b/>
          <w:bCs/>
          <w:rtl/>
        </w:rPr>
        <w:t>פלוני נ' מדינת ישראל</w:t>
      </w:r>
      <w:r>
        <w:rPr>
          <w:rFonts w:hint="cs"/>
          <w:rtl/>
        </w:rPr>
        <w:t>, מיום 4.12.13).</w:t>
      </w:r>
    </w:p>
    <w:p w14:paraId="6083B58B" w14:textId="77777777" w:rsidR="006150E6" w:rsidRDefault="006150E6">
      <w:pPr>
        <w:jc w:val="both"/>
        <w:rPr>
          <w:rtl/>
        </w:rPr>
      </w:pPr>
    </w:p>
    <w:p w14:paraId="37D88870" w14:textId="77777777" w:rsidR="006150E6" w:rsidRDefault="00BB43A3">
      <w:pPr>
        <w:spacing w:line="360" w:lineRule="auto"/>
        <w:jc w:val="both"/>
        <w:rPr>
          <w:rtl/>
        </w:rPr>
      </w:pPr>
      <w:r>
        <w:rPr>
          <w:rFonts w:hint="cs"/>
          <w:rtl/>
        </w:rPr>
        <w:t>יחד עם זאת, נפסק כי תיקון מס' 113 ל</w:t>
      </w:r>
      <w:hyperlink r:id="rId21" w:history="1">
        <w:r w:rsidRPr="00BB43A3">
          <w:rPr>
            <w:color w:val="0000FF"/>
            <w:u w:val="single"/>
            <w:rtl/>
          </w:rPr>
          <w:t>חוק העונשין</w:t>
        </w:r>
      </w:hyperlink>
      <w:r>
        <w:rPr>
          <w:rFonts w:hint="cs"/>
          <w:rtl/>
        </w:rPr>
        <w:t>, אשר העלה את קרנו של שיקול ההלימה בין כלל שיקולי הענישה, אינו בא לגרוע מהמשקל שנוהגים בתי המשפט לייחס להסדרי טיעון אליהם הגיעו הצדדים ובלבד שהם עומדים ב"הלכת האיזון", אשר נקבעה ב</w:t>
      </w:r>
      <w:hyperlink r:id="rId22" w:history="1">
        <w:r w:rsidRPr="00BB43A3">
          <w:rPr>
            <w:color w:val="0000FF"/>
            <w:u w:val="single"/>
            <w:rtl/>
          </w:rPr>
          <w:t>ע"פ 1958/98</w:t>
        </w:r>
      </w:hyperlink>
      <w:r>
        <w:rPr>
          <w:rFonts w:hint="cs"/>
          <w:rtl/>
        </w:rPr>
        <w:t xml:space="preserve"> </w:t>
      </w:r>
      <w:r>
        <w:rPr>
          <w:rFonts w:hint="cs"/>
          <w:b/>
          <w:bCs/>
          <w:rtl/>
        </w:rPr>
        <w:t>פלוני נ' מדינת ישראל</w:t>
      </w:r>
      <w:r>
        <w:rPr>
          <w:rFonts w:hint="cs"/>
          <w:rtl/>
        </w:rPr>
        <w:t xml:space="preserve"> (מיום 25.12.02).</w:t>
      </w:r>
    </w:p>
    <w:p w14:paraId="08F6FC98" w14:textId="77777777" w:rsidR="006150E6" w:rsidRDefault="006150E6">
      <w:pPr>
        <w:jc w:val="both"/>
        <w:rPr>
          <w:rtl/>
        </w:rPr>
      </w:pPr>
    </w:p>
    <w:p w14:paraId="064506C6" w14:textId="77777777" w:rsidR="006150E6" w:rsidRDefault="00BB43A3">
      <w:pPr>
        <w:spacing w:line="360" w:lineRule="auto"/>
        <w:jc w:val="both"/>
        <w:rPr>
          <w:rtl/>
        </w:rPr>
      </w:pPr>
      <w:r>
        <w:rPr>
          <w:rFonts w:hint="cs"/>
          <w:rtl/>
        </w:rPr>
        <w:t>ניתן להבין מטיעוני הצדדים בהסדר הטיעון כי על אף סמיכות הזמנים בין העבירות שבוצעו והקשר ההדוק שביניהן, הם סוברים כי אין לראות בשלוש העבירות "אירוע אחד", ועל כן הסכימו כי יושת עונש נפרד בגין כל עבירה ומכאן שמדובר בכמה אירועים (</w:t>
      </w:r>
      <w:hyperlink r:id="rId23" w:history="1">
        <w:r w:rsidR="00144147" w:rsidRPr="00144147">
          <w:rPr>
            <w:color w:val="0000FF"/>
            <w:u w:val="single"/>
            <w:rtl/>
          </w:rPr>
          <w:t>סעיף 40יג.(ב)</w:t>
        </w:r>
      </w:hyperlink>
      <w:r>
        <w:rPr>
          <w:rFonts w:hint="cs"/>
          <w:rtl/>
        </w:rPr>
        <w:t xml:space="preserve"> ל</w:t>
      </w:r>
      <w:hyperlink r:id="rId24" w:history="1">
        <w:r w:rsidRPr="00BB43A3">
          <w:rPr>
            <w:color w:val="0000FF"/>
            <w:u w:val="single"/>
            <w:rtl/>
          </w:rPr>
          <w:t>חוק העונשין</w:t>
        </w:r>
      </w:hyperlink>
      <w:r>
        <w:rPr>
          <w:rFonts w:hint="cs"/>
          <w:rtl/>
        </w:rPr>
        <w:t>).</w:t>
      </w:r>
    </w:p>
    <w:p w14:paraId="21218C35" w14:textId="77777777" w:rsidR="006150E6" w:rsidRDefault="006150E6">
      <w:pPr>
        <w:jc w:val="both"/>
        <w:rPr>
          <w:rtl/>
        </w:rPr>
      </w:pPr>
    </w:p>
    <w:p w14:paraId="1F0CA286" w14:textId="77777777" w:rsidR="006150E6" w:rsidRDefault="00BB43A3">
      <w:pPr>
        <w:spacing w:line="360" w:lineRule="auto"/>
        <w:jc w:val="both"/>
        <w:rPr>
          <w:rtl/>
        </w:rPr>
      </w:pPr>
      <w:r>
        <w:rPr>
          <w:rFonts w:hint="cs"/>
          <w:rtl/>
        </w:rPr>
        <w:t xml:space="preserve">אנו סבורים כי בנסיבותיו המיוחדות של מקרה זה, בשל סמיכות העבירות והקשר ההדוק שביניהן, מדובר ב"ארוע אחד". </w:t>
      </w:r>
    </w:p>
    <w:p w14:paraId="42C3BD48" w14:textId="77777777" w:rsidR="006150E6" w:rsidRDefault="00BB43A3">
      <w:pPr>
        <w:spacing w:line="360" w:lineRule="auto"/>
        <w:jc w:val="both"/>
        <w:rPr>
          <w:rtl/>
        </w:rPr>
      </w:pPr>
      <w:r>
        <w:rPr>
          <w:rFonts w:hint="cs"/>
          <w:rtl/>
        </w:rPr>
        <w:t xml:space="preserve">בהתחשב בחומרת העבירות, נסיבותיהן והערכים של קדושת החיים ושלמות הגוף אשר נפגעו ומדיניות הענישה הנוהגת, אנו סבורים כי מתחם העונש ההולם, בגין שלוש העבירות יחד, נע בין 20 ל- 28 שנות מאסר בפועל ולפיכך, עונש מאסר של 24 שנות מאסר בפועל, עליו הסכימו הצדדים בהסדר הטיעון, מצוי במרכזו של מתחם העונש ההולם. </w:t>
      </w:r>
    </w:p>
    <w:p w14:paraId="6A413B63" w14:textId="77777777" w:rsidR="006150E6" w:rsidRDefault="006150E6">
      <w:pPr>
        <w:spacing w:line="360" w:lineRule="auto"/>
        <w:jc w:val="both"/>
        <w:rPr>
          <w:rtl/>
        </w:rPr>
      </w:pPr>
    </w:p>
    <w:p w14:paraId="639022B3" w14:textId="77777777" w:rsidR="006150E6" w:rsidRDefault="00BB43A3">
      <w:pPr>
        <w:spacing w:line="360" w:lineRule="auto"/>
        <w:jc w:val="both"/>
        <w:rPr>
          <w:rtl/>
        </w:rPr>
      </w:pPr>
      <w:r>
        <w:rPr>
          <w:rFonts w:hint="cs"/>
          <w:rtl/>
        </w:rPr>
        <w:t xml:space="preserve">אנו סבורים גם כי בתוך מתחם העונש ההולם, יש לראות בעונש שהוסכם בהסדר הטיעון כעונש מרתיע, הן "הרתעה אישית" והן "הרתעת הרבים". </w:t>
      </w:r>
    </w:p>
    <w:p w14:paraId="2B900FC9" w14:textId="77777777" w:rsidR="006150E6" w:rsidRDefault="006150E6">
      <w:pPr>
        <w:spacing w:line="360" w:lineRule="auto"/>
        <w:jc w:val="both"/>
        <w:rPr>
          <w:rtl/>
        </w:rPr>
      </w:pPr>
    </w:p>
    <w:p w14:paraId="50BA54EE" w14:textId="77777777" w:rsidR="006150E6" w:rsidRDefault="00BB43A3">
      <w:pPr>
        <w:spacing w:line="360" w:lineRule="auto"/>
        <w:jc w:val="both"/>
        <w:rPr>
          <w:rtl/>
        </w:rPr>
      </w:pPr>
      <w:r>
        <w:rPr>
          <w:rFonts w:hint="cs"/>
          <w:rtl/>
        </w:rPr>
        <w:t xml:space="preserve">עוד ראוי להתחשב, לצורך קביעת העונש המתאים לנאשם בתוך מתחם העונש ההולם, בנסיבותיו האישיות של הנאשם, היותו נעדר עבר פלילי, הודאתו המוקדמת יחסית, חסכון בזמן שיפוטי, גילו וכן במשפחתו שתידרש גם היא להתמודד עם תוצאות מעשיו. </w:t>
      </w:r>
    </w:p>
    <w:p w14:paraId="1759102C" w14:textId="77777777" w:rsidR="006150E6" w:rsidRDefault="006150E6">
      <w:pPr>
        <w:spacing w:line="360" w:lineRule="auto"/>
        <w:jc w:val="both"/>
        <w:rPr>
          <w:rtl/>
        </w:rPr>
      </w:pPr>
    </w:p>
    <w:p w14:paraId="4ECE1611" w14:textId="77777777" w:rsidR="006150E6" w:rsidRDefault="00BB43A3">
      <w:pPr>
        <w:spacing w:line="360" w:lineRule="auto"/>
        <w:jc w:val="both"/>
        <w:rPr>
          <w:rtl/>
        </w:rPr>
      </w:pPr>
      <w:r>
        <w:rPr>
          <w:rFonts w:hint="cs"/>
          <w:rtl/>
        </w:rPr>
        <w:t xml:space="preserve">כדברי ב"כ הצדדים אף אנו סבורים כי סבלה של משפחת המנוח בגין מות בנה בדמי ימיו והחבלה החמורה שנחבל בן נוסף, קשה מנשוא, וימשיך ללוות את בני המשפחה שנים רבות. </w:t>
      </w:r>
    </w:p>
    <w:p w14:paraId="533158DA" w14:textId="77777777" w:rsidR="006150E6" w:rsidRDefault="006150E6">
      <w:pPr>
        <w:spacing w:line="360" w:lineRule="auto"/>
        <w:jc w:val="both"/>
        <w:rPr>
          <w:rtl/>
        </w:rPr>
      </w:pPr>
    </w:p>
    <w:p w14:paraId="272A7265" w14:textId="77777777" w:rsidR="006150E6" w:rsidRDefault="00BB43A3">
      <w:pPr>
        <w:spacing w:line="360" w:lineRule="auto"/>
        <w:jc w:val="both"/>
        <w:rPr>
          <w:rtl/>
        </w:rPr>
      </w:pPr>
      <w:r>
        <w:rPr>
          <w:rFonts w:hint="cs"/>
          <w:rtl/>
        </w:rPr>
        <w:t xml:space="preserve">לפיכך, ראוי כי יושתו פיצויים על הנאשם אשר יסייעו למשפחה להשתקם. </w:t>
      </w:r>
    </w:p>
    <w:p w14:paraId="2273664F" w14:textId="77777777" w:rsidR="006150E6" w:rsidRDefault="00BB43A3">
      <w:pPr>
        <w:spacing w:line="360" w:lineRule="auto"/>
        <w:jc w:val="both"/>
        <w:rPr>
          <w:rtl/>
        </w:rPr>
      </w:pPr>
      <w:r>
        <w:rPr>
          <w:rFonts w:hint="cs"/>
          <w:rtl/>
        </w:rPr>
        <w:t xml:space="preserve">אולם, יש לזכור כי מצד אחד מדובר בפיצויים המושתים במסגרת הליך פלילי ללא הוכחה מפורטת של גובה הנזק כאשר פסיקת פיצויים בהליך זה איננה מונעת תביעה אזרחית כנגד הנאשם, ומצד שני, צודקת ב"כ המאשימה בטענתה כי על פי פסיקת בית המשפט העליון אין נוהגים להתחשב ביכולתו הכלכלית של הנאשם, לצורך קביעת גובה הפיצויים. </w:t>
      </w:r>
    </w:p>
    <w:p w14:paraId="4028A177" w14:textId="77777777" w:rsidR="006150E6" w:rsidRDefault="006150E6">
      <w:pPr>
        <w:spacing w:line="360" w:lineRule="auto"/>
        <w:jc w:val="both"/>
        <w:rPr>
          <w:rtl/>
        </w:rPr>
      </w:pPr>
    </w:p>
    <w:p w14:paraId="71C737FB" w14:textId="77777777" w:rsidR="006150E6" w:rsidRDefault="00BB43A3">
      <w:pPr>
        <w:spacing w:line="360" w:lineRule="auto"/>
        <w:jc w:val="both"/>
        <w:rPr>
          <w:rtl/>
        </w:rPr>
      </w:pPr>
      <w:r>
        <w:rPr>
          <w:rFonts w:hint="cs"/>
          <w:rtl/>
        </w:rPr>
        <w:t xml:space="preserve">אף שרכיב הפיצויים במסגרת ההליך הפלילי איננו רכיב עונשי טהור, לא ניתן לכחד כי מצטרף הוא ליתר רכיבי הענישה המוטלים על הנאשם ולפיכך, מקובלת עלינו טענת הסניגור כי בקביעת גובה הפיצויים ראוי כי נתחשב בעונש הכולל המושת על הנאשם ובמיוחד בתקופה הממושכת של מאסר בפועל שנגזרה על נאשם צעיר ונעדר עבר פלילי והנטל אשר ככל הנראה יוטל גם על משפחת הנאשם, בנסיבות אלה.  </w:t>
      </w:r>
    </w:p>
    <w:p w14:paraId="02BB8BA7" w14:textId="77777777" w:rsidR="006150E6" w:rsidRDefault="006150E6">
      <w:pPr>
        <w:spacing w:line="360" w:lineRule="auto"/>
        <w:jc w:val="both"/>
        <w:rPr>
          <w:rtl/>
        </w:rPr>
      </w:pPr>
    </w:p>
    <w:p w14:paraId="6FE935B2" w14:textId="77777777" w:rsidR="006150E6" w:rsidRDefault="00BB43A3">
      <w:pPr>
        <w:spacing w:line="360" w:lineRule="auto"/>
        <w:jc w:val="both"/>
        <w:rPr>
          <w:rtl/>
        </w:rPr>
      </w:pPr>
      <w:r>
        <w:rPr>
          <w:rFonts w:hint="cs"/>
          <w:rtl/>
        </w:rPr>
        <w:t>לאור האמור לעיל, אנו גוזרים על הנאשם את העונשים הבאים:</w:t>
      </w:r>
    </w:p>
    <w:p w14:paraId="60BDD810" w14:textId="77777777" w:rsidR="006150E6" w:rsidRDefault="006150E6">
      <w:pPr>
        <w:spacing w:line="360" w:lineRule="auto"/>
        <w:jc w:val="both"/>
        <w:rPr>
          <w:rtl/>
        </w:rPr>
      </w:pPr>
    </w:p>
    <w:p w14:paraId="6E16CC08" w14:textId="77777777" w:rsidR="006150E6" w:rsidRDefault="00BB43A3">
      <w:pPr>
        <w:spacing w:line="360" w:lineRule="auto"/>
        <w:ind w:left="720" w:hanging="720"/>
        <w:jc w:val="both"/>
        <w:rPr>
          <w:rtl/>
        </w:rPr>
      </w:pPr>
      <w:r>
        <w:rPr>
          <w:rFonts w:hint="cs"/>
          <w:rtl/>
        </w:rPr>
        <w:t>א.</w:t>
      </w:r>
      <w:r>
        <w:rPr>
          <w:rFonts w:hint="cs"/>
          <w:rtl/>
        </w:rPr>
        <w:tab/>
        <w:t xml:space="preserve">20 שנות מאסר בפועל, </w:t>
      </w:r>
      <w:r>
        <w:rPr>
          <w:rFonts w:hint="cs"/>
          <w:b/>
          <w:bCs/>
          <w:rtl/>
        </w:rPr>
        <w:t xml:space="preserve">בגין עבירת ההריגה, </w:t>
      </w:r>
      <w:r>
        <w:rPr>
          <w:rFonts w:hint="cs"/>
          <w:rtl/>
        </w:rPr>
        <w:t xml:space="preserve">לפי </w:t>
      </w:r>
      <w:hyperlink r:id="rId25" w:history="1">
        <w:r w:rsidR="00144147" w:rsidRPr="00144147">
          <w:rPr>
            <w:color w:val="0000FF"/>
            <w:u w:val="single"/>
            <w:rtl/>
          </w:rPr>
          <w:t>סעיף 298</w:t>
        </w:r>
      </w:hyperlink>
      <w:r>
        <w:rPr>
          <w:rFonts w:hint="cs"/>
          <w:rtl/>
        </w:rPr>
        <w:t xml:space="preserve"> ל</w:t>
      </w:r>
      <w:hyperlink r:id="rId26" w:history="1">
        <w:r w:rsidRPr="00BB43A3">
          <w:rPr>
            <w:color w:val="0000FF"/>
            <w:u w:val="single"/>
            <w:rtl/>
          </w:rPr>
          <w:t>חוק העונשין</w:t>
        </w:r>
      </w:hyperlink>
      <w:r>
        <w:rPr>
          <w:rFonts w:hint="cs"/>
          <w:rtl/>
        </w:rPr>
        <w:t>.</w:t>
      </w:r>
    </w:p>
    <w:p w14:paraId="7B9E3029" w14:textId="77777777" w:rsidR="006150E6" w:rsidRDefault="006150E6">
      <w:pPr>
        <w:spacing w:line="360" w:lineRule="auto"/>
        <w:ind w:left="720" w:hanging="720"/>
        <w:jc w:val="both"/>
        <w:rPr>
          <w:rtl/>
        </w:rPr>
      </w:pPr>
    </w:p>
    <w:p w14:paraId="7EAA8C67" w14:textId="77777777" w:rsidR="006150E6" w:rsidRDefault="00BB43A3">
      <w:pPr>
        <w:spacing w:line="360" w:lineRule="auto"/>
        <w:ind w:left="720" w:hanging="720"/>
        <w:jc w:val="both"/>
        <w:rPr>
          <w:rtl/>
        </w:rPr>
      </w:pPr>
      <w:r>
        <w:rPr>
          <w:rFonts w:hint="cs"/>
          <w:rtl/>
        </w:rPr>
        <w:tab/>
        <w:t xml:space="preserve">4 שנות מאסר בפועל, </w:t>
      </w:r>
      <w:r>
        <w:rPr>
          <w:rFonts w:hint="cs"/>
          <w:b/>
          <w:bCs/>
          <w:rtl/>
        </w:rPr>
        <w:t>בגין עבירה של חבלה בכוונה מחמירה</w:t>
      </w:r>
      <w:r>
        <w:rPr>
          <w:rFonts w:hint="cs"/>
          <w:rtl/>
        </w:rPr>
        <w:t xml:space="preserve">, לפי </w:t>
      </w:r>
      <w:hyperlink r:id="rId27" w:history="1">
        <w:r w:rsidR="00144147" w:rsidRPr="00144147">
          <w:rPr>
            <w:color w:val="0000FF"/>
            <w:u w:val="single"/>
            <w:rtl/>
          </w:rPr>
          <w:t>סעיף 329(א)(1)</w:t>
        </w:r>
      </w:hyperlink>
      <w:r>
        <w:rPr>
          <w:rFonts w:hint="cs"/>
          <w:rtl/>
        </w:rPr>
        <w:t xml:space="preserve"> ל</w:t>
      </w:r>
      <w:hyperlink r:id="rId28" w:history="1">
        <w:r w:rsidRPr="00BB43A3">
          <w:rPr>
            <w:color w:val="0000FF"/>
            <w:u w:val="single"/>
            <w:rtl/>
          </w:rPr>
          <w:t>חוק העונשין</w:t>
        </w:r>
      </w:hyperlink>
      <w:r>
        <w:rPr>
          <w:rFonts w:hint="cs"/>
          <w:rtl/>
        </w:rPr>
        <w:t xml:space="preserve">. </w:t>
      </w:r>
    </w:p>
    <w:p w14:paraId="6FD940D4" w14:textId="77777777" w:rsidR="006150E6" w:rsidRDefault="006150E6">
      <w:pPr>
        <w:spacing w:line="360" w:lineRule="auto"/>
        <w:ind w:left="720" w:hanging="720"/>
        <w:jc w:val="both"/>
        <w:rPr>
          <w:rtl/>
        </w:rPr>
      </w:pPr>
    </w:p>
    <w:p w14:paraId="7C98F721" w14:textId="77777777" w:rsidR="006150E6" w:rsidRDefault="006150E6">
      <w:pPr>
        <w:spacing w:line="360" w:lineRule="auto"/>
        <w:ind w:left="720" w:hanging="720"/>
        <w:jc w:val="both"/>
        <w:rPr>
          <w:rtl/>
        </w:rPr>
      </w:pPr>
    </w:p>
    <w:p w14:paraId="134D9F68" w14:textId="77777777" w:rsidR="006150E6" w:rsidRDefault="00BB43A3">
      <w:pPr>
        <w:spacing w:line="360" w:lineRule="auto"/>
        <w:ind w:left="720" w:hanging="720"/>
        <w:jc w:val="both"/>
        <w:rPr>
          <w:rtl/>
        </w:rPr>
      </w:pPr>
      <w:r>
        <w:rPr>
          <w:rFonts w:hint="cs"/>
          <w:rtl/>
        </w:rPr>
        <w:tab/>
        <w:t xml:space="preserve">4 שנות מאסר בפועל, </w:t>
      </w:r>
      <w:r>
        <w:rPr>
          <w:rFonts w:hint="cs"/>
          <w:b/>
          <w:bCs/>
          <w:rtl/>
        </w:rPr>
        <w:t>בגין עבירות בנשק</w:t>
      </w:r>
      <w:r>
        <w:rPr>
          <w:rFonts w:hint="cs"/>
          <w:rtl/>
        </w:rPr>
        <w:t xml:space="preserve">, לפי </w:t>
      </w:r>
      <w:hyperlink r:id="rId29" w:history="1">
        <w:r w:rsidR="00144147" w:rsidRPr="00144147">
          <w:rPr>
            <w:color w:val="0000FF"/>
            <w:u w:val="single"/>
            <w:rtl/>
          </w:rPr>
          <w:t>סעיף 144(ב)</w:t>
        </w:r>
      </w:hyperlink>
      <w:r>
        <w:rPr>
          <w:rFonts w:hint="cs"/>
          <w:rtl/>
        </w:rPr>
        <w:t xml:space="preserve"> רישא ל</w:t>
      </w:r>
      <w:hyperlink r:id="rId30" w:history="1">
        <w:r w:rsidRPr="00BB43A3">
          <w:rPr>
            <w:color w:val="0000FF"/>
            <w:u w:val="single"/>
            <w:rtl/>
          </w:rPr>
          <w:t>חוק העונשין</w:t>
        </w:r>
      </w:hyperlink>
      <w:r>
        <w:rPr>
          <w:rFonts w:hint="cs"/>
          <w:rtl/>
        </w:rPr>
        <w:t xml:space="preserve">. </w:t>
      </w:r>
    </w:p>
    <w:p w14:paraId="23E91A58" w14:textId="77777777" w:rsidR="006150E6" w:rsidRDefault="006150E6">
      <w:pPr>
        <w:spacing w:line="360" w:lineRule="auto"/>
        <w:ind w:left="720" w:hanging="720"/>
        <w:jc w:val="both"/>
        <w:rPr>
          <w:b/>
          <w:bCs/>
          <w:rtl/>
        </w:rPr>
      </w:pPr>
    </w:p>
    <w:p w14:paraId="40A47956" w14:textId="77777777" w:rsidR="006150E6" w:rsidRDefault="00BB43A3">
      <w:pPr>
        <w:spacing w:line="360" w:lineRule="auto"/>
        <w:ind w:left="720"/>
        <w:jc w:val="both"/>
        <w:rPr>
          <w:b/>
          <w:bCs/>
          <w:rtl/>
        </w:rPr>
      </w:pPr>
      <w:r>
        <w:rPr>
          <w:rFonts w:hint="cs"/>
          <w:b/>
          <w:bCs/>
          <w:rtl/>
        </w:rPr>
        <w:t>עונש המאסר בפועל בן 4 שנים שנגזר על הנאשם בגין העבירה של חבלה בכוונה מחמירה ירוצה במצטבר לעונש המאסר בפועל שנגזר בגין עבירת ההריגה.</w:t>
      </w:r>
    </w:p>
    <w:p w14:paraId="00CFAA25" w14:textId="77777777" w:rsidR="006150E6" w:rsidRDefault="00BB43A3">
      <w:pPr>
        <w:spacing w:line="360" w:lineRule="auto"/>
        <w:ind w:left="720"/>
        <w:jc w:val="both"/>
        <w:rPr>
          <w:b/>
          <w:bCs/>
          <w:rtl/>
        </w:rPr>
      </w:pPr>
      <w:r>
        <w:rPr>
          <w:rFonts w:hint="cs"/>
          <w:b/>
          <w:bCs/>
          <w:rtl/>
        </w:rPr>
        <w:t>עונש המאסר בפועל בגין העבירות בנשק ירוצה באופן חופף לעונש המאסר הנ"ל.</w:t>
      </w:r>
    </w:p>
    <w:p w14:paraId="39BEEF03" w14:textId="77777777" w:rsidR="006150E6" w:rsidRDefault="006150E6">
      <w:pPr>
        <w:spacing w:line="360" w:lineRule="auto"/>
        <w:ind w:left="720" w:hanging="720"/>
        <w:jc w:val="both"/>
        <w:rPr>
          <w:rtl/>
        </w:rPr>
      </w:pPr>
    </w:p>
    <w:p w14:paraId="6CE407F3" w14:textId="77777777" w:rsidR="006150E6" w:rsidRDefault="00BB43A3">
      <w:pPr>
        <w:spacing w:line="360" w:lineRule="auto"/>
        <w:ind w:left="720"/>
        <w:jc w:val="both"/>
        <w:rPr>
          <w:b/>
          <w:bCs/>
          <w:rtl/>
        </w:rPr>
      </w:pPr>
      <w:r>
        <w:rPr>
          <w:rFonts w:hint="cs"/>
          <w:b/>
          <w:bCs/>
          <w:rtl/>
        </w:rPr>
        <w:t>סך הכל ירצה הנאשם 24 שנות מאסר בפועל. מתקופה זו יש לנכות את תקופת מעצרו, מיום 9.2.13 ועד היום.</w:t>
      </w:r>
    </w:p>
    <w:p w14:paraId="0311F3FC" w14:textId="77777777" w:rsidR="006150E6" w:rsidRDefault="006150E6">
      <w:pPr>
        <w:spacing w:line="360" w:lineRule="auto"/>
        <w:jc w:val="both"/>
        <w:rPr>
          <w:rtl/>
        </w:rPr>
      </w:pPr>
    </w:p>
    <w:p w14:paraId="62C9C404" w14:textId="77777777" w:rsidR="006150E6" w:rsidRDefault="00BB43A3">
      <w:pPr>
        <w:spacing w:line="360" w:lineRule="auto"/>
        <w:ind w:left="720" w:hanging="720"/>
        <w:jc w:val="both"/>
        <w:rPr>
          <w:rtl/>
        </w:rPr>
      </w:pPr>
      <w:r>
        <w:rPr>
          <w:rFonts w:hint="cs"/>
          <w:rtl/>
        </w:rPr>
        <w:t>ב.</w:t>
      </w:r>
      <w:r>
        <w:rPr>
          <w:rFonts w:hint="cs"/>
          <w:rtl/>
        </w:rPr>
        <w:tab/>
        <w:t>שנתיים מאסר על תנאי למשך שלוש שנים, לבל יעבור עבירת אלימות מסוג פשע או עבירות בנשק מסוג פשע.</w:t>
      </w:r>
    </w:p>
    <w:p w14:paraId="7171B381" w14:textId="77777777" w:rsidR="006150E6" w:rsidRDefault="006150E6">
      <w:pPr>
        <w:spacing w:line="360" w:lineRule="auto"/>
        <w:jc w:val="both"/>
        <w:rPr>
          <w:rtl/>
        </w:rPr>
      </w:pPr>
    </w:p>
    <w:p w14:paraId="32005BD8" w14:textId="77777777" w:rsidR="006150E6" w:rsidRDefault="00BB43A3">
      <w:pPr>
        <w:spacing w:line="360" w:lineRule="auto"/>
        <w:ind w:left="720" w:hanging="720"/>
        <w:jc w:val="both"/>
        <w:rPr>
          <w:rtl/>
        </w:rPr>
      </w:pPr>
      <w:r>
        <w:rPr>
          <w:rFonts w:hint="cs"/>
          <w:rtl/>
        </w:rPr>
        <w:tab/>
        <w:t>אנו מחייבים את הנאשם לשלם להורי המנוח פיצויים בסך של 160,000 ₪ ולמתלונן פיצויים בסך של 30,000 ש"ח.</w:t>
      </w:r>
    </w:p>
    <w:p w14:paraId="52D02A3C" w14:textId="77777777" w:rsidR="006150E6" w:rsidRDefault="00BB43A3">
      <w:pPr>
        <w:spacing w:line="360" w:lineRule="auto"/>
        <w:ind w:left="720" w:hanging="720"/>
        <w:jc w:val="both"/>
        <w:rPr>
          <w:rtl/>
        </w:rPr>
      </w:pPr>
      <w:r>
        <w:rPr>
          <w:rFonts w:hint="cs"/>
          <w:rtl/>
        </w:rPr>
        <w:tab/>
        <w:t>הפיצויים ישולמו עד ליום 23.2.15 באמצעות הפקדת סכום זה בקופת בית המשפט.</w:t>
      </w:r>
    </w:p>
    <w:p w14:paraId="16F1258D" w14:textId="77777777" w:rsidR="006150E6" w:rsidRDefault="00BB43A3">
      <w:pPr>
        <w:spacing w:line="360" w:lineRule="auto"/>
        <w:ind w:left="720" w:hanging="720"/>
        <w:jc w:val="both"/>
        <w:rPr>
          <w:rtl/>
        </w:rPr>
      </w:pPr>
      <w:r>
        <w:rPr>
          <w:rFonts w:hint="cs"/>
          <w:rtl/>
        </w:rPr>
        <w:tab/>
        <w:t>ב"כ המאשימה תעביר למזכירות את פרטי החשבון של הורי המנוח ושל המתלונן.</w:t>
      </w:r>
    </w:p>
    <w:p w14:paraId="3C3A5F53" w14:textId="77777777" w:rsidR="006150E6" w:rsidRDefault="006150E6">
      <w:pPr>
        <w:spacing w:line="360" w:lineRule="auto"/>
        <w:ind w:left="720" w:hanging="720"/>
        <w:jc w:val="both"/>
        <w:rPr>
          <w:rtl/>
        </w:rPr>
      </w:pPr>
    </w:p>
    <w:p w14:paraId="2667C979" w14:textId="77777777" w:rsidR="006150E6" w:rsidRDefault="006150E6">
      <w:pPr>
        <w:spacing w:line="360" w:lineRule="auto"/>
        <w:ind w:left="720" w:hanging="720"/>
        <w:jc w:val="both"/>
        <w:rPr>
          <w:b/>
          <w:bCs/>
          <w:rtl/>
        </w:rPr>
      </w:pPr>
    </w:p>
    <w:p w14:paraId="76A8E405" w14:textId="77777777" w:rsidR="006150E6" w:rsidRDefault="00BB43A3">
      <w:pPr>
        <w:spacing w:line="360" w:lineRule="auto"/>
        <w:jc w:val="both"/>
        <w:rPr>
          <w:b/>
          <w:bCs/>
          <w:rtl/>
        </w:rPr>
      </w:pPr>
      <w:r>
        <w:rPr>
          <w:rFonts w:hint="cs"/>
          <w:b/>
          <w:bCs/>
          <w:rtl/>
        </w:rPr>
        <w:t>הודעה זכות הערעור תוך 45 יום לבית המשפט העליון.</w:t>
      </w:r>
    </w:p>
    <w:p w14:paraId="48409571" w14:textId="77777777" w:rsidR="006150E6" w:rsidRDefault="006150E6">
      <w:pPr>
        <w:spacing w:line="360" w:lineRule="auto"/>
        <w:ind w:left="720" w:hanging="720"/>
        <w:jc w:val="both"/>
        <w:rPr>
          <w:rtl/>
        </w:rPr>
      </w:pPr>
    </w:p>
    <w:p w14:paraId="70B1F32E" w14:textId="77777777" w:rsidR="006150E6" w:rsidRDefault="006150E6">
      <w:pPr>
        <w:rPr>
          <w:rtl/>
        </w:rPr>
      </w:pPr>
    </w:p>
    <w:p w14:paraId="75CB1176" w14:textId="77777777" w:rsidR="006150E6" w:rsidRDefault="006150E6">
      <w:pPr>
        <w:rPr>
          <w:rtl/>
        </w:rPr>
      </w:pPr>
    </w:p>
    <w:p w14:paraId="0A69CF7C" w14:textId="77777777" w:rsidR="006150E6" w:rsidRDefault="00BB43A3">
      <w:pPr>
        <w:spacing w:line="360" w:lineRule="auto"/>
        <w:jc w:val="both"/>
        <w:rPr>
          <w:rFonts w:ascii="Arial" w:hAnsi="Arial"/>
          <w:rtl/>
        </w:rPr>
      </w:pPr>
      <w:r>
        <w:rPr>
          <w:rFonts w:ascii="Arial" w:hAnsi="Arial"/>
          <w:b/>
          <w:bCs/>
          <w:rtl/>
        </w:rPr>
        <w:t xml:space="preserve">ניתן היום,  כ"ג אדר תשע"ד, 23 פברואר 2014, במעמד הנאשם וב"כ הצדדים. </w:t>
      </w:r>
    </w:p>
    <w:p w14:paraId="18498604" w14:textId="77777777" w:rsidR="006150E6" w:rsidRPr="00BB43A3" w:rsidRDefault="00BB43A3">
      <w:pPr>
        <w:spacing w:line="360" w:lineRule="auto"/>
        <w:jc w:val="both"/>
        <w:rPr>
          <w:rFonts w:ascii="Arial" w:hAnsi="Arial"/>
          <w:color w:val="FFFFFF"/>
          <w:sz w:val="2"/>
          <w:szCs w:val="2"/>
          <w:rtl/>
        </w:rPr>
      </w:pPr>
      <w:r w:rsidRPr="00BB43A3">
        <w:rPr>
          <w:rFonts w:ascii="Arial" w:hAnsi="Arial"/>
          <w:color w:val="FFFFFF"/>
          <w:sz w:val="2"/>
          <w:szCs w:val="2"/>
          <w:rtl/>
        </w:rPr>
        <w:t>5129371</w:t>
      </w:r>
    </w:p>
    <w:tbl>
      <w:tblPr>
        <w:bidiVisual/>
        <w:tblW w:w="0" w:type="auto"/>
        <w:tblLook w:val="01E0" w:firstRow="1" w:lastRow="1" w:firstColumn="1" w:lastColumn="1" w:noHBand="0" w:noVBand="0"/>
      </w:tblPr>
      <w:tblGrid>
        <w:gridCol w:w="2474"/>
        <w:gridCol w:w="360"/>
        <w:gridCol w:w="2392"/>
        <w:gridCol w:w="308"/>
        <w:gridCol w:w="2520"/>
      </w:tblGrid>
      <w:tr w:rsidR="006150E6" w14:paraId="03540DF6" w14:textId="77777777">
        <w:tc>
          <w:tcPr>
            <w:tcW w:w="2474" w:type="dxa"/>
            <w:tcBorders>
              <w:top w:val="nil"/>
              <w:left w:val="nil"/>
              <w:bottom w:val="single" w:sz="4" w:space="0" w:color="auto"/>
              <w:right w:val="nil"/>
            </w:tcBorders>
            <w:vAlign w:val="center"/>
          </w:tcPr>
          <w:p w14:paraId="57A7033F" w14:textId="77777777" w:rsidR="006150E6" w:rsidRPr="00BB43A3" w:rsidRDefault="00BB43A3">
            <w:pPr>
              <w:jc w:val="center"/>
              <w:rPr>
                <w:rFonts w:ascii="Courier New" w:hAnsi="Courier New"/>
                <w:b/>
                <w:bCs/>
                <w:color w:val="FFFFFF"/>
                <w:sz w:val="2"/>
                <w:szCs w:val="2"/>
                <w:rtl/>
              </w:rPr>
            </w:pPr>
            <w:r w:rsidRPr="00BB43A3">
              <w:rPr>
                <w:rFonts w:ascii="Courier New" w:hAnsi="Courier New"/>
                <w:b/>
                <w:bCs/>
                <w:color w:val="FFFFFF"/>
                <w:sz w:val="2"/>
                <w:szCs w:val="2"/>
                <w:rtl/>
              </w:rPr>
              <w:t>54678313</w:t>
            </w:r>
          </w:p>
        </w:tc>
        <w:tc>
          <w:tcPr>
            <w:tcW w:w="360" w:type="dxa"/>
            <w:vAlign w:val="center"/>
          </w:tcPr>
          <w:p w14:paraId="3D345FC7" w14:textId="77777777" w:rsidR="006150E6" w:rsidRDefault="006150E6">
            <w:pPr>
              <w:jc w:val="center"/>
              <w:rPr>
                <w:rFonts w:ascii="Courier New" w:hAnsi="Courier New"/>
                <w:b/>
                <w:bCs/>
              </w:rPr>
            </w:pPr>
          </w:p>
        </w:tc>
        <w:tc>
          <w:tcPr>
            <w:tcW w:w="2392" w:type="dxa"/>
            <w:tcBorders>
              <w:top w:val="nil"/>
              <w:left w:val="nil"/>
              <w:bottom w:val="single" w:sz="4" w:space="0" w:color="auto"/>
              <w:right w:val="nil"/>
            </w:tcBorders>
            <w:vAlign w:val="center"/>
          </w:tcPr>
          <w:p w14:paraId="1D4B319B" w14:textId="77777777" w:rsidR="006150E6" w:rsidRDefault="006150E6">
            <w:pPr>
              <w:jc w:val="center"/>
              <w:rPr>
                <w:rFonts w:ascii="Courier New" w:hAnsi="Courier New"/>
                <w:b/>
                <w:bCs/>
              </w:rPr>
            </w:pPr>
          </w:p>
        </w:tc>
        <w:tc>
          <w:tcPr>
            <w:tcW w:w="308" w:type="dxa"/>
            <w:vAlign w:val="center"/>
          </w:tcPr>
          <w:p w14:paraId="68BAD8C1" w14:textId="77777777" w:rsidR="006150E6" w:rsidRDefault="006150E6">
            <w:pPr>
              <w:jc w:val="center"/>
              <w:rPr>
                <w:rFonts w:ascii="Courier New" w:hAnsi="Courier New"/>
                <w:b/>
                <w:bCs/>
              </w:rPr>
            </w:pPr>
          </w:p>
        </w:tc>
        <w:tc>
          <w:tcPr>
            <w:tcW w:w="2520" w:type="dxa"/>
            <w:tcBorders>
              <w:top w:val="nil"/>
              <w:left w:val="nil"/>
              <w:bottom w:val="single" w:sz="4" w:space="0" w:color="auto"/>
              <w:right w:val="nil"/>
            </w:tcBorders>
            <w:vAlign w:val="center"/>
          </w:tcPr>
          <w:p w14:paraId="631A4EF6" w14:textId="77777777" w:rsidR="006150E6" w:rsidRDefault="006150E6">
            <w:pPr>
              <w:jc w:val="center"/>
              <w:rPr>
                <w:rFonts w:ascii="Courier New" w:hAnsi="Courier New"/>
                <w:b/>
                <w:bCs/>
              </w:rPr>
            </w:pPr>
          </w:p>
        </w:tc>
      </w:tr>
      <w:tr w:rsidR="006150E6" w14:paraId="08E7A545" w14:textId="77777777">
        <w:tc>
          <w:tcPr>
            <w:tcW w:w="2474" w:type="dxa"/>
            <w:tcBorders>
              <w:top w:val="single" w:sz="4" w:space="0" w:color="auto"/>
              <w:left w:val="nil"/>
              <w:bottom w:val="nil"/>
              <w:right w:val="nil"/>
            </w:tcBorders>
          </w:tcPr>
          <w:p w14:paraId="4AA83AA2" w14:textId="77777777" w:rsidR="006150E6" w:rsidRDefault="00BB43A3">
            <w:pPr>
              <w:jc w:val="center"/>
              <w:rPr>
                <w:b/>
                <w:bCs/>
                <w:sz w:val="28"/>
                <w:rtl/>
              </w:rPr>
            </w:pPr>
            <w:r>
              <w:rPr>
                <w:rFonts w:hint="cs"/>
                <w:b/>
                <w:bCs/>
                <w:sz w:val="28"/>
                <w:rtl/>
              </w:rPr>
              <w:t>מ. גלעד, שופט</w:t>
            </w:r>
          </w:p>
          <w:p w14:paraId="32DE2F66" w14:textId="77777777" w:rsidR="006150E6" w:rsidRDefault="00BB43A3">
            <w:pPr>
              <w:jc w:val="center"/>
              <w:rPr>
                <w:b/>
                <w:bCs/>
                <w:noProof/>
                <w:sz w:val="28"/>
              </w:rPr>
            </w:pPr>
            <w:r>
              <w:rPr>
                <w:rFonts w:hint="cs"/>
                <w:b/>
                <w:bCs/>
                <w:noProof/>
                <w:sz w:val="28"/>
                <w:rtl/>
              </w:rPr>
              <w:t>[אב"ד]</w:t>
            </w:r>
          </w:p>
        </w:tc>
        <w:tc>
          <w:tcPr>
            <w:tcW w:w="360" w:type="dxa"/>
          </w:tcPr>
          <w:p w14:paraId="10CD1EAB" w14:textId="77777777" w:rsidR="006150E6" w:rsidRDefault="006150E6">
            <w:pPr>
              <w:jc w:val="center"/>
              <w:rPr>
                <w:b/>
                <w:bCs/>
                <w:noProof/>
                <w:color w:val="FF0000"/>
                <w:sz w:val="28"/>
              </w:rPr>
            </w:pPr>
          </w:p>
        </w:tc>
        <w:tc>
          <w:tcPr>
            <w:tcW w:w="2392" w:type="dxa"/>
            <w:tcBorders>
              <w:top w:val="single" w:sz="4" w:space="0" w:color="auto"/>
              <w:left w:val="nil"/>
              <w:bottom w:val="nil"/>
              <w:right w:val="nil"/>
            </w:tcBorders>
          </w:tcPr>
          <w:p w14:paraId="281E4BF5" w14:textId="77777777" w:rsidR="006150E6" w:rsidRDefault="00BB43A3">
            <w:pPr>
              <w:pStyle w:val="3"/>
              <w:jc w:val="center"/>
              <w:rPr>
                <w:sz w:val="28"/>
              </w:rPr>
            </w:pPr>
            <w:r>
              <w:rPr>
                <w:rFonts w:hint="cs"/>
                <w:sz w:val="28"/>
                <w:rtl/>
              </w:rPr>
              <w:t>ר. פוקס, שופטת</w:t>
            </w:r>
          </w:p>
        </w:tc>
        <w:tc>
          <w:tcPr>
            <w:tcW w:w="308" w:type="dxa"/>
          </w:tcPr>
          <w:p w14:paraId="2D54B492" w14:textId="77777777" w:rsidR="006150E6" w:rsidRDefault="006150E6">
            <w:pPr>
              <w:jc w:val="center"/>
              <w:rPr>
                <w:b/>
                <w:bCs/>
                <w:noProof/>
                <w:color w:val="FF0000"/>
                <w:sz w:val="28"/>
              </w:rPr>
            </w:pPr>
          </w:p>
        </w:tc>
        <w:tc>
          <w:tcPr>
            <w:tcW w:w="2520" w:type="dxa"/>
            <w:tcBorders>
              <w:top w:val="single" w:sz="4" w:space="0" w:color="auto"/>
              <w:left w:val="nil"/>
              <w:bottom w:val="nil"/>
              <w:right w:val="nil"/>
            </w:tcBorders>
          </w:tcPr>
          <w:p w14:paraId="25A01238" w14:textId="77777777" w:rsidR="006150E6" w:rsidRDefault="00BB43A3">
            <w:pPr>
              <w:jc w:val="center"/>
              <w:rPr>
                <w:b/>
                <w:bCs/>
                <w:noProof/>
                <w:sz w:val="28"/>
                <w:rtl/>
              </w:rPr>
            </w:pPr>
            <w:r>
              <w:rPr>
                <w:rFonts w:hint="cs"/>
                <w:b/>
                <w:bCs/>
                <w:sz w:val="28"/>
                <w:rtl/>
              </w:rPr>
              <w:t>ד. פיש, שופט</w:t>
            </w:r>
          </w:p>
        </w:tc>
      </w:tr>
    </w:tbl>
    <w:p w14:paraId="39BC0103" w14:textId="77777777" w:rsidR="006150E6" w:rsidRDefault="006150E6">
      <w:pPr>
        <w:jc w:val="center"/>
      </w:pPr>
    </w:p>
    <w:p w14:paraId="7C7FABB9" w14:textId="77777777" w:rsidR="006150E6" w:rsidRDefault="00144147">
      <w:pPr>
        <w:rPr>
          <w:sz w:val="18"/>
          <w:szCs w:val="18"/>
        </w:rPr>
      </w:pPr>
      <w:r w:rsidRPr="00144147">
        <w:rPr>
          <w:color w:val="FFFFFF"/>
          <w:sz w:val="2"/>
          <w:szCs w:val="2"/>
          <w:rtl/>
        </w:rPr>
        <w:t>5129371</w:t>
      </w:r>
      <w:r w:rsidR="00BB43A3">
        <w:rPr>
          <w:rFonts w:hint="cs"/>
          <w:sz w:val="18"/>
          <w:szCs w:val="18"/>
          <w:rtl/>
        </w:rPr>
        <w:t xml:space="preserve">קלדנית: ליאת פ. </w:t>
      </w:r>
    </w:p>
    <w:p w14:paraId="48EBDE07" w14:textId="77777777" w:rsidR="00BB43A3" w:rsidRPr="00144147" w:rsidRDefault="00144147" w:rsidP="00BB43A3">
      <w:pPr>
        <w:keepNext/>
        <w:rPr>
          <w:rFonts w:ascii="David" w:hAnsi="David"/>
          <w:color w:val="FFFFFF"/>
          <w:sz w:val="2"/>
          <w:szCs w:val="2"/>
          <w:rtl/>
        </w:rPr>
      </w:pPr>
      <w:r w:rsidRPr="00144147">
        <w:rPr>
          <w:rFonts w:ascii="David" w:hAnsi="David"/>
          <w:color w:val="FFFFFF"/>
          <w:sz w:val="2"/>
          <w:szCs w:val="2"/>
          <w:rtl/>
        </w:rPr>
        <w:t>54678313</w:t>
      </w:r>
    </w:p>
    <w:p w14:paraId="1BB19C45" w14:textId="77777777" w:rsidR="00BB43A3" w:rsidRDefault="00BB43A3" w:rsidP="00BB43A3">
      <w:pPr>
        <w:rPr>
          <w:rtl/>
        </w:rPr>
      </w:pPr>
    </w:p>
    <w:p w14:paraId="07C4C1DC" w14:textId="77777777" w:rsidR="00BB43A3" w:rsidRDefault="00BB43A3" w:rsidP="00BB43A3">
      <w:pPr>
        <w:jc w:val="center"/>
        <w:rPr>
          <w:color w:val="0000FF"/>
          <w:u w:val="single"/>
        </w:rPr>
      </w:pPr>
      <w:hyperlink r:id="rId31" w:history="1">
        <w:r>
          <w:rPr>
            <w:color w:val="0000FF"/>
            <w:u w:val="single"/>
            <w:rtl/>
          </w:rPr>
          <w:t>בעניין עריכה ושינויים במסמכי פסיקה, חקיקה ועוד באתר נבו – הקש כאן</w:t>
        </w:r>
      </w:hyperlink>
    </w:p>
    <w:p w14:paraId="224DD0A4" w14:textId="77777777" w:rsidR="00144147" w:rsidRPr="00144147" w:rsidRDefault="00144147" w:rsidP="00144147">
      <w:pPr>
        <w:keepNext/>
        <w:rPr>
          <w:rFonts w:ascii="David" w:hAnsi="David"/>
          <w:color w:val="000000"/>
          <w:sz w:val="22"/>
          <w:szCs w:val="22"/>
          <w:rtl/>
        </w:rPr>
      </w:pPr>
    </w:p>
    <w:p w14:paraId="1E49F481" w14:textId="77777777" w:rsidR="00144147" w:rsidRPr="00144147" w:rsidRDefault="00144147" w:rsidP="00144147">
      <w:pPr>
        <w:keepNext/>
        <w:rPr>
          <w:rFonts w:ascii="David" w:hAnsi="David"/>
          <w:color w:val="000000"/>
          <w:sz w:val="22"/>
          <w:szCs w:val="22"/>
          <w:rtl/>
        </w:rPr>
      </w:pPr>
      <w:r w:rsidRPr="00144147">
        <w:rPr>
          <w:rFonts w:ascii="David" w:hAnsi="David"/>
          <w:color w:val="000000"/>
          <w:sz w:val="22"/>
          <w:szCs w:val="22"/>
          <w:rtl/>
        </w:rPr>
        <w:t>מ. גלעד 54678313-/</w:t>
      </w:r>
    </w:p>
    <w:p w14:paraId="1635B2F0" w14:textId="77777777" w:rsidR="006150E6" w:rsidRPr="00BB43A3" w:rsidRDefault="00144147" w:rsidP="00144147">
      <w:pPr>
        <w:rPr>
          <w:color w:val="0000FF"/>
          <w:u w:val="single"/>
        </w:rPr>
      </w:pPr>
      <w:r w:rsidRPr="00144147">
        <w:rPr>
          <w:color w:val="000000"/>
          <w:u w:val="single"/>
          <w:rtl/>
        </w:rPr>
        <w:t>נוסח מסמך זה כפוף לשינויי ניסוח ועריכה</w:t>
      </w:r>
    </w:p>
    <w:sectPr w:rsidR="006150E6" w:rsidRPr="00BB43A3" w:rsidSect="00144147">
      <w:headerReference w:type="even" r:id="rId32"/>
      <w:headerReference w:type="default" r:id="rId33"/>
      <w:footerReference w:type="even" r:id="rId34"/>
      <w:footerReference w:type="default" r:id="rId3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6F7A35" w14:textId="77777777" w:rsidR="00B228AB" w:rsidRPr="00694490" w:rsidRDefault="00B228AB">
      <w:pPr>
        <w:rPr>
          <w:rFonts w:cs="Arial"/>
          <w:szCs w:val="20"/>
        </w:rPr>
      </w:pPr>
      <w:r>
        <w:separator/>
      </w:r>
    </w:p>
  </w:endnote>
  <w:endnote w:type="continuationSeparator" w:id="0">
    <w:p w14:paraId="07D7C4B9" w14:textId="77777777" w:rsidR="00B228AB" w:rsidRPr="00694490" w:rsidRDefault="00B228AB">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C11528" w14:textId="77777777" w:rsidR="00144147" w:rsidRDefault="00144147" w:rsidP="00144147">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9559638" w14:textId="77777777" w:rsidR="006150E6" w:rsidRPr="00144147" w:rsidRDefault="00144147" w:rsidP="00144147">
    <w:pPr>
      <w:pStyle w:val="a4"/>
      <w:pBdr>
        <w:top w:val="single" w:sz="4" w:space="1" w:color="auto"/>
        <w:between w:val="single" w:sz="4" w:space="0" w:color="auto"/>
      </w:pBdr>
      <w:spacing w:after="60"/>
      <w:jc w:val="center"/>
      <w:rPr>
        <w:rFonts w:ascii="FrankRuehl" w:hAnsi="FrankRuehl" w:cs="FrankRuehl"/>
        <w:color w:val="000000"/>
      </w:rPr>
    </w:pPr>
    <w:r w:rsidRPr="0014414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523B5F" w14:textId="77777777" w:rsidR="00144147" w:rsidRDefault="00144147" w:rsidP="00144147">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24C46">
      <w:rPr>
        <w:rFonts w:ascii="FrankRuehl" w:hAnsi="FrankRuehl" w:cs="FrankRuehl"/>
        <w:noProof/>
        <w:rtl/>
      </w:rPr>
      <w:t>1</w:t>
    </w:r>
    <w:r>
      <w:rPr>
        <w:rFonts w:ascii="FrankRuehl" w:hAnsi="FrankRuehl" w:cs="FrankRuehl"/>
        <w:rtl/>
      </w:rPr>
      <w:fldChar w:fldCharType="end"/>
    </w:r>
  </w:p>
  <w:p w14:paraId="0EBC7086" w14:textId="77777777" w:rsidR="006150E6" w:rsidRPr="00144147" w:rsidRDefault="00144147" w:rsidP="00144147">
    <w:pPr>
      <w:pStyle w:val="a4"/>
      <w:pBdr>
        <w:top w:val="single" w:sz="4" w:space="1" w:color="auto"/>
        <w:between w:val="single" w:sz="4" w:space="0" w:color="auto"/>
      </w:pBdr>
      <w:spacing w:after="60"/>
      <w:jc w:val="center"/>
      <w:rPr>
        <w:rFonts w:ascii="FrankRuehl" w:hAnsi="FrankRuehl" w:cs="FrankRuehl"/>
        <w:color w:val="000000"/>
      </w:rPr>
    </w:pPr>
    <w:r w:rsidRPr="00144147">
      <w:rPr>
        <w:rFonts w:ascii="FrankRuehl" w:hAnsi="FrankRuehl" w:cs="FrankRuehl"/>
        <w:color w:val="000000"/>
      </w:rPr>
      <w:pict w14:anchorId="74590E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527E90" w14:textId="77777777" w:rsidR="00B228AB" w:rsidRPr="00694490" w:rsidRDefault="00B228AB">
      <w:pPr>
        <w:rPr>
          <w:rFonts w:cs="Arial"/>
          <w:szCs w:val="20"/>
        </w:rPr>
      </w:pPr>
      <w:r>
        <w:separator/>
      </w:r>
    </w:p>
  </w:footnote>
  <w:footnote w:type="continuationSeparator" w:id="0">
    <w:p w14:paraId="00270B33" w14:textId="77777777" w:rsidR="00B228AB" w:rsidRPr="00694490" w:rsidRDefault="00B228AB">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2E91E6" w14:textId="77777777" w:rsidR="00BB43A3" w:rsidRPr="00144147" w:rsidRDefault="00144147" w:rsidP="0014414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55800-02-13</w:t>
    </w:r>
    <w:r>
      <w:rPr>
        <w:rFonts w:ascii="David" w:hAnsi="David"/>
        <w:color w:val="000000"/>
        <w:sz w:val="22"/>
        <w:szCs w:val="22"/>
        <w:rtl/>
      </w:rPr>
      <w:tab/>
      <w:t xml:space="preserve"> מדינת ישראל נ' ראגב סלמאן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933E80" w14:textId="77777777" w:rsidR="00BB43A3" w:rsidRPr="00144147" w:rsidRDefault="00144147" w:rsidP="0014414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55800-02-13</w:t>
    </w:r>
    <w:r>
      <w:rPr>
        <w:rFonts w:ascii="David" w:hAnsi="David"/>
        <w:color w:val="000000"/>
        <w:sz w:val="22"/>
        <w:szCs w:val="22"/>
        <w:rtl/>
      </w:rPr>
      <w:tab/>
      <w:t xml:space="preserve"> מדינת ישראל נ' ראגב סלמאן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150E6"/>
    <w:rsid w:val="00144147"/>
    <w:rsid w:val="006150E6"/>
    <w:rsid w:val="00963FDB"/>
    <w:rsid w:val="00AE6131"/>
    <w:rsid w:val="00B228AB"/>
    <w:rsid w:val="00BB43A3"/>
    <w:rsid w:val="00E24C4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0374360"/>
  <w15:chartTrackingRefBased/>
  <w15:docId w15:val="{0F166CF3-6659-4186-8257-5B408771E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150E6"/>
    <w:pPr>
      <w:bidi/>
    </w:pPr>
    <w:rPr>
      <w:rFonts w:cs="David"/>
      <w:sz w:val="24"/>
      <w:szCs w:val="24"/>
    </w:rPr>
  </w:style>
  <w:style w:type="paragraph" w:styleId="3">
    <w:name w:val="heading 3"/>
    <w:basedOn w:val="a"/>
    <w:next w:val="a"/>
    <w:link w:val="30"/>
    <w:qFormat/>
    <w:rsid w:val="006150E6"/>
    <w:pPr>
      <w:keepNext/>
      <w:spacing w:line="360" w:lineRule="auto"/>
      <w:jc w:val="both"/>
      <w:outlineLvl w:val="2"/>
    </w:pPr>
    <w:rPr>
      <w:b/>
      <w:bCs/>
      <w:noProof/>
      <w:sz w:val="20"/>
      <w:lang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6150E6"/>
    <w:pPr>
      <w:tabs>
        <w:tab w:val="center" w:pos="4153"/>
        <w:tab w:val="right" w:pos="8306"/>
      </w:tabs>
    </w:pPr>
  </w:style>
  <w:style w:type="paragraph" w:styleId="a4">
    <w:name w:val="footer"/>
    <w:basedOn w:val="a"/>
    <w:rsid w:val="006150E6"/>
    <w:pPr>
      <w:tabs>
        <w:tab w:val="center" w:pos="4153"/>
        <w:tab w:val="right" w:pos="8306"/>
      </w:tabs>
    </w:pPr>
  </w:style>
  <w:style w:type="character" w:styleId="a5">
    <w:name w:val="page number"/>
    <w:basedOn w:val="a0"/>
    <w:rsid w:val="006150E6"/>
  </w:style>
  <w:style w:type="character" w:customStyle="1" w:styleId="30">
    <w:name w:val="כותרת 3 תו"/>
    <w:basedOn w:val="a0"/>
    <w:link w:val="3"/>
    <w:rsid w:val="006150E6"/>
    <w:rPr>
      <w:rFonts w:cs="David"/>
      <w:b/>
      <w:bCs/>
      <w:noProof/>
      <w:szCs w:val="24"/>
      <w:lang w:val="en-US" w:eastAsia="he-IL" w:bidi="he-IL"/>
    </w:rPr>
  </w:style>
  <w:style w:type="character" w:styleId="Hyperlink">
    <w:name w:val="Hyperlink"/>
    <w:basedOn w:val="a0"/>
    <w:rsid w:val="00BB43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70301/77" TargetMode="External"/><Relationship Id="rId26" Type="http://schemas.openxmlformats.org/officeDocument/2006/relationships/hyperlink" Target="http://www.nevo.co.il/law/70301" TargetMode="External"/><Relationship Id="rId21" Type="http://schemas.openxmlformats.org/officeDocument/2006/relationships/hyperlink" Target="http://www.nevo.co.il/law/70301" TargetMode="External"/><Relationship Id="rId34" Type="http://schemas.openxmlformats.org/officeDocument/2006/relationships/footer" Target="footer1.xml"/><Relationship Id="rId7" Type="http://schemas.openxmlformats.org/officeDocument/2006/relationships/hyperlink" Target="http://www.nevo.co.il/law/70301/77" TargetMode="External"/><Relationship Id="rId12" Type="http://schemas.openxmlformats.org/officeDocument/2006/relationships/hyperlink" Target="http://www.nevo.co.il/law/70301/298"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298" TargetMode="External"/><Relationship Id="rId33"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nevo.co.il/law/70301/144.b" TargetMode="External"/><Relationship Id="rId20" Type="http://schemas.openxmlformats.org/officeDocument/2006/relationships/hyperlink" Target="http://www.nevo.co.il/links/psika/?link=&#1506;&#1508;%20512/13" TargetMode="External"/><Relationship Id="rId29" Type="http://schemas.openxmlformats.org/officeDocument/2006/relationships/hyperlink" Target="http://www.nevo.co.il/law/70301/144.b"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40jc.b" TargetMode="External"/><Relationship Id="rId24" Type="http://schemas.openxmlformats.org/officeDocument/2006/relationships/hyperlink" Target="http://www.nevo.co.il/law/70301"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law/70301/40jc.b" TargetMode="External"/><Relationship Id="rId28" Type="http://schemas.openxmlformats.org/officeDocument/2006/relationships/hyperlink" Target="http://www.nevo.co.il/law/70301" TargetMode="External"/><Relationship Id="rId36" Type="http://schemas.openxmlformats.org/officeDocument/2006/relationships/fontTable" Target="fontTable.xml"/><Relationship Id="rId10" Type="http://schemas.openxmlformats.org/officeDocument/2006/relationships/hyperlink" Target="http://www.nevo.co.il/law/70301/329.a.1" TargetMode="External"/><Relationship Id="rId19" Type="http://schemas.openxmlformats.org/officeDocument/2006/relationships/hyperlink" Target="http://www.nevo.co.il/law/70301" TargetMode="External"/><Relationship Id="rId31"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70301/298" TargetMode="External"/><Relationship Id="rId14" Type="http://schemas.openxmlformats.org/officeDocument/2006/relationships/hyperlink" Target="http://www.nevo.co.il/law/70301/329.a.1" TargetMode="External"/><Relationship Id="rId22" Type="http://schemas.openxmlformats.org/officeDocument/2006/relationships/hyperlink" Target="http://www.nevo.co.il/links/psika/?link=&#1506;&#1508;%201958/98" TargetMode="External"/><Relationship Id="rId27" Type="http://schemas.openxmlformats.org/officeDocument/2006/relationships/hyperlink" Target="http://www.nevo.co.il/law/70301/329.a.1" TargetMode="External"/><Relationship Id="rId30" Type="http://schemas.openxmlformats.org/officeDocument/2006/relationships/hyperlink" Target="http://www.nevo.co.il/law/70301" TargetMode="External"/><Relationship Id="rId35" Type="http://schemas.openxmlformats.org/officeDocument/2006/relationships/footer" Target="footer2.xml"/><Relationship Id="rId8" Type="http://schemas.openxmlformats.org/officeDocument/2006/relationships/hyperlink" Target="http://www.nevo.co.il/law/70301/144.b"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1852</Words>
  <Characters>9261</Characters>
  <Application>Microsoft Office Word</Application>
  <DocSecurity>0</DocSecurity>
  <Lines>77</Lines>
  <Paragraphs>22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11091</CharactersWithSpaces>
  <SharedDoc>false</SharedDoc>
  <HLinks>
    <vt:vector size="156" baseType="variant">
      <vt:variant>
        <vt:i4>393283</vt:i4>
      </vt:variant>
      <vt:variant>
        <vt:i4>75</vt:i4>
      </vt:variant>
      <vt:variant>
        <vt:i4>0</vt:i4>
      </vt:variant>
      <vt:variant>
        <vt:i4>5</vt:i4>
      </vt:variant>
      <vt:variant>
        <vt:lpwstr>http://www.nevo.co.il/advertisements/nevo-100.doc</vt:lpwstr>
      </vt:variant>
      <vt:variant>
        <vt:lpwstr/>
      </vt:variant>
      <vt:variant>
        <vt:i4>7995492</vt:i4>
      </vt:variant>
      <vt:variant>
        <vt:i4>72</vt:i4>
      </vt:variant>
      <vt:variant>
        <vt:i4>0</vt:i4>
      </vt:variant>
      <vt:variant>
        <vt:i4>5</vt:i4>
      </vt:variant>
      <vt:variant>
        <vt:lpwstr>http://www.nevo.co.il/law/70301</vt:lpwstr>
      </vt:variant>
      <vt:variant>
        <vt:lpwstr/>
      </vt:variant>
      <vt:variant>
        <vt:i4>5177424</vt:i4>
      </vt:variant>
      <vt:variant>
        <vt:i4>69</vt:i4>
      </vt:variant>
      <vt:variant>
        <vt:i4>0</vt:i4>
      </vt:variant>
      <vt:variant>
        <vt:i4>5</vt:i4>
      </vt:variant>
      <vt:variant>
        <vt:lpwstr>http://www.nevo.co.il/law/70301/144.b</vt:lpwstr>
      </vt:variant>
      <vt:variant>
        <vt:lpwstr/>
      </vt:variant>
      <vt:variant>
        <vt:i4>7995492</vt:i4>
      </vt:variant>
      <vt:variant>
        <vt:i4>66</vt:i4>
      </vt:variant>
      <vt:variant>
        <vt:i4>0</vt:i4>
      </vt:variant>
      <vt:variant>
        <vt:i4>5</vt:i4>
      </vt:variant>
      <vt:variant>
        <vt:lpwstr>http://www.nevo.co.il/law/70301</vt:lpwstr>
      </vt:variant>
      <vt:variant>
        <vt:lpwstr/>
      </vt:variant>
      <vt:variant>
        <vt:i4>6750270</vt:i4>
      </vt:variant>
      <vt:variant>
        <vt:i4>63</vt:i4>
      </vt:variant>
      <vt:variant>
        <vt:i4>0</vt:i4>
      </vt:variant>
      <vt:variant>
        <vt:i4>5</vt:i4>
      </vt:variant>
      <vt:variant>
        <vt:lpwstr>http://www.nevo.co.il/law/70301/329.a.1</vt:lpwstr>
      </vt:variant>
      <vt:variant>
        <vt:lpwstr/>
      </vt:variant>
      <vt:variant>
        <vt:i4>7995492</vt:i4>
      </vt:variant>
      <vt:variant>
        <vt:i4>60</vt:i4>
      </vt:variant>
      <vt:variant>
        <vt:i4>0</vt:i4>
      </vt:variant>
      <vt:variant>
        <vt:i4>5</vt:i4>
      </vt:variant>
      <vt:variant>
        <vt:lpwstr>http://www.nevo.co.il/law/70301</vt:lpwstr>
      </vt:variant>
      <vt:variant>
        <vt:lpwstr/>
      </vt:variant>
      <vt:variant>
        <vt:i4>7077991</vt:i4>
      </vt:variant>
      <vt:variant>
        <vt:i4>57</vt:i4>
      </vt:variant>
      <vt:variant>
        <vt:i4>0</vt:i4>
      </vt:variant>
      <vt:variant>
        <vt:i4>5</vt:i4>
      </vt:variant>
      <vt:variant>
        <vt:lpwstr>http://www.nevo.co.il/law/70301/298</vt:lpwstr>
      </vt:variant>
      <vt:variant>
        <vt:lpwstr/>
      </vt:variant>
      <vt:variant>
        <vt:i4>7995492</vt:i4>
      </vt:variant>
      <vt:variant>
        <vt:i4>54</vt:i4>
      </vt:variant>
      <vt:variant>
        <vt:i4>0</vt:i4>
      </vt:variant>
      <vt:variant>
        <vt:i4>5</vt:i4>
      </vt:variant>
      <vt:variant>
        <vt:lpwstr>http://www.nevo.co.il/law/70301</vt:lpwstr>
      </vt:variant>
      <vt:variant>
        <vt:lpwstr/>
      </vt:variant>
      <vt:variant>
        <vt:i4>6553637</vt:i4>
      </vt:variant>
      <vt:variant>
        <vt:i4>51</vt:i4>
      </vt:variant>
      <vt:variant>
        <vt:i4>0</vt:i4>
      </vt:variant>
      <vt:variant>
        <vt:i4>5</vt:i4>
      </vt:variant>
      <vt:variant>
        <vt:lpwstr>http://www.nevo.co.il/law/70301/40jc.b</vt:lpwstr>
      </vt:variant>
      <vt:variant>
        <vt:lpwstr/>
      </vt:variant>
      <vt:variant>
        <vt:i4>98960821</vt:i4>
      </vt:variant>
      <vt:variant>
        <vt:i4>48</vt:i4>
      </vt:variant>
      <vt:variant>
        <vt:i4>0</vt:i4>
      </vt:variant>
      <vt:variant>
        <vt:i4>5</vt:i4>
      </vt:variant>
      <vt:variant>
        <vt:lpwstr>http://www.nevo.co.il/links/psika/?link=עפ 1958/98</vt:lpwstr>
      </vt:variant>
      <vt:variant>
        <vt:lpwstr/>
      </vt:variant>
      <vt:variant>
        <vt:i4>7995492</vt:i4>
      </vt:variant>
      <vt:variant>
        <vt:i4>45</vt:i4>
      </vt:variant>
      <vt:variant>
        <vt:i4>0</vt:i4>
      </vt:variant>
      <vt:variant>
        <vt:i4>5</vt:i4>
      </vt:variant>
      <vt:variant>
        <vt:lpwstr>http://www.nevo.co.il/law/70301</vt:lpwstr>
      </vt:variant>
      <vt:variant>
        <vt:lpwstr/>
      </vt:variant>
      <vt:variant>
        <vt:i4>96667027</vt:i4>
      </vt:variant>
      <vt:variant>
        <vt:i4>42</vt:i4>
      </vt:variant>
      <vt:variant>
        <vt:i4>0</vt:i4>
      </vt:variant>
      <vt:variant>
        <vt:i4>5</vt:i4>
      </vt:variant>
      <vt:variant>
        <vt:lpwstr>http://www.nevo.co.il/links/psika/?link=עפ 512/13</vt:lpwstr>
      </vt:variant>
      <vt:variant>
        <vt:lpwstr/>
      </vt:variant>
      <vt:variant>
        <vt:i4>7995492</vt:i4>
      </vt:variant>
      <vt:variant>
        <vt:i4>39</vt:i4>
      </vt:variant>
      <vt:variant>
        <vt:i4>0</vt:i4>
      </vt:variant>
      <vt:variant>
        <vt:i4>5</vt:i4>
      </vt:variant>
      <vt:variant>
        <vt:lpwstr>http://www.nevo.co.il/law/70301</vt:lpwstr>
      </vt:variant>
      <vt:variant>
        <vt:lpwstr/>
      </vt:variant>
      <vt:variant>
        <vt:i4>6422626</vt:i4>
      </vt:variant>
      <vt:variant>
        <vt:i4>36</vt:i4>
      </vt:variant>
      <vt:variant>
        <vt:i4>0</vt:i4>
      </vt:variant>
      <vt:variant>
        <vt:i4>5</vt:i4>
      </vt:variant>
      <vt:variant>
        <vt:lpwstr>http://www.nevo.co.il/law/70301/77</vt:lpwstr>
      </vt:variant>
      <vt:variant>
        <vt:lpwstr/>
      </vt:variant>
      <vt:variant>
        <vt:i4>7995492</vt:i4>
      </vt:variant>
      <vt:variant>
        <vt:i4>33</vt:i4>
      </vt:variant>
      <vt:variant>
        <vt:i4>0</vt:i4>
      </vt:variant>
      <vt:variant>
        <vt:i4>5</vt:i4>
      </vt:variant>
      <vt:variant>
        <vt:lpwstr>http://www.nevo.co.il/law/70301</vt:lpwstr>
      </vt:variant>
      <vt:variant>
        <vt:lpwstr/>
      </vt:variant>
      <vt:variant>
        <vt:i4>5177424</vt:i4>
      </vt:variant>
      <vt:variant>
        <vt:i4>30</vt:i4>
      </vt:variant>
      <vt:variant>
        <vt:i4>0</vt:i4>
      </vt:variant>
      <vt:variant>
        <vt:i4>5</vt:i4>
      </vt:variant>
      <vt:variant>
        <vt:lpwstr>http://www.nevo.co.il/law/70301/144.b</vt:lpwstr>
      </vt:variant>
      <vt:variant>
        <vt:lpwstr/>
      </vt:variant>
      <vt:variant>
        <vt:i4>7995492</vt:i4>
      </vt:variant>
      <vt:variant>
        <vt:i4>27</vt:i4>
      </vt:variant>
      <vt:variant>
        <vt:i4>0</vt:i4>
      </vt:variant>
      <vt:variant>
        <vt:i4>5</vt:i4>
      </vt:variant>
      <vt:variant>
        <vt:lpwstr>http://www.nevo.co.il/law/70301</vt:lpwstr>
      </vt:variant>
      <vt:variant>
        <vt:lpwstr/>
      </vt:variant>
      <vt:variant>
        <vt:i4>6750270</vt:i4>
      </vt:variant>
      <vt:variant>
        <vt:i4>24</vt:i4>
      </vt:variant>
      <vt:variant>
        <vt:i4>0</vt:i4>
      </vt:variant>
      <vt:variant>
        <vt:i4>5</vt:i4>
      </vt:variant>
      <vt:variant>
        <vt:lpwstr>http://www.nevo.co.il/law/70301/329.a.1</vt:lpwstr>
      </vt:variant>
      <vt:variant>
        <vt:lpwstr/>
      </vt:variant>
      <vt:variant>
        <vt:i4>7995492</vt:i4>
      </vt:variant>
      <vt:variant>
        <vt:i4>21</vt:i4>
      </vt:variant>
      <vt:variant>
        <vt:i4>0</vt:i4>
      </vt:variant>
      <vt:variant>
        <vt:i4>5</vt:i4>
      </vt:variant>
      <vt:variant>
        <vt:lpwstr>http://www.nevo.co.il/law/70301</vt:lpwstr>
      </vt:variant>
      <vt:variant>
        <vt:lpwstr/>
      </vt:variant>
      <vt:variant>
        <vt:i4>7077991</vt:i4>
      </vt:variant>
      <vt:variant>
        <vt:i4>18</vt:i4>
      </vt:variant>
      <vt:variant>
        <vt:i4>0</vt:i4>
      </vt:variant>
      <vt:variant>
        <vt:i4>5</vt:i4>
      </vt:variant>
      <vt:variant>
        <vt:lpwstr>http://www.nevo.co.il/law/70301/298</vt:lpwstr>
      </vt:variant>
      <vt:variant>
        <vt:lpwstr/>
      </vt:variant>
      <vt:variant>
        <vt:i4>6553637</vt:i4>
      </vt:variant>
      <vt:variant>
        <vt:i4>15</vt:i4>
      </vt:variant>
      <vt:variant>
        <vt:i4>0</vt:i4>
      </vt:variant>
      <vt:variant>
        <vt:i4>5</vt:i4>
      </vt:variant>
      <vt:variant>
        <vt:lpwstr>http://www.nevo.co.il/law/70301/40jc.b</vt:lpwstr>
      </vt:variant>
      <vt:variant>
        <vt:lpwstr/>
      </vt:variant>
      <vt:variant>
        <vt:i4>6750270</vt:i4>
      </vt:variant>
      <vt:variant>
        <vt:i4>12</vt:i4>
      </vt:variant>
      <vt:variant>
        <vt:i4>0</vt:i4>
      </vt:variant>
      <vt:variant>
        <vt:i4>5</vt:i4>
      </vt:variant>
      <vt:variant>
        <vt:lpwstr>http://www.nevo.co.il/law/70301/329.a.1</vt:lpwstr>
      </vt:variant>
      <vt:variant>
        <vt:lpwstr/>
      </vt:variant>
      <vt:variant>
        <vt:i4>7077991</vt:i4>
      </vt:variant>
      <vt:variant>
        <vt:i4>9</vt:i4>
      </vt:variant>
      <vt:variant>
        <vt:i4>0</vt:i4>
      </vt:variant>
      <vt:variant>
        <vt:i4>5</vt:i4>
      </vt:variant>
      <vt:variant>
        <vt:lpwstr>http://www.nevo.co.il/law/70301/298</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6422626</vt:i4>
      </vt:variant>
      <vt:variant>
        <vt:i4>3</vt:i4>
      </vt:variant>
      <vt:variant>
        <vt:i4>0</vt:i4>
      </vt:variant>
      <vt:variant>
        <vt:i4>5</vt:i4>
      </vt:variant>
      <vt:variant>
        <vt:lpwstr>http://www.nevo.co.il/law/70301/77</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2025-01-19T15:47:00Z</dcterms:created>
  <dcterms:modified xsi:type="dcterms:W3CDTF">2025-01-19T15:47:00Z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55800</vt:lpwstr>
  </property>
  <property fmtid="{D5CDD505-2E9C-101B-9397-08002B2CF9AE}" pid="6" name="NEWPARTB">
    <vt:lpwstr>02</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ראגב סלמאן</vt:lpwstr>
  </property>
  <property fmtid="{D5CDD505-2E9C-101B-9397-08002B2CF9AE}" pid="10" name="LAWYER">
    <vt:lpwstr>מירה רווה;משה שרמן;זידאן מטאנס</vt:lpwstr>
  </property>
  <property fmtid="{D5CDD505-2E9C-101B-9397-08002B2CF9AE}" pid="11" name="JUDGE">
    <vt:lpwstr>מ. גלעד;ר. פוקס;ד. פיש</vt:lpwstr>
  </property>
  <property fmtid="{D5CDD505-2E9C-101B-9397-08002B2CF9AE}" pid="12" name="CITY">
    <vt:lpwstr>חי'</vt:lpwstr>
  </property>
  <property fmtid="{D5CDD505-2E9C-101B-9397-08002B2CF9AE}" pid="13" name="DATE">
    <vt:lpwstr>20140223</vt:lpwstr>
  </property>
  <property fmtid="{D5CDD505-2E9C-101B-9397-08002B2CF9AE}" pid="14" name="TYPE_N_DATE">
    <vt:lpwstr>39020140223</vt:lpwstr>
  </property>
  <property fmtid="{D5CDD505-2E9C-101B-9397-08002B2CF9AE}" pid="15" name="WORDNUMPAGES">
    <vt:lpwstr>7</vt:lpwstr>
  </property>
  <property fmtid="{D5CDD505-2E9C-101B-9397-08002B2CF9AE}" pid="16" name="TYPE_ABS_DATE">
    <vt:lpwstr>390020140223</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LAWLISTTMP1">
    <vt:lpwstr>70301/298;329.a.1;144.b;077;40jc.b</vt:lpwstr>
  </property>
</Properties>
</file>