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9365F" w:rsidRPr="00451230" w14:paraId="362EA05B" w14:textId="77777777">
        <w:trPr>
          <w:trHeight w:hRule="exact" w:val="418"/>
          <w:jc w:val="center"/>
        </w:trPr>
        <w:tc>
          <w:tcPr>
            <w:tcW w:w="8720" w:type="dxa"/>
            <w:gridSpan w:val="3"/>
          </w:tcPr>
          <w:p w14:paraId="5A52D127" w14:textId="77777777" w:rsidR="00F9365F" w:rsidRPr="00451230" w:rsidRDefault="00451230">
            <w:pPr>
              <w:pStyle w:val="a3"/>
              <w:tabs>
                <w:tab w:val="clear" w:pos="8306"/>
              </w:tabs>
              <w:jc w:val="center"/>
              <w:rPr>
                <w:rFonts w:ascii="Tahoma" w:hAnsi="Tahoma" w:cs="Tahoma"/>
                <w:b/>
                <w:bCs/>
                <w:color w:val="000080"/>
                <w:sz w:val="20"/>
                <w:szCs w:val="20"/>
                <w:rtl/>
              </w:rPr>
            </w:pPr>
            <w:bookmarkStart w:id="0" w:name="FirstLawyer"/>
            <w:bookmarkStart w:id="1" w:name="LastJudge"/>
            <w:r w:rsidRPr="00451230">
              <w:rPr>
                <w:rFonts w:ascii="Tahoma" w:hAnsi="Tahoma" w:cs="Tahoma"/>
                <w:b/>
                <w:bCs/>
                <w:color w:val="000080"/>
                <w:sz w:val="20"/>
                <w:szCs w:val="20"/>
                <w:rtl/>
              </w:rPr>
              <w:t>בית המשפט המחוזי בנצרת</w:t>
            </w:r>
          </w:p>
        </w:tc>
      </w:tr>
      <w:tr w:rsidR="00F9365F" w:rsidRPr="00451230" w14:paraId="6FD7562B" w14:textId="77777777">
        <w:trPr>
          <w:trHeight w:val="337"/>
          <w:jc w:val="center"/>
        </w:trPr>
        <w:tc>
          <w:tcPr>
            <w:tcW w:w="6396" w:type="dxa"/>
          </w:tcPr>
          <w:p w14:paraId="35CA9F12" w14:textId="77777777" w:rsidR="00F9365F" w:rsidRPr="00451230" w:rsidRDefault="00451230">
            <w:pPr>
              <w:rPr>
                <w:b/>
                <w:bCs/>
                <w:sz w:val="26"/>
                <w:szCs w:val="26"/>
                <w:rtl/>
              </w:rPr>
            </w:pPr>
            <w:r w:rsidRPr="00451230">
              <w:rPr>
                <w:b/>
                <w:bCs/>
                <w:sz w:val="26"/>
                <w:szCs w:val="26"/>
                <w:rtl/>
              </w:rPr>
              <w:t>ת"פ</w:t>
            </w:r>
            <w:r w:rsidRPr="00451230">
              <w:rPr>
                <w:rFonts w:hint="cs"/>
                <w:b/>
                <w:bCs/>
                <w:sz w:val="26"/>
                <w:szCs w:val="26"/>
                <w:rtl/>
              </w:rPr>
              <w:t xml:space="preserve"> </w:t>
            </w:r>
            <w:r w:rsidRPr="00451230">
              <w:rPr>
                <w:b/>
                <w:bCs/>
                <w:sz w:val="26"/>
                <w:szCs w:val="26"/>
                <w:rtl/>
              </w:rPr>
              <w:t>39535-03-13</w:t>
            </w:r>
            <w:r w:rsidRPr="00451230">
              <w:rPr>
                <w:rFonts w:hint="cs"/>
                <w:b/>
                <w:bCs/>
                <w:sz w:val="26"/>
                <w:szCs w:val="26"/>
                <w:rtl/>
              </w:rPr>
              <w:t xml:space="preserve"> </w:t>
            </w:r>
            <w:r w:rsidRPr="00451230">
              <w:rPr>
                <w:b/>
                <w:bCs/>
                <w:sz w:val="26"/>
                <w:szCs w:val="26"/>
                <w:rtl/>
              </w:rPr>
              <w:t>מדינת ישראל נ' סרצה(עציר)</w:t>
            </w:r>
          </w:p>
          <w:p w14:paraId="3945517A" w14:textId="77777777" w:rsidR="00F9365F" w:rsidRPr="00451230" w:rsidRDefault="00F9365F">
            <w:pPr>
              <w:rPr>
                <w:b/>
                <w:bCs/>
                <w:sz w:val="26"/>
                <w:szCs w:val="26"/>
                <w:rtl/>
              </w:rPr>
            </w:pPr>
          </w:p>
        </w:tc>
        <w:tc>
          <w:tcPr>
            <w:tcW w:w="236" w:type="dxa"/>
          </w:tcPr>
          <w:p w14:paraId="33538A4A" w14:textId="77777777" w:rsidR="00F9365F" w:rsidRPr="00451230" w:rsidRDefault="00F9365F">
            <w:pPr>
              <w:pStyle w:val="a3"/>
              <w:jc w:val="right"/>
              <w:rPr>
                <w:b/>
                <w:bCs/>
                <w:sz w:val="26"/>
                <w:szCs w:val="26"/>
                <w:rtl/>
              </w:rPr>
            </w:pPr>
          </w:p>
        </w:tc>
        <w:tc>
          <w:tcPr>
            <w:tcW w:w="2088" w:type="dxa"/>
          </w:tcPr>
          <w:p w14:paraId="26ED11F9" w14:textId="77777777" w:rsidR="00F9365F" w:rsidRPr="00451230" w:rsidRDefault="00451230">
            <w:pPr>
              <w:pStyle w:val="a3"/>
              <w:tabs>
                <w:tab w:val="clear" w:pos="4153"/>
              </w:tabs>
              <w:jc w:val="right"/>
              <w:rPr>
                <w:b/>
                <w:bCs/>
                <w:sz w:val="26"/>
                <w:szCs w:val="26"/>
                <w:rtl/>
              </w:rPr>
            </w:pPr>
            <w:r w:rsidRPr="00451230">
              <w:rPr>
                <w:b/>
                <w:bCs/>
                <w:sz w:val="26"/>
                <w:szCs w:val="26"/>
                <w:rtl/>
              </w:rPr>
              <w:t>06 יוני 2013</w:t>
            </w:r>
          </w:p>
        </w:tc>
      </w:tr>
    </w:tbl>
    <w:p w14:paraId="3311B239" w14:textId="77777777" w:rsidR="00F9365F" w:rsidRPr="00451230" w:rsidRDefault="00F9365F">
      <w:pPr>
        <w:pStyle w:val="a3"/>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F9365F" w:rsidRPr="00451230" w14:paraId="13C37CEB" w14:textId="77777777">
        <w:trPr>
          <w:gridAfter w:val="1"/>
          <w:wAfter w:w="83" w:type="dxa"/>
        </w:trPr>
        <w:tc>
          <w:tcPr>
            <w:tcW w:w="8719" w:type="dxa"/>
            <w:gridSpan w:val="2"/>
          </w:tcPr>
          <w:p w14:paraId="48EEFF43" w14:textId="77777777" w:rsidR="00F9365F" w:rsidRPr="00451230" w:rsidRDefault="00451230">
            <w:pPr>
              <w:spacing w:line="360" w:lineRule="auto"/>
              <w:rPr>
                <w:rFonts w:ascii="Times New Roman" w:eastAsia="Times New Roman" w:hAnsi="Times New Roman"/>
                <w:b/>
                <w:bCs/>
                <w:sz w:val="26"/>
                <w:szCs w:val="26"/>
                <w:rtl/>
              </w:rPr>
            </w:pPr>
            <w:r w:rsidRPr="00451230">
              <w:rPr>
                <w:rFonts w:ascii="Times New Roman" w:eastAsia="Times New Roman" w:hAnsi="Times New Roman" w:hint="cs"/>
                <w:b/>
                <w:bCs/>
                <w:sz w:val="26"/>
                <w:szCs w:val="26"/>
                <w:rtl/>
              </w:rPr>
              <w:t>בפני כב' ה</w:t>
            </w:r>
            <w:r w:rsidRPr="00451230">
              <w:rPr>
                <w:rFonts w:ascii="Times New Roman" w:eastAsia="Times New Roman" w:hAnsi="Times New Roman"/>
                <w:b/>
                <w:bCs/>
                <w:sz w:val="26"/>
                <w:szCs w:val="26"/>
                <w:rtl/>
              </w:rPr>
              <w:t>שופט אשר קולה</w:t>
            </w:r>
            <w:r w:rsidRPr="00451230">
              <w:rPr>
                <w:rStyle w:val="TimesNewRomanTimesNewRoman"/>
                <w:rFonts w:eastAsia="Times New Roman"/>
                <w:rtl/>
              </w:rPr>
              <w:t xml:space="preserve"> </w:t>
            </w:r>
          </w:p>
        </w:tc>
      </w:tr>
      <w:tr w:rsidR="00F9365F" w:rsidRPr="00451230" w14:paraId="2F05EBC7" w14:textId="77777777">
        <w:tc>
          <w:tcPr>
            <w:tcW w:w="2880" w:type="dxa"/>
          </w:tcPr>
          <w:p w14:paraId="4D9BF31A" w14:textId="77777777" w:rsidR="00F9365F" w:rsidRPr="00451230" w:rsidRDefault="00451230">
            <w:pPr>
              <w:ind w:left="26"/>
              <w:rPr>
                <w:rFonts w:ascii="Times New Roman" w:eastAsia="Times New Roman" w:hAnsi="Times New Roman"/>
                <w:b/>
                <w:bCs/>
                <w:sz w:val="26"/>
                <w:szCs w:val="26"/>
                <w:rtl/>
              </w:rPr>
            </w:pPr>
            <w:bookmarkStart w:id="2" w:name="FirstAppellant"/>
            <w:r w:rsidRPr="00451230">
              <w:rPr>
                <w:rFonts w:ascii="Times New Roman" w:eastAsia="Times New Roman" w:hAnsi="Times New Roman" w:hint="cs"/>
                <w:b/>
                <w:bCs/>
                <w:sz w:val="26"/>
                <w:szCs w:val="26"/>
                <w:rtl/>
              </w:rPr>
              <w:t>ה</w:t>
            </w:r>
            <w:r w:rsidRPr="00451230">
              <w:rPr>
                <w:rFonts w:ascii="Times New Roman" w:eastAsia="Times New Roman" w:hAnsi="Times New Roman"/>
                <w:b/>
                <w:bCs/>
                <w:sz w:val="26"/>
                <w:szCs w:val="26"/>
                <w:rtl/>
              </w:rPr>
              <w:t>מאשימה</w:t>
            </w:r>
          </w:p>
        </w:tc>
        <w:tc>
          <w:tcPr>
            <w:tcW w:w="5922" w:type="dxa"/>
            <w:gridSpan w:val="2"/>
          </w:tcPr>
          <w:p w14:paraId="72C9FAF8" w14:textId="77777777" w:rsidR="00F9365F" w:rsidRPr="00451230" w:rsidRDefault="00451230">
            <w:pPr>
              <w:rPr>
                <w:rFonts w:ascii="Times New Roman" w:eastAsia="Times New Roman" w:hAnsi="Times New Roman"/>
                <w:b/>
                <w:bCs/>
                <w:sz w:val="26"/>
                <w:szCs w:val="26"/>
                <w:rtl/>
              </w:rPr>
            </w:pPr>
            <w:r w:rsidRPr="00451230">
              <w:rPr>
                <w:rFonts w:ascii="Times New Roman" w:eastAsia="Times New Roman" w:hAnsi="Times New Roman"/>
                <w:b/>
                <w:bCs/>
                <w:sz w:val="26"/>
                <w:szCs w:val="26"/>
                <w:rtl/>
              </w:rPr>
              <w:t>מדינת ישראל</w:t>
            </w:r>
          </w:p>
          <w:p w14:paraId="49ADE3B8" w14:textId="77777777" w:rsidR="00F9365F" w:rsidRPr="00451230" w:rsidRDefault="00F9365F">
            <w:pPr>
              <w:rPr>
                <w:rFonts w:ascii="Times New Roman" w:eastAsia="Times New Roman" w:hAnsi="Times New Roman"/>
                <w:b/>
                <w:bCs/>
                <w:sz w:val="26"/>
                <w:szCs w:val="26"/>
                <w:rtl/>
              </w:rPr>
            </w:pPr>
          </w:p>
        </w:tc>
      </w:tr>
      <w:bookmarkEnd w:id="2"/>
      <w:tr w:rsidR="00F9365F" w:rsidRPr="00451230" w14:paraId="63F9756B" w14:textId="77777777">
        <w:tc>
          <w:tcPr>
            <w:tcW w:w="8802" w:type="dxa"/>
            <w:gridSpan w:val="3"/>
          </w:tcPr>
          <w:p w14:paraId="1132F448" w14:textId="77777777" w:rsidR="00F9365F" w:rsidRPr="00451230" w:rsidRDefault="00F9365F">
            <w:pPr>
              <w:jc w:val="both"/>
              <w:rPr>
                <w:rFonts w:ascii="Arial" w:eastAsia="Times New Roman" w:hAnsi="Arial"/>
                <w:b/>
                <w:bCs/>
                <w:sz w:val="26"/>
                <w:szCs w:val="26"/>
                <w:rtl/>
              </w:rPr>
            </w:pPr>
          </w:p>
          <w:p w14:paraId="6AD23077" w14:textId="77777777" w:rsidR="00F9365F" w:rsidRPr="00451230" w:rsidRDefault="00451230">
            <w:pPr>
              <w:jc w:val="center"/>
              <w:rPr>
                <w:rFonts w:ascii="Arial" w:eastAsia="Times New Roman" w:hAnsi="Arial"/>
                <w:b/>
                <w:bCs/>
                <w:sz w:val="26"/>
                <w:szCs w:val="26"/>
                <w:rtl/>
              </w:rPr>
            </w:pPr>
            <w:r w:rsidRPr="00451230">
              <w:rPr>
                <w:rFonts w:ascii="Arial" w:eastAsia="Times New Roman" w:hAnsi="Arial"/>
                <w:b/>
                <w:bCs/>
                <w:sz w:val="26"/>
                <w:szCs w:val="26"/>
                <w:rtl/>
              </w:rPr>
              <w:t>נגד</w:t>
            </w:r>
          </w:p>
          <w:p w14:paraId="1C9A3BEB" w14:textId="77777777" w:rsidR="00F9365F" w:rsidRPr="00451230" w:rsidRDefault="00F9365F">
            <w:pPr>
              <w:jc w:val="center"/>
              <w:rPr>
                <w:rFonts w:ascii="Arial" w:eastAsia="Times New Roman" w:hAnsi="Arial"/>
                <w:b/>
                <w:bCs/>
                <w:sz w:val="26"/>
                <w:szCs w:val="26"/>
              </w:rPr>
            </w:pPr>
          </w:p>
        </w:tc>
      </w:tr>
      <w:tr w:rsidR="00F9365F" w:rsidRPr="00451230" w14:paraId="18E56F86" w14:textId="77777777">
        <w:tc>
          <w:tcPr>
            <w:tcW w:w="2880" w:type="dxa"/>
          </w:tcPr>
          <w:p w14:paraId="741A7BE9" w14:textId="77777777" w:rsidR="00F9365F" w:rsidRPr="00451230" w:rsidRDefault="00451230">
            <w:pPr>
              <w:ind w:left="26"/>
              <w:rPr>
                <w:rFonts w:ascii="Times New Roman" w:eastAsia="Times New Roman" w:hAnsi="Times New Roman"/>
                <w:b/>
                <w:bCs/>
                <w:sz w:val="26"/>
                <w:szCs w:val="26"/>
                <w:rtl/>
              </w:rPr>
            </w:pPr>
            <w:r w:rsidRPr="00451230">
              <w:rPr>
                <w:rFonts w:ascii="Times New Roman" w:eastAsia="Times New Roman" w:hAnsi="Times New Roman" w:hint="cs"/>
                <w:b/>
                <w:bCs/>
                <w:sz w:val="26"/>
                <w:szCs w:val="26"/>
                <w:rtl/>
              </w:rPr>
              <w:t>ה</w:t>
            </w:r>
            <w:r w:rsidRPr="00451230">
              <w:rPr>
                <w:rFonts w:ascii="Times New Roman" w:eastAsia="Times New Roman" w:hAnsi="Times New Roman"/>
                <w:b/>
                <w:bCs/>
                <w:sz w:val="26"/>
                <w:szCs w:val="26"/>
                <w:rtl/>
              </w:rPr>
              <w:t>נאשם</w:t>
            </w:r>
          </w:p>
        </w:tc>
        <w:tc>
          <w:tcPr>
            <w:tcW w:w="5922" w:type="dxa"/>
            <w:gridSpan w:val="2"/>
          </w:tcPr>
          <w:p w14:paraId="37108505" w14:textId="77777777" w:rsidR="00F9365F" w:rsidRPr="00451230" w:rsidRDefault="00451230">
            <w:pPr>
              <w:rPr>
                <w:rFonts w:ascii="Times New Roman" w:eastAsia="Times New Roman" w:hAnsi="Times New Roman"/>
                <w:b/>
                <w:bCs/>
                <w:sz w:val="26"/>
                <w:szCs w:val="26"/>
                <w:rtl/>
              </w:rPr>
            </w:pPr>
            <w:r w:rsidRPr="00451230">
              <w:rPr>
                <w:rFonts w:ascii="Times New Roman" w:eastAsia="Times New Roman" w:hAnsi="Times New Roman"/>
                <w:b/>
                <w:bCs/>
                <w:sz w:val="26"/>
                <w:szCs w:val="26"/>
                <w:rtl/>
              </w:rPr>
              <w:t xml:space="preserve">עלמיו סרצה </w:t>
            </w:r>
          </w:p>
          <w:p w14:paraId="0FCBCF89" w14:textId="77777777" w:rsidR="00F9365F" w:rsidRPr="00451230" w:rsidRDefault="00F9365F">
            <w:pPr>
              <w:rPr>
                <w:rFonts w:ascii="Times New Roman" w:eastAsia="Times New Roman" w:hAnsi="Times New Roman"/>
                <w:b/>
                <w:bCs/>
                <w:sz w:val="26"/>
                <w:szCs w:val="26"/>
                <w:rtl/>
              </w:rPr>
            </w:pPr>
          </w:p>
        </w:tc>
      </w:tr>
    </w:tbl>
    <w:p w14:paraId="34F4165C" w14:textId="77777777" w:rsidR="00F9365F" w:rsidRPr="00451230" w:rsidRDefault="00451230">
      <w:pPr>
        <w:pStyle w:val="12"/>
        <w:rPr>
          <w:u w:val="none"/>
          <w:rtl/>
        </w:rPr>
      </w:pPr>
      <w:r w:rsidRPr="00451230">
        <w:rPr>
          <w:rFonts w:hint="cs"/>
          <w:u w:val="none"/>
          <w:rtl/>
        </w:rPr>
        <w:t>נוכחים:</w:t>
      </w:r>
    </w:p>
    <w:p w14:paraId="130AA77C" w14:textId="77777777" w:rsidR="00F9365F" w:rsidRPr="00451230" w:rsidRDefault="00451230">
      <w:pPr>
        <w:pStyle w:val="12"/>
        <w:rPr>
          <w:u w:val="none"/>
          <w:rtl/>
        </w:rPr>
      </w:pPr>
      <w:r w:rsidRPr="00451230">
        <w:rPr>
          <w:rFonts w:hint="cs"/>
          <w:u w:val="none"/>
          <w:rtl/>
        </w:rPr>
        <w:t xml:space="preserve">בשם המאשימה </w:t>
      </w:r>
      <w:r w:rsidRPr="00451230">
        <w:rPr>
          <w:u w:val="none"/>
          <w:rtl/>
        </w:rPr>
        <w:t>–</w:t>
      </w:r>
      <w:r w:rsidRPr="00451230">
        <w:rPr>
          <w:rFonts w:hint="cs"/>
          <w:u w:val="none"/>
          <w:rtl/>
        </w:rPr>
        <w:t xml:space="preserve"> עו"ד אליזבט קדמון</w:t>
      </w:r>
    </w:p>
    <w:p w14:paraId="1AC7EE48" w14:textId="77777777" w:rsidR="00F9365F" w:rsidRPr="00451230" w:rsidRDefault="00451230">
      <w:pPr>
        <w:pStyle w:val="12"/>
        <w:rPr>
          <w:u w:val="none"/>
          <w:rtl/>
        </w:rPr>
      </w:pPr>
      <w:r w:rsidRPr="00451230">
        <w:rPr>
          <w:rFonts w:hint="cs"/>
          <w:u w:val="none"/>
          <w:rtl/>
        </w:rPr>
        <w:t xml:space="preserve">בשם הנאשם </w:t>
      </w:r>
      <w:r w:rsidRPr="00451230">
        <w:rPr>
          <w:u w:val="none"/>
          <w:rtl/>
        </w:rPr>
        <w:t>–</w:t>
      </w:r>
      <w:r w:rsidRPr="00451230">
        <w:rPr>
          <w:rFonts w:hint="cs"/>
          <w:u w:val="none"/>
          <w:rtl/>
        </w:rPr>
        <w:t xml:space="preserve"> עו"ד סעיד חדאד מטעם הסנגוריה הציבורית</w:t>
      </w:r>
    </w:p>
    <w:p w14:paraId="030CF669" w14:textId="77777777" w:rsidR="00C6224A" w:rsidRDefault="00451230" w:rsidP="009C61CE">
      <w:pPr>
        <w:pStyle w:val="12"/>
        <w:spacing w:after="120" w:line="240" w:lineRule="exact"/>
        <w:ind w:left="283" w:hanging="283"/>
        <w:jc w:val="both"/>
        <w:rPr>
          <w:b w:val="0"/>
          <w:bCs w:val="0"/>
          <w:u w:val="none"/>
          <w:rtl/>
        </w:rPr>
      </w:pPr>
      <w:r w:rsidRPr="00451230">
        <w:rPr>
          <w:rFonts w:hint="cs"/>
          <w:u w:val="none"/>
          <w:rtl/>
        </w:rPr>
        <w:t xml:space="preserve">הנאשם </w:t>
      </w:r>
      <w:r w:rsidRPr="00451230">
        <w:rPr>
          <w:u w:val="none"/>
          <w:rtl/>
        </w:rPr>
        <w:t>–</w:t>
      </w:r>
      <w:r w:rsidRPr="00451230">
        <w:rPr>
          <w:rFonts w:hint="cs"/>
          <w:u w:val="none"/>
          <w:rtl/>
        </w:rPr>
        <w:t xml:space="preserve"> הובא [ע"י הליווי</w:t>
      </w:r>
      <w:bookmarkStart w:id="3" w:name="LawTable"/>
      <w:bookmarkEnd w:id="3"/>
    </w:p>
    <w:p w14:paraId="2355BABE" w14:textId="77777777" w:rsidR="00C6224A" w:rsidRPr="00C6224A" w:rsidRDefault="00C6224A" w:rsidP="00C6224A">
      <w:pPr>
        <w:pStyle w:val="12"/>
        <w:spacing w:after="120" w:line="240" w:lineRule="exact"/>
        <w:ind w:left="283" w:hanging="283"/>
        <w:jc w:val="both"/>
        <w:rPr>
          <w:rFonts w:ascii="FrankRuehl" w:hAnsi="FrankRuehl" w:cs="FrankRuehl"/>
          <w:b w:val="0"/>
          <w:bCs w:val="0"/>
          <w:u w:val="none"/>
          <w:rtl/>
        </w:rPr>
      </w:pPr>
    </w:p>
    <w:p w14:paraId="2AE9BF07" w14:textId="77777777" w:rsidR="00C6224A" w:rsidRPr="00C6224A" w:rsidRDefault="00C6224A" w:rsidP="00C6224A">
      <w:pPr>
        <w:pStyle w:val="12"/>
        <w:spacing w:after="120" w:line="240" w:lineRule="exact"/>
        <w:ind w:left="283" w:hanging="283"/>
        <w:jc w:val="both"/>
        <w:rPr>
          <w:rFonts w:ascii="FrankRuehl" w:hAnsi="FrankRuehl" w:cs="FrankRuehl"/>
          <w:b w:val="0"/>
          <w:bCs w:val="0"/>
          <w:u w:val="none"/>
          <w:rtl/>
        </w:rPr>
      </w:pPr>
      <w:r w:rsidRPr="00C6224A">
        <w:rPr>
          <w:rFonts w:ascii="FrankRuehl" w:hAnsi="FrankRuehl" w:cs="FrankRuehl"/>
          <w:b w:val="0"/>
          <w:bCs w:val="0"/>
          <w:u w:val="none"/>
          <w:rtl/>
        </w:rPr>
        <w:t xml:space="preserve">חקיקה שאוזכרה: </w:t>
      </w:r>
    </w:p>
    <w:p w14:paraId="64523C45" w14:textId="77777777" w:rsidR="00C6224A" w:rsidRPr="00C6224A" w:rsidRDefault="00C6224A" w:rsidP="00C6224A">
      <w:pPr>
        <w:pStyle w:val="12"/>
        <w:spacing w:after="120" w:line="240" w:lineRule="exact"/>
        <w:ind w:left="283" w:hanging="283"/>
        <w:jc w:val="both"/>
        <w:rPr>
          <w:rFonts w:ascii="FrankRuehl" w:hAnsi="FrankRuehl" w:cs="FrankRuehl"/>
          <w:b w:val="0"/>
          <w:bCs w:val="0"/>
          <w:u w:val="none"/>
          <w:rtl/>
        </w:rPr>
      </w:pPr>
      <w:hyperlink r:id="rId6" w:history="1">
        <w:r w:rsidRPr="00C6224A">
          <w:rPr>
            <w:rFonts w:ascii="FrankRuehl" w:hAnsi="FrankRuehl" w:cs="FrankRuehl"/>
            <w:b w:val="0"/>
            <w:bCs w:val="0"/>
            <w:color w:val="0000FF"/>
            <w:rtl/>
          </w:rPr>
          <w:t>חוק העונשין, תשל"ז-1977</w:t>
        </w:r>
      </w:hyperlink>
      <w:r w:rsidRPr="00C6224A">
        <w:rPr>
          <w:rFonts w:ascii="FrankRuehl" w:hAnsi="FrankRuehl" w:cs="FrankRuehl"/>
          <w:b w:val="0"/>
          <w:bCs w:val="0"/>
          <w:u w:val="none"/>
          <w:rtl/>
        </w:rPr>
        <w:t xml:space="preserve">: סע'  </w:t>
      </w:r>
      <w:hyperlink r:id="rId7" w:history="1">
        <w:r w:rsidRPr="00C6224A">
          <w:rPr>
            <w:rFonts w:ascii="FrankRuehl" w:hAnsi="FrankRuehl" w:cs="FrankRuehl"/>
            <w:b w:val="0"/>
            <w:bCs w:val="0"/>
            <w:color w:val="0000FF"/>
            <w:rtl/>
          </w:rPr>
          <w:t>40ט'</w:t>
        </w:r>
      </w:hyperlink>
      <w:r w:rsidRPr="00C6224A">
        <w:rPr>
          <w:rFonts w:ascii="FrankRuehl" w:hAnsi="FrankRuehl" w:cs="FrankRuehl"/>
          <w:b w:val="0"/>
          <w:bCs w:val="0"/>
          <w:u w:val="none"/>
          <w:rtl/>
        </w:rPr>
        <w:t xml:space="preserve">, </w:t>
      </w:r>
      <w:hyperlink r:id="rId8" w:history="1">
        <w:r w:rsidRPr="00C6224A">
          <w:rPr>
            <w:rFonts w:ascii="FrankRuehl" w:hAnsi="FrankRuehl" w:cs="FrankRuehl"/>
            <w:b w:val="0"/>
            <w:bCs w:val="0"/>
            <w:color w:val="0000FF"/>
            <w:rtl/>
          </w:rPr>
          <w:t>144</w:t>
        </w:r>
      </w:hyperlink>
      <w:r w:rsidRPr="00C6224A">
        <w:rPr>
          <w:rFonts w:ascii="FrankRuehl" w:hAnsi="FrankRuehl" w:cs="FrankRuehl"/>
          <w:b w:val="0"/>
          <w:bCs w:val="0"/>
          <w:u w:val="none"/>
          <w:rtl/>
        </w:rPr>
        <w:t xml:space="preserve">, </w:t>
      </w:r>
      <w:hyperlink r:id="rId9" w:history="1">
        <w:r w:rsidRPr="00C6224A">
          <w:rPr>
            <w:rFonts w:ascii="FrankRuehl" w:hAnsi="FrankRuehl" w:cs="FrankRuehl"/>
            <w:b w:val="0"/>
            <w:bCs w:val="0"/>
            <w:color w:val="0000FF"/>
            <w:rtl/>
          </w:rPr>
          <w:t>144(א)</w:t>
        </w:r>
      </w:hyperlink>
      <w:r w:rsidRPr="00C6224A">
        <w:rPr>
          <w:rFonts w:ascii="FrankRuehl" w:hAnsi="FrankRuehl" w:cs="FrankRuehl"/>
          <w:b w:val="0"/>
          <w:bCs w:val="0"/>
          <w:u w:val="none"/>
          <w:rtl/>
        </w:rPr>
        <w:t xml:space="preserve">, </w:t>
      </w:r>
      <w:hyperlink r:id="rId10" w:history="1">
        <w:r w:rsidRPr="00C6224A">
          <w:rPr>
            <w:rFonts w:ascii="FrankRuehl" w:hAnsi="FrankRuehl" w:cs="FrankRuehl"/>
            <w:b w:val="0"/>
            <w:bCs w:val="0"/>
            <w:color w:val="0000FF"/>
            <w:rtl/>
          </w:rPr>
          <w:t>40יא'</w:t>
        </w:r>
      </w:hyperlink>
      <w:r w:rsidRPr="00C6224A">
        <w:rPr>
          <w:rFonts w:ascii="FrankRuehl" w:hAnsi="FrankRuehl" w:cs="FrankRuehl"/>
          <w:b w:val="0"/>
          <w:bCs w:val="0"/>
          <w:u w:val="none"/>
          <w:rtl/>
        </w:rPr>
        <w:t xml:space="preserve">, </w:t>
      </w:r>
      <w:hyperlink r:id="rId11" w:history="1">
        <w:r w:rsidRPr="00C6224A">
          <w:rPr>
            <w:rFonts w:ascii="FrankRuehl" w:hAnsi="FrankRuehl" w:cs="FrankRuehl"/>
            <w:b w:val="0"/>
            <w:bCs w:val="0"/>
            <w:color w:val="0000FF"/>
            <w:rtl/>
          </w:rPr>
          <w:t>448</w:t>
        </w:r>
      </w:hyperlink>
    </w:p>
    <w:p w14:paraId="41DEFCE8" w14:textId="77777777" w:rsidR="00C6224A" w:rsidRPr="00C6224A" w:rsidRDefault="00C6224A" w:rsidP="00C6224A">
      <w:pPr>
        <w:pStyle w:val="12"/>
        <w:spacing w:after="120" w:line="240" w:lineRule="exact"/>
        <w:ind w:left="283" w:hanging="283"/>
        <w:jc w:val="both"/>
        <w:rPr>
          <w:rFonts w:ascii="FrankRuehl" w:hAnsi="FrankRuehl" w:cs="FrankRuehl"/>
          <w:b w:val="0"/>
          <w:bCs w:val="0"/>
          <w:u w:val="none"/>
          <w:rtl/>
        </w:rPr>
      </w:pPr>
    </w:p>
    <w:p w14:paraId="229921F5" w14:textId="77777777" w:rsidR="00C6224A" w:rsidRPr="00C6224A" w:rsidRDefault="00C6224A" w:rsidP="009C61CE">
      <w:pPr>
        <w:pStyle w:val="12"/>
        <w:spacing w:after="120" w:line="240" w:lineRule="exact"/>
        <w:ind w:left="283" w:hanging="283"/>
        <w:jc w:val="both"/>
        <w:rPr>
          <w:b w:val="0"/>
          <w:bCs w:val="0"/>
          <w:u w:val="none"/>
          <w:rtl/>
        </w:rPr>
      </w:pPr>
      <w:bookmarkStart w:id="4" w:name="LawTable_End"/>
      <w:bookmarkEnd w:id="4"/>
    </w:p>
    <w:p w14:paraId="67B86707" w14:textId="77777777" w:rsidR="00C6224A" w:rsidRPr="00C6224A" w:rsidRDefault="00C6224A" w:rsidP="009C61CE">
      <w:pPr>
        <w:pStyle w:val="12"/>
        <w:spacing w:after="120" w:line="240" w:lineRule="exact"/>
        <w:ind w:left="283" w:hanging="283"/>
        <w:jc w:val="both"/>
        <w:rPr>
          <w:u w:val="none"/>
          <w:rtl/>
        </w:rPr>
      </w:pPr>
    </w:p>
    <w:p w14:paraId="28556C22" w14:textId="77777777" w:rsidR="00451230" w:rsidRPr="00451230" w:rsidRDefault="00451230" w:rsidP="00451230">
      <w:pPr>
        <w:spacing w:line="360" w:lineRule="auto"/>
        <w:jc w:val="center"/>
        <w:rPr>
          <w:rFonts w:ascii="Arial" w:hAnsi="Arial"/>
          <w:b/>
          <w:bCs/>
          <w:sz w:val="28"/>
          <w:szCs w:val="28"/>
          <w:u w:val="single"/>
          <w:rtl/>
        </w:rPr>
      </w:pPr>
      <w:bookmarkStart w:id="5" w:name="PsakDin"/>
      <w:bookmarkEnd w:id="0"/>
      <w:bookmarkEnd w:id="1"/>
      <w:r w:rsidRPr="00451230">
        <w:rPr>
          <w:rFonts w:ascii="Arial" w:hAnsi="Arial"/>
          <w:b/>
          <w:bCs/>
          <w:sz w:val="28"/>
          <w:szCs w:val="28"/>
          <w:u w:val="single"/>
          <w:rtl/>
        </w:rPr>
        <w:t>גזר דין</w:t>
      </w:r>
    </w:p>
    <w:bookmarkEnd w:id="5"/>
    <w:p w14:paraId="7022201A" w14:textId="77777777" w:rsidR="00F9365F" w:rsidRDefault="00F9365F">
      <w:pPr>
        <w:spacing w:line="360" w:lineRule="auto"/>
        <w:jc w:val="center"/>
        <w:rPr>
          <w:b/>
          <w:bCs/>
          <w:u w:val="single"/>
          <w:rtl/>
        </w:rPr>
      </w:pPr>
    </w:p>
    <w:p w14:paraId="683677C9" w14:textId="77777777" w:rsidR="00F9365F" w:rsidRDefault="00451230">
      <w:pPr>
        <w:spacing w:line="360" w:lineRule="auto"/>
        <w:ind w:firstLine="720"/>
        <w:rPr>
          <w:b/>
          <w:bCs/>
          <w:u w:val="single"/>
          <w:rtl/>
        </w:rPr>
      </w:pPr>
      <w:r>
        <w:rPr>
          <w:rFonts w:hint="cs"/>
          <w:b/>
          <w:bCs/>
          <w:u w:val="single"/>
          <w:rtl/>
        </w:rPr>
        <w:t>פתח דבר</w:t>
      </w:r>
    </w:p>
    <w:p w14:paraId="0C9E3B0E" w14:textId="77777777" w:rsidR="00F9365F" w:rsidRDefault="00F9365F">
      <w:pPr>
        <w:spacing w:line="360" w:lineRule="auto"/>
        <w:ind w:firstLine="720"/>
        <w:rPr>
          <w:b/>
          <w:bCs/>
          <w:u w:val="single"/>
          <w:rtl/>
        </w:rPr>
      </w:pPr>
    </w:p>
    <w:p w14:paraId="2D4C442E" w14:textId="77777777" w:rsidR="00F9365F" w:rsidRDefault="00451230">
      <w:pPr>
        <w:spacing w:line="360" w:lineRule="auto"/>
        <w:ind w:left="720" w:hanging="720"/>
        <w:jc w:val="both"/>
        <w:rPr>
          <w:rtl/>
        </w:rPr>
      </w:pPr>
      <w:r>
        <w:rPr>
          <w:rFonts w:hint="cs"/>
          <w:rtl/>
        </w:rPr>
        <w:t>1.</w:t>
      </w:r>
      <w:r>
        <w:rPr>
          <w:rFonts w:hint="cs"/>
          <w:rtl/>
        </w:rPr>
        <w:tab/>
      </w:r>
      <w:bookmarkStart w:id="6" w:name="ABSTRACT_START"/>
      <w:bookmarkEnd w:id="6"/>
      <w:r>
        <w:rPr>
          <w:rFonts w:hint="cs"/>
          <w:rtl/>
        </w:rPr>
        <w:t>הנאשם הורשע על פי הודאתו במסגרת הסדר טיעון, בעובדות כתב אישום מתוקן, אשר ייחסו לו עבירות של;</w:t>
      </w:r>
    </w:p>
    <w:p w14:paraId="61E0661C" w14:textId="77777777" w:rsidR="00F9365F" w:rsidRDefault="00451230">
      <w:pPr>
        <w:spacing w:line="360" w:lineRule="auto"/>
        <w:ind w:left="720"/>
        <w:jc w:val="both"/>
        <w:rPr>
          <w:rtl/>
        </w:rPr>
      </w:pPr>
      <w:r>
        <w:rPr>
          <w:rFonts w:hint="cs"/>
          <w:b/>
          <w:bCs/>
          <w:rtl/>
        </w:rPr>
        <w:t>הצתה</w:t>
      </w:r>
      <w:r>
        <w:rPr>
          <w:rFonts w:hint="cs"/>
          <w:rtl/>
        </w:rPr>
        <w:t xml:space="preserve"> – עבירה לפי </w:t>
      </w:r>
      <w:hyperlink r:id="rId12" w:history="1">
        <w:r w:rsidR="009C61CE" w:rsidRPr="009C61CE">
          <w:rPr>
            <w:color w:val="0000FF"/>
            <w:u w:val="single"/>
            <w:rtl/>
          </w:rPr>
          <w:t>סעיף 448</w:t>
        </w:r>
      </w:hyperlink>
      <w:r>
        <w:rPr>
          <w:rFonts w:hint="cs"/>
          <w:rtl/>
        </w:rPr>
        <w:t xml:space="preserve"> רישא ל</w:t>
      </w:r>
      <w:hyperlink r:id="rId13" w:history="1">
        <w:r w:rsidR="005468D7" w:rsidRPr="005468D7">
          <w:rPr>
            <w:rStyle w:val="Hyperlink"/>
            <w:rFonts w:hint="eastAsia"/>
            <w:rtl/>
          </w:rPr>
          <w:t>חוק</w:t>
        </w:r>
        <w:r w:rsidR="005468D7" w:rsidRPr="005468D7">
          <w:rPr>
            <w:rStyle w:val="Hyperlink"/>
            <w:rtl/>
          </w:rPr>
          <w:t xml:space="preserve"> העונשין</w:t>
        </w:r>
      </w:hyperlink>
      <w:r>
        <w:rPr>
          <w:rFonts w:hint="cs"/>
          <w:rtl/>
        </w:rPr>
        <w:t>, תשל"ז-1977 (להלן: "</w:t>
      </w:r>
      <w:r>
        <w:rPr>
          <w:rFonts w:hint="cs"/>
          <w:b/>
          <w:bCs/>
          <w:rtl/>
        </w:rPr>
        <w:t>חוק העונשין</w:t>
      </w:r>
      <w:r>
        <w:rPr>
          <w:rFonts w:hint="cs"/>
          <w:rtl/>
        </w:rPr>
        <w:t xml:space="preserve">"). </w:t>
      </w:r>
      <w:r>
        <w:rPr>
          <w:rFonts w:hint="cs"/>
          <w:b/>
          <w:bCs/>
          <w:rtl/>
        </w:rPr>
        <w:t>עבירת החזקת תחמושת</w:t>
      </w:r>
      <w:r>
        <w:rPr>
          <w:rFonts w:hint="cs"/>
          <w:rtl/>
        </w:rPr>
        <w:t xml:space="preserve"> – עבירה לפי </w:t>
      </w:r>
      <w:hyperlink r:id="rId14" w:history="1">
        <w:r w:rsidR="009C61CE" w:rsidRPr="009C61CE">
          <w:rPr>
            <w:color w:val="0000FF"/>
            <w:u w:val="single"/>
            <w:rtl/>
          </w:rPr>
          <w:t>סעיף 144(א)</w:t>
        </w:r>
      </w:hyperlink>
      <w:r>
        <w:rPr>
          <w:rFonts w:hint="cs"/>
          <w:rtl/>
        </w:rPr>
        <w:t xml:space="preserve"> סיפא ל</w:t>
      </w:r>
      <w:hyperlink r:id="rId15" w:history="1">
        <w:r w:rsidR="005468D7" w:rsidRPr="005468D7">
          <w:rPr>
            <w:rStyle w:val="Hyperlink"/>
            <w:rtl/>
          </w:rPr>
          <w:t>חוק העונשין</w:t>
        </w:r>
      </w:hyperlink>
      <w:r>
        <w:rPr>
          <w:rFonts w:hint="cs"/>
          <w:rtl/>
        </w:rPr>
        <w:t xml:space="preserve">. </w:t>
      </w:r>
    </w:p>
    <w:p w14:paraId="78BA325C" w14:textId="77777777" w:rsidR="00F9365F" w:rsidRDefault="00F9365F">
      <w:pPr>
        <w:spacing w:line="360" w:lineRule="auto"/>
        <w:rPr>
          <w:b/>
          <w:bCs/>
          <w:u w:val="single"/>
          <w:rtl/>
        </w:rPr>
      </w:pPr>
      <w:bookmarkStart w:id="7" w:name="ABSTRACT_END"/>
      <w:bookmarkEnd w:id="7"/>
    </w:p>
    <w:p w14:paraId="1A2AECBC" w14:textId="77777777" w:rsidR="00F9365F" w:rsidRDefault="00451230">
      <w:pPr>
        <w:spacing w:line="360" w:lineRule="auto"/>
        <w:ind w:left="720" w:hanging="720"/>
        <w:jc w:val="both"/>
        <w:rPr>
          <w:b/>
          <w:bCs/>
          <w:u w:val="single"/>
          <w:rtl/>
        </w:rPr>
      </w:pPr>
      <w:r>
        <w:rPr>
          <w:rFonts w:hint="cs"/>
          <w:rtl/>
        </w:rPr>
        <w:t>2.</w:t>
      </w:r>
      <w:r>
        <w:rPr>
          <w:rFonts w:hint="cs"/>
          <w:rtl/>
        </w:rPr>
        <w:tab/>
        <w:t xml:space="preserve">על-פי הסדר הטיעון בעניינו של הנאשם, הנאשם חזר בו מכפירתו בעובדות כתב האישום, הוגש כתב אישום מתוקן, הנאשם הודה בעובדות כתב האישום המתוקן והורשע בעבירות שיוחסו לו במסגרתו. בין הצדדים הוסכם, כי הטיעון לעונש יהיה פתוח. </w:t>
      </w:r>
    </w:p>
    <w:p w14:paraId="7BC89EC4" w14:textId="77777777" w:rsidR="00F9365F" w:rsidRDefault="00F9365F">
      <w:pPr>
        <w:spacing w:line="360" w:lineRule="auto"/>
        <w:ind w:left="720" w:hanging="720"/>
        <w:jc w:val="both"/>
        <w:rPr>
          <w:b/>
          <w:bCs/>
          <w:u w:val="single"/>
          <w:rtl/>
        </w:rPr>
      </w:pPr>
    </w:p>
    <w:p w14:paraId="5A7FC76D" w14:textId="77777777" w:rsidR="00F9365F" w:rsidRDefault="00451230">
      <w:pPr>
        <w:spacing w:line="360" w:lineRule="auto"/>
        <w:ind w:firstLine="720"/>
        <w:rPr>
          <w:b/>
          <w:bCs/>
          <w:u w:val="single"/>
          <w:rtl/>
        </w:rPr>
      </w:pPr>
      <w:r>
        <w:rPr>
          <w:rFonts w:hint="cs"/>
          <w:b/>
          <w:bCs/>
          <w:u w:val="single"/>
          <w:rtl/>
        </w:rPr>
        <w:t xml:space="preserve">כתב האישום </w:t>
      </w:r>
    </w:p>
    <w:p w14:paraId="7312951C" w14:textId="77777777" w:rsidR="00F9365F" w:rsidRDefault="00F9365F">
      <w:pPr>
        <w:spacing w:line="360" w:lineRule="auto"/>
        <w:ind w:firstLine="720"/>
        <w:rPr>
          <w:b/>
          <w:bCs/>
          <w:u w:val="single"/>
          <w:rtl/>
        </w:rPr>
      </w:pPr>
    </w:p>
    <w:p w14:paraId="2AEF3E52" w14:textId="77777777" w:rsidR="00F9365F" w:rsidRDefault="00451230">
      <w:pPr>
        <w:spacing w:line="360" w:lineRule="auto"/>
        <w:jc w:val="both"/>
        <w:rPr>
          <w:rtl/>
        </w:rPr>
      </w:pPr>
      <w:r>
        <w:rPr>
          <w:rFonts w:hint="cs"/>
          <w:rtl/>
        </w:rPr>
        <w:t>3.</w:t>
      </w:r>
      <w:r>
        <w:rPr>
          <w:rFonts w:hint="cs"/>
          <w:rtl/>
        </w:rPr>
        <w:tab/>
        <w:t xml:space="preserve">כתב האישום המתוקן מייחס לנאשם שני אישומים. </w:t>
      </w:r>
    </w:p>
    <w:p w14:paraId="3736A00A" w14:textId="77777777" w:rsidR="00F9365F" w:rsidRDefault="00451230">
      <w:pPr>
        <w:spacing w:line="360" w:lineRule="auto"/>
        <w:ind w:left="720"/>
        <w:jc w:val="both"/>
        <w:rPr>
          <w:rtl/>
        </w:rPr>
      </w:pPr>
      <w:r>
        <w:rPr>
          <w:rFonts w:hint="cs"/>
          <w:rtl/>
        </w:rPr>
        <w:t>לפי האישום הראשון ב- 14.03.13 סמוך לחצות, שהה הנאשם לבדו בדירה מס' 6 ברחוב הארז 11 בעפולה בבניין המשותף ל-6 דיירים השייך לחברת "עמידר" (להלן בהתאמה: "</w:t>
      </w:r>
      <w:r>
        <w:rPr>
          <w:rFonts w:hint="cs"/>
          <w:b/>
          <w:bCs/>
          <w:rtl/>
        </w:rPr>
        <w:t>הדירה</w:t>
      </w:r>
      <w:r>
        <w:rPr>
          <w:rFonts w:hint="cs"/>
          <w:rtl/>
        </w:rPr>
        <w:t>" ו- "</w:t>
      </w:r>
      <w:r>
        <w:rPr>
          <w:rFonts w:hint="cs"/>
          <w:b/>
          <w:bCs/>
          <w:rtl/>
        </w:rPr>
        <w:t>הבניין</w:t>
      </w:r>
      <w:r>
        <w:rPr>
          <w:rFonts w:hint="cs"/>
          <w:rtl/>
        </w:rPr>
        <w:t xml:space="preserve">"). הנאשם שתה משקאות משכרים והיה תחת השפעתם. סמוך לשעה </w:t>
      </w:r>
      <w:r>
        <w:rPr>
          <w:rFonts w:hint="cs"/>
          <w:rtl/>
        </w:rPr>
        <w:lastRenderedPageBreak/>
        <w:t>00:40, הצית הנאשם בגדים ליד דלת הכניסה בדירה ובאזור הסלון של הדירה וגרם לשריפה. כוחות הצלה שהוזמנו למקום כיבו את השריפה וחילצו את הנאשם מתוך הדירה כאשר הוא סובל משאיפת עשן.</w:t>
      </w:r>
    </w:p>
    <w:p w14:paraId="45A667B7" w14:textId="77777777" w:rsidR="00F9365F" w:rsidRDefault="00451230">
      <w:pPr>
        <w:spacing w:line="360" w:lineRule="auto"/>
        <w:ind w:left="720"/>
        <w:jc w:val="both"/>
        <w:rPr>
          <w:rtl/>
        </w:rPr>
      </w:pPr>
      <w:r>
        <w:rPr>
          <w:rFonts w:hint="cs"/>
          <w:rtl/>
        </w:rPr>
        <w:t>כתוצאה מהשריפה נגרם נזק רב באזור הסלון ומטבח הדירה המוערך בשווי כולל של כ-47,277 ₪, כן נגרם נזק לרכושו הפרטי של הנאשם.</w:t>
      </w:r>
    </w:p>
    <w:p w14:paraId="1BE5A748" w14:textId="77777777" w:rsidR="00F9365F" w:rsidRDefault="00F9365F">
      <w:pPr>
        <w:spacing w:line="360" w:lineRule="auto"/>
        <w:jc w:val="both"/>
        <w:rPr>
          <w:rtl/>
        </w:rPr>
      </w:pPr>
    </w:p>
    <w:p w14:paraId="544F39CA" w14:textId="77777777" w:rsidR="00F9365F" w:rsidRDefault="00451230">
      <w:pPr>
        <w:spacing w:line="360" w:lineRule="auto"/>
        <w:ind w:left="720"/>
        <w:jc w:val="both"/>
        <w:rPr>
          <w:rtl/>
        </w:rPr>
      </w:pPr>
      <w:r>
        <w:rPr>
          <w:rFonts w:hint="cs"/>
          <w:rtl/>
        </w:rPr>
        <w:t xml:space="preserve">לפי האישום השני, עובר ליום 03.03.13 במועד אשר אינו ידוע למאשימה, החזיק הנאשם בדירה 69 כדורים מסוג </w:t>
      </w:r>
      <w:smartTag w:uri="urn:schemas-microsoft-com:office:smarttags" w:element="metricconverter">
        <w:smartTagPr>
          <w:attr w:name="ProductID" w:val="7.62 מ&quot;מ"/>
        </w:smartTagPr>
        <w:r>
          <w:rPr>
            <w:rFonts w:hint="cs"/>
            <w:rtl/>
          </w:rPr>
          <w:t>7.62 מ"מ</w:t>
        </w:r>
      </w:smartTag>
      <w:r>
        <w:rPr>
          <w:rFonts w:hint="cs"/>
          <w:rtl/>
        </w:rPr>
        <w:t xml:space="preserve">, 108 כדורים מסוג </w:t>
      </w:r>
      <w:smartTag w:uri="urn:schemas-microsoft-com:office:smarttags" w:element="metricconverter">
        <w:smartTagPr>
          <w:attr w:name="ProductID" w:val="5.56 מ&quot;מ"/>
        </w:smartTagPr>
        <w:r>
          <w:rPr>
            <w:rFonts w:hint="cs"/>
            <w:rtl/>
          </w:rPr>
          <w:t>5.56 מ"מ</w:t>
        </w:r>
      </w:smartTag>
      <w:r>
        <w:rPr>
          <w:rFonts w:hint="cs"/>
          <w:rtl/>
        </w:rPr>
        <w:t xml:space="preserve"> וכדור אחד מסוג </w:t>
      </w:r>
      <w:smartTag w:uri="urn:schemas-microsoft-com:office:smarttags" w:element="metricconverter">
        <w:smartTagPr>
          <w:attr w:name="ProductID" w:val="9 מ&quot;מ"/>
        </w:smartTagPr>
        <w:r>
          <w:rPr>
            <w:rFonts w:hint="cs"/>
            <w:rtl/>
          </w:rPr>
          <w:t>9 מ"מ</w:t>
        </w:r>
      </w:smartTag>
      <w:r>
        <w:rPr>
          <w:rFonts w:hint="cs"/>
          <w:rtl/>
        </w:rPr>
        <w:t xml:space="preserve"> (להלן:"</w:t>
      </w:r>
      <w:r>
        <w:rPr>
          <w:rFonts w:hint="cs"/>
          <w:b/>
          <w:bCs/>
          <w:rtl/>
        </w:rPr>
        <w:t>התחמושת</w:t>
      </w:r>
      <w:r>
        <w:rPr>
          <w:rFonts w:hint="cs"/>
          <w:rtl/>
        </w:rPr>
        <w:t>"). ביום 03.03.13, סמוך לשעה 22:00, שהה הנאשם לבדו בדירה ושתה משקאות משכרים והיה תחת השפעתם. הנאשם גלגל בתוך שטיח חלק מהתחמושת והצית את השטיח עם התחמושת בחדר המדרגות של הבניין, סמוך לדירתה של אחת הדיירות. האש שהתלקחה כתוצאה ממעשי הנאשם כובתה על ידי דיירי הבניין אשר הצליחו להשתלט על הנאשם עד בואה של המשטרה.</w:t>
      </w:r>
    </w:p>
    <w:p w14:paraId="7E68E2E7" w14:textId="77777777" w:rsidR="00F9365F" w:rsidRDefault="00F9365F">
      <w:pPr>
        <w:spacing w:line="360" w:lineRule="auto"/>
        <w:rPr>
          <w:rtl/>
        </w:rPr>
      </w:pPr>
    </w:p>
    <w:p w14:paraId="18D5C709" w14:textId="77777777" w:rsidR="00F9365F" w:rsidRDefault="00451230">
      <w:pPr>
        <w:spacing w:line="360" w:lineRule="auto"/>
        <w:ind w:firstLine="720"/>
        <w:rPr>
          <w:b/>
          <w:bCs/>
          <w:u w:val="single"/>
          <w:rtl/>
        </w:rPr>
      </w:pPr>
      <w:r>
        <w:rPr>
          <w:rFonts w:hint="cs"/>
          <w:b/>
          <w:bCs/>
          <w:u w:val="single"/>
          <w:rtl/>
        </w:rPr>
        <w:t xml:space="preserve">טיעוני הצדדים לעונש </w:t>
      </w:r>
    </w:p>
    <w:p w14:paraId="5C415559" w14:textId="77777777" w:rsidR="00F9365F" w:rsidRDefault="00F9365F">
      <w:pPr>
        <w:spacing w:line="360" w:lineRule="auto"/>
        <w:ind w:firstLine="720"/>
        <w:rPr>
          <w:b/>
          <w:bCs/>
          <w:u w:val="single"/>
          <w:rtl/>
        </w:rPr>
      </w:pPr>
    </w:p>
    <w:p w14:paraId="51741032" w14:textId="77777777" w:rsidR="00F9365F" w:rsidRDefault="00451230">
      <w:pPr>
        <w:spacing w:line="360" w:lineRule="auto"/>
        <w:ind w:left="720" w:hanging="720"/>
        <w:jc w:val="both"/>
        <w:rPr>
          <w:rtl/>
        </w:rPr>
      </w:pPr>
      <w:r>
        <w:rPr>
          <w:rFonts w:hint="cs"/>
          <w:rtl/>
        </w:rPr>
        <w:t>4.</w:t>
      </w:r>
      <w:r>
        <w:rPr>
          <w:rFonts w:hint="cs"/>
          <w:rtl/>
        </w:rPr>
        <w:tab/>
        <w:t xml:space="preserve">ב"כ המאשימה הגישה כראיה לעונש את חוות הדעת של מומחה השריפות, עמרן טל, והפנתה לתמונות הנזק המצורפות אליה.  </w:t>
      </w:r>
    </w:p>
    <w:p w14:paraId="6C9E3856" w14:textId="77777777" w:rsidR="00F9365F" w:rsidRDefault="00451230">
      <w:pPr>
        <w:spacing w:line="360" w:lineRule="auto"/>
        <w:ind w:left="720"/>
        <w:jc w:val="both"/>
        <w:rPr>
          <w:rtl/>
        </w:rPr>
      </w:pPr>
      <w:r>
        <w:rPr>
          <w:rFonts w:hint="cs"/>
          <w:rtl/>
        </w:rPr>
        <w:t xml:space="preserve">המאשימה הצביעה על הסכנה הרבה לשלום הציבור ובטחונו, הטמונה בכל אחת מהעבירות הנפרדות שביצע הנאשם. </w:t>
      </w:r>
    </w:p>
    <w:p w14:paraId="0CE423D8" w14:textId="77777777" w:rsidR="00F9365F" w:rsidRDefault="00451230">
      <w:pPr>
        <w:spacing w:line="360" w:lineRule="auto"/>
        <w:ind w:left="720"/>
        <w:jc w:val="both"/>
        <w:rPr>
          <w:rtl/>
        </w:rPr>
      </w:pPr>
      <w:r>
        <w:rPr>
          <w:rFonts w:hint="cs"/>
          <w:rtl/>
        </w:rPr>
        <w:t>באשר לנסיבות הקשורות בביצוע העבירה הרלוונטיות לענייננו, ציינה המאשימה את הנזק שהיה צפוי והנזק הקשה וההרס שנגרם לדירת העמידר בה התגורר הנאשם והכל כפי שניתן לראות בתמונות שבחוות הדעת. לדידה, מדובר בנזק המוערך בכ- 50,000 ₪ כאשר נזק זה הוא כאין וכאפס מול הנזק שהיה עלול להיגרם, זאת שעה שעסקינן בבניין מגורים עם הרבה שכנים, כך שרק בנס לא הסתיים האירוע בנפגעים נוספים למעט, הנאשם עצמו.</w:t>
      </w:r>
    </w:p>
    <w:p w14:paraId="273FDED3" w14:textId="77777777" w:rsidR="00F9365F" w:rsidRDefault="00451230">
      <w:pPr>
        <w:spacing w:line="360" w:lineRule="auto"/>
        <w:ind w:left="720"/>
        <w:jc w:val="both"/>
        <w:rPr>
          <w:rtl/>
        </w:rPr>
      </w:pPr>
      <w:r>
        <w:rPr>
          <w:rFonts w:hint="cs"/>
          <w:rtl/>
        </w:rPr>
        <w:t>גם באשר לאישום השני, ציינה המאשימה את הנזק הצפוי והנזק שנגרם בפועל לחדר המדרגות של הבניין המשותף כתוצאה מהצתת התחמושת.</w:t>
      </w:r>
    </w:p>
    <w:p w14:paraId="585417D2" w14:textId="77777777" w:rsidR="00F9365F" w:rsidRDefault="00F9365F">
      <w:pPr>
        <w:spacing w:line="360" w:lineRule="auto"/>
        <w:ind w:left="720"/>
        <w:jc w:val="both"/>
        <w:rPr>
          <w:rtl/>
        </w:rPr>
      </w:pPr>
    </w:p>
    <w:p w14:paraId="2D22C4F5" w14:textId="77777777" w:rsidR="00F9365F" w:rsidRDefault="00451230">
      <w:pPr>
        <w:spacing w:line="360" w:lineRule="auto"/>
        <w:ind w:left="720"/>
        <w:jc w:val="both"/>
        <w:rPr>
          <w:rtl/>
        </w:rPr>
      </w:pPr>
      <w:r>
        <w:rPr>
          <w:rFonts w:hint="cs"/>
          <w:rtl/>
        </w:rPr>
        <w:t>לטענת המאשימה, העובדה שמדובר בשני אירועים בהפרש של כשבוע, מלמדת על המסוכנות הרבה הנשקפת מן הנאשם והצורך הרב בהרתעתו האישית ובהרתעת הרבים.</w:t>
      </w:r>
    </w:p>
    <w:p w14:paraId="29EAB389" w14:textId="77777777" w:rsidR="00F9365F" w:rsidRDefault="00F9365F">
      <w:pPr>
        <w:spacing w:line="360" w:lineRule="auto"/>
        <w:ind w:left="720"/>
        <w:jc w:val="both"/>
        <w:rPr>
          <w:rtl/>
        </w:rPr>
      </w:pPr>
    </w:p>
    <w:p w14:paraId="2BF66204" w14:textId="77777777" w:rsidR="00F9365F" w:rsidRDefault="00451230">
      <w:pPr>
        <w:spacing w:line="360" w:lineRule="auto"/>
        <w:ind w:left="720"/>
        <w:jc w:val="both"/>
        <w:rPr>
          <w:rtl/>
        </w:rPr>
      </w:pPr>
      <w:r>
        <w:rPr>
          <w:rFonts w:hint="cs"/>
          <w:rtl/>
        </w:rPr>
        <w:t xml:space="preserve">המאשימה מוסיפה, כי בהתאם למדיניות הענישה בעבירות הצתה, מהעת האחרונה, סבורה היא שהמתחם ההולם הינו בן שנתיים וחצי לארבע וחצי שנים. המאשימה הגישה לעניין זה את </w:t>
      </w:r>
      <w:hyperlink r:id="rId16" w:history="1">
        <w:r w:rsidR="009C61CE" w:rsidRPr="009C61CE">
          <w:rPr>
            <w:color w:val="0000FF"/>
            <w:u w:val="single"/>
            <w:rtl/>
          </w:rPr>
          <w:t xml:space="preserve">ע"פ 4006/12 </w:t>
        </w:r>
      </w:hyperlink>
      <w:r>
        <w:rPr>
          <w:rFonts w:hint="cs"/>
          <w:rtl/>
        </w:rPr>
        <w:t xml:space="preserve"> </w:t>
      </w:r>
      <w:r>
        <w:rPr>
          <w:rFonts w:hint="cs"/>
          <w:b/>
          <w:bCs/>
          <w:rtl/>
        </w:rPr>
        <w:t>אריק מלאך נ'</w:t>
      </w:r>
      <w:r>
        <w:rPr>
          <w:rFonts w:hint="cs"/>
          <w:rtl/>
        </w:rPr>
        <w:t xml:space="preserve"> </w:t>
      </w:r>
      <w:r>
        <w:rPr>
          <w:rFonts w:hint="cs"/>
          <w:b/>
          <w:bCs/>
          <w:rtl/>
        </w:rPr>
        <w:t>מדינת ישראל</w:t>
      </w:r>
      <w:r>
        <w:rPr>
          <w:rFonts w:hint="cs"/>
          <w:rtl/>
        </w:rPr>
        <w:t>. עוד הוסיפה באשר לנסיבותיו האישיות של הנאשם, כי דווקא אלה מהוות את הסיכון להישנות המעשים, זאת בהעדר אפיק טיפולי ונוכח הצורך להרחיקו מהציבור.</w:t>
      </w:r>
    </w:p>
    <w:p w14:paraId="261B05BA" w14:textId="77777777" w:rsidR="00F9365F" w:rsidRDefault="00451230">
      <w:pPr>
        <w:spacing w:line="360" w:lineRule="auto"/>
        <w:ind w:left="720"/>
        <w:jc w:val="both"/>
        <w:rPr>
          <w:rtl/>
        </w:rPr>
      </w:pPr>
      <w:r>
        <w:rPr>
          <w:rFonts w:hint="cs"/>
          <w:rtl/>
        </w:rPr>
        <w:lastRenderedPageBreak/>
        <w:t>בסוף דבריה ביקשה המאשימה להטיל על הנאשם מאסר בפועל המשקף את מדיניות הפסיקה, מאסר מותנה וקנס כספי.</w:t>
      </w:r>
    </w:p>
    <w:p w14:paraId="75B774FA" w14:textId="77777777" w:rsidR="00F9365F" w:rsidRDefault="00F9365F">
      <w:pPr>
        <w:spacing w:line="360" w:lineRule="auto"/>
        <w:ind w:left="360"/>
        <w:jc w:val="both"/>
        <w:rPr>
          <w:rtl/>
        </w:rPr>
      </w:pPr>
    </w:p>
    <w:p w14:paraId="1A0F94CE" w14:textId="77777777" w:rsidR="00F9365F" w:rsidRDefault="00451230">
      <w:pPr>
        <w:spacing w:line="360" w:lineRule="auto"/>
        <w:ind w:left="720" w:hanging="720"/>
        <w:jc w:val="both"/>
        <w:rPr>
          <w:rtl/>
        </w:rPr>
      </w:pPr>
      <w:r>
        <w:rPr>
          <w:rFonts w:hint="cs"/>
          <w:rtl/>
        </w:rPr>
        <w:t>5.</w:t>
      </w:r>
      <w:r>
        <w:rPr>
          <w:rFonts w:hint="cs"/>
          <w:rtl/>
        </w:rPr>
        <w:tab/>
        <w:t xml:space="preserve">הסנגור לעומתה, הצביע על כך שהנאשם הודה בכתב האישום המתוקן במסגרת הסדר הטיעון, לכן יש לזקוף לטובתו את הודאתו והחיסכון בזמן שיפוטי.  </w:t>
      </w:r>
    </w:p>
    <w:p w14:paraId="62CC7195" w14:textId="77777777" w:rsidR="00F9365F" w:rsidRDefault="00451230">
      <w:pPr>
        <w:spacing w:line="360" w:lineRule="auto"/>
        <w:ind w:left="720" w:hanging="720"/>
        <w:jc w:val="both"/>
        <w:rPr>
          <w:rtl/>
        </w:rPr>
      </w:pPr>
      <w:r>
        <w:rPr>
          <w:rFonts w:hint="cs"/>
          <w:rtl/>
        </w:rPr>
        <w:tab/>
        <w:t>הסנגור הפנה לחוות הדעת הפסיכיאטרית אשר הוגשה בעניינו של הנאשם, כן הפנה לכתב האישום ולפיו, בוצעו העבירות תחת השפעת אלכוהול, כך שלא היתה לנאשם כוונה לפגוע באחרים, כי אם בעצמו ובשל יסוריו. הסנגור הדגיש את הנזק שנגרם לנאשם עצמו, שכן כתוצאה מן ההצתה הפסיד את מרב רכושו ונותר ללא דירה ורכוש. מה גם שבני משפחתו נטשו אותו. באשר למדיניות הענישה טען הסנגור למתחם נמוך יותר. הסנגור הפנה ל</w:t>
      </w:r>
      <w:hyperlink r:id="rId17" w:history="1">
        <w:r w:rsidR="005468D7" w:rsidRPr="005468D7">
          <w:rPr>
            <w:rStyle w:val="Hyperlink"/>
            <w:rtl/>
          </w:rPr>
          <w:t>ת"פ 35758-03-12</w:t>
        </w:r>
      </w:hyperlink>
      <w:r>
        <w:rPr>
          <w:rFonts w:hint="cs"/>
          <w:rtl/>
        </w:rPr>
        <w:t xml:space="preserve"> </w:t>
      </w:r>
      <w:r>
        <w:rPr>
          <w:rFonts w:hint="cs"/>
          <w:b/>
          <w:bCs/>
          <w:rtl/>
        </w:rPr>
        <w:t>מדינת ישראל נ' יונס דסטה</w:t>
      </w:r>
      <w:r>
        <w:rPr>
          <w:rFonts w:hint="cs"/>
          <w:rtl/>
        </w:rPr>
        <w:t xml:space="preserve"> וביקש לגזור גזרה שווה וכן ביקש להתחשב במצבו הכלכלי הקשה של הנאשם.</w:t>
      </w:r>
    </w:p>
    <w:p w14:paraId="582E5DA9" w14:textId="77777777" w:rsidR="00F9365F" w:rsidRDefault="00F9365F">
      <w:pPr>
        <w:spacing w:line="360" w:lineRule="auto"/>
        <w:jc w:val="both"/>
        <w:rPr>
          <w:rtl/>
        </w:rPr>
      </w:pPr>
    </w:p>
    <w:p w14:paraId="05CBF1E4" w14:textId="77777777" w:rsidR="00F9365F" w:rsidRDefault="00451230">
      <w:pPr>
        <w:spacing w:line="360" w:lineRule="auto"/>
        <w:ind w:left="720" w:hanging="720"/>
        <w:jc w:val="both"/>
        <w:rPr>
          <w:rtl/>
        </w:rPr>
      </w:pPr>
      <w:r>
        <w:rPr>
          <w:rFonts w:hint="cs"/>
          <w:rtl/>
        </w:rPr>
        <w:t>6.</w:t>
      </w:r>
      <w:r>
        <w:rPr>
          <w:rFonts w:hint="cs"/>
          <w:rtl/>
        </w:rPr>
        <w:tab/>
        <w:t>הנאשם התנצל על מה שקרה וטען "</w:t>
      </w:r>
      <w:r>
        <w:rPr>
          <w:rFonts w:hint="cs"/>
          <w:b/>
          <w:bCs/>
          <w:rtl/>
        </w:rPr>
        <w:t>אני כבר תקופה ארוכה עצור, אין לי תנאים ואין לי ביקורים וגם הבריאות שלי לא משהו. מה שעשיתי באותו זמן לא הרגשתי טוב שתיתי ולפני זה הייתי בטיפול בבית חולים ואני מצטער אבל לא פגעתי באף אחד. לפני שעשיתי את זה הילדים והמשפחה לא היו בבית כך שלא התכוונתי באף אחד מהם ואני לא רוצה לפגוע במשפחה</w:t>
      </w:r>
      <w:r>
        <w:rPr>
          <w:rFonts w:hint="cs"/>
          <w:rtl/>
        </w:rPr>
        <w:t>".</w:t>
      </w:r>
    </w:p>
    <w:p w14:paraId="7C0B74F7" w14:textId="77777777" w:rsidR="00F9365F" w:rsidRDefault="00F9365F">
      <w:pPr>
        <w:spacing w:line="360" w:lineRule="auto"/>
        <w:rPr>
          <w:u w:val="single"/>
          <w:rtl/>
        </w:rPr>
      </w:pPr>
    </w:p>
    <w:p w14:paraId="5E933053" w14:textId="77777777" w:rsidR="00F9365F" w:rsidRDefault="00451230">
      <w:pPr>
        <w:spacing w:line="360" w:lineRule="auto"/>
        <w:ind w:firstLine="720"/>
        <w:rPr>
          <w:b/>
          <w:bCs/>
          <w:u w:val="single"/>
          <w:rtl/>
        </w:rPr>
      </w:pPr>
      <w:r>
        <w:rPr>
          <w:rFonts w:hint="cs"/>
          <w:b/>
          <w:bCs/>
          <w:u w:val="single"/>
          <w:rtl/>
        </w:rPr>
        <w:t xml:space="preserve">דיון </w:t>
      </w:r>
    </w:p>
    <w:p w14:paraId="4FB1BF16" w14:textId="77777777" w:rsidR="00F9365F" w:rsidRDefault="00F9365F">
      <w:pPr>
        <w:spacing w:line="360" w:lineRule="auto"/>
        <w:ind w:firstLine="720"/>
        <w:rPr>
          <w:b/>
          <w:bCs/>
          <w:u w:val="single"/>
          <w:rtl/>
        </w:rPr>
      </w:pPr>
    </w:p>
    <w:p w14:paraId="70FC8E26" w14:textId="77777777" w:rsidR="00F9365F" w:rsidRDefault="00451230">
      <w:pPr>
        <w:autoSpaceDE w:val="0"/>
        <w:autoSpaceDN w:val="0"/>
        <w:adjustRightInd w:val="0"/>
        <w:spacing w:before="100" w:after="100" w:line="360" w:lineRule="auto"/>
        <w:ind w:left="720" w:hanging="720"/>
        <w:jc w:val="both"/>
        <w:rPr>
          <w:rtl/>
        </w:rPr>
      </w:pPr>
      <w:r>
        <w:rPr>
          <w:rFonts w:hint="cs"/>
          <w:rtl/>
        </w:rPr>
        <w:t>7.</w:t>
      </w:r>
      <w:r>
        <w:rPr>
          <w:rFonts w:hint="cs"/>
          <w:rtl/>
        </w:rPr>
        <w:tab/>
        <w:t>הנאשם חטא בביצוע עבירות חמורות ופגע בערך החברתי של שמירה על ביטחון הציבור ורכושו. הנאשם ביצע מעשה הצתה בדירה ציבורית השייכת לחברת "עמידר" הנמצאת בבניין, בו דירות נוספות ובזמן שבבניין נמצאים דיירים נוספים אשר עלולים היו להיפגע ממעשיו. כן הצית הנאשם שטיח ובו תחמושת בחדר המדרגות של הבניין. אמנם במעשיו אלה גרם הנאשם לנזק לרכוש בלבד. אך</w:t>
      </w:r>
      <w:r>
        <w:rPr>
          <w:rFonts w:hint="cs"/>
        </w:rPr>
        <w:t xml:space="preserve"> </w:t>
      </w:r>
      <w:r>
        <w:rPr>
          <w:rFonts w:hint="cs"/>
          <w:rtl/>
        </w:rPr>
        <w:t>עם</w:t>
      </w:r>
      <w:r>
        <w:rPr>
          <w:rFonts w:hint="cs"/>
        </w:rPr>
        <w:t xml:space="preserve"> </w:t>
      </w:r>
      <w:r>
        <w:rPr>
          <w:rFonts w:hint="cs"/>
          <w:rtl/>
        </w:rPr>
        <w:t>זאת, אין</w:t>
      </w:r>
      <w:r>
        <w:rPr>
          <w:rFonts w:hint="cs"/>
        </w:rPr>
        <w:t xml:space="preserve"> </w:t>
      </w:r>
      <w:r>
        <w:rPr>
          <w:rFonts w:hint="cs"/>
          <w:rtl/>
        </w:rPr>
        <w:t>פירוש</w:t>
      </w:r>
      <w:r>
        <w:rPr>
          <w:rFonts w:hint="cs"/>
        </w:rPr>
        <w:t xml:space="preserve"> </w:t>
      </w:r>
      <w:r>
        <w:rPr>
          <w:rFonts w:hint="cs"/>
          <w:rtl/>
        </w:rPr>
        <w:t>הדבר,</w:t>
      </w:r>
      <w:r>
        <w:rPr>
          <w:rFonts w:hint="cs"/>
        </w:rPr>
        <w:t xml:space="preserve"> </w:t>
      </w:r>
      <w:r>
        <w:rPr>
          <w:rFonts w:hint="cs"/>
          <w:rtl/>
        </w:rPr>
        <w:t>כי</w:t>
      </w:r>
      <w:r>
        <w:rPr>
          <w:rFonts w:hint="cs"/>
        </w:rPr>
        <w:t xml:space="preserve"> </w:t>
      </w:r>
      <w:r>
        <w:rPr>
          <w:rFonts w:hint="cs"/>
          <w:rtl/>
        </w:rPr>
        <w:t>ניתן</w:t>
      </w:r>
      <w:r>
        <w:rPr>
          <w:rFonts w:hint="cs"/>
        </w:rPr>
        <w:t xml:space="preserve"> </w:t>
      </w:r>
      <w:r>
        <w:rPr>
          <w:rFonts w:hint="cs"/>
          <w:rtl/>
        </w:rPr>
        <w:t>להקל</w:t>
      </w:r>
      <w:r>
        <w:rPr>
          <w:rFonts w:hint="cs"/>
        </w:rPr>
        <w:t xml:space="preserve"> </w:t>
      </w:r>
      <w:r>
        <w:rPr>
          <w:rFonts w:hint="cs"/>
          <w:rtl/>
        </w:rPr>
        <w:t>ראש</w:t>
      </w:r>
      <w:r>
        <w:rPr>
          <w:rFonts w:hint="cs"/>
        </w:rPr>
        <w:t xml:space="preserve"> </w:t>
      </w:r>
      <w:r>
        <w:rPr>
          <w:rFonts w:hint="cs"/>
          <w:rtl/>
        </w:rPr>
        <w:t xml:space="preserve">במעשים, </w:t>
      </w:r>
      <w:r>
        <w:rPr>
          <w:rFonts w:hint="cs"/>
        </w:rPr>
        <w:t xml:space="preserve"> </w:t>
      </w:r>
      <w:r>
        <w:rPr>
          <w:rFonts w:hint="cs"/>
          <w:rtl/>
        </w:rPr>
        <w:t>אשר</w:t>
      </w:r>
      <w:r>
        <w:rPr>
          <w:rFonts w:hint="cs"/>
        </w:rPr>
        <w:t xml:space="preserve"> </w:t>
      </w:r>
      <w:r>
        <w:rPr>
          <w:rFonts w:hint="cs"/>
          <w:rtl/>
        </w:rPr>
        <w:t>רק</w:t>
      </w:r>
      <w:r>
        <w:rPr>
          <w:rFonts w:hint="cs"/>
        </w:rPr>
        <w:t xml:space="preserve"> </w:t>
      </w:r>
      <w:r>
        <w:rPr>
          <w:rFonts w:hint="cs"/>
          <w:rtl/>
        </w:rPr>
        <w:t>דרך</w:t>
      </w:r>
      <w:r>
        <w:rPr>
          <w:rFonts w:hint="cs"/>
        </w:rPr>
        <w:t xml:space="preserve"> </w:t>
      </w:r>
      <w:r>
        <w:rPr>
          <w:rFonts w:hint="cs"/>
          <w:rtl/>
        </w:rPr>
        <w:t>נס</w:t>
      </w:r>
      <w:r>
        <w:rPr>
          <w:rFonts w:hint="cs"/>
        </w:rPr>
        <w:t xml:space="preserve"> </w:t>
      </w:r>
      <w:r>
        <w:rPr>
          <w:rFonts w:hint="cs"/>
          <w:rtl/>
        </w:rPr>
        <w:t>הסתיימו</w:t>
      </w:r>
      <w:r>
        <w:rPr>
          <w:rFonts w:hint="cs"/>
        </w:rPr>
        <w:t xml:space="preserve"> </w:t>
      </w:r>
      <w:r>
        <w:rPr>
          <w:rFonts w:hint="cs"/>
          <w:rtl/>
        </w:rPr>
        <w:t>ללא</w:t>
      </w:r>
      <w:r>
        <w:rPr>
          <w:rFonts w:hint="cs"/>
        </w:rPr>
        <w:t xml:space="preserve"> </w:t>
      </w:r>
      <w:r>
        <w:rPr>
          <w:rFonts w:hint="cs"/>
          <w:rtl/>
        </w:rPr>
        <w:t>פגיעות</w:t>
      </w:r>
      <w:r>
        <w:rPr>
          <w:rFonts w:hint="cs"/>
        </w:rPr>
        <w:t xml:space="preserve"> </w:t>
      </w:r>
      <w:r>
        <w:rPr>
          <w:rFonts w:hint="cs"/>
          <w:rtl/>
        </w:rPr>
        <w:t>בנפש.</w:t>
      </w:r>
    </w:p>
    <w:p w14:paraId="23E63BDF" w14:textId="77777777" w:rsidR="00F9365F" w:rsidRDefault="00451230">
      <w:pPr>
        <w:spacing w:line="360" w:lineRule="auto"/>
        <w:ind w:left="720"/>
        <w:jc w:val="both"/>
      </w:pPr>
      <w:r>
        <w:rPr>
          <w:rFonts w:hint="cs"/>
          <w:rtl/>
        </w:rPr>
        <w:t>כבר נפסק, כי עבירת ההצתה</w:t>
      </w:r>
      <w:r>
        <w:rPr>
          <w:rFonts w:hint="cs"/>
          <w:b/>
          <w:bCs/>
          <w:rtl/>
        </w:rPr>
        <w:t xml:space="preserve"> </w:t>
      </w:r>
      <w:r>
        <w:rPr>
          <w:rFonts w:hint="cs"/>
          <w:rtl/>
        </w:rPr>
        <w:t>ראשיתה מצער - גפרור - ואחריתה מי ישורנו. מעת שהוצתה האש, אין למבצע כל שליטה עליה, נזקיה עשויים להתרחב עוד ועוד ולהעמיד בסיכון אנשים תמימים:</w:t>
      </w:r>
    </w:p>
    <w:p w14:paraId="52939B6C" w14:textId="77777777" w:rsidR="00F9365F" w:rsidRDefault="00F9365F">
      <w:pPr>
        <w:spacing w:line="360" w:lineRule="auto"/>
        <w:ind w:left="720"/>
        <w:rPr>
          <w:rtl/>
        </w:rPr>
      </w:pPr>
    </w:p>
    <w:p w14:paraId="03BE6E08" w14:textId="77777777" w:rsidR="00F9365F" w:rsidRDefault="00451230">
      <w:pPr>
        <w:tabs>
          <w:tab w:val="left" w:pos="7370"/>
          <w:tab w:val="left" w:pos="7406"/>
        </w:tabs>
        <w:spacing w:line="360" w:lineRule="auto"/>
        <w:ind w:left="1106" w:right="1134"/>
        <w:jc w:val="both"/>
        <w:rPr>
          <w:rFonts w:eastAsia="Times New Roman"/>
          <w:noProof/>
          <w:rtl/>
        </w:rPr>
      </w:pPr>
      <w:r>
        <w:rPr>
          <w:rFonts w:hint="cs"/>
          <w:b/>
          <w:bCs/>
          <w:rtl/>
        </w:rPr>
        <w:t xml:space="preserve">"עבירת הצתה הינה מן החמורות שבעבירות, שיודע אתה את תחילתה ואין אתה יודע את סופה. ואדם המתיר לעצמו לסכן על דרך של הצתה רכושם וחייהם של אחרים, ראוי שיורחק מחברת בני-תרבות ולו מן הטעם שעלול הוא להוסיף ולסכן את זולתו" </w:t>
      </w:r>
      <w:r>
        <w:rPr>
          <w:rFonts w:hint="cs"/>
          <w:rtl/>
        </w:rPr>
        <w:t>(</w:t>
      </w:r>
      <w:hyperlink r:id="rId18" w:history="1">
        <w:r w:rsidR="005468D7" w:rsidRPr="005468D7">
          <w:rPr>
            <w:rStyle w:val="Hyperlink"/>
            <w:rFonts w:hint="eastAsia"/>
            <w:rtl/>
          </w:rPr>
          <w:t>בש</w:t>
        </w:r>
        <w:r w:rsidR="005468D7" w:rsidRPr="005468D7">
          <w:rPr>
            <w:rStyle w:val="Hyperlink"/>
            <w:rtl/>
          </w:rPr>
          <w:t>"פ 6764/99</w:t>
        </w:r>
      </w:hyperlink>
      <w:r>
        <w:rPr>
          <w:rFonts w:hint="cs"/>
          <w:rtl/>
        </w:rPr>
        <w:t xml:space="preserve"> </w:t>
      </w:r>
      <w:r>
        <w:rPr>
          <w:rFonts w:hint="cs"/>
          <w:b/>
          <w:bCs/>
          <w:rtl/>
        </w:rPr>
        <w:t>מחאמיד</w:t>
      </w:r>
      <w:r>
        <w:rPr>
          <w:rFonts w:hint="cs"/>
          <w:rtl/>
        </w:rPr>
        <w:t xml:space="preserve"> נ' </w:t>
      </w:r>
      <w:r>
        <w:rPr>
          <w:rFonts w:hint="cs"/>
          <w:b/>
          <w:bCs/>
          <w:rtl/>
        </w:rPr>
        <w:t>מדינת ישראל</w:t>
      </w:r>
      <w:r>
        <w:rPr>
          <w:rFonts w:hint="cs"/>
          <w:rtl/>
        </w:rPr>
        <w:t xml:space="preserve"> (לא פורסם, 14.10.99), מפי השופט (כתוארו אז) </w:t>
      </w:r>
      <w:r>
        <w:rPr>
          <w:rFonts w:ascii="FrankRuehl" w:hAnsi="FrankRuehl" w:hint="cs"/>
          <w:rtl/>
        </w:rPr>
        <w:t>מ' חשין</w:t>
      </w:r>
      <w:r>
        <w:rPr>
          <w:rFonts w:hint="cs"/>
          <w:rtl/>
        </w:rPr>
        <w:t>).</w:t>
      </w:r>
    </w:p>
    <w:p w14:paraId="3B8FDCAF" w14:textId="77777777" w:rsidR="00F9365F" w:rsidRDefault="00F9365F">
      <w:pPr>
        <w:spacing w:line="360" w:lineRule="auto"/>
        <w:ind w:left="720"/>
        <w:rPr>
          <w:rtl/>
        </w:rPr>
      </w:pPr>
    </w:p>
    <w:p w14:paraId="1911ECC2" w14:textId="77777777" w:rsidR="00F9365F" w:rsidRDefault="00451230">
      <w:pPr>
        <w:spacing w:line="360" w:lineRule="auto"/>
        <w:ind w:left="720"/>
        <w:jc w:val="both"/>
        <w:rPr>
          <w:rFonts w:eastAsia="Times New Roman"/>
          <w:noProof/>
        </w:rPr>
      </w:pPr>
      <w:r>
        <w:rPr>
          <w:rFonts w:hint="cs"/>
          <w:rtl/>
        </w:rPr>
        <w:t>יחד עם זאת, עיון בפסיקתו של בית המשפט העליון, מגלה, כי רף הענישה בעבירות ההצתה אינו אחיד, וכי במסגרת שיקולי הענישה, על בית-המשפט ליתן דעתו, בין היתר, לתוצאות המעשה, לפוטנציאל הסיכון לחיי אדם ולרכוש הגלום במעשה ההצתה, לעבירות הנוספות שהתלוו לביצוע ההצתה, לתכנון המוקדם, נסיבותיו האישיות של הנאשם שהועמד לדין ועברו הפלילי.</w:t>
      </w:r>
      <w:r>
        <w:rPr>
          <w:rFonts w:hint="cs"/>
          <w:b/>
          <w:bCs/>
          <w:rtl/>
        </w:rPr>
        <w:t xml:space="preserve"> </w:t>
      </w:r>
      <w:r>
        <w:rPr>
          <w:rFonts w:hint="cs"/>
          <w:rtl/>
        </w:rPr>
        <w:t xml:space="preserve">(ראה: </w:t>
      </w:r>
      <w:hyperlink r:id="rId19" w:history="1">
        <w:r w:rsidR="005468D7" w:rsidRPr="005468D7">
          <w:rPr>
            <w:rStyle w:val="Hyperlink"/>
            <w:rFonts w:hint="eastAsia"/>
            <w:rtl/>
          </w:rPr>
          <w:t>ע</w:t>
        </w:r>
        <w:r w:rsidR="005468D7" w:rsidRPr="005468D7">
          <w:rPr>
            <w:rStyle w:val="Hyperlink"/>
            <w:rtl/>
          </w:rPr>
          <w:t>"פ 7925/06</w:t>
        </w:r>
      </w:hyperlink>
      <w:r>
        <w:rPr>
          <w:rFonts w:hint="cs"/>
          <w:rtl/>
        </w:rPr>
        <w:t xml:space="preserve"> </w:t>
      </w:r>
      <w:r>
        <w:rPr>
          <w:rFonts w:hint="cs"/>
          <w:b/>
          <w:bCs/>
          <w:rtl/>
        </w:rPr>
        <w:t>אבו עראר נ' מדינת ישראל</w:t>
      </w:r>
      <w:r>
        <w:rPr>
          <w:rFonts w:hint="cs"/>
          <w:rtl/>
        </w:rPr>
        <w:t xml:space="preserve"> (25.4.07); </w:t>
      </w:r>
      <w:hyperlink r:id="rId20" w:history="1">
        <w:r w:rsidR="005468D7" w:rsidRPr="005468D7">
          <w:rPr>
            <w:rStyle w:val="Hyperlink"/>
            <w:rtl/>
          </w:rPr>
          <w:t>ע"פ 10221/06</w:t>
        </w:r>
      </w:hyperlink>
      <w:r>
        <w:rPr>
          <w:rFonts w:hint="cs"/>
          <w:rtl/>
        </w:rPr>
        <w:t xml:space="preserve"> </w:t>
      </w:r>
      <w:r>
        <w:rPr>
          <w:rFonts w:hint="cs"/>
          <w:b/>
          <w:bCs/>
          <w:rtl/>
        </w:rPr>
        <w:t>ג'ורן נ' מדינת ישראל</w:t>
      </w:r>
      <w:r>
        <w:rPr>
          <w:rFonts w:hint="cs"/>
          <w:rtl/>
        </w:rPr>
        <w:t>, (17.01.08); וכן הסקירה המקיפה ב-</w:t>
      </w:r>
      <w:hyperlink r:id="rId21" w:history="1">
        <w:r w:rsidR="005468D7" w:rsidRPr="005468D7">
          <w:rPr>
            <w:rStyle w:val="Hyperlink"/>
            <w:rtl/>
          </w:rPr>
          <w:t>ע"פ 3210/06</w:t>
        </w:r>
      </w:hyperlink>
      <w:r>
        <w:rPr>
          <w:rFonts w:hint="cs"/>
          <w:rtl/>
        </w:rPr>
        <w:t xml:space="preserve"> </w:t>
      </w:r>
      <w:r>
        <w:rPr>
          <w:rFonts w:hint="cs"/>
          <w:b/>
          <w:bCs/>
          <w:rtl/>
        </w:rPr>
        <w:t>עמארה נ' מדינת ישראל</w:t>
      </w:r>
      <w:r>
        <w:rPr>
          <w:rFonts w:hint="cs"/>
          <w:rtl/>
        </w:rPr>
        <w:t xml:space="preserve"> (18.03.07)). </w:t>
      </w:r>
    </w:p>
    <w:p w14:paraId="5FB49761" w14:textId="77777777" w:rsidR="00F9365F" w:rsidRDefault="00451230">
      <w:pPr>
        <w:spacing w:line="360" w:lineRule="auto"/>
        <w:ind w:left="720" w:hanging="720"/>
        <w:rPr>
          <w:rtl/>
        </w:rPr>
      </w:pPr>
      <w:r>
        <w:rPr>
          <w:rFonts w:hint="cs"/>
          <w:b/>
          <w:bCs/>
          <w:rtl/>
        </w:rPr>
        <w:tab/>
      </w:r>
    </w:p>
    <w:p w14:paraId="2E205A54" w14:textId="77777777" w:rsidR="00F9365F" w:rsidRDefault="00451230">
      <w:pPr>
        <w:spacing w:line="360" w:lineRule="auto"/>
        <w:ind w:left="720" w:hanging="720"/>
        <w:jc w:val="both"/>
        <w:rPr>
          <w:rtl/>
        </w:rPr>
      </w:pPr>
      <w:r>
        <w:rPr>
          <w:rFonts w:hint="cs"/>
          <w:rtl/>
        </w:rPr>
        <w:t>8.</w:t>
      </w:r>
      <w:r>
        <w:rPr>
          <w:rFonts w:hint="cs"/>
          <w:rtl/>
        </w:rPr>
        <w:tab/>
        <w:t>לעניין החזקת התחמושת, לא פעם נאמר שנשק, הינו כלי קטלני הטומן בחובו סכנה ממשית לשלום הציבור, עלול לשמש לביצוע מעשים חמורים בידי המחזיק או בידי אחרים אליהם הוא עלול להתגלגל. ולפיכך, יש מקום להילחם בנגע, לפיו גורמים בלתי מורשים מחזיקים בו.</w:t>
      </w:r>
    </w:p>
    <w:p w14:paraId="2A36062F" w14:textId="77777777" w:rsidR="00F9365F" w:rsidRDefault="00F9365F">
      <w:pPr>
        <w:spacing w:line="360" w:lineRule="auto"/>
        <w:jc w:val="both"/>
        <w:rPr>
          <w:rtl/>
        </w:rPr>
      </w:pPr>
    </w:p>
    <w:p w14:paraId="7597FF5B" w14:textId="77777777" w:rsidR="00F9365F" w:rsidRDefault="00451230">
      <w:pPr>
        <w:jc w:val="both"/>
        <w:rPr>
          <w:rtl/>
        </w:rPr>
      </w:pPr>
      <w:r>
        <w:rPr>
          <w:rFonts w:hint="cs"/>
          <w:rtl/>
        </w:rPr>
        <w:tab/>
        <w:t>ב</w:t>
      </w:r>
      <w:hyperlink r:id="rId22" w:history="1">
        <w:r w:rsidR="005468D7" w:rsidRPr="005468D7">
          <w:rPr>
            <w:rStyle w:val="Hyperlink"/>
            <w:rFonts w:hint="eastAsia"/>
            <w:rtl/>
          </w:rPr>
          <w:t>רע</w:t>
        </w:r>
        <w:r w:rsidR="005468D7" w:rsidRPr="005468D7">
          <w:rPr>
            <w:rStyle w:val="Hyperlink"/>
            <w:rtl/>
          </w:rPr>
          <w:t>"פ 2718/04</w:t>
        </w:r>
      </w:hyperlink>
      <w:r>
        <w:rPr>
          <w:rFonts w:hint="cs"/>
          <w:rtl/>
        </w:rPr>
        <w:t xml:space="preserve"> </w:t>
      </w:r>
      <w:r>
        <w:rPr>
          <w:rFonts w:hint="cs"/>
          <w:b/>
          <w:bCs/>
          <w:rtl/>
        </w:rPr>
        <w:t>אבו דאחל נ' מדינת ישראל</w:t>
      </w:r>
      <w:r>
        <w:rPr>
          <w:rFonts w:hint="cs"/>
          <w:rtl/>
        </w:rPr>
        <w:t xml:space="preserve">  ציין כב' השופט גו'בראן:</w:t>
      </w:r>
    </w:p>
    <w:p w14:paraId="632C2E6F" w14:textId="77777777" w:rsidR="00F9365F" w:rsidRDefault="00F9365F">
      <w:pPr>
        <w:spacing w:line="360" w:lineRule="auto"/>
        <w:jc w:val="both"/>
        <w:rPr>
          <w:b/>
          <w:bCs/>
          <w:rtl/>
        </w:rPr>
      </w:pPr>
    </w:p>
    <w:p w14:paraId="30FE3337" w14:textId="77777777" w:rsidR="00F9365F" w:rsidRDefault="00451230">
      <w:pPr>
        <w:tabs>
          <w:tab w:val="left" w:pos="7370"/>
        </w:tabs>
        <w:spacing w:line="360" w:lineRule="auto"/>
        <w:ind w:left="1106" w:right="1134"/>
        <w:jc w:val="both"/>
        <w:rPr>
          <w:b/>
          <w:bCs/>
          <w:rtl/>
        </w:rPr>
      </w:pPr>
      <w:r>
        <w:rPr>
          <w:rFonts w:hint="cs"/>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2FF851F" w14:textId="77777777" w:rsidR="00F9365F" w:rsidRDefault="00451230">
      <w:pPr>
        <w:spacing w:line="360" w:lineRule="auto"/>
        <w:jc w:val="both"/>
        <w:rPr>
          <w:rtl/>
        </w:rPr>
      </w:pPr>
      <w:r>
        <w:rPr>
          <w:rFonts w:hint="cs"/>
          <w:rtl/>
        </w:rPr>
        <w:tab/>
      </w:r>
    </w:p>
    <w:p w14:paraId="3FA2BC52" w14:textId="77777777" w:rsidR="00F9365F" w:rsidRDefault="00F9365F">
      <w:pPr>
        <w:spacing w:line="360" w:lineRule="auto"/>
        <w:jc w:val="both"/>
        <w:rPr>
          <w:rtl/>
        </w:rPr>
      </w:pPr>
    </w:p>
    <w:p w14:paraId="611F6942" w14:textId="77777777" w:rsidR="00F9365F" w:rsidRDefault="00F9365F">
      <w:pPr>
        <w:spacing w:line="360" w:lineRule="auto"/>
        <w:jc w:val="both"/>
        <w:rPr>
          <w:rtl/>
        </w:rPr>
      </w:pPr>
    </w:p>
    <w:p w14:paraId="0D15F028" w14:textId="77777777" w:rsidR="00F9365F" w:rsidRDefault="00451230">
      <w:pPr>
        <w:spacing w:line="360" w:lineRule="auto"/>
        <w:ind w:firstLine="720"/>
        <w:jc w:val="both"/>
        <w:rPr>
          <w:b/>
          <w:bCs/>
          <w:u w:val="single"/>
          <w:rtl/>
        </w:rPr>
      </w:pPr>
      <w:r>
        <w:rPr>
          <w:rFonts w:hint="cs"/>
          <w:b/>
          <w:bCs/>
          <w:u w:val="single"/>
          <w:rtl/>
        </w:rPr>
        <w:t>מדיניות הענישה הנהוגה</w:t>
      </w:r>
    </w:p>
    <w:p w14:paraId="1DAAE694" w14:textId="77777777" w:rsidR="00F9365F" w:rsidRDefault="00F9365F">
      <w:pPr>
        <w:spacing w:line="360" w:lineRule="auto"/>
        <w:jc w:val="both"/>
        <w:rPr>
          <w:rtl/>
        </w:rPr>
      </w:pPr>
    </w:p>
    <w:p w14:paraId="405C9083" w14:textId="77777777" w:rsidR="00F9365F" w:rsidRDefault="00451230">
      <w:pPr>
        <w:spacing w:line="360" w:lineRule="auto"/>
        <w:ind w:left="720" w:hanging="720"/>
        <w:jc w:val="both"/>
      </w:pPr>
      <w:r>
        <w:rPr>
          <w:rFonts w:hint="cs"/>
          <w:rtl/>
        </w:rPr>
        <w:t>9.</w:t>
      </w:r>
      <w:r>
        <w:rPr>
          <w:rFonts w:hint="cs"/>
          <w:rtl/>
        </w:rPr>
        <w:tab/>
        <w:t>לצורך קביעת מתחם העונש ההולם, יובאו להלן מספר פסקי דין, המשקפים את מדיניות הענישה הנהוגה בעבירות הצתה והחזקת תחמושת:</w:t>
      </w:r>
    </w:p>
    <w:p w14:paraId="3A20B5C6" w14:textId="77777777" w:rsidR="00F9365F" w:rsidRDefault="00451230">
      <w:pPr>
        <w:spacing w:line="360" w:lineRule="auto"/>
        <w:jc w:val="both"/>
        <w:rPr>
          <w:sz w:val="28"/>
          <w:szCs w:val="28"/>
          <w:rtl/>
        </w:rPr>
      </w:pPr>
      <w:r>
        <w:rPr>
          <w:rFonts w:hint="cs"/>
          <w:rtl/>
        </w:rPr>
        <w:tab/>
      </w:r>
    </w:p>
    <w:p w14:paraId="13EA5203" w14:textId="77777777" w:rsidR="00F9365F" w:rsidRDefault="00451230">
      <w:pPr>
        <w:spacing w:line="360" w:lineRule="auto"/>
        <w:ind w:left="720"/>
        <w:jc w:val="both"/>
        <w:rPr>
          <w:rtl/>
        </w:rPr>
      </w:pPr>
      <w:r>
        <w:rPr>
          <w:rFonts w:hint="cs"/>
          <w:rtl/>
        </w:rPr>
        <w:t>ב</w:t>
      </w:r>
      <w:hyperlink r:id="rId23" w:history="1">
        <w:r w:rsidR="005468D7" w:rsidRPr="005468D7">
          <w:rPr>
            <w:rStyle w:val="Hyperlink"/>
            <w:rtl/>
          </w:rPr>
          <w:t>ת"פ 6432-06-10</w:t>
        </w:r>
      </w:hyperlink>
      <w:r>
        <w:rPr>
          <w:rFonts w:hint="cs"/>
          <w:rtl/>
        </w:rPr>
        <w:t xml:space="preserve"> </w:t>
      </w:r>
      <w:r>
        <w:rPr>
          <w:rFonts w:hint="cs"/>
          <w:b/>
          <w:bCs/>
          <w:rtl/>
        </w:rPr>
        <w:t>מדינת ישראל</w:t>
      </w:r>
      <w:r>
        <w:rPr>
          <w:rFonts w:hint="cs"/>
          <w:rtl/>
        </w:rPr>
        <w:t xml:space="preserve"> </w:t>
      </w:r>
      <w:r>
        <w:rPr>
          <w:rFonts w:hint="cs"/>
          <w:b/>
          <w:bCs/>
          <w:rtl/>
        </w:rPr>
        <w:t>נ</w:t>
      </w:r>
      <w:r>
        <w:rPr>
          <w:rFonts w:hint="cs"/>
          <w:rtl/>
        </w:rPr>
        <w:t xml:space="preserve">' </w:t>
      </w:r>
      <w:r>
        <w:rPr>
          <w:rFonts w:hint="cs"/>
          <w:b/>
          <w:bCs/>
          <w:rtl/>
        </w:rPr>
        <w:t xml:space="preserve">זכריא עזב </w:t>
      </w:r>
      <w:r>
        <w:rPr>
          <w:rFonts w:hint="cs"/>
          <w:rtl/>
        </w:rPr>
        <w:t>(13.07.10)</w:t>
      </w:r>
      <w:r>
        <w:rPr>
          <w:rFonts w:hint="cs"/>
          <w:b/>
          <w:bCs/>
          <w:rtl/>
        </w:rPr>
        <w:t>-</w:t>
      </w:r>
      <w:r>
        <w:rPr>
          <w:rFonts w:hint="cs"/>
          <w:rtl/>
        </w:rPr>
        <w:t xml:space="preserve"> הורשע הנאשם על פי הודאתו בעובדות כתב האישום המתוקן באותן העבירות נשוא התיק שבפני. קרי, בעבירה של הצתה – עבירה לפי </w:t>
      </w:r>
      <w:hyperlink r:id="rId24" w:history="1">
        <w:r w:rsidR="009C61CE" w:rsidRPr="009C61CE">
          <w:rPr>
            <w:color w:val="0000FF"/>
            <w:u w:val="single"/>
            <w:rtl/>
          </w:rPr>
          <w:t>סעיף 448</w:t>
        </w:r>
      </w:hyperlink>
      <w:r>
        <w:rPr>
          <w:rFonts w:hint="cs"/>
          <w:rtl/>
        </w:rPr>
        <w:t xml:space="preserve"> ל</w:t>
      </w:r>
      <w:hyperlink r:id="rId25" w:history="1">
        <w:r w:rsidR="005468D7" w:rsidRPr="005468D7">
          <w:rPr>
            <w:rStyle w:val="Hyperlink"/>
            <w:rFonts w:hint="eastAsia"/>
            <w:rtl/>
          </w:rPr>
          <w:t>חוק</w:t>
        </w:r>
        <w:r w:rsidR="005468D7" w:rsidRPr="005468D7">
          <w:rPr>
            <w:rStyle w:val="Hyperlink"/>
            <w:rtl/>
          </w:rPr>
          <w:t xml:space="preserve"> העונשין</w:t>
        </w:r>
      </w:hyperlink>
      <w:r>
        <w:rPr>
          <w:rFonts w:hint="cs"/>
          <w:rtl/>
        </w:rPr>
        <w:t xml:space="preserve">, ועבירה בנשק (החזקת נשק, אביזר ותחמושת) – עבירה לפי </w:t>
      </w:r>
      <w:hyperlink r:id="rId26" w:history="1">
        <w:r w:rsidR="009C61CE" w:rsidRPr="009C61CE">
          <w:rPr>
            <w:color w:val="0000FF"/>
            <w:u w:val="single"/>
            <w:rtl/>
          </w:rPr>
          <w:t>סעיף 144(א)</w:t>
        </w:r>
      </w:hyperlink>
      <w:r>
        <w:rPr>
          <w:rFonts w:hint="cs"/>
          <w:rtl/>
        </w:rPr>
        <w:t xml:space="preserve"> לחוק. כאשר גם שם ייחס כתב האישום המתוקן לנאשם שני אישומים. לפי האישום הראשון, ב- 7.5.10 בסביבות השעה 03:00, שפך הנאשם נוזל דליק על רכב מתוצרת פורד, שבבעלות המתלונן, שחנה סמוך לבית המתלונן בכפר ערערה. במעשה זה גרם הנאשם להצתת הרכב, תוך שהוא מסב לרכב נזקים כבדים: השמשה הקדמית נשרפה והתנפצה, חלק ממכסה המנוע נשרף וכך גם הכנף הקדמית הימנית והדלת הקדמית הימנית. לפי האישום השני, ב- 26.5.10 בסביבות השעה 14:30 החזיק הנאשם בחדר השינה בביתו רובה סער מסוג </w:t>
      </w:r>
      <w:r>
        <w:t>M-16</w:t>
      </w:r>
      <w:r>
        <w:rPr>
          <w:rFonts w:hint="cs"/>
          <w:rtl/>
        </w:rPr>
        <w:t>, שתי מחסניות ועשרות כדורי תחמושת. לנאשם זה, היו שתי הרשעות קודמות והצתת הרכב נעשתה על רקע סכסוך משפחתי שהיה לנאשם עם גיסו. על הנאשם שם נגזרו 36 חודשי מאסר בפועל.</w:t>
      </w:r>
    </w:p>
    <w:p w14:paraId="1F58F1D7" w14:textId="77777777" w:rsidR="00F9365F" w:rsidRDefault="00F9365F">
      <w:pPr>
        <w:spacing w:line="360" w:lineRule="auto"/>
        <w:jc w:val="both"/>
        <w:rPr>
          <w:rtl/>
        </w:rPr>
      </w:pPr>
    </w:p>
    <w:p w14:paraId="32429A26" w14:textId="77777777" w:rsidR="00F9365F" w:rsidRDefault="00451230">
      <w:pPr>
        <w:spacing w:line="360" w:lineRule="auto"/>
        <w:ind w:left="720"/>
        <w:jc w:val="both"/>
        <w:rPr>
          <w:b/>
          <w:bCs/>
          <w:rtl/>
        </w:rPr>
      </w:pPr>
      <w:r>
        <w:rPr>
          <w:rFonts w:hint="cs"/>
          <w:rtl/>
        </w:rPr>
        <w:t>ב</w:t>
      </w:r>
      <w:hyperlink r:id="rId27" w:history="1">
        <w:r w:rsidR="005468D7" w:rsidRPr="005468D7">
          <w:rPr>
            <w:rStyle w:val="Hyperlink"/>
            <w:rtl/>
          </w:rPr>
          <w:t>ת"פ 1531-04-10</w:t>
        </w:r>
      </w:hyperlink>
      <w:r>
        <w:rPr>
          <w:rFonts w:hint="cs"/>
          <w:b/>
          <w:bCs/>
          <w:rtl/>
        </w:rPr>
        <w:t xml:space="preserve"> מדינת ישראל נ' מנגיסטו </w:t>
      </w:r>
      <w:r>
        <w:rPr>
          <w:rFonts w:hint="cs"/>
          <w:rtl/>
        </w:rPr>
        <w:t>(08.11.10)</w:t>
      </w:r>
      <w:r>
        <w:rPr>
          <w:rFonts w:hint="cs"/>
          <w:b/>
          <w:bCs/>
          <w:rtl/>
        </w:rPr>
        <w:t xml:space="preserve">- </w:t>
      </w:r>
      <w:r>
        <w:rPr>
          <w:rStyle w:val="litextstyle1"/>
          <w:rFonts w:hint="cs"/>
          <w:rtl/>
        </w:rPr>
        <w:t>בעת ששהה הנאשם לבדו בביתו הצית 3 מוקדים בדירה, על רקע מצוקה בה היה שרוי.</w:t>
      </w:r>
    </w:p>
    <w:p w14:paraId="402083DD" w14:textId="77777777" w:rsidR="00F9365F" w:rsidRDefault="00451230">
      <w:pPr>
        <w:spacing w:line="360" w:lineRule="auto"/>
        <w:ind w:left="720"/>
        <w:jc w:val="both"/>
        <w:rPr>
          <w:rtl/>
        </w:rPr>
      </w:pPr>
      <w:r>
        <w:rPr>
          <w:rFonts w:hint="cs"/>
          <w:rtl/>
        </w:rPr>
        <w:t>גם במקרה זה על פי</w:t>
      </w:r>
      <w:r>
        <w:rPr>
          <w:rFonts w:hint="cs"/>
        </w:rPr>
        <w:t xml:space="preserve"> </w:t>
      </w:r>
      <w:r>
        <w:rPr>
          <w:rFonts w:hint="cs"/>
          <w:rtl/>
        </w:rPr>
        <w:t>חוות</w:t>
      </w:r>
      <w:r>
        <w:rPr>
          <w:rFonts w:hint="cs"/>
        </w:rPr>
        <w:t xml:space="preserve"> </w:t>
      </w:r>
      <w:r>
        <w:rPr>
          <w:rFonts w:hint="cs"/>
          <w:rtl/>
        </w:rPr>
        <w:t>דעת</w:t>
      </w:r>
      <w:r>
        <w:rPr>
          <w:rFonts w:hint="cs"/>
        </w:rPr>
        <w:t xml:space="preserve"> </w:t>
      </w:r>
      <w:r>
        <w:rPr>
          <w:rFonts w:hint="cs"/>
          <w:rtl/>
        </w:rPr>
        <w:t>פסיכיאטרית</w:t>
      </w:r>
      <w:r>
        <w:rPr>
          <w:rFonts w:hint="cs"/>
        </w:rPr>
        <w:t xml:space="preserve"> </w:t>
      </w:r>
      <w:r>
        <w:rPr>
          <w:rFonts w:hint="cs"/>
          <w:rtl/>
        </w:rPr>
        <w:t>שהוגשה</w:t>
      </w:r>
      <w:r>
        <w:rPr>
          <w:rFonts w:hint="cs"/>
        </w:rPr>
        <w:t xml:space="preserve"> </w:t>
      </w:r>
      <w:r>
        <w:rPr>
          <w:rFonts w:hint="cs"/>
          <w:rtl/>
        </w:rPr>
        <w:t>בהליכי</w:t>
      </w:r>
      <w:r>
        <w:rPr>
          <w:rFonts w:hint="cs"/>
        </w:rPr>
        <w:t xml:space="preserve"> </w:t>
      </w:r>
      <w:r>
        <w:rPr>
          <w:rFonts w:hint="cs"/>
          <w:rtl/>
        </w:rPr>
        <w:t>המעצר נקבע, כי מדובר</w:t>
      </w:r>
      <w:r>
        <w:rPr>
          <w:rFonts w:hint="cs"/>
        </w:rPr>
        <w:t xml:space="preserve"> </w:t>
      </w:r>
      <w:r>
        <w:rPr>
          <w:rFonts w:hint="cs"/>
          <w:rtl/>
        </w:rPr>
        <w:t>במי</w:t>
      </w:r>
      <w:r>
        <w:rPr>
          <w:rFonts w:hint="cs"/>
        </w:rPr>
        <w:t xml:space="preserve"> </w:t>
      </w:r>
      <w:r>
        <w:rPr>
          <w:rFonts w:hint="cs"/>
          <w:rtl/>
        </w:rPr>
        <w:t>שכשיר</w:t>
      </w:r>
      <w:r>
        <w:rPr>
          <w:rFonts w:hint="cs"/>
        </w:rPr>
        <w:t xml:space="preserve"> </w:t>
      </w:r>
      <w:r>
        <w:rPr>
          <w:rFonts w:hint="cs"/>
          <w:rtl/>
        </w:rPr>
        <w:t>לעמוד</w:t>
      </w:r>
      <w:r>
        <w:rPr>
          <w:rFonts w:hint="cs"/>
        </w:rPr>
        <w:t xml:space="preserve"> </w:t>
      </w:r>
      <w:r>
        <w:rPr>
          <w:rFonts w:hint="cs"/>
          <w:rtl/>
        </w:rPr>
        <w:t>לדין</w:t>
      </w:r>
      <w:r>
        <w:rPr>
          <w:rFonts w:hint="cs"/>
        </w:rPr>
        <w:t xml:space="preserve"> </w:t>
      </w:r>
      <w:r>
        <w:rPr>
          <w:rFonts w:hint="cs"/>
          <w:rtl/>
        </w:rPr>
        <w:t>אולם</w:t>
      </w:r>
      <w:r>
        <w:rPr>
          <w:rFonts w:hint="cs"/>
        </w:rPr>
        <w:t xml:space="preserve"> </w:t>
      </w:r>
      <w:r>
        <w:rPr>
          <w:rFonts w:hint="cs"/>
          <w:rtl/>
        </w:rPr>
        <w:t>אין</w:t>
      </w:r>
      <w:r>
        <w:rPr>
          <w:rFonts w:hint="cs"/>
        </w:rPr>
        <w:t xml:space="preserve"> </w:t>
      </w:r>
      <w:r>
        <w:rPr>
          <w:rFonts w:hint="cs"/>
          <w:rtl/>
        </w:rPr>
        <w:t>ספק</w:t>
      </w:r>
      <w:r>
        <w:rPr>
          <w:rFonts w:hint="cs"/>
        </w:rPr>
        <w:t xml:space="preserve"> </w:t>
      </w:r>
      <w:r>
        <w:rPr>
          <w:rFonts w:hint="cs"/>
          <w:rtl/>
        </w:rPr>
        <w:t>שמבחינה</w:t>
      </w:r>
      <w:r>
        <w:rPr>
          <w:rFonts w:hint="cs"/>
        </w:rPr>
        <w:t xml:space="preserve"> </w:t>
      </w:r>
      <w:r>
        <w:rPr>
          <w:rFonts w:hint="cs"/>
          <w:rtl/>
        </w:rPr>
        <w:t>נפשית</w:t>
      </w:r>
      <w:r>
        <w:rPr>
          <w:rFonts w:hint="cs"/>
        </w:rPr>
        <w:t xml:space="preserve"> </w:t>
      </w:r>
      <w:r>
        <w:rPr>
          <w:rFonts w:hint="cs"/>
          <w:rtl/>
        </w:rPr>
        <w:t>יש</w:t>
      </w:r>
      <w:r>
        <w:rPr>
          <w:rFonts w:hint="cs"/>
        </w:rPr>
        <w:t xml:space="preserve"> </w:t>
      </w:r>
      <w:r>
        <w:rPr>
          <w:rFonts w:hint="cs"/>
          <w:rtl/>
        </w:rPr>
        <w:t>לנאשם</w:t>
      </w:r>
      <w:r>
        <w:rPr>
          <w:rFonts w:hint="cs"/>
        </w:rPr>
        <w:t xml:space="preserve"> </w:t>
      </w:r>
      <w:r>
        <w:rPr>
          <w:rFonts w:hint="cs"/>
          <w:rtl/>
        </w:rPr>
        <w:t>תחלואים</w:t>
      </w:r>
      <w:r>
        <w:rPr>
          <w:rFonts w:hint="cs"/>
        </w:rPr>
        <w:t xml:space="preserve"> </w:t>
      </w:r>
      <w:r>
        <w:rPr>
          <w:rFonts w:hint="cs"/>
          <w:rtl/>
        </w:rPr>
        <w:t>שונים. גם שם בדומה לענייננו, מדובר</w:t>
      </w:r>
      <w:r>
        <w:rPr>
          <w:rFonts w:hint="cs"/>
        </w:rPr>
        <w:t xml:space="preserve"> </w:t>
      </w:r>
      <w:r>
        <w:rPr>
          <w:rFonts w:hint="cs"/>
          <w:rtl/>
        </w:rPr>
        <w:t>בנאשם</w:t>
      </w:r>
      <w:r>
        <w:rPr>
          <w:rFonts w:hint="cs"/>
        </w:rPr>
        <w:t xml:space="preserve"> </w:t>
      </w:r>
      <w:r>
        <w:rPr>
          <w:rFonts w:hint="cs"/>
          <w:rtl/>
        </w:rPr>
        <w:t>אשר</w:t>
      </w:r>
      <w:r>
        <w:rPr>
          <w:rFonts w:hint="cs"/>
        </w:rPr>
        <w:t xml:space="preserve"> </w:t>
      </w:r>
      <w:r>
        <w:rPr>
          <w:rFonts w:hint="cs"/>
          <w:rtl/>
        </w:rPr>
        <w:t>עלה</w:t>
      </w:r>
      <w:r>
        <w:rPr>
          <w:rFonts w:hint="cs"/>
        </w:rPr>
        <w:t xml:space="preserve"> </w:t>
      </w:r>
      <w:r>
        <w:rPr>
          <w:rFonts w:hint="cs"/>
          <w:rtl/>
        </w:rPr>
        <w:t>זה</w:t>
      </w:r>
      <w:r>
        <w:rPr>
          <w:rFonts w:hint="cs"/>
        </w:rPr>
        <w:t xml:space="preserve"> </w:t>
      </w:r>
      <w:r>
        <w:rPr>
          <w:rFonts w:hint="cs"/>
          <w:rtl/>
        </w:rPr>
        <w:t>מקרוב</w:t>
      </w:r>
      <w:r>
        <w:rPr>
          <w:rFonts w:hint="cs"/>
        </w:rPr>
        <w:t xml:space="preserve"> </w:t>
      </w:r>
      <w:r>
        <w:rPr>
          <w:rFonts w:hint="cs"/>
          <w:rtl/>
        </w:rPr>
        <w:t>מאתיופיה,</w:t>
      </w:r>
      <w:r>
        <w:rPr>
          <w:rFonts w:hint="cs"/>
        </w:rPr>
        <w:t xml:space="preserve"> </w:t>
      </w:r>
      <w:r>
        <w:rPr>
          <w:rFonts w:hint="cs"/>
          <w:rtl/>
        </w:rPr>
        <w:t>סבל</w:t>
      </w:r>
      <w:r>
        <w:rPr>
          <w:rFonts w:hint="cs"/>
        </w:rPr>
        <w:t xml:space="preserve"> </w:t>
      </w:r>
      <w:r>
        <w:rPr>
          <w:rFonts w:hint="cs"/>
          <w:rtl/>
        </w:rPr>
        <w:t>מקשיי</w:t>
      </w:r>
      <w:r>
        <w:rPr>
          <w:rFonts w:hint="cs"/>
        </w:rPr>
        <w:t xml:space="preserve"> </w:t>
      </w:r>
      <w:r>
        <w:rPr>
          <w:rFonts w:hint="cs"/>
          <w:rtl/>
        </w:rPr>
        <w:t>קליטה</w:t>
      </w:r>
      <w:r>
        <w:rPr>
          <w:rFonts w:hint="cs"/>
        </w:rPr>
        <w:t xml:space="preserve"> </w:t>
      </w:r>
      <w:r>
        <w:rPr>
          <w:rFonts w:hint="cs"/>
          <w:rtl/>
        </w:rPr>
        <w:t>וכן</w:t>
      </w:r>
      <w:r>
        <w:rPr>
          <w:rFonts w:hint="cs"/>
        </w:rPr>
        <w:t xml:space="preserve"> </w:t>
      </w:r>
      <w:r>
        <w:rPr>
          <w:rFonts w:hint="cs"/>
          <w:rtl/>
        </w:rPr>
        <w:t>ממחלות</w:t>
      </w:r>
      <w:r>
        <w:rPr>
          <w:rFonts w:hint="cs"/>
        </w:rPr>
        <w:t xml:space="preserve"> </w:t>
      </w:r>
      <w:r>
        <w:rPr>
          <w:rFonts w:hint="cs"/>
          <w:rtl/>
        </w:rPr>
        <w:t>שונות.</w:t>
      </w:r>
      <w:r>
        <w:rPr>
          <w:rFonts w:hint="cs"/>
        </w:rPr>
        <w:t xml:space="preserve"> </w:t>
      </w:r>
      <w:r>
        <w:rPr>
          <w:rFonts w:hint="cs"/>
          <w:rtl/>
        </w:rPr>
        <w:t>בן 57, נשוי</w:t>
      </w:r>
      <w:r>
        <w:rPr>
          <w:rFonts w:hint="cs"/>
        </w:rPr>
        <w:t xml:space="preserve"> </w:t>
      </w:r>
      <w:r>
        <w:rPr>
          <w:rFonts w:hint="cs"/>
          <w:rtl/>
        </w:rPr>
        <w:t>ואב</w:t>
      </w:r>
      <w:r>
        <w:rPr>
          <w:rFonts w:hint="cs"/>
        </w:rPr>
        <w:t xml:space="preserve"> </w:t>
      </w:r>
      <w:r>
        <w:rPr>
          <w:rFonts w:hint="cs"/>
          <w:rtl/>
        </w:rPr>
        <w:t>לילדים</w:t>
      </w:r>
      <w:r>
        <w:rPr>
          <w:rFonts w:hint="cs"/>
        </w:rPr>
        <w:t xml:space="preserve"> </w:t>
      </w:r>
      <w:r>
        <w:rPr>
          <w:rFonts w:hint="cs"/>
          <w:rtl/>
        </w:rPr>
        <w:t xml:space="preserve"> וללא כל עבר פלילי.</w:t>
      </w:r>
    </w:p>
    <w:p w14:paraId="3A6F89E1" w14:textId="77777777" w:rsidR="00F9365F" w:rsidRDefault="00451230">
      <w:pPr>
        <w:spacing w:line="360" w:lineRule="auto"/>
        <w:ind w:left="720"/>
        <w:jc w:val="both"/>
        <w:rPr>
          <w:rtl/>
        </w:rPr>
      </w:pPr>
      <w:r>
        <w:rPr>
          <w:rFonts w:hint="cs"/>
          <w:rtl/>
        </w:rPr>
        <w:t>סנגורו ציין בטיעוניו לעונש, כי הנאשם הרגיש</w:t>
      </w:r>
      <w:r>
        <w:rPr>
          <w:rFonts w:hint="cs"/>
        </w:rPr>
        <w:t xml:space="preserve"> </w:t>
      </w:r>
      <w:r>
        <w:rPr>
          <w:rFonts w:hint="cs"/>
          <w:rtl/>
        </w:rPr>
        <w:t>שאינו</w:t>
      </w:r>
      <w:r>
        <w:rPr>
          <w:rFonts w:hint="cs"/>
        </w:rPr>
        <w:t xml:space="preserve"> </w:t>
      </w:r>
      <w:r>
        <w:rPr>
          <w:rFonts w:hint="cs"/>
          <w:rtl/>
        </w:rPr>
        <w:t>מועיל</w:t>
      </w:r>
      <w:r>
        <w:rPr>
          <w:rFonts w:hint="cs"/>
        </w:rPr>
        <w:t xml:space="preserve"> </w:t>
      </w:r>
      <w:r>
        <w:rPr>
          <w:rFonts w:hint="cs"/>
          <w:rtl/>
        </w:rPr>
        <w:t>למעשה</w:t>
      </w:r>
      <w:r>
        <w:rPr>
          <w:rFonts w:hint="cs"/>
        </w:rPr>
        <w:t xml:space="preserve"> </w:t>
      </w:r>
      <w:r>
        <w:rPr>
          <w:rFonts w:hint="cs"/>
          <w:rtl/>
        </w:rPr>
        <w:t>למשפחתו</w:t>
      </w:r>
      <w:r>
        <w:rPr>
          <w:rFonts w:hint="cs"/>
        </w:rPr>
        <w:t xml:space="preserve"> </w:t>
      </w:r>
      <w:r>
        <w:rPr>
          <w:rFonts w:hint="cs"/>
          <w:rtl/>
        </w:rPr>
        <w:t>וסבר</w:t>
      </w:r>
      <w:r>
        <w:rPr>
          <w:rFonts w:hint="cs"/>
        </w:rPr>
        <w:t xml:space="preserve"> </w:t>
      </w:r>
      <w:r>
        <w:rPr>
          <w:rFonts w:hint="cs"/>
          <w:rtl/>
        </w:rPr>
        <w:t>שבכוונת</w:t>
      </w:r>
      <w:r>
        <w:rPr>
          <w:rFonts w:hint="cs"/>
        </w:rPr>
        <w:t xml:space="preserve"> </w:t>
      </w:r>
      <w:r>
        <w:rPr>
          <w:rFonts w:hint="cs"/>
          <w:rtl/>
        </w:rPr>
        <w:t>אשתו</w:t>
      </w:r>
      <w:r>
        <w:rPr>
          <w:rFonts w:hint="cs"/>
        </w:rPr>
        <w:t xml:space="preserve"> </w:t>
      </w:r>
      <w:r>
        <w:rPr>
          <w:rFonts w:hint="cs"/>
          <w:rtl/>
        </w:rPr>
        <w:t>לחיות</w:t>
      </w:r>
      <w:r>
        <w:rPr>
          <w:rFonts w:hint="cs"/>
        </w:rPr>
        <w:t xml:space="preserve"> </w:t>
      </w:r>
      <w:r>
        <w:rPr>
          <w:rFonts w:hint="cs"/>
          <w:rtl/>
        </w:rPr>
        <w:t>עם</w:t>
      </w:r>
      <w:r>
        <w:rPr>
          <w:rFonts w:hint="cs"/>
        </w:rPr>
        <w:t xml:space="preserve"> </w:t>
      </w:r>
      <w:r>
        <w:rPr>
          <w:rFonts w:hint="cs"/>
          <w:rtl/>
        </w:rPr>
        <w:t>בן</w:t>
      </w:r>
      <w:r>
        <w:t>-</w:t>
      </w:r>
      <w:r>
        <w:rPr>
          <w:rFonts w:hint="cs"/>
          <w:rtl/>
        </w:rPr>
        <w:t>זוג</w:t>
      </w:r>
      <w:r>
        <w:rPr>
          <w:rFonts w:hint="cs"/>
        </w:rPr>
        <w:t xml:space="preserve"> </w:t>
      </w:r>
      <w:r>
        <w:rPr>
          <w:rFonts w:hint="cs"/>
          <w:rtl/>
        </w:rPr>
        <w:t>אחר</w:t>
      </w:r>
      <w:r>
        <w:rPr>
          <w:rFonts w:hint="cs"/>
        </w:rPr>
        <w:t xml:space="preserve"> </w:t>
      </w:r>
      <w:r>
        <w:rPr>
          <w:rFonts w:hint="cs"/>
          <w:rtl/>
        </w:rPr>
        <w:t>ובעיקר</w:t>
      </w:r>
      <w:r>
        <w:rPr>
          <w:rFonts w:hint="cs"/>
        </w:rPr>
        <w:t xml:space="preserve"> </w:t>
      </w:r>
      <w:r>
        <w:rPr>
          <w:rFonts w:hint="cs"/>
          <w:rtl/>
        </w:rPr>
        <w:t>בהקשר</w:t>
      </w:r>
      <w:r>
        <w:rPr>
          <w:rFonts w:hint="cs"/>
        </w:rPr>
        <w:t xml:space="preserve"> </w:t>
      </w:r>
      <w:r>
        <w:rPr>
          <w:rFonts w:hint="cs"/>
          <w:rtl/>
        </w:rPr>
        <w:t>הזה</w:t>
      </w:r>
      <w:r>
        <w:rPr>
          <w:rFonts w:hint="cs"/>
        </w:rPr>
        <w:t xml:space="preserve"> </w:t>
      </w:r>
      <w:r>
        <w:rPr>
          <w:rFonts w:hint="cs"/>
          <w:rtl/>
        </w:rPr>
        <w:t>להרחיקו</w:t>
      </w:r>
      <w:r>
        <w:rPr>
          <w:rFonts w:hint="cs"/>
        </w:rPr>
        <w:t xml:space="preserve"> </w:t>
      </w:r>
      <w:r>
        <w:rPr>
          <w:rFonts w:hint="cs"/>
          <w:rtl/>
        </w:rPr>
        <w:t>מביתו</w:t>
      </w:r>
      <w:r>
        <w:rPr>
          <w:rFonts w:hint="cs"/>
        </w:rPr>
        <w:t xml:space="preserve"> </w:t>
      </w:r>
      <w:r>
        <w:rPr>
          <w:rFonts w:hint="cs"/>
          <w:rtl/>
        </w:rPr>
        <w:t>ולהותירו</w:t>
      </w:r>
      <w:r>
        <w:rPr>
          <w:rFonts w:hint="cs"/>
        </w:rPr>
        <w:t xml:space="preserve"> </w:t>
      </w:r>
      <w:r>
        <w:rPr>
          <w:rFonts w:hint="cs"/>
          <w:rtl/>
        </w:rPr>
        <w:t>ברחוב.</w:t>
      </w:r>
      <w:r>
        <w:rPr>
          <w:rFonts w:hint="cs"/>
        </w:rPr>
        <w:t xml:space="preserve"> </w:t>
      </w:r>
      <w:r>
        <w:rPr>
          <w:rFonts w:hint="cs"/>
          <w:rtl/>
        </w:rPr>
        <w:t>דבר</w:t>
      </w:r>
      <w:r>
        <w:rPr>
          <w:rFonts w:hint="cs"/>
        </w:rPr>
        <w:t xml:space="preserve"> </w:t>
      </w:r>
      <w:r>
        <w:rPr>
          <w:rFonts w:hint="cs"/>
          <w:rtl/>
        </w:rPr>
        <w:t>זה</w:t>
      </w:r>
      <w:r>
        <w:rPr>
          <w:rFonts w:hint="cs"/>
        </w:rPr>
        <w:t xml:space="preserve"> </w:t>
      </w:r>
      <w:r>
        <w:rPr>
          <w:rFonts w:hint="cs"/>
          <w:rtl/>
        </w:rPr>
        <w:t>גרם</w:t>
      </w:r>
      <w:r>
        <w:rPr>
          <w:rFonts w:hint="cs"/>
        </w:rPr>
        <w:t xml:space="preserve"> </w:t>
      </w:r>
      <w:r>
        <w:rPr>
          <w:rFonts w:hint="cs"/>
          <w:rtl/>
        </w:rPr>
        <w:t>לו</w:t>
      </w:r>
      <w:r>
        <w:rPr>
          <w:rFonts w:hint="cs"/>
        </w:rPr>
        <w:t xml:space="preserve"> </w:t>
      </w:r>
      <w:r>
        <w:rPr>
          <w:rFonts w:hint="cs"/>
          <w:rtl/>
        </w:rPr>
        <w:t>למצוקה</w:t>
      </w:r>
      <w:r>
        <w:rPr>
          <w:rFonts w:hint="cs"/>
        </w:rPr>
        <w:t xml:space="preserve"> </w:t>
      </w:r>
      <w:r>
        <w:rPr>
          <w:rFonts w:hint="cs"/>
          <w:rtl/>
        </w:rPr>
        <w:t>והחמיר</w:t>
      </w:r>
      <w:r>
        <w:rPr>
          <w:rFonts w:hint="cs"/>
        </w:rPr>
        <w:t xml:space="preserve"> </w:t>
      </w:r>
      <w:r>
        <w:rPr>
          <w:rFonts w:hint="cs"/>
          <w:rtl/>
        </w:rPr>
        <w:t>מצוקות</w:t>
      </w:r>
      <w:r>
        <w:rPr>
          <w:rFonts w:hint="cs"/>
        </w:rPr>
        <w:t xml:space="preserve"> </w:t>
      </w:r>
      <w:r>
        <w:rPr>
          <w:rFonts w:hint="cs"/>
          <w:rtl/>
        </w:rPr>
        <w:t>אחרות</w:t>
      </w:r>
      <w:r>
        <w:rPr>
          <w:rFonts w:hint="cs"/>
        </w:rPr>
        <w:t xml:space="preserve"> </w:t>
      </w:r>
      <w:r>
        <w:rPr>
          <w:rFonts w:hint="cs"/>
          <w:rtl/>
        </w:rPr>
        <w:t>שהוא</w:t>
      </w:r>
      <w:r>
        <w:rPr>
          <w:rFonts w:hint="cs"/>
        </w:rPr>
        <w:t xml:space="preserve"> </w:t>
      </w:r>
      <w:r>
        <w:rPr>
          <w:rFonts w:hint="cs"/>
          <w:rtl/>
        </w:rPr>
        <w:t>סובל</w:t>
      </w:r>
      <w:r>
        <w:rPr>
          <w:rFonts w:hint="cs"/>
        </w:rPr>
        <w:t xml:space="preserve"> </w:t>
      </w:r>
      <w:r>
        <w:rPr>
          <w:rFonts w:hint="cs"/>
          <w:rtl/>
        </w:rPr>
        <w:t>מהן</w:t>
      </w:r>
      <w:r>
        <w:rPr>
          <w:rFonts w:hint="cs"/>
        </w:rPr>
        <w:t xml:space="preserve"> </w:t>
      </w:r>
      <w:r>
        <w:rPr>
          <w:rFonts w:hint="cs"/>
          <w:rtl/>
        </w:rPr>
        <w:t>ממילא</w:t>
      </w:r>
      <w:r>
        <w:rPr>
          <w:rFonts w:hint="cs"/>
        </w:rPr>
        <w:t xml:space="preserve"> </w:t>
      </w:r>
      <w:r>
        <w:rPr>
          <w:rFonts w:hint="cs"/>
          <w:rtl/>
        </w:rPr>
        <w:t>וגרם</w:t>
      </w:r>
      <w:r>
        <w:rPr>
          <w:rFonts w:hint="cs"/>
        </w:rPr>
        <w:t xml:space="preserve"> </w:t>
      </w:r>
      <w:r>
        <w:rPr>
          <w:rFonts w:hint="cs"/>
          <w:rtl/>
        </w:rPr>
        <w:t>לו</w:t>
      </w:r>
      <w:r>
        <w:rPr>
          <w:rFonts w:hint="cs"/>
        </w:rPr>
        <w:t xml:space="preserve"> </w:t>
      </w:r>
      <w:r>
        <w:rPr>
          <w:rFonts w:hint="cs"/>
          <w:rtl/>
        </w:rPr>
        <w:t>לעשות</w:t>
      </w:r>
      <w:r>
        <w:rPr>
          <w:rFonts w:hint="cs"/>
        </w:rPr>
        <w:t xml:space="preserve"> </w:t>
      </w:r>
      <w:r>
        <w:rPr>
          <w:rFonts w:hint="cs"/>
          <w:rtl/>
        </w:rPr>
        <w:t>מעשה</w:t>
      </w:r>
      <w:r>
        <w:rPr>
          <w:rFonts w:hint="cs"/>
        </w:rPr>
        <w:t xml:space="preserve"> </w:t>
      </w:r>
      <w:r>
        <w:rPr>
          <w:rFonts w:hint="cs"/>
          <w:rtl/>
        </w:rPr>
        <w:t>שמכוון</w:t>
      </w:r>
      <w:r>
        <w:rPr>
          <w:rFonts w:hint="cs"/>
        </w:rPr>
        <w:t xml:space="preserve"> </w:t>
      </w:r>
      <w:r>
        <w:rPr>
          <w:rFonts w:hint="cs"/>
          <w:rtl/>
        </w:rPr>
        <w:t>כנגד</w:t>
      </w:r>
      <w:r>
        <w:rPr>
          <w:rFonts w:hint="cs"/>
        </w:rPr>
        <w:t xml:space="preserve"> </w:t>
      </w:r>
      <w:r>
        <w:rPr>
          <w:rFonts w:hint="cs"/>
          <w:rtl/>
        </w:rPr>
        <w:t>הבית.</w:t>
      </w:r>
    </w:p>
    <w:p w14:paraId="64095959" w14:textId="77777777" w:rsidR="00F9365F" w:rsidRDefault="00451230">
      <w:pPr>
        <w:spacing w:line="360" w:lineRule="auto"/>
        <w:ind w:left="720"/>
        <w:jc w:val="both"/>
      </w:pPr>
      <w:r>
        <w:rPr>
          <w:rFonts w:hint="cs"/>
          <w:rtl/>
        </w:rPr>
        <w:t>במסגרת</w:t>
      </w:r>
      <w:r>
        <w:rPr>
          <w:rFonts w:hint="cs"/>
        </w:rPr>
        <w:t xml:space="preserve"> </w:t>
      </w:r>
      <w:r>
        <w:rPr>
          <w:rFonts w:hint="cs"/>
          <w:rtl/>
        </w:rPr>
        <w:t>הסדר</w:t>
      </w:r>
      <w:r>
        <w:rPr>
          <w:rFonts w:hint="cs"/>
        </w:rPr>
        <w:t xml:space="preserve"> </w:t>
      </w:r>
      <w:r>
        <w:rPr>
          <w:rFonts w:hint="cs"/>
          <w:rtl/>
        </w:rPr>
        <w:t>הטיעון,</w:t>
      </w:r>
      <w:r>
        <w:rPr>
          <w:rFonts w:hint="cs"/>
        </w:rPr>
        <w:t xml:space="preserve"> </w:t>
      </w:r>
      <w:r>
        <w:rPr>
          <w:rFonts w:hint="cs"/>
          <w:rtl/>
        </w:rPr>
        <w:t>הגיעו</w:t>
      </w:r>
      <w:r>
        <w:rPr>
          <w:rFonts w:hint="cs"/>
        </w:rPr>
        <w:t xml:space="preserve"> </w:t>
      </w:r>
      <w:r>
        <w:rPr>
          <w:rFonts w:hint="cs"/>
          <w:rtl/>
        </w:rPr>
        <w:t>הצדדים</w:t>
      </w:r>
      <w:r>
        <w:rPr>
          <w:rFonts w:hint="cs"/>
        </w:rPr>
        <w:t xml:space="preserve"> </w:t>
      </w:r>
      <w:r>
        <w:rPr>
          <w:rFonts w:hint="cs"/>
          <w:rtl/>
        </w:rPr>
        <w:t>להסכמה</w:t>
      </w:r>
      <w:r>
        <w:rPr>
          <w:rFonts w:hint="cs"/>
        </w:rPr>
        <w:t xml:space="preserve"> </w:t>
      </w:r>
      <w:r>
        <w:rPr>
          <w:rFonts w:hint="cs"/>
          <w:rtl/>
        </w:rPr>
        <w:t>בדבר</w:t>
      </w:r>
      <w:r>
        <w:rPr>
          <w:rFonts w:hint="cs"/>
        </w:rPr>
        <w:t xml:space="preserve"> </w:t>
      </w:r>
      <w:r>
        <w:rPr>
          <w:rFonts w:hint="cs"/>
          <w:rtl/>
        </w:rPr>
        <w:t>העונש</w:t>
      </w:r>
      <w:r>
        <w:rPr>
          <w:rFonts w:hint="cs"/>
        </w:rPr>
        <w:t xml:space="preserve"> </w:t>
      </w:r>
      <w:r>
        <w:rPr>
          <w:rFonts w:hint="cs"/>
          <w:rtl/>
        </w:rPr>
        <w:t>שיוטל</w:t>
      </w:r>
      <w:r>
        <w:rPr>
          <w:rFonts w:hint="cs"/>
        </w:rPr>
        <w:t xml:space="preserve"> </w:t>
      </w:r>
      <w:r>
        <w:rPr>
          <w:rFonts w:hint="cs"/>
          <w:rtl/>
        </w:rPr>
        <w:t>על</w:t>
      </w:r>
      <w:r>
        <w:rPr>
          <w:rFonts w:hint="cs"/>
        </w:rPr>
        <w:t xml:space="preserve"> </w:t>
      </w:r>
      <w:r>
        <w:rPr>
          <w:rFonts w:hint="cs"/>
          <w:rtl/>
        </w:rPr>
        <w:t>הנאשם, שיעמוד</w:t>
      </w:r>
      <w:r>
        <w:rPr>
          <w:rFonts w:hint="cs"/>
        </w:rPr>
        <w:t xml:space="preserve"> </w:t>
      </w:r>
      <w:r>
        <w:rPr>
          <w:rFonts w:hint="cs"/>
          <w:rtl/>
        </w:rPr>
        <w:t>על</w:t>
      </w:r>
      <w:r>
        <w:rPr>
          <w:rFonts w:hint="cs"/>
        </w:rPr>
        <w:t xml:space="preserve"> </w:t>
      </w:r>
      <w:r>
        <w:rPr>
          <w:rFonts w:hint="cs"/>
          <w:rtl/>
        </w:rPr>
        <w:t>18</w:t>
      </w:r>
      <w:r>
        <w:rPr>
          <w:rFonts w:hint="cs"/>
        </w:rPr>
        <w:t xml:space="preserve"> </w:t>
      </w:r>
      <w:r>
        <w:rPr>
          <w:rFonts w:hint="cs"/>
          <w:rtl/>
        </w:rPr>
        <w:t>חודשי</w:t>
      </w:r>
      <w:r>
        <w:rPr>
          <w:rFonts w:hint="cs"/>
        </w:rPr>
        <w:t xml:space="preserve"> </w:t>
      </w:r>
      <w:r>
        <w:rPr>
          <w:rFonts w:hint="cs"/>
          <w:rtl/>
        </w:rPr>
        <w:t>מאסר</w:t>
      </w:r>
      <w:r>
        <w:rPr>
          <w:rFonts w:hint="cs"/>
        </w:rPr>
        <w:t xml:space="preserve"> </w:t>
      </w:r>
      <w:r>
        <w:rPr>
          <w:rFonts w:hint="cs"/>
          <w:rtl/>
        </w:rPr>
        <w:t>וכן</w:t>
      </w:r>
      <w:r>
        <w:rPr>
          <w:rFonts w:hint="cs"/>
        </w:rPr>
        <w:t xml:space="preserve"> </w:t>
      </w:r>
      <w:r>
        <w:rPr>
          <w:rFonts w:hint="cs"/>
          <w:rtl/>
        </w:rPr>
        <w:t>מאסר</w:t>
      </w:r>
      <w:r>
        <w:rPr>
          <w:rFonts w:hint="cs"/>
        </w:rPr>
        <w:t xml:space="preserve"> </w:t>
      </w:r>
      <w:r>
        <w:rPr>
          <w:rFonts w:hint="cs"/>
          <w:rtl/>
        </w:rPr>
        <w:t>מותנה.</w:t>
      </w:r>
    </w:p>
    <w:p w14:paraId="55B598A7" w14:textId="77777777" w:rsidR="00F9365F" w:rsidRDefault="00F9365F">
      <w:pPr>
        <w:spacing w:line="360" w:lineRule="auto"/>
        <w:jc w:val="both"/>
        <w:rPr>
          <w:noProof/>
        </w:rPr>
      </w:pPr>
    </w:p>
    <w:p w14:paraId="32AE1908" w14:textId="77777777" w:rsidR="00F9365F" w:rsidRDefault="00451230">
      <w:pPr>
        <w:spacing w:line="360" w:lineRule="auto"/>
        <w:ind w:left="720"/>
        <w:jc w:val="both"/>
        <w:rPr>
          <w:rtl/>
        </w:rPr>
      </w:pPr>
      <w:r>
        <w:rPr>
          <w:rFonts w:hint="cs"/>
          <w:rtl/>
        </w:rPr>
        <w:t>ב</w:t>
      </w:r>
      <w:hyperlink r:id="rId28" w:history="1">
        <w:r w:rsidR="005468D7" w:rsidRPr="005468D7">
          <w:rPr>
            <w:rStyle w:val="Hyperlink"/>
            <w:rtl/>
          </w:rPr>
          <w:t>ע"פ 3947/12</w:t>
        </w:r>
      </w:hyperlink>
      <w:r>
        <w:rPr>
          <w:rFonts w:hint="cs"/>
          <w:rtl/>
        </w:rPr>
        <w:t xml:space="preserve"> </w:t>
      </w:r>
      <w:r>
        <w:rPr>
          <w:rFonts w:hint="cs"/>
          <w:b/>
          <w:bCs/>
          <w:rtl/>
        </w:rPr>
        <w:t>שדי סאלח נ' מדינת ישראל</w:t>
      </w:r>
      <w:r>
        <w:rPr>
          <w:rFonts w:hint="cs"/>
          <w:rtl/>
        </w:rPr>
        <w:t xml:space="preserve"> (10.12.12)</w:t>
      </w:r>
      <w:r>
        <w:rPr>
          <w:rFonts w:hint="cs"/>
          <w:b/>
          <w:bCs/>
          <w:rtl/>
        </w:rPr>
        <w:t xml:space="preserve"> -</w:t>
      </w:r>
      <w:r>
        <w:rPr>
          <w:rFonts w:hint="cs"/>
          <w:rtl/>
        </w:rPr>
        <w:t xml:space="preserve"> המערער הורשע בבית המשפט המחוזי בהצתה ובהסגת גבול. על המערער הושתו 14 חודשי מאסר בפועל בצירוף ענישה נלווית. מדובר במערער צעיר, נורמטיבי שזו הייתה מעורבותו הראשונה בפלילים. בית המשפט העליון דחה את הערעור וקבע, כי העונש שהושת עליו מידתי ומאוזן.  </w:t>
      </w:r>
    </w:p>
    <w:p w14:paraId="5C0323FE" w14:textId="77777777" w:rsidR="00F9365F" w:rsidRDefault="00F9365F">
      <w:pPr>
        <w:spacing w:line="360" w:lineRule="auto"/>
        <w:jc w:val="both"/>
        <w:rPr>
          <w:rtl/>
        </w:rPr>
      </w:pPr>
    </w:p>
    <w:p w14:paraId="7F88AA2D" w14:textId="77777777" w:rsidR="00F9365F" w:rsidRDefault="00451230">
      <w:pPr>
        <w:spacing w:line="360" w:lineRule="auto"/>
        <w:ind w:left="720"/>
        <w:jc w:val="both"/>
        <w:rPr>
          <w:rtl/>
        </w:rPr>
      </w:pPr>
      <w:r>
        <w:rPr>
          <w:rFonts w:hint="cs"/>
          <w:rtl/>
        </w:rPr>
        <w:t>ב</w:t>
      </w:r>
      <w:hyperlink r:id="rId29" w:history="1">
        <w:r w:rsidR="005468D7" w:rsidRPr="005468D7">
          <w:rPr>
            <w:rStyle w:val="Hyperlink"/>
            <w:rtl/>
          </w:rPr>
          <w:t>ת"פ 42290-10-10</w:t>
        </w:r>
      </w:hyperlink>
      <w:r>
        <w:rPr>
          <w:rFonts w:hint="cs"/>
          <w:rtl/>
        </w:rPr>
        <w:t xml:space="preserve"> </w:t>
      </w:r>
      <w:r>
        <w:rPr>
          <w:rFonts w:hint="cs"/>
          <w:b/>
          <w:bCs/>
          <w:rtl/>
        </w:rPr>
        <w:t xml:space="preserve">מדינת ישראל נ' רוני מרדכי </w:t>
      </w:r>
      <w:r>
        <w:rPr>
          <w:rFonts w:hint="cs"/>
          <w:rtl/>
        </w:rPr>
        <w:t>(28.05.12)</w:t>
      </w:r>
      <w:r>
        <w:rPr>
          <w:rFonts w:hint="cs"/>
          <w:b/>
          <w:bCs/>
          <w:rtl/>
        </w:rPr>
        <w:t>-</w:t>
      </w:r>
      <w:r>
        <w:rPr>
          <w:rFonts w:hint="cs"/>
          <w:rtl/>
        </w:rPr>
        <w:t xml:space="preserve"> הורשע  הנאשם </w:t>
      </w:r>
      <w:r>
        <w:rPr>
          <w:rFonts w:hint="cs"/>
        </w:rPr>
        <w:t xml:space="preserve"> </w:t>
      </w:r>
      <w:r>
        <w:rPr>
          <w:rFonts w:hint="cs"/>
          <w:rtl/>
        </w:rPr>
        <w:t>על</w:t>
      </w:r>
      <w:r>
        <w:t>-</w:t>
      </w:r>
      <w:r>
        <w:rPr>
          <w:rFonts w:hint="cs"/>
          <w:rtl/>
        </w:rPr>
        <w:t>פי</w:t>
      </w:r>
      <w:r>
        <w:rPr>
          <w:rFonts w:hint="cs"/>
        </w:rPr>
        <w:t xml:space="preserve"> </w:t>
      </w:r>
      <w:r>
        <w:rPr>
          <w:rFonts w:hint="cs"/>
          <w:rtl/>
        </w:rPr>
        <w:t>הודאתו</w:t>
      </w:r>
      <w:r>
        <w:rPr>
          <w:rFonts w:hint="cs"/>
        </w:rPr>
        <w:t xml:space="preserve"> </w:t>
      </w:r>
      <w:r>
        <w:rPr>
          <w:rFonts w:hint="cs"/>
          <w:rtl/>
        </w:rPr>
        <w:t>בעובדות</w:t>
      </w:r>
      <w:r>
        <w:rPr>
          <w:rFonts w:hint="cs"/>
        </w:rPr>
        <w:t xml:space="preserve"> </w:t>
      </w:r>
      <w:r>
        <w:rPr>
          <w:rFonts w:hint="cs"/>
          <w:rtl/>
        </w:rPr>
        <w:t>כתב</w:t>
      </w:r>
      <w:r>
        <w:rPr>
          <w:rFonts w:hint="cs"/>
        </w:rPr>
        <w:t xml:space="preserve"> </w:t>
      </w:r>
      <w:r>
        <w:rPr>
          <w:rFonts w:hint="cs"/>
          <w:rtl/>
        </w:rPr>
        <w:t>האישום</w:t>
      </w:r>
      <w:r>
        <w:rPr>
          <w:rFonts w:hint="cs"/>
        </w:rPr>
        <w:t xml:space="preserve"> </w:t>
      </w:r>
      <w:r>
        <w:rPr>
          <w:rFonts w:hint="cs"/>
          <w:rtl/>
        </w:rPr>
        <w:t>המתוקן</w:t>
      </w:r>
      <w:r>
        <w:rPr>
          <w:rFonts w:hint="cs"/>
        </w:rPr>
        <w:t xml:space="preserve"> </w:t>
      </w:r>
      <w:r>
        <w:rPr>
          <w:rFonts w:hint="cs"/>
          <w:rtl/>
        </w:rPr>
        <w:t>בעבירות</w:t>
      </w:r>
      <w:r>
        <w:rPr>
          <w:rFonts w:hint="cs"/>
        </w:rPr>
        <w:t xml:space="preserve"> </w:t>
      </w:r>
      <w:r>
        <w:rPr>
          <w:rFonts w:hint="cs"/>
          <w:rtl/>
        </w:rPr>
        <w:t>של</w:t>
      </w:r>
      <w:r>
        <w:rPr>
          <w:rFonts w:hint="cs"/>
        </w:rPr>
        <w:t xml:space="preserve"> </w:t>
      </w:r>
      <w:r>
        <w:rPr>
          <w:rFonts w:hint="cs"/>
          <w:rtl/>
        </w:rPr>
        <w:t>הצתה. על</w:t>
      </w:r>
      <w:r>
        <w:t>-</w:t>
      </w:r>
      <w:r>
        <w:rPr>
          <w:rFonts w:hint="cs"/>
          <w:rtl/>
        </w:rPr>
        <w:t>פי</w:t>
      </w:r>
      <w:r>
        <w:rPr>
          <w:rFonts w:hint="cs"/>
        </w:rPr>
        <w:t xml:space="preserve"> </w:t>
      </w:r>
      <w:r>
        <w:rPr>
          <w:rFonts w:hint="cs"/>
          <w:rtl/>
        </w:rPr>
        <w:t>המפורט</w:t>
      </w:r>
      <w:r>
        <w:rPr>
          <w:rFonts w:hint="cs"/>
        </w:rPr>
        <w:t xml:space="preserve"> </w:t>
      </w:r>
      <w:r>
        <w:rPr>
          <w:rFonts w:hint="cs"/>
          <w:rtl/>
        </w:rPr>
        <w:t>בכתב</w:t>
      </w:r>
      <w:r>
        <w:rPr>
          <w:rFonts w:hint="cs"/>
        </w:rPr>
        <w:t xml:space="preserve"> </w:t>
      </w:r>
      <w:r>
        <w:rPr>
          <w:rFonts w:hint="cs"/>
          <w:rtl/>
        </w:rPr>
        <w:t>האישום, ביום 13.07.10 בשעות</w:t>
      </w:r>
      <w:r>
        <w:rPr>
          <w:rFonts w:hint="cs"/>
        </w:rPr>
        <w:t xml:space="preserve"> </w:t>
      </w:r>
      <w:r>
        <w:rPr>
          <w:rFonts w:hint="cs"/>
          <w:rtl/>
        </w:rPr>
        <w:t>הערב,</w:t>
      </w:r>
      <w:r>
        <w:rPr>
          <w:rFonts w:hint="cs"/>
        </w:rPr>
        <w:t xml:space="preserve"> </w:t>
      </w:r>
      <w:r>
        <w:rPr>
          <w:rFonts w:hint="cs"/>
          <w:rtl/>
        </w:rPr>
        <w:t>הצית</w:t>
      </w:r>
      <w:r>
        <w:rPr>
          <w:rFonts w:hint="cs"/>
        </w:rPr>
        <w:t xml:space="preserve"> </w:t>
      </w:r>
      <w:r>
        <w:rPr>
          <w:rFonts w:hint="cs"/>
          <w:rtl/>
        </w:rPr>
        <w:t>הנאשם</w:t>
      </w:r>
      <w:r>
        <w:rPr>
          <w:rFonts w:hint="cs"/>
        </w:rPr>
        <w:t xml:space="preserve"> </w:t>
      </w:r>
      <w:r>
        <w:rPr>
          <w:rFonts w:hint="cs"/>
          <w:rtl/>
        </w:rPr>
        <w:t>את</w:t>
      </w:r>
      <w:r>
        <w:rPr>
          <w:rFonts w:hint="cs"/>
        </w:rPr>
        <w:t xml:space="preserve"> </w:t>
      </w:r>
      <w:r>
        <w:rPr>
          <w:rFonts w:hint="cs"/>
          <w:rtl/>
        </w:rPr>
        <w:t>הדירה</w:t>
      </w:r>
      <w:r>
        <w:rPr>
          <w:rFonts w:hint="cs"/>
        </w:rPr>
        <w:t xml:space="preserve"> </w:t>
      </w:r>
      <w:r>
        <w:rPr>
          <w:rFonts w:hint="cs"/>
          <w:rtl/>
        </w:rPr>
        <w:t>בה</w:t>
      </w:r>
      <w:r>
        <w:rPr>
          <w:rFonts w:hint="cs"/>
        </w:rPr>
        <w:t xml:space="preserve"> </w:t>
      </w:r>
      <w:r>
        <w:rPr>
          <w:rFonts w:hint="cs"/>
          <w:rtl/>
        </w:rPr>
        <w:t>התגורר,</w:t>
      </w:r>
      <w:r>
        <w:rPr>
          <w:rFonts w:hint="cs"/>
        </w:rPr>
        <w:t xml:space="preserve"> </w:t>
      </w:r>
      <w:r>
        <w:rPr>
          <w:rFonts w:hint="cs"/>
          <w:rtl/>
        </w:rPr>
        <w:t>השייכת</w:t>
      </w:r>
      <w:r>
        <w:rPr>
          <w:rFonts w:hint="cs"/>
        </w:rPr>
        <w:t xml:space="preserve"> </w:t>
      </w:r>
      <w:r>
        <w:rPr>
          <w:rFonts w:hint="cs"/>
          <w:rtl/>
        </w:rPr>
        <w:t>לחברת "עמידר"</w:t>
      </w:r>
      <w:r>
        <w:rPr>
          <w:rFonts w:hint="cs"/>
        </w:rPr>
        <w:t xml:space="preserve"> </w:t>
      </w:r>
      <w:r>
        <w:rPr>
          <w:rFonts w:hint="cs"/>
          <w:rtl/>
        </w:rPr>
        <w:t>וזאת</w:t>
      </w:r>
      <w:r>
        <w:rPr>
          <w:rFonts w:hint="cs"/>
        </w:rPr>
        <w:t xml:space="preserve"> </w:t>
      </w:r>
      <w:r>
        <w:rPr>
          <w:rFonts w:hint="cs"/>
          <w:rtl/>
        </w:rPr>
        <w:t>באמצעות</w:t>
      </w:r>
      <w:r>
        <w:rPr>
          <w:rFonts w:hint="cs"/>
        </w:rPr>
        <w:t xml:space="preserve"> </w:t>
      </w:r>
      <w:r>
        <w:rPr>
          <w:rFonts w:hint="cs"/>
          <w:rtl/>
        </w:rPr>
        <w:t>שפיכת</w:t>
      </w:r>
      <w:r>
        <w:rPr>
          <w:rFonts w:hint="cs"/>
        </w:rPr>
        <w:t xml:space="preserve"> </w:t>
      </w:r>
      <w:r>
        <w:rPr>
          <w:rFonts w:hint="cs"/>
          <w:rtl/>
        </w:rPr>
        <w:t>טרפנטין</w:t>
      </w:r>
      <w:r>
        <w:rPr>
          <w:rFonts w:hint="cs"/>
        </w:rPr>
        <w:t xml:space="preserve"> </w:t>
      </w:r>
      <w:r>
        <w:rPr>
          <w:rFonts w:hint="cs"/>
          <w:rtl/>
        </w:rPr>
        <w:t>במספר</w:t>
      </w:r>
      <w:r>
        <w:rPr>
          <w:rFonts w:hint="cs"/>
        </w:rPr>
        <w:t xml:space="preserve"> </w:t>
      </w:r>
      <w:r>
        <w:rPr>
          <w:rFonts w:hint="cs"/>
          <w:rtl/>
        </w:rPr>
        <w:t>מוקדים</w:t>
      </w:r>
      <w:r>
        <w:rPr>
          <w:rFonts w:hint="cs"/>
        </w:rPr>
        <w:t xml:space="preserve"> </w:t>
      </w:r>
      <w:r>
        <w:rPr>
          <w:rFonts w:hint="cs"/>
          <w:rtl/>
        </w:rPr>
        <w:t>בדירה</w:t>
      </w:r>
      <w:r>
        <w:rPr>
          <w:rFonts w:hint="cs"/>
        </w:rPr>
        <w:t xml:space="preserve"> </w:t>
      </w:r>
      <w:r>
        <w:rPr>
          <w:rFonts w:hint="cs"/>
          <w:rtl/>
        </w:rPr>
        <w:t>ושימוש</w:t>
      </w:r>
      <w:r>
        <w:rPr>
          <w:rFonts w:hint="cs"/>
        </w:rPr>
        <w:t xml:space="preserve"> </w:t>
      </w:r>
      <w:r>
        <w:rPr>
          <w:rFonts w:hint="cs"/>
          <w:rtl/>
        </w:rPr>
        <w:t>בגפרורים.</w:t>
      </w:r>
      <w:r>
        <w:rPr>
          <w:rFonts w:hint="cs"/>
        </w:rPr>
        <w:t xml:space="preserve"> </w:t>
      </w:r>
      <w:r>
        <w:rPr>
          <w:rFonts w:hint="cs"/>
          <w:rtl/>
        </w:rPr>
        <w:t>כתוצאה</w:t>
      </w:r>
      <w:r>
        <w:rPr>
          <w:rFonts w:hint="cs"/>
        </w:rPr>
        <w:t xml:space="preserve"> </w:t>
      </w:r>
      <w:r>
        <w:rPr>
          <w:rFonts w:hint="cs"/>
          <w:rtl/>
        </w:rPr>
        <w:t>מן</w:t>
      </w:r>
      <w:r>
        <w:rPr>
          <w:rFonts w:hint="cs"/>
        </w:rPr>
        <w:t xml:space="preserve"> </w:t>
      </w:r>
      <w:r>
        <w:rPr>
          <w:rFonts w:hint="cs"/>
          <w:rtl/>
        </w:rPr>
        <w:t>ההצתה</w:t>
      </w:r>
      <w:r>
        <w:rPr>
          <w:rFonts w:hint="cs"/>
        </w:rPr>
        <w:t xml:space="preserve"> </w:t>
      </w:r>
      <w:r>
        <w:rPr>
          <w:rFonts w:hint="cs"/>
          <w:rtl/>
        </w:rPr>
        <w:t>נגרמו</w:t>
      </w:r>
      <w:r>
        <w:rPr>
          <w:rFonts w:hint="cs"/>
        </w:rPr>
        <w:t xml:space="preserve"> </w:t>
      </w:r>
      <w:r>
        <w:rPr>
          <w:rFonts w:hint="cs"/>
          <w:rtl/>
        </w:rPr>
        <w:t>נזקים</w:t>
      </w:r>
      <w:r>
        <w:rPr>
          <w:rFonts w:hint="cs"/>
        </w:rPr>
        <w:t xml:space="preserve"> </w:t>
      </w:r>
      <w:r>
        <w:rPr>
          <w:rFonts w:hint="cs"/>
          <w:rtl/>
        </w:rPr>
        <w:t>כבדים</w:t>
      </w:r>
      <w:r>
        <w:rPr>
          <w:rFonts w:hint="cs"/>
        </w:rPr>
        <w:t xml:space="preserve"> </w:t>
      </w:r>
      <w:r>
        <w:rPr>
          <w:rFonts w:hint="cs"/>
          <w:rtl/>
        </w:rPr>
        <w:t>לדירה</w:t>
      </w:r>
      <w:r>
        <w:rPr>
          <w:rFonts w:hint="cs"/>
        </w:rPr>
        <w:t xml:space="preserve"> </w:t>
      </w:r>
      <w:r>
        <w:rPr>
          <w:rFonts w:hint="cs"/>
          <w:rtl/>
        </w:rPr>
        <w:t>ולבית</w:t>
      </w:r>
      <w:r>
        <w:rPr>
          <w:rFonts w:hint="cs"/>
        </w:rPr>
        <w:t xml:space="preserve"> </w:t>
      </w:r>
      <w:r>
        <w:rPr>
          <w:rFonts w:hint="cs"/>
          <w:rtl/>
        </w:rPr>
        <w:t>המשותף</w:t>
      </w:r>
      <w:r>
        <w:rPr>
          <w:rFonts w:hint="cs"/>
        </w:rPr>
        <w:t xml:space="preserve"> </w:t>
      </w:r>
      <w:r>
        <w:rPr>
          <w:rFonts w:hint="cs"/>
          <w:rtl/>
        </w:rPr>
        <w:t>בזמן</w:t>
      </w:r>
      <w:r>
        <w:rPr>
          <w:rFonts w:hint="cs"/>
        </w:rPr>
        <w:t xml:space="preserve"> </w:t>
      </w:r>
      <w:r>
        <w:rPr>
          <w:rFonts w:hint="cs"/>
          <w:rtl/>
        </w:rPr>
        <w:t>ההצתה</w:t>
      </w:r>
      <w:r>
        <w:rPr>
          <w:rFonts w:hint="cs"/>
        </w:rPr>
        <w:t xml:space="preserve"> </w:t>
      </w:r>
      <w:r>
        <w:rPr>
          <w:rFonts w:hint="cs"/>
          <w:rtl/>
        </w:rPr>
        <w:t>שהו</w:t>
      </w:r>
      <w:r>
        <w:rPr>
          <w:rFonts w:hint="cs"/>
        </w:rPr>
        <w:t xml:space="preserve"> </w:t>
      </w:r>
      <w:r>
        <w:rPr>
          <w:rFonts w:hint="cs"/>
          <w:rtl/>
        </w:rPr>
        <w:t>בבניין</w:t>
      </w:r>
      <w:r>
        <w:rPr>
          <w:rFonts w:hint="cs"/>
        </w:rPr>
        <w:t xml:space="preserve"> </w:t>
      </w:r>
      <w:r>
        <w:rPr>
          <w:rFonts w:hint="cs"/>
          <w:rtl/>
        </w:rPr>
        <w:t>דיירים</w:t>
      </w:r>
      <w:r>
        <w:rPr>
          <w:rFonts w:hint="cs"/>
        </w:rPr>
        <w:t xml:space="preserve"> </w:t>
      </w:r>
      <w:r>
        <w:rPr>
          <w:rFonts w:hint="cs"/>
          <w:rtl/>
        </w:rPr>
        <w:t>נוספים. לנאשם שם עבר</w:t>
      </w:r>
      <w:r>
        <w:rPr>
          <w:rFonts w:hint="cs"/>
        </w:rPr>
        <w:t xml:space="preserve"> </w:t>
      </w:r>
      <w:r>
        <w:rPr>
          <w:rFonts w:hint="cs"/>
          <w:rtl/>
        </w:rPr>
        <w:t>הפלילי</w:t>
      </w:r>
      <w:r>
        <w:rPr>
          <w:rFonts w:hint="cs"/>
        </w:rPr>
        <w:t xml:space="preserve"> </w:t>
      </w:r>
      <w:r>
        <w:rPr>
          <w:rFonts w:hint="cs"/>
          <w:rtl/>
        </w:rPr>
        <w:t>מכביד</w:t>
      </w:r>
      <w:r>
        <w:rPr>
          <w:rFonts w:hint="cs"/>
        </w:rPr>
        <w:t xml:space="preserve"> </w:t>
      </w:r>
      <w:r>
        <w:rPr>
          <w:rFonts w:hint="cs"/>
          <w:rtl/>
        </w:rPr>
        <w:t>עד</w:t>
      </w:r>
      <w:r>
        <w:rPr>
          <w:rFonts w:hint="cs"/>
        </w:rPr>
        <w:t xml:space="preserve"> </w:t>
      </w:r>
      <w:r>
        <w:rPr>
          <w:rFonts w:hint="cs"/>
          <w:rtl/>
        </w:rPr>
        <w:t>מאוד והוא סובל מהתמכרות</w:t>
      </w:r>
      <w:r>
        <w:rPr>
          <w:rFonts w:hint="cs"/>
        </w:rPr>
        <w:t xml:space="preserve"> </w:t>
      </w:r>
      <w:r>
        <w:rPr>
          <w:rFonts w:hint="cs"/>
          <w:rtl/>
        </w:rPr>
        <w:t>קשה</w:t>
      </w:r>
      <w:r>
        <w:rPr>
          <w:rFonts w:hint="cs"/>
        </w:rPr>
        <w:t xml:space="preserve"> </w:t>
      </w:r>
      <w:r>
        <w:rPr>
          <w:rFonts w:hint="cs"/>
          <w:rtl/>
        </w:rPr>
        <w:t xml:space="preserve">לאלכוהול. על הנאשם </w:t>
      </w:r>
      <w:r>
        <w:rPr>
          <w:rFonts w:hint="cs"/>
        </w:rPr>
        <w:t xml:space="preserve"> </w:t>
      </w:r>
      <w:r>
        <w:rPr>
          <w:rFonts w:hint="cs"/>
          <w:rtl/>
        </w:rPr>
        <w:t>נגזרו 18 חודשי מאסר בפועל.</w:t>
      </w:r>
    </w:p>
    <w:p w14:paraId="38F5778F" w14:textId="77777777" w:rsidR="00F9365F" w:rsidRDefault="00F9365F">
      <w:pPr>
        <w:spacing w:line="360" w:lineRule="auto"/>
        <w:jc w:val="both"/>
        <w:rPr>
          <w:rtl/>
        </w:rPr>
      </w:pPr>
    </w:p>
    <w:p w14:paraId="3BF8827D" w14:textId="77777777" w:rsidR="00F9365F" w:rsidRDefault="00451230">
      <w:pPr>
        <w:spacing w:line="360" w:lineRule="auto"/>
        <w:ind w:left="720"/>
        <w:jc w:val="both"/>
        <w:rPr>
          <w:rtl/>
        </w:rPr>
      </w:pPr>
      <w:r>
        <w:rPr>
          <w:rFonts w:hint="cs"/>
          <w:rtl/>
        </w:rPr>
        <w:t>ב</w:t>
      </w:r>
      <w:hyperlink r:id="rId30" w:history="1">
        <w:r w:rsidR="005468D7" w:rsidRPr="005468D7">
          <w:rPr>
            <w:rStyle w:val="Hyperlink"/>
            <w:rtl/>
          </w:rPr>
          <w:t>ת"פ 15315-04-12</w:t>
        </w:r>
      </w:hyperlink>
      <w:r>
        <w:rPr>
          <w:rFonts w:hint="cs"/>
          <w:rtl/>
        </w:rPr>
        <w:t xml:space="preserve"> </w:t>
      </w:r>
      <w:r>
        <w:rPr>
          <w:rFonts w:hint="cs"/>
          <w:b/>
          <w:bCs/>
          <w:rtl/>
        </w:rPr>
        <w:t>מדינת ישראל נ' צחי אלוק</w:t>
      </w:r>
      <w:r>
        <w:rPr>
          <w:rFonts w:hint="cs"/>
          <w:rtl/>
        </w:rPr>
        <w:t xml:space="preserve"> (03.06.12)</w:t>
      </w:r>
      <w:r>
        <w:rPr>
          <w:rFonts w:hint="cs"/>
          <w:b/>
          <w:bCs/>
          <w:rtl/>
        </w:rPr>
        <w:t>-</w:t>
      </w:r>
      <w:r>
        <w:rPr>
          <w:rFonts w:hint="cs"/>
          <w:rtl/>
        </w:rPr>
        <w:t xml:space="preserve"> הורשע</w:t>
      </w:r>
      <w:r>
        <w:rPr>
          <w:rFonts w:hint="cs"/>
        </w:rPr>
        <w:t xml:space="preserve"> </w:t>
      </w:r>
      <w:r>
        <w:rPr>
          <w:rFonts w:hint="cs"/>
          <w:rtl/>
        </w:rPr>
        <w:t>הנאשם</w:t>
      </w:r>
      <w:r>
        <w:rPr>
          <w:rFonts w:hint="cs"/>
        </w:rPr>
        <w:t xml:space="preserve"> </w:t>
      </w:r>
      <w:r>
        <w:rPr>
          <w:rFonts w:hint="cs"/>
          <w:rtl/>
        </w:rPr>
        <w:t>על</w:t>
      </w:r>
      <w:r>
        <w:t>-</w:t>
      </w:r>
      <w:r>
        <w:rPr>
          <w:rFonts w:hint="cs"/>
          <w:rtl/>
        </w:rPr>
        <w:t>פי</w:t>
      </w:r>
      <w:r>
        <w:rPr>
          <w:rFonts w:hint="cs"/>
        </w:rPr>
        <w:t xml:space="preserve"> </w:t>
      </w:r>
      <w:r>
        <w:rPr>
          <w:rFonts w:hint="cs"/>
          <w:rtl/>
        </w:rPr>
        <w:t>הודאתו</w:t>
      </w:r>
      <w:r>
        <w:rPr>
          <w:rFonts w:hint="cs"/>
        </w:rPr>
        <w:t xml:space="preserve"> </w:t>
      </w:r>
      <w:r>
        <w:rPr>
          <w:rFonts w:hint="cs"/>
          <w:rtl/>
        </w:rPr>
        <w:t>ובמסגרת הסדר טיעון</w:t>
      </w:r>
      <w:r>
        <w:rPr>
          <w:rFonts w:hint="cs"/>
        </w:rPr>
        <w:t xml:space="preserve"> </w:t>
      </w:r>
      <w:r>
        <w:rPr>
          <w:rFonts w:hint="cs"/>
          <w:rtl/>
        </w:rPr>
        <w:t>בעבירות</w:t>
      </w:r>
      <w:r>
        <w:rPr>
          <w:rFonts w:hint="cs"/>
        </w:rPr>
        <w:t xml:space="preserve"> </w:t>
      </w:r>
      <w:r>
        <w:rPr>
          <w:rFonts w:hint="cs"/>
          <w:rtl/>
        </w:rPr>
        <w:t>של</w:t>
      </w:r>
      <w:r>
        <w:rPr>
          <w:rFonts w:hint="cs"/>
        </w:rPr>
        <w:t xml:space="preserve"> </w:t>
      </w:r>
      <w:r>
        <w:rPr>
          <w:rFonts w:hint="cs"/>
          <w:rtl/>
        </w:rPr>
        <w:t>הצתה</w:t>
      </w:r>
      <w:r>
        <w:rPr>
          <w:rFonts w:hint="cs"/>
        </w:rPr>
        <w:t xml:space="preserve"> </w:t>
      </w:r>
      <w:r>
        <w:rPr>
          <w:rFonts w:hint="cs"/>
          <w:rtl/>
        </w:rPr>
        <w:t xml:space="preserve">ואיומים. </w:t>
      </w:r>
    </w:p>
    <w:p w14:paraId="47B2D192" w14:textId="77777777" w:rsidR="00F9365F" w:rsidRDefault="00451230">
      <w:pPr>
        <w:spacing w:line="360" w:lineRule="auto"/>
        <w:ind w:left="720"/>
        <w:jc w:val="both"/>
        <w:rPr>
          <w:rtl/>
        </w:rPr>
      </w:pPr>
      <w:r>
        <w:rPr>
          <w:rFonts w:hint="cs"/>
          <w:rtl/>
        </w:rPr>
        <w:t xml:space="preserve">על-פי המפורט בכתב האישום, הנאשם ופאני אלוק היו בעבר בני זוג והתגוררו עם ילדיהם הקטינים בדירה השייכת לחברת "עמידר" בחצור הגלילית. עובר לביצוע העבירות עלו יחסיהם של השניים על שרטון, ומזה מספר שנים שהם נמצאים בהליכי גירושין ובסכסוך מתמשך, בין היתר לגבי נושא חלוקת הרכוש. ילדיהם של השניים הוצאו למשפחות אומנה. </w:t>
      </w:r>
    </w:p>
    <w:p w14:paraId="321EB7EA" w14:textId="77777777" w:rsidR="00F9365F" w:rsidRDefault="00451230">
      <w:pPr>
        <w:spacing w:line="360" w:lineRule="auto"/>
        <w:ind w:left="720"/>
        <w:jc w:val="both"/>
        <w:rPr>
          <w:noProof/>
          <w:rtl/>
        </w:rPr>
      </w:pPr>
      <w:r>
        <w:rPr>
          <w:rFonts w:hint="cs"/>
          <w:rtl/>
        </w:rPr>
        <w:t xml:space="preserve">ביום 09.01.12 הוציא בית המשפט לענייני משפחה </w:t>
      </w:r>
      <w:r w:rsidRPr="00224925">
        <w:rPr>
          <w:rFonts w:hint="eastAsia"/>
          <w:color w:val="000000"/>
          <w:rtl/>
        </w:rPr>
        <w:t>צו</w:t>
      </w:r>
      <w:r w:rsidRPr="00224925">
        <w:rPr>
          <w:color w:val="000000"/>
          <w:rtl/>
        </w:rPr>
        <w:t xml:space="preserve"> הגנה</w:t>
      </w:r>
      <w:r>
        <w:rPr>
          <w:rFonts w:hint="cs"/>
          <w:rtl/>
        </w:rPr>
        <w:t xml:space="preserve"> לבקשתה של פאני, ובו נאסר על הנאשם להיכנס אל הדירה או להתקרב לרדיוס של </w:t>
      </w:r>
      <w:smartTag w:uri="urn:schemas-microsoft-com:office:smarttags" w:element="metricconverter">
        <w:smartTagPr>
          <w:attr w:name="ProductID" w:val="200 מטר"/>
        </w:smartTagPr>
        <w:r>
          <w:rPr>
            <w:rFonts w:hint="cs"/>
            <w:rtl/>
          </w:rPr>
          <w:t>200 מטר</w:t>
        </w:r>
      </w:smartTag>
      <w:r>
        <w:rPr>
          <w:rFonts w:hint="cs"/>
          <w:rtl/>
        </w:rPr>
        <w:t xml:space="preserve"> ממנה, וזאת למשך שלושה חודשים.  ביום 23.03.12 התקשר הנאשם אל פאני ואיים עליה באמרו "שרק המוות יפריד בינינו". ביום 27.03.12, לאחר שגמר אומר לפגוע בפאני וברכושה, פרץ הנאשם אל הדירה והחליף בה את המנעול. ביום 28.03.12, סמוך לשעה 10:30 בבוקר, שב הנאשם אל הדירה הנעולה, פתח את דלת הכניסה באמצעות מפתח שהיה ברשותו, שפך חומר דליק בשלושה מוקדים, הצית בה אש ונמלט מן המקום. כתוצאה מכך נשרפה תכולת הדירה כליל. על הנאשם אשר לו עבר פלילי מכביד נגזרו 24 חודשי מאסר בפועל.</w:t>
      </w:r>
    </w:p>
    <w:p w14:paraId="5F8258BC" w14:textId="77777777" w:rsidR="00F9365F" w:rsidRDefault="00451230">
      <w:pPr>
        <w:spacing w:line="360" w:lineRule="auto"/>
        <w:ind w:left="566"/>
        <w:jc w:val="both"/>
        <w:rPr>
          <w:rtl/>
        </w:rPr>
      </w:pPr>
      <w:r>
        <w:rPr>
          <w:rFonts w:hint="cs"/>
          <w:rtl/>
        </w:rPr>
        <w:tab/>
      </w:r>
    </w:p>
    <w:p w14:paraId="2692FE23" w14:textId="77777777" w:rsidR="00F9365F" w:rsidRDefault="00451230">
      <w:pPr>
        <w:spacing w:line="360" w:lineRule="auto"/>
        <w:ind w:left="566" w:hanging="566"/>
        <w:jc w:val="both"/>
        <w:rPr>
          <w:rFonts w:eastAsia="Times New Roman"/>
          <w:noProof/>
          <w:rtl/>
        </w:rPr>
      </w:pPr>
      <w:r>
        <w:rPr>
          <w:rFonts w:hint="cs"/>
          <w:rtl/>
        </w:rPr>
        <w:t>10.</w:t>
      </w:r>
      <w:r>
        <w:rPr>
          <w:rFonts w:hint="cs"/>
          <w:rtl/>
        </w:rPr>
        <w:tab/>
        <w:t>לאחר עיון בפסק הדין אליו הפנתה אותי ב"כ המאשימה (</w:t>
      </w:r>
      <w:hyperlink r:id="rId31" w:history="1">
        <w:r w:rsidR="009C61CE" w:rsidRPr="009C61CE">
          <w:rPr>
            <w:color w:val="0000FF"/>
            <w:u w:val="single"/>
            <w:rtl/>
          </w:rPr>
          <w:t xml:space="preserve">ע"פ 4006/12 </w:t>
        </w:r>
      </w:hyperlink>
      <w:r>
        <w:rPr>
          <w:rFonts w:hint="cs"/>
          <w:rtl/>
        </w:rPr>
        <w:t xml:space="preserve"> </w:t>
      </w:r>
      <w:r>
        <w:rPr>
          <w:rFonts w:hint="cs"/>
          <w:b/>
          <w:bCs/>
          <w:rtl/>
        </w:rPr>
        <w:t>אריק מלאך נ'</w:t>
      </w:r>
      <w:r>
        <w:rPr>
          <w:rFonts w:hint="cs"/>
          <w:rtl/>
        </w:rPr>
        <w:t xml:space="preserve"> </w:t>
      </w:r>
      <w:r>
        <w:rPr>
          <w:rFonts w:hint="cs"/>
          <w:b/>
          <w:bCs/>
          <w:rtl/>
        </w:rPr>
        <w:t>מדינת ישראל</w:t>
      </w:r>
      <w:r>
        <w:rPr>
          <w:rFonts w:hint="cs"/>
          <w:rtl/>
        </w:rPr>
        <w:t>), סבורני, כי מדובר במקרה חמור הרבה יותר מנסיבות המקרה דנן. שכן שם, דובר במי שבחר לנהל הוכחות, בעל עבר פלילי מכביד אשר ביצע את העבירה שעה שתלוי ועומד נגדו עונש מאסר מותנה, בר הפעלה, לתקופה של שנתיים. אם לא די בכך, הרי שהמערער ביצע את מעשה ההצתה כארבעה חודשים בלבד לאחר שסיים לרצות עונש מאסר של עשר שנים, לא זו אף זאת, במקרה שם מדובר היה במי שהצית בית-עסק של אחר.</w:t>
      </w:r>
    </w:p>
    <w:p w14:paraId="702C5662" w14:textId="77777777" w:rsidR="00F9365F" w:rsidRDefault="00F9365F">
      <w:pPr>
        <w:spacing w:line="360" w:lineRule="auto"/>
        <w:ind w:left="26"/>
        <w:jc w:val="both"/>
        <w:rPr>
          <w:b/>
          <w:bCs/>
          <w:u w:val="single"/>
        </w:rPr>
      </w:pPr>
    </w:p>
    <w:p w14:paraId="6FFAED5A" w14:textId="77777777" w:rsidR="00F9365F" w:rsidRDefault="00451230">
      <w:pPr>
        <w:spacing w:line="360" w:lineRule="auto"/>
        <w:ind w:left="26" w:firstLine="540"/>
        <w:jc w:val="both"/>
        <w:rPr>
          <w:rtl/>
        </w:rPr>
      </w:pPr>
      <w:r>
        <w:rPr>
          <w:rFonts w:hint="cs"/>
          <w:b/>
          <w:bCs/>
          <w:u w:val="single"/>
          <w:rtl/>
        </w:rPr>
        <w:t xml:space="preserve">נסיבות הקשורות בביצוע העבירות – </w:t>
      </w:r>
      <w:hyperlink r:id="rId32" w:history="1">
        <w:r w:rsidR="009C61CE" w:rsidRPr="009C61CE">
          <w:rPr>
            <w:b/>
            <w:bCs/>
            <w:color w:val="0000FF"/>
            <w:u w:val="single"/>
            <w:rtl/>
          </w:rPr>
          <w:t>סעיף 40ט'</w:t>
        </w:r>
      </w:hyperlink>
      <w:r>
        <w:rPr>
          <w:rFonts w:hint="cs"/>
          <w:b/>
          <w:bCs/>
          <w:u w:val="single"/>
          <w:rtl/>
        </w:rPr>
        <w:t xml:space="preserve"> ל</w:t>
      </w:r>
      <w:hyperlink r:id="rId33" w:history="1">
        <w:r w:rsidR="005468D7" w:rsidRPr="005468D7">
          <w:rPr>
            <w:rStyle w:val="Hyperlink"/>
            <w:rFonts w:hint="eastAsia"/>
            <w:b/>
            <w:bCs/>
            <w:rtl/>
          </w:rPr>
          <w:t>חוק</w:t>
        </w:r>
        <w:r w:rsidR="005468D7" w:rsidRPr="005468D7">
          <w:rPr>
            <w:rStyle w:val="Hyperlink"/>
            <w:b/>
            <w:bCs/>
            <w:rtl/>
          </w:rPr>
          <w:t xml:space="preserve"> העונשין</w:t>
        </w:r>
      </w:hyperlink>
      <w:r>
        <w:rPr>
          <w:rFonts w:hint="cs"/>
          <w:b/>
          <w:bCs/>
          <w:u w:val="single"/>
          <w:rtl/>
        </w:rPr>
        <w:t xml:space="preserve"> </w:t>
      </w:r>
    </w:p>
    <w:p w14:paraId="08708A5D" w14:textId="77777777" w:rsidR="00F9365F" w:rsidRDefault="00F9365F">
      <w:pPr>
        <w:spacing w:line="360" w:lineRule="auto"/>
        <w:jc w:val="both"/>
        <w:rPr>
          <w:b/>
          <w:bCs/>
          <w:rtl/>
        </w:rPr>
      </w:pPr>
    </w:p>
    <w:p w14:paraId="6078BE37" w14:textId="77777777" w:rsidR="00F9365F" w:rsidRDefault="00451230">
      <w:pPr>
        <w:spacing w:line="360" w:lineRule="auto"/>
        <w:ind w:left="566" w:hanging="566"/>
        <w:jc w:val="both"/>
        <w:rPr>
          <w:rtl/>
        </w:rPr>
      </w:pPr>
      <w:r>
        <w:rPr>
          <w:rFonts w:hint="cs"/>
          <w:rtl/>
        </w:rPr>
        <w:t>11.</w:t>
      </w:r>
      <w:r>
        <w:rPr>
          <w:rFonts w:hint="cs"/>
          <w:rtl/>
        </w:rPr>
        <w:tab/>
        <w:t>בנסיבות המקרה דנן לא ניתן לקבוע כי מדובר בעבירות שבוצעו תוך תכנון מוקדם, שכן, הנאשם היה תחת השפעת אלכוהול.</w:t>
      </w:r>
    </w:p>
    <w:p w14:paraId="1326392C" w14:textId="77777777" w:rsidR="00F9365F" w:rsidRDefault="00F9365F">
      <w:pPr>
        <w:spacing w:line="360" w:lineRule="auto"/>
        <w:ind w:left="566" w:hanging="566"/>
        <w:jc w:val="both"/>
        <w:rPr>
          <w:rtl/>
        </w:rPr>
      </w:pPr>
    </w:p>
    <w:p w14:paraId="3C6C03C2" w14:textId="77777777" w:rsidR="00F9365F" w:rsidRDefault="00451230">
      <w:pPr>
        <w:spacing w:line="360" w:lineRule="auto"/>
        <w:ind w:left="566"/>
        <w:jc w:val="both"/>
        <w:rPr>
          <w:rtl/>
        </w:rPr>
      </w:pPr>
      <w:r>
        <w:rPr>
          <w:rFonts w:hint="cs"/>
          <w:rtl/>
        </w:rPr>
        <w:t xml:space="preserve">הנזק שהיה עלול להיגרם מביצוע העבירות הנו כבד. שירותי כבאות והצלה הצליחו להשתלט על האש ורק בדרך נס לא הסתיים האירוע בתוצאות חמורות יותר למעט הפגיעה בנאשם עצמו אשר סבל משאיפת העשן. </w:t>
      </w:r>
    </w:p>
    <w:p w14:paraId="16D8FADA" w14:textId="77777777" w:rsidR="00F9365F" w:rsidRDefault="00F9365F">
      <w:pPr>
        <w:spacing w:line="360" w:lineRule="auto"/>
        <w:ind w:left="566"/>
        <w:jc w:val="both"/>
        <w:rPr>
          <w:rtl/>
        </w:rPr>
      </w:pPr>
    </w:p>
    <w:p w14:paraId="1D1C3AB7" w14:textId="77777777" w:rsidR="00F9365F" w:rsidRDefault="00451230">
      <w:pPr>
        <w:spacing w:line="360" w:lineRule="auto"/>
        <w:ind w:left="566"/>
        <w:jc w:val="both"/>
        <w:rPr>
          <w:rtl/>
        </w:rPr>
      </w:pPr>
      <w:r>
        <w:rPr>
          <w:rFonts w:hint="cs"/>
          <w:rtl/>
        </w:rPr>
        <w:t xml:space="preserve">נזק הרכוש שנגרם בפועל כתוצאה מביצוע העבירה הנו חמור, כפי שעולה מעובדות כתב האישום המתוקן, מחוות דעת חקירת הדליקה שהוגשה לעיוני מטעם ב"כ המאשימה והתמונות שבה. כתוצאה מהשריפה נגרם נזק רב באזור הסלון ומטבח הדירה המוערך בשווי כולל של 47,277 ₪. כן, נגרם נזק לרכושו הפרטי של הנאשם. מעשיו של הנאשם פגעו קשות בזכויותיהם ובקניינם של בעלי הדירות האחרות בבניין, והסבו להם מטבע הדברים, עגמת נפש רבה. </w:t>
      </w:r>
    </w:p>
    <w:p w14:paraId="5F0536D3" w14:textId="77777777" w:rsidR="00F9365F" w:rsidRDefault="00F9365F">
      <w:pPr>
        <w:spacing w:line="360" w:lineRule="auto"/>
        <w:jc w:val="both"/>
        <w:rPr>
          <w:rtl/>
        </w:rPr>
      </w:pPr>
    </w:p>
    <w:p w14:paraId="66152D44" w14:textId="77777777" w:rsidR="00F9365F" w:rsidRDefault="00451230">
      <w:pPr>
        <w:spacing w:line="360" w:lineRule="auto"/>
        <w:ind w:left="566"/>
        <w:jc w:val="both"/>
        <w:rPr>
          <w:rtl/>
        </w:rPr>
      </w:pPr>
      <w:r>
        <w:rPr>
          <w:rFonts w:hint="cs"/>
          <w:rtl/>
        </w:rPr>
        <w:t>מחוות הדעת של המרכז לבריאות הנפש "שער מנשה" אשר הוגשה בעניינו עולה, כי הנאשם אינו חולה נפש במובן המשפטי של המונח. יחד עם זאת, חוות הדעת מלמדת, כי הנאשם מכור לאלכוהול כאשר על רקע זה עזבה אשתו יחד עם הילדים את הבית, ניתקה עימו קשר וסירבה לשוחח עימו בטלפון. עוד על רקע התמכרותו, התנהג הנאשם בצורה גסה בבניין בו הוא מתגורר והרבה להסתכסך עם שכניו. לדברי הנאשם מצא שקית עם תחמושת והחזיק אותה בדירתו ללא מטרה ברורה. לדבריו, שרף את הסמרטוטים כנקמה בשכנים שהציקו לו עם הערות, עם דרישות ועל ידי הזעקת שוטרים פעם אחר פעם. באשר להבערת האש בתוך דירתו, מבחינתו, מדובר היה ניסיון אובדני, מעשה של ייאוש ורגע של אובדן עשתונות. ברגע שכמעט נחנק מהעשן ברח מהדירה והתחרט על מה שעשה.</w:t>
      </w:r>
    </w:p>
    <w:p w14:paraId="55768A21" w14:textId="77777777" w:rsidR="00F9365F" w:rsidRDefault="00451230">
      <w:pPr>
        <w:spacing w:line="360" w:lineRule="auto"/>
        <w:jc w:val="both"/>
      </w:pPr>
      <w:r>
        <w:rPr>
          <w:rFonts w:hint="cs"/>
          <w:rtl/>
        </w:rPr>
        <w:tab/>
      </w:r>
    </w:p>
    <w:p w14:paraId="3F9DFA91" w14:textId="77777777" w:rsidR="00F9365F" w:rsidRDefault="00451230">
      <w:pPr>
        <w:spacing w:line="360" w:lineRule="auto"/>
        <w:ind w:left="566" w:hanging="566"/>
        <w:jc w:val="both"/>
        <w:rPr>
          <w:b/>
          <w:bCs/>
          <w:u w:val="single"/>
          <w:rtl/>
        </w:rPr>
      </w:pPr>
      <w:r>
        <w:rPr>
          <w:rFonts w:hint="cs"/>
          <w:rtl/>
        </w:rPr>
        <w:t>12.</w:t>
      </w:r>
      <w:r>
        <w:rPr>
          <w:rFonts w:hint="cs"/>
          <w:rtl/>
        </w:rPr>
        <w:tab/>
        <w:t xml:space="preserve">בהתחשב בערך החברתי שנפגע מביצוע העבירות במקרה דנן, מידת הפגיעה בו, מדיניות הענישה הנהוגה ובנסיבות הספציפיות הקשורות בביצוע העבירות כמפורט לעיל, אני קובע, כי מתחם העונש ההולם לאירוע כולו נע בין </w:t>
      </w:r>
      <w:r>
        <w:rPr>
          <w:rFonts w:hint="cs"/>
          <w:b/>
          <w:bCs/>
          <w:rtl/>
        </w:rPr>
        <w:t xml:space="preserve">12 חודשי מאסר בפועל לבין 36 חודשי מאסר בפועל בצירוף ענישה נלווית. </w:t>
      </w:r>
    </w:p>
    <w:p w14:paraId="2AA259B4" w14:textId="77777777" w:rsidR="00F9365F" w:rsidRDefault="00F9365F">
      <w:pPr>
        <w:spacing w:line="360" w:lineRule="auto"/>
        <w:jc w:val="both"/>
        <w:rPr>
          <w:b/>
          <w:bCs/>
          <w:u w:val="single"/>
        </w:rPr>
      </w:pPr>
    </w:p>
    <w:p w14:paraId="31581DBE" w14:textId="77777777" w:rsidR="00F9365F" w:rsidRDefault="00451230">
      <w:pPr>
        <w:spacing w:line="360" w:lineRule="auto"/>
        <w:ind w:firstLine="566"/>
        <w:jc w:val="both"/>
        <w:rPr>
          <w:b/>
          <w:bCs/>
          <w:u w:val="single"/>
          <w:rtl/>
        </w:rPr>
      </w:pPr>
      <w:r>
        <w:rPr>
          <w:rFonts w:hint="cs"/>
          <w:b/>
          <w:bCs/>
          <w:u w:val="single"/>
          <w:rtl/>
        </w:rPr>
        <w:t xml:space="preserve">נסיבות שאינן קשורות בביצוע העבירה – </w:t>
      </w:r>
      <w:hyperlink r:id="rId34" w:history="1">
        <w:r w:rsidR="009C61CE" w:rsidRPr="009C61CE">
          <w:rPr>
            <w:b/>
            <w:bCs/>
            <w:color w:val="0000FF"/>
            <w:u w:val="single"/>
            <w:rtl/>
          </w:rPr>
          <w:t>סעיף 40יא'</w:t>
        </w:r>
      </w:hyperlink>
      <w:r>
        <w:rPr>
          <w:rFonts w:hint="cs"/>
          <w:b/>
          <w:bCs/>
          <w:u w:val="single"/>
          <w:rtl/>
        </w:rPr>
        <w:t xml:space="preserve"> ל</w:t>
      </w:r>
      <w:hyperlink r:id="rId35" w:history="1">
        <w:r w:rsidR="005468D7" w:rsidRPr="005468D7">
          <w:rPr>
            <w:rStyle w:val="Hyperlink"/>
            <w:rFonts w:hint="eastAsia"/>
            <w:b/>
            <w:bCs/>
            <w:rtl/>
          </w:rPr>
          <w:t>חוק</w:t>
        </w:r>
        <w:r w:rsidR="005468D7" w:rsidRPr="005468D7">
          <w:rPr>
            <w:rStyle w:val="Hyperlink"/>
            <w:b/>
            <w:bCs/>
            <w:rtl/>
          </w:rPr>
          <w:t xml:space="preserve"> העונשין</w:t>
        </w:r>
      </w:hyperlink>
    </w:p>
    <w:p w14:paraId="1C79C337" w14:textId="77777777" w:rsidR="00F9365F" w:rsidRDefault="00F9365F">
      <w:pPr>
        <w:rPr>
          <w:rtl/>
        </w:rPr>
      </w:pPr>
    </w:p>
    <w:p w14:paraId="0642C982" w14:textId="77777777" w:rsidR="00F9365F" w:rsidRDefault="00451230">
      <w:pPr>
        <w:spacing w:line="360" w:lineRule="auto"/>
        <w:ind w:left="566" w:hanging="566"/>
        <w:jc w:val="both"/>
        <w:rPr>
          <w:rtl/>
        </w:rPr>
      </w:pPr>
      <w:r>
        <w:rPr>
          <w:rFonts w:hint="cs"/>
          <w:rtl/>
        </w:rPr>
        <w:t>13.</w:t>
      </w:r>
      <w:r>
        <w:rPr>
          <w:rFonts w:hint="cs"/>
          <w:rtl/>
        </w:rPr>
        <w:tab/>
        <w:t>הנאשם בן 42, פרוד מאשתו ואב ל-5 ילדים. אינו עובד ומתקיים מקצבת נכות של המוסד לביטוח לאומי. בגזירת העונש המתאים בגין מעשיו של הנאשם, יש להביא במניין השיקולים לקולת עונשו את עברו הנקי את הבעת הצער והחרטה על מעשיו.</w:t>
      </w:r>
    </w:p>
    <w:p w14:paraId="4B39405D" w14:textId="77777777" w:rsidR="00F9365F" w:rsidRDefault="00451230">
      <w:pPr>
        <w:spacing w:line="360" w:lineRule="auto"/>
        <w:ind w:left="566"/>
        <w:jc w:val="both"/>
      </w:pPr>
      <w:r>
        <w:rPr>
          <w:rFonts w:hint="cs"/>
          <w:rtl/>
        </w:rPr>
        <w:t xml:space="preserve">בנוסף, מן הראוי להתחשב בהודאת הנאשם במסגרת הסדר הטיעון בכתב האישום המתוקן והחיסכון בהעדת העדים ובזמן שיפוטי יקר. </w:t>
      </w:r>
    </w:p>
    <w:p w14:paraId="6E671C34" w14:textId="77777777" w:rsidR="00F9365F" w:rsidRDefault="00F9365F">
      <w:pPr>
        <w:spacing w:line="360" w:lineRule="auto"/>
        <w:ind w:left="566"/>
        <w:jc w:val="both"/>
        <w:rPr>
          <w:rtl/>
        </w:rPr>
      </w:pPr>
    </w:p>
    <w:p w14:paraId="04B1F0BA" w14:textId="77777777" w:rsidR="00F9365F" w:rsidRDefault="00451230">
      <w:pPr>
        <w:spacing w:line="360" w:lineRule="auto"/>
        <w:ind w:left="566"/>
        <w:jc w:val="both"/>
      </w:pPr>
      <w:r>
        <w:rPr>
          <w:rFonts w:hint="cs"/>
          <w:rtl/>
        </w:rPr>
        <w:t xml:space="preserve">עוד יש להביא במניין השיקולים את נסיבותיו האישיות של הנאשם כפי שפורטו בחוות הדעת שהוגשה בעניינו. המדובר ביליד אתיופיה, השלישי בין 8 ילדים שחלקם אחים ואחיות למחצה. אביו נפטר ממחלות בגיל 60 וגם אמו נפטרה סביב גיל 36-35 מסיבוכים לאחר לידה. אחת מאחיותיו סבלה מהפרעות נפשיות וטופלה בישראל בבריאות הנפש. בילדותו גדל באתיופיה בתנאים סוציו אקונומיים ירודים. מגיל 8-7 נרתם לעזרת המשפחה ועבד בעבודות שונות יחד עם אביו. </w:t>
      </w:r>
    </w:p>
    <w:p w14:paraId="396CD089" w14:textId="77777777" w:rsidR="00F9365F" w:rsidRDefault="00451230">
      <w:pPr>
        <w:spacing w:line="360" w:lineRule="auto"/>
        <w:ind w:left="566"/>
        <w:jc w:val="both"/>
        <w:rPr>
          <w:rtl/>
        </w:rPr>
      </w:pPr>
      <w:r>
        <w:rPr>
          <w:rFonts w:hint="cs"/>
          <w:rtl/>
        </w:rPr>
        <w:t>בשנת 2000 התחתן עם חברתו ולבני הזוג נולדו 5 ילדים. בשנת 2009 שקע בדיכאון, הפסיק לתפקד, לעבוד ולפרנס והחל מתמכר למשקאות אלכוהוליים. מצבו הדיכאוני הלך והחמיר ובשיאו, החליט להתאבד ע"י חניקה עצמית. הניסיון כשל והנאשם אושפז למשך חודשים במחלקה פסיכיאטרית בבי"ח "העמק" בעפולה שם אובחן כלוקה בהתקף דיכאוני חמור עם תסמינים פסיכוטיים. לאחר השחרור חזר לסורו והמשיך לשתות משקאות חריפים. בשנת 2010 ומשלא הצליח לחזור לעבודה ולתפקד הוכר כנכה. כל הניסיונות לשקמו עלו על שרטון, כך גם יחסיו עם אשתו אשר על רקע התמכרותו והתנהגותו האלימה עזבה את הבית יחד עם הילדים אל בית הוריה.</w:t>
      </w:r>
    </w:p>
    <w:p w14:paraId="1E88DDC1" w14:textId="77777777" w:rsidR="00F9365F" w:rsidRDefault="00451230">
      <w:pPr>
        <w:spacing w:line="360" w:lineRule="auto"/>
        <w:ind w:left="566"/>
        <w:jc w:val="both"/>
        <w:rPr>
          <w:rtl/>
        </w:rPr>
      </w:pPr>
      <w:r>
        <w:rPr>
          <w:rFonts w:hint="cs"/>
          <w:rtl/>
        </w:rPr>
        <w:t>עינינו הרואות אפוא, כי מדובר בנאשם, אשר נסיבות חייו קשות במיוחד, ועל רקע זה, ביצע את העבירות המיוחסות לו, אשר סופו של יום הוא הנפגע העיקרי מביצוען. בנסיבות אלו, סבורני, כי עלי לשקול גם את שיקולי השיקום כך שהעונש שייגזר, יהיה כזה, אשר מחד גיסא, יהיה מרתיע דיו, אך מאידך גיסא, יהיה בו כדי לאפשר לנאשם להשתקם בין כותלי בית הכלא ולהשתלב בהליכי הטיפול והגמילה שם.</w:t>
      </w:r>
    </w:p>
    <w:p w14:paraId="03B0019E" w14:textId="77777777" w:rsidR="00F9365F" w:rsidRDefault="00F9365F">
      <w:pPr>
        <w:spacing w:line="360" w:lineRule="auto"/>
        <w:ind w:left="566"/>
        <w:jc w:val="both"/>
        <w:rPr>
          <w:rtl/>
        </w:rPr>
      </w:pPr>
    </w:p>
    <w:p w14:paraId="123ACF56" w14:textId="77777777" w:rsidR="00F9365F" w:rsidRDefault="00451230">
      <w:pPr>
        <w:spacing w:line="360" w:lineRule="auto"/>
        <w:ind w:left="566" w:hanging="566"/>
        <w:jc w:val="both"/>
        <w:rPr>
          <w:rtl/>
        </w:rPr>
      </w:pPr>
      <w:r>
        <w:rPr>
          <w:rFonts w:hint="cs"/>
          <w:rtl/>
        </w:rPr>
        <w:t>14.</w:t>
      </w:r>
      <w:r>
        <w:rPr>
          <w:rFonts w:hint="cs"/>
          <w:rtl/>
        </w:rPr>
        <w:tab/>
        <w:t xml:space="preserve">לאור המקובץ לעיל, ובשים לב לקביעת מתחם העונש ההולם למעשי העבירות שביצע הנאשם ובהתחשב בהתקיימותן של נסיבות הקשורות בביצוע העבירות ונסיבות הקשורות בנאשם, החלטתי לגזור על הנאשם את העונשים שלהלן: </w:t>
      </w:r>
    </w:p>
    <w:p w14:paraId="7530CDE9" w14:textId="77777777" w:rsidR="00F9365F" w:rsidRDefault="00F9365F">
      <w:pPr>
        <w:spacing w:line="360" w:lineRule="auto"/>
        <w:jc w:val="both"/>
      </w:pPr>
    </w:p>
    <w:p w14:paraId="6C586245" w14:textId="77777777" w:rsidR="00F9365F" w:rsidRDefault="00451230">
      <w:pPr>
        <w:spacing w:line="360" w:lineRule="auto"/>
        <w:ind w:left="566"/>
        <w:jc w:val="both"/>
      </w:pPr>
      <w:r>
        <w:rPr>
          <w:rFonts w:hint="cs"/>
          <w:rtl/>
        </w:rPr>
        <w:t>א.</w:t>
      </w:r>
      <w:r>
        <w:rPr>
          <w:rFonts w:hint="cs"/>
          <w:rtl/>
        </w:rPr>
        <w:tab/>
        <w:t>14 חודשי מאסר בפועל אשר יימנו מיום מעצרו 14.3.13.</w:t>
      </w:r>
    </w:p>
    <w:p w14:paraId="15BEF05F" w14:textId="77777777" w:rsidR="00F9365F" w:rsidRDefault="00F9365F">
      <w:pPr>
        <w:spacing w:line="360" w:lineRule="auto"/>
        <w:jc w:val="both"/>
      </w:pPr>
    </w:p>
    <w:p w14:paraId="5918375D" w14:textId="77777777" w:rsidR="00F9365F" w:rsidRDefault="00451230">
      <w:pPr>
        <w:spacing w:line="360" w:lineRule="auto"/>
        <w:ind w:left="1440" w:hanging="874"/>
        <w:jc w:val="both"/>
      </w:pPr>
      <w:r>
        <w:rPr>
          <w:rFonts w:hint="cs"/>
          <w:rtl/>
        </w:rPr>
        <w:t>ב.</w:t>
      </w:r>
      <w:r>
        <w:rPr>
          <w:rFonts w:hint="cs"/>
          <w:rtl/>
        </w:rPr>
        <w:tab/>
        <w:t xml:space="preserve">12 חודשי מאסר על תנאי והתנאי הוא שבמשך שנתיים  לא יעבור הנאשם עבירת הצתה בניגוד </w:t>
      </w:r>
      <w:hyperlink r:id="rId36" w:history="1">
        <w:r w:rsidR="009C61CE" w:rsidRPr="009C61CE">
          <w:rPr>
            <w:color w:val="0000FF"/>
            <w:u w:val="single"/>
            <w:rtl/>
          </w:rPr>
          <w:t>לסעיף 448</w:t>
        </w:r>
      </w:hyperlink>
      <w:r>
        <w:rPr>
          <w:rFonts w:hint="cs"/>
          <w:rtl/>
        </w:rPr>
        <w:t xml:space="preserve"> ל</w:t>
      </w:r>
      <w:hyperlink r:id="rId37" w:history="1">
        <w:r w:rsidR="005468D7" w:rsidRPr="005468D7">
          <w:rPr>
            <w:rStyle w:val="Hyperlink"/>
            <w:rFonts w:hint="eastAsia"/>
            <w:rtl/>
          </w:rPr>
          <w:t>חוק</w:t>
        </w:r>
        <w:r w:rsidR="005468D7" w:rsidRPr="005468D7">
          <w:rPr>
            <w:rStyle w:val="Hyperlink"/>
            <w:rtl/>
          </w:rPr>
          <w:t xml:space="preserve"> העונשין</w:t>
        </w:r>
      </w:hyperlink>
      <w:r>
        <w:rPr>
          <w:rFonts w:hint="cs"/>
          <w:rtl/>
        </w:rPr>
        <w:t xml:space="preserve">. </w:t>
      </w:r>
    </w:p>
    <w:p w14:paraId="1110D63C" w14:textId="77777777" w:rsidR="00F9365F" w:rsidRDefault="00F9365F">
      <w:pPr>
        <w:spacing w:line="360" w:lineRule="auto"/>
        <w:jc w:val="both"/>
      </w:pPr>
    </w:p>
    <w:p w14:paraId="4DF78168" w14:textId="77777777" w:rsidR="00F9365F" w:rsidRDefault="00451230">
      <w:pPr>
        <w:spacing w:line="360" w:lineRule="auto"/>
        <w:ind w:left="1440" w:hanging="874"/>
        <w:jc w:val="both"/>
      </w:pPr>
      <w:r>
        <w:rPr>
          <w:rFonts w:hint="cs"/>
          <w:rtl/>
        </w:rPr>
        <w:t>ג.</w:t>
      </w:r>
      <w:r>
        <w:rPr>
          <w:rFonts w:hint="cs"/>
          <w:rtl/>
        </w:rPr>
        <w:tab/>
        <w:t xml:space="preserve">6 חודשי מאסר על תנאי והתנאי הוא שבמשך שנתיים לא יעבור הנאשם עבירת החזקת תחמושת בניגוד </w:t>
      </w:r>
      <w:hyperlink r:id="rId38" w:history="1">
        <w:r w:rsidR="009C61CE" w:rsidRPr="009C61CE">
          <w:rPr>
            <w:color w:val="0000FF"/>
            <w:u w:val="single"/>
            <w:rtl/>
          </w:rPr>
          <w:t>לסעיף 144</w:t>
        </w:r>
      </w:hyperlink>
      <w:r>
        <w:rPr>
          <w:rFonts w:hint="cs"/>
          <w:rtl/>
        </w:rPr>
        <w:t xml:space="preserve"> ל</w:t>
      </w:r>
      <w:hyperlink r:id="rId39" w:history="1">
        <w:r w:rsidR="005468D7" w:rsidRPr="005468D7">
          <w:rPr>
            <w:rStyle w:val="Hyperlink"/>
            <w:rFonts w:hint="eastAsia"/>
            <w:rtl/>
          </w:rPr>
          <w:t>חוק</w:t>
        </w:r>
        <w:r w:rsidR="005468D7" w:rsidRPr="005468D7">
          <w:rPr>
            <w:rStyle w:val="Hyperlink"/>
            <w:rtl/>
          </w:rPr>
          <w:t xml:space="preserve"> העונשין</w:t>
        </w:r>
      </w:hyperlink>
      <w:r>
        <w:rPr>
          <w:rFonts w:hint="cs"/>
          <w:rtl/>
        </w:rPr>
        <w:t xml:space="preserve">. </w:t>
      </w:r>
    </w:p>
    <w:p w14:paraId="2B2C42CE" w14:textId="77777777" w:rsidR="00F9365F" w:rsidRDefault="00F9365F">
      <w:pPr>
        <w:spacing w:line="360" w:lineRule="auto"/>
        <w:jc w:val="both"/>
      </w:pPr>
    </w:p>
    <w:p w14:paraId="5C0BB260" w14:textId="77777777" w:rsidR="00F9365F" w:rsidRDefault="00451230">
      <w:pPr>
        <w:spacing w:line="360" w:lineRule="auto"/>
        <w:ind w:left="1436" w:hanging="870"/>
        <w:jc w:val="both"/>
      </w:pPr>
      <w:r>
        <w:rPr>
          <w:rFonts w:hint="cs"/>
          <w:rtl/>
        </w:rPr>
        <w:t>ד.</w:t>
      </w:r>
      <w:r>
        <w:rPr>
          <w:rFonts w:hint="cs"/>
          <w:rtl/>
        </w:rPr>
        <w:tab/>
      </w:r>
      <w:r>
        <w:rPr>
          <w:rFonts w:hint="cs"/>
          <w:rtl/>
        </w:rPr>
        <w:tab/>
        <w:t xml:space="preserve">בנסיבות העניין ונוכח מצבו הכלכלי הקשה של הנאשם, אני נמנע מלגזור עליו קנס כספי. </w:t>
      </w:r>
    </w:p>
    <w:p w14:paraId="47C6E909" w14:textId="77777777" w:rsidR="00F9365F" w:rsidRDefault="00F9365F">
      <w:pPr>
        <w:spacing w:line="360" w:lineRule="auto"/>
        <w:ind w:left="1436" w:hanging="870"/>
        <w:jc w:val="both"/>
        <w:rPr>
          <w:rtl/>
        </w:rPr>
      </w:pPr>
    </w:p>
    <w:p w14:paraId="34E6E825" w14:textId="77777777" w:rsidR="00F9365F" w:rsidRDefault="00451230">
      <w:pPr>
        <w:spacing w:line="360" w:lineRule="auto"/>
        <w:ind w:left="1436" w:hanging="870"/>
        <w:jc w:val="both"/>
        <w:rPr>
          <w:rtl/>
        </w:rPr>
      </w:pPr>
      <w:r>
        <w:rPr>
          <w:rFonts w:hint="cs"/>
          <w:rtl/>
        </w:rPr>
        <w:t>ה.</w:t>
      </w:r>
      <w:r>
        <w:rPr>
          <w:rFonts w:hint="cs"/>
          <w:rtl/>
        </w:rPr>
        <w:tab/>
        <w:t>פונה אני בבקשה, לשרות בתי הסוהר על מנת שיעשו ככל הניתן, לשיבוצו של הנאשם באגף בו ניתן יהיה לשלבו בהליכי גמילה מאלכוהול.</w:t>
      </w:r>
    </w:p>
    <w:p w14:paraId="1964A02C" w14:textId="77777777" w:rsidR="00F9365F" w:rsidRDefault="00F9365F">
      <w:pPr>
        <w:spacing w:line="360" w:lineRule="auto"/>
        <w:jc w:val="both"/>
        <w:rPr>
          <w:b/>
          <w:bCs/>
          <w:rtl/>
        </w:rPr>
      </w:pPr>
    </w:p>
    <w:p w14:paraId="44616B76" w14:textId="77777777" w:rsidR="00F9365F" w:rsidRDefault="00451230">
      <w:pPr>
        <w:spacing w:line="360" w:lineRule="auto"/>
        <w:ind w:left="1440" w:hanging="334"/>
        <w:jc w:val="both"/>
        <w:rPr>
          <w:b/>
          <w:bCs/>
          <w:u w:val="single"/>
          <w:rtl/>
        </w:rPr>
      </w:pPr>
      <w:r>
        <w:rPr>
          <w:rFonts w:hint="cs"/>
          <w:b/>
          <w:bCs/>
          <w:u w:val="single"/>
          <w:rtl/>
        </w:rPr>
        <w:t>זכות ערעור לביהמ"ש העליון בתוך 45 יום</w:t>
      </w:r>
      <w:r>
        <w:rPr>
          <w:rFonts w:hint="cs"/>
          <w:b/>
          <w:bCs/>
          <w:rtl/>
        </w:rPr>
        <w:t>.</w:t>
      </w:r>
      <w:r>
        <w:rPr>
          <w:rFonts w:hint="cs"/>
          <w:b/>
          <w:bCs/>
          <w:u w:val="single"/>
          <w:rtl/>
        </w:rPr>
        <w:t xml:space="preserve"> </w:t>
      </w:r>
    </w:p>
    <w:p w14:paraId="68645F89" w14:textId="77777777" w:rsidR="00F9365F" w:rsidRDefault="00451230">
      <w:pPr>
        <w:spacing w:line="360" w:lineRule="auto"/>
        <w:jc w:val="both"/>
        <w:rPr>
          <w:sz w:val="6"/>
          <w:szCs w:val="6"/>
          <w:rtl/>
        </w:rPr>
      </w:pPr>
      <w:r>
        <w:rPr>
          <w:sz w:val="6"/>
          <w:szCs w:val="6"/>
          <w:rtl/>
        </w:rPr>
        <w:t>&lt;#3#&gt;</w:t>
      </w:r>
    </w:p>
    <w:p w14:paraId="6DB20A85" w14:textId="77777777" w:rsidR="00F9365F" w:rsidRDefault="00F9365F">
      <w:pPr>
        <w:jc w:val="right"/>
        <w:rPr>
          <w:rtl/>
        </w:rPr>
      </w:pPr>
    </w:p>
    <w:p w14:paraId="624A84E7" w14:textId="77777777" w:rsidR="00F9365F" w:rsidRDefault="00451230">
      <w:pPr>
        <w:jc w:val="center"/>
        <w:rPr>
          <w:rtl/>
        </w:rPr>
      </w:pPr>
      <w:r>
        <w:rPr>
          <w:b/>
          <w:bCs/>
          <w:rtl/>
        </w:rPr>
        <w:t xml:space="preserve">ניתן והודע היום כ"ח סיון תשע"ג, 06/06/2013 במעמד הנוכחים. </w:t>
      </w:r>
    </w:p>
    <w:p w14:paraId="5FD98408" w14:textId="77777777" w:rsidR="00451230" w:rsidRPr="00451230" w:rsidRDefault="00451230" w:rsidP="00451230">
      <w:pPr>
        <w:keepNext/>
        <w:spacing w:line="360" w:lineRule="auto"/>
        <w:rPr>
          <w:color w:val="000000"/>
          <w:sz w:val="22"/>
          <w:szCs w:val="22"/>
          <w:rtl/>
        </w:rPr>
      </w:pPr>
      <w:bookmarkStart w:id="8" w:name="_GoBack"/>
      <w:bookmarkEnd w:id="8"/>
    </w:p>
    <w:p w14:paraId="36AB193F" w14:textId="77777777" w:rsidR="00A9572F" w:rsidRPr="00A9572F" w:rsidRDefault="00A9572F" w:rsidP="00A9572F">
      <w:pPr>
        <w:keepNext/>
        <w:spacing w:line="360" w:lineRule="auto"/>
        <w:rPr>
          <w:rFonts w:hint="cs"/>
          <w:color w:val="000000"/>
          <w:sz w:val="22"/>
          <w:szCs w:val="22"/>
          <w:rtl/>
        </w:rPr>
      </w:pPr>
    </w:p>
    <w:p w14:paraId="5CF466C4" w14:textId="77777777" w:rsidR="00A9572F" w:rsidRPr="00A9572F" w:rsidRDefault="00A9572F" w:rsidP="00A9572F">
      <w:pPr>
        <w:keepNext/>
        <w:spacing w:line="360" w:lineRule="auto"/>
        <w:rPr>
          <w:color w:val="000000"/>
          <w:sz w:val="22"/>
          <w:szCs w:val="22"/>
          <w:rtl/>
        </w:rPr>
      </w:pPr>
      <w:r w:rsidRPr="00A9572F">
        <w:rPr>
          <w:color w:val="000000"/>
          <w:sz w:val="22"/>
          <w:szCs w:val="22"/>
          <w:rtl/>
        </w:rPr>
        <w:t>אשר קולה 54678313-/</w:t>
      </w:r>
    </w:p>
    <w:p w14:paraId="27176816" w14:textId="77777777" w:rsidR="00F9365F" w:rsidRPr="00451230" w:rsidRDefault="00A9572F">
      <w:pPr>
        <w:spacing w:line="360" w:lineRule="auto"/>
        <w:jc w:val="both"/>
        <w:rPr>
          <w:color w:val="FFFFFF"/>
          <w:sz w:val="2"/>
          <w:szCs w:val="2"/>
          <w:rtl/>
        </w:rPr>
      </w:pPr>
      <w:r w:rsidRPr="00A9572F">
        <w:rPr>
          <w:color w:val="FFFFFF"/>
          <w:sz w:val="2"/>
          <w:szCs w:val="2"/>
          <w:rtl/>
        </w:rPr>
        <w:t>5129371</w:t>
      </w:r>
      <w:r w:rsidR="00451230" w:rsidRPr="0045123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9365F" w14:paraId="09A9603D" w14:textId="77777777">
        <w:trPr>
          <w:trHeight w:val="364"/>
          <w:jc w:val="right"/>
        </w:trPr>
        <w:tc>
          <w:tcPr>
            <w:tcW w:w="3708" w:type="dxa"/>
          </w:tcPr>
          <w:p w14:paraId="4800E9A3" w14:textId="77777777" w:rsidR="00F9365F" w:rsidRPr="00451230" w:rsidRDefault="00A9572F">
            <w:pPr>
              <w:jc w:val="center"/>
              <w:rPr>
                <w:rFonts w:ascii="Times New Roman" w:eastAsia="Times New Roman" w:hAnsi="Times New Roman" w:cs="Times New Roman"/>
                <w:color w:val="FFFFFF"/>
                <w:sz w:val="2"/>
                <w:szCs w:val="2"/>
              </w:rPr>
            </w:pPr>
            <w:r w:rsidRPr="00A9572F">
              <w:rPr>
                <w:rFonts w:ascii="Times New Roman" w:eastAsia="Times New Roman" w:hAnsi="Times New Roman" w:cs="Times New Roman"/>
                <w:color w:val="FFFFFF"/>
                <w:sz w:val="2"/>
                <w:szCs w:val="2"/>
                <w:rtl/>
              </w:rPr>
              <w:t>54678313</w:t>
            </w:r>
            <w:r w:rsidR="00451230" w:rsidRPr="00451230">
              <w:rPr>
                <w:rFonts w:ascii="Times New Roman" w:eastAsia="Times New Roman" w:hAnsi="Times New Roman" w:cs="Times New Roman"/>
                <w:color w:val="FFFFFF"/>
                <w:sz w:val="2"/>
                <w:szCs w:val="2"/>
                <w:rtl/>
              </w:rPr>
              <w:t>54678313</w:t>
            </w:r>
          </w:p>
          <w:p w14:paraId="660FDD4A" w14:textId="77777777" w:rsidR="00F9365F" w:rsidRDefault="00F9365F">
            <w:pPr>
              <w:jc w:val="center"/>
              <w:rPr>
                <w:rFonts w:ascii="Times New Roman" w:eastAsia="Times New Roman" w:hAnsi="Times New Roman" w:cs="Times New Roman"/>
                <w:rtl/>
              </w:rPr>
            </w:pPr>
          </w:p>
        </w:tc>
      </w:tr>
      <w:tr w:rsidR="00F9365F" w14:paraId="72B80FED" w14:textId="77777777">
        <w:trPr>
          <w:trHeight w:val="415"/>
          <w:jc w:val="right"/>
        </w:trPr>
        <w:tc>
          <w:tcPr>
            <w:tcW w:w="3708" w:type="dxa"/>
          </w:tcPr>
          <w:p w14:paraId="41DDBD68" w14:textId="77777777" w:rsidR="00F9365F" w:rsidRDefault="00451230">
            <w:pPr>
              <w:jc w:val="center"/>
              <w:rPr>
                <w:rFonts w:ascii="Times New Roman" w:eastAsia="Times New Roman" w:hAnsi="Times New Roman"/>
                <w:b/>
                <w:bCs/>
                <w:rtl/>
              </w:rPr>
            </w:pPr>
            <w:r>
              <w:rPr>
                <w:rFonts w:ascii="Times New Roman" w:eastAsia="Times New Roman" w:hAnsi="Times New Roman" w:hint="cs"/>
                <w:rtl/>
              </w:rPr>
              <w:t>אשר</w:t>
            </w:r>
            <w:r>
              <w:rPr>
                <w:rFonts w:ascii="Times New Roman" w:eastAsia="Times New Roman" w:hAnsi="Times New Roman" w:hint="cs"/>
                <w:b/>
                <w:bCs/>
                <w:rtl/>
              </w:rPr>
              <w:t xml:space="preserve"> </w:t>
            </w:r>
            <w:r>
              <w:rPr>
                <w:rFonts w:ascii="Times New Roman" w:eastAsia="Times New Roman" w:hAnsi="Times New Roman" w:hint="cs"/>
                <w:rtl/>
              </w:rPr>
              <w:t>קולה</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1A47EC70" w14:textId="77777777" w:rsidR="00451230" w:rsidRDefault="00451230" w:rsidP="00451230">
      <w:r w:rsidRPr="00451230">
        <w:rPr>
          <w:color w:val="000000"/>
          <w:rtl/>
        </w:rPr>
        <w:t>נוסח מסמך זה כפוף לשינויי ניסוח ועריכה</w:t>
      </w:r>
    </w:p>
    <w:p w14:paraId="5446498C" w14:textId="77777777" w:rsidR="00451230" w:rsidRDefault="00451230" w:rsidP="00451230">
      <w:pPr>
        <w:rPr>
          <w:rtl/>
        </w:rPr>
      </w:pPr>
    </w:p>
    <w:p w14:paraId="278056EE" w14:textId="77777777" w:rsidR="00451230" w:rsidRDefault="00451230" w:rsidP="00451230">
      <w:pPr>
        <w:jc w:val="center"/>
        <w:rPr>
          <w:color w:val="0000FF"/>
          <w:u w:val="single"/>
        </w:rPr>
      </w:pPr>
      <w:r w:rsidRPr="00224925">
        <w:rPr>
          <w:color w:val="000000"/>
          <w:rtl/>
        </w:rPr>
        <w:t>בעניין עריכה ושינויים במסמכי פסיקה, חקיקה ועוד באתר נבו – הקש כאן</w:t>
      </w:r>
    </w:p>
    <w:sectPr w:rsidR="00451230" w:rsidSect="00A9572F">
      <w:headerReference w:type="even" r:id="rId40"/>
      <w:headerReference w:type="default" r:id="rId41"/>
      <w:footerReference w:type="even" r:id="rId42"/>
      <w:footerReference w:type="default" r:id="rId4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834A" w14:textId="77777777" w:rsidR="00FF716D" w:rsidRPr="00121D55" w:rsidRDefault="00FF716D">
      <w:pPr>
        <w:rPr>
          <w:rFonts w:cs="Arial"/>
          <w:szCs w:val="20"/>
        </w:rPr>
      </w:pPr>
      <w:r>
        <w:separator/>
      </w:r>
    </w:p>
  </w:endnote>
  <w:endnote w:type="continuationSeparator" w:id="0">
    <w:p w14:paraId="200AFA85" w14:textId="77777777" w:rsidR="00FF716D" w:rsidRPr="00121D55" w:rsidRDefault="00FF71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B5229" w14:textId="77777777" w:rsidR="002C4E33" w:rsidRDefault="002C4E33" w:rsidP="00A957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8BA6DD" w14:textId="77777777" w:rsidR="002C4E33" w:rsidRPr="00A9572F" w:rsidRDefault="002C4E33" w:rsidP="00A9572F">
    <w:pPr>
      <w:pStyle w:val="a4"/>
      <w:pBdr>
        <w:top w:val="single" w:sz="4" w:space="1" w:color="auto"/>
        <w:between w:val="single" w:sz="4" w:space="0" w:color="auto"/>
      </w:pBdr>
      <w:spacing w:after="60"/>
      <w:jc w:val="center"/>
      <w:rPr>
        <w:rFonts w:ascii="FrankRuehl" w:hAnsi="FrankRuehl" w:cs="FrankRuehl"/>
        <w:color w:val="000000"/>
      </w:rPr>
    </w:pPr>
    <w:r w:rsidRPr="00A957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8FDE6" w14:textId="77777777" w:rsidR="002C4E33" w:rsidRDefault="002C4E33" w:rsidP="00A957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69EE">
      <w:rPr>
        <w:rFonts w:ascii="FrankRuehl" w:hAnsi="FrankRuehl" w:cs="FrankRuehl"/>
        <w:noProof/>
        <w:rtl/>
      </w:rPr>
      <w:t>1</w:t>
    </w:r>
    <w:r>
      <w:rPr>
        <w:rFonts w:ascii="FrankRuehl" w:hAnsi="FrankRuehl" w:cs="FrankRuehl"/>
        <w:rtl/>
      </w:rPr>
      <w:fldChar w:fldCharType="end"/>
    </w:r>
  </w:p>
  <w:p w14:paraId="76F16B9E" w14:textId="77777777" w:rsidR="002C4E33" w:rsidRPr="00A9572F" w:rsidRDefault="002C4E33" w:rsidP="00A9572F">
    <w:pPr>
      <w:pStyle w:val="a4"/>
      <w:pBdr>
        <w:top w:val="single" w:sz="4" w:space="1" w:color="auto"/>
        <w:between w:val="single" w:sz="4" w:space="0" w:color="auto"/>
      </w:pBdr>
      <w:spacing w:after="60"/>
      <w:jc w:val="center"/>
      <w:rPr>
        <w:rFonts w:ascii="FrankRuehl" w:hAnsi="FrankRuehl" w:cs="FrankRuehl"/>
        <w:color w:val="000000"/>
      </w:rPr>
    </w:pPr>
    <w:r w:rsidRPr="00A9572F">
      <w:rPr>
        <w:rFonts w:ascii="FrankRuehl" w:hAnsi="FrankRuehl" w:cs="FrankRuehl"/>
        <w:color w:val="000000"/>
      </w:rPr>
      <w:pict w14:anchorId="729DFC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3D377" w14:textId="77777777" w:rsidR="00FF716D" w:rsidRPr="00121D55" w:rsidRDefault="00FF716D">
      <w:pPr>
        <w:rPr>
          <w:rFonts w:cs="Arial"/>
          <w:szCs w:val="20"/>
        </w:rPr>
      </w:pPr>
      <w:r>
        <w:separator/>
      </w:r>
    </w:p>
  </w:footnote>
  <w:footnote w:type="continuationSeparator" w:id="0">
    <w:p w14:paraId="66D579AE" w14:textId="77777777" w:rsidR="00FF716D" w:rsidRPr="00121D55" w:rsidRDefault="00FF71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73749" w14:textId="77777777" w:rsidR="002C4E33" w:rsidRPr="00A9572F" w:rsidRDefault="002C4E33" w:rsidP="00A9572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39535-03-13</w:t>
    </w:r>
    <w:r>
      <w:rPr>
        <w:color w:val="000000"/>
        <w:sz w:val="22"/>
        <w:szCs w:val="22"/>
        <w:rtl/>
      </w:rPr>
      <w:tab/>
      <w:t xml:space="preserve"> מדינת ישראל נ' עלמיו סרצה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D6D55" w14:textId="77777777" w:rsidR="002C4E33" w:rsidRPr="00A9572F" w:rsidRDefault="002C4E33" w:rsidP="00A9572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39535-03-13</w:t>
    </w:r>
    <w:r>
      <w:rPr>
        <w:color w:val="000000"/>
        <w:sz w:val="22"/>
        <w:szCs w:val="22"/>
        <w:rtl/>
      </w:rPr>
      <w:tab/>
      <w:t xml:space="preserve"> מדינת ישראל נ' עלמיו סרצה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365F"/>
    <w:rsid w:val="0004221C"/>
    <w:rsid w:val="00224925"/>
    <w:rsid w:val="002C4E33"/>
    <w:rsid w:val="00451230"/>
    <w:rsid w:val="004750FC"/>
    <w:rsid w:val="005468D7"/>
    <w:rsid w:val="005C0A99"/>
    <w:rsid w:val="00697216"/>
    <w:rsid w:val="00813EA4"/>
    <w:rsid w:val="00835774"/>
    <w:rsid w:val="009220FC"/>
    <w:rsid w:val="009C61CE"/>
    <w:rsid w:val="00A9572F"/>
    <w:rsid w:val="00BE69EE"/>
    <w:rsid w:val="00C6224A"/>
    <w:rsid w:val="00E7542F"/>
    <w:rsid w:val="00F9365F"/>
    <w:rsid w:val="00FA34FF"/>
    <w:rsid w:val="00FF7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8F53651"/>
  <w15:chartTrackingRefBased/>
  <w15:docId w15:val="{71677528-E887-4ED2-BE5D-FACFC79B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365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9365F"/>
    <w:pPr>
      <w:tabs>
        <w:tab w:val="center" w:pos="4153"/>
        <w:tab w:val="right" w:pos="8306"/>
      </w:tabs>
    </w:pPr>
  </w:style>
  <w:style w:type="paragraph" w:styleId="a4">
    <w:name w:val="footer"/>
    <w:basedOn w:val="a"/>
    <w:rsid w:val="00F9365F"/>
    <w:pPr>
      <w:tabs>
        <w:tab w:val="center" w:pos="4153"/>
        <w:tab w:val="right" w:pos="8306"/>
      </w:tabs>
    </w:pPr>
  </w:style>
  <w:style w:type="character" w:styleId="a5">
    <w:name w:val="page number"/>
    <w:basedOn w:val="a0"/>
    <w:rsid w:val="00F9365F"/>
  </w:style>
  <w:style w:type="character" w:customStyle="1" w:styleId="TimesNewRomanTimesNewRoman">
    <w:name w:val="סגנון (לטיני) Times New Roman (עברית ושפות אחרות) Times New Roman..."/>
    <w:basedOn w:val="a0"/>
    <w:rsid w:val="00F9365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9365F"/>
    <w:rPr>
      <w:rFonts w:ascii="Times New Roman" w:eastAsia="Times New Roman" w:hAnsi="Times New Roman"/>
      <w:b/>
      <w:bCs/>
      <w:u w:val="single"/>
    </w:rPr>
  </w:style>
  <w:style w:type="character" w:styleId="Hyperlink">
    <w:name w:val="Hyperlink"/>
    <w:basedOn w:val="a0"/>
    <w:rsid w:val="00F9365F"/>
    <w:rPr>
      <w:color w:val="0000FF"/>
      <w:u w:val="single"/>
    </w:rPr>
  </w:style>
  <w:style w:type="character" w:customStyle="1" w:styleId="litextstyle1">
    <w:name w:val="litextstyle1"/>
    <w:basedOn w:val="a0"/>
    <w:rsid w:val="00F9365F"/>
    <w:rPr>
      <w:color w:val="000000"/>
    </w:rPr>
  </w:style>
  <w:style w:type="character" w:styleId="a6">
    <w:name w:val="line number"/>
    <w:basedOn w:val="a0"/>
    <w:rsid w:val="00F9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82704"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5882592" TargetMode="External"/><Relationship Id="rId34" Type="http://schemas.openxmlformats.org/officeDocument/2006/relationships/hyperlink" Target="http://www.nevo.co.il/law/70301/40ja" TargetMode="External"/><Relationship Id="rId42" Type="http://schemas.openxmlformats.org/officeDocument/2006/relationships/footer" Target="footer1.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case/5585564" TargetMode="External"/><Relationship Id="rId29" Type="http://schemas.openxmlformats.org/officeDocument/2006/relationships/hyperlink" Target="http://www.nevo.co.il/case/550157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48" TargetMode="External"/><Relationship Id="rId24" Type="http://schemas.openxmlformats.org/officeDocument/2006/relationships/hyperlink" Target="http://www.nevo.co.il/law/70301/448"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118876" TargetMode="External"/><Relationship Id="rId28" Type="http://schemas.openxmlformats.org/officeDocument/2006/relationships/hyperlink" Target="http://www.nevo.co.il/case/5585473" TargetMode="External"/><Relationship Id="rId36" Type="http://schemas.openxmlformats.org/officeDocument/2006/relationships/hyperlink" Target="http://www.nevo.co.il/law/70301/448"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6116500" TargetMode="External"/><Relationship Id="rId31" Type="http://schemas.openxmlformats.org/officeDocument/2006/relationships/hyperlink" Target="http://www.nevo.co.il/case/5585564"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852404" TargetMode="External"/><Relationship Id="rId27" Type="http://schemas.openxmlformats.org/officeDocument/2006/relationships/hyperlink" Target="http://www.nevo.co.il/case/4748508" TargetMode="External"/><Relationship Id="rId30" Type="http://schemas.openxmlformats.org/officeDocument/2006/relationships/hyperlink" Target="http://www.nevo.co.il/case/4296598"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448" TargetMode="External"/><Relationship Id="rId17" Type="http://schemas.openxmlformats.org/officeDocument/2006/relationships/hyperlink" Target="http://www.nevo.co.il/case/4510200"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 TargetMode="External"/><Relationship Id="rId20" Type="http://schemas.openxmlformats.org/officeDocument/2006/relationships/hyperlink" Target="http://www.nevo.co.il/case/616692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2711</Words>
  <Characters>13555</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16234</CharactersWithSpaces>
  <SharedDoc>false</SharedDoc>
  <HLinks>
    <vt:vector size="204" baseType="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6357089</vt:i4>
      </vt:variant>
      <vt:variant>
        <vt:i4>90</vt:i4>
      </vt:variant>
      <vt:variant>
        <vt:i4>0</vt:i4>
      </vt:variant>
      <vt:variant>
        <vt:i4>5</vt:i4>
      </vt:variant>
      <vt:variant>
        <vt:lpwstr>http://www.nevo.co.il/law/70301/448</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3932274</vt:i4>
      </vt:variant>
      <vt:variant>
        <vt:i4>75</vt:i4>
      </vt:variant>
      <vt:variant>
        <vt:i4>0</vt:i4>
      </vt:variant>
      <vt:variant>
        <vt:i4>5</vt:i4>
      </vt:variant>
      <vt:variant>
        <vt:lpwstr>http://www.nevo.co.il/case/5585564</vt:lpwstr>
      </vt:variant>
      <vt:variant>
        <vt:lpwstr/>
      </vt:variant>
      <vt:variant>
        <vt:i4>3145849</vt:i4>
      </vt:variant>
      <vt:variant>
        <vt:i4>72</vt:i4>
      </vt:variant>
      <vt:variant>
        <vt:i4>0</vt:i4>
      </vt:variant>
      <vt:variant>
        <vt:i4>5</vt:i4>
      </vt:variant>
      <vt:variant>
        <vt:lpwstr>http://www.nevo.co.il/case/4296598</vt:lpwstr>
      </vt:variant>
      <vt:variant>
        <vt:lpwstr/>
      </vt:variant>
      <vt:variant>
        <vt:i4>3211383</vt:i4>
      </vt:variant>
      <vt:variant>
        <vt:i4>69</vt:i4>
      </vt:variant>
      <vt:variant>
        <vt:i4>0</vt:i4>
      </vt:variant>
      <vt:variant>
        <vt:i4>5</vt:i4>
      </vt:variant>
      <vt:variant>
        <vt:lpwstr>http://www.nevo.co.il/case/5501571</vt:lpwstr>
      </vt:variant>
      <vt:variant>
        <vt:lpwstr/>
      </vt:variant>
      <vt:variant>
        <vt:i4>3801203</vt:i4>
      </vt:variant>
      <vt:variant>
        <vt:i4>66</vt:i4>
      </vt:variant>
      <vt:variant>
        <vt:i4>0</vt:i4>
      </vt:variant>
      <vt:variant>
        <vt:i4>5</vt:i4>
      </vt:variant>
      <vt:variant>
        <vt:lpwstr>http://www.nevo.co.il/case/5585473</vt:lpwstr>
      </vt:variant>
      <vt:variant>
        <vt:lpwstr/>
      </vt:variant>
      <vt:variant>
        <vt:i4>3997819</vt:i4>
      </vt:variant>
      <vt:variant>
        <vt:i4>63</vt:i4>
      </vt:variant>
      <vt:variant>
        <vt:i4>0</vt:i4>
      </vt:variant>
      <vt:variant>
        <vt:i4>5</vt:i4>
      </vt:variant>
      <vt:variant>
        <vt:lpwstr>http://www.nevo.co.il/case/4748508</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6357089</vt:i4>
      </vt:variant>
      <vt:variant>
        <vt:i4>54</vt:i4>
      </vt:variant>
      <vt:variant>
        <vt:i4>0</vt:i4>
      </vt:variant>
      <vt:variant>
        <vt:i4>5</vt:i4>
      </vt:variant>
      <vt:variant>
        <vt:lpwstr>http://www.nevo.co.il/law/70301/448</vt:lpwstr>
      </vt:variant>
      <vt:variant>
        <vt:lpwstr/>
      </vt:variant>
      <vt:variant>
        <vt:i4>3801210</vt:i4>
      </vt:variant>
      <vt:variant>
        <vt:i4>51</vt:i4>
      </vt:variant>
      <vt:variant>
        <vt:i4>0</vt:i4>
      </vt:variant>
      <vt:variant>
        <vt:i4>5</vt:i4>
      </vt:variant>
      <vt:variant>
        <vt:lpwstr>http://www.nevo.co.il/case/5118876</vt:lpwstr>
      </vt:variant>
      <vt:variant>
        <vt:lpwstr/>
      </vt:variant>
      <vt:variant>
        <vt:i4>3145854</vt:i4>
      </vt:variant>
      <vt:variant>
        <vt:i4>48</vt:i4>
      </vt:variant>
      <vt:variant>
        <vt:i4>0</vt:i4>
      </vt:variant>
      <vt:variant>
        <vt:i4>5</vt:i4>
      </vt:variant>
      <vt:variant>
        <vt:lpwstr>http://www.nevo.co.il/case/5852404</vt:lpwstr>
      </vt:variant>
      <vt:variant>
        <vt:lpwstr/>
      </vt:variant>
      <vt:variant>
        <vt:i4>3801207</vt:i4>
      </vt:variant>
      <vt:variant>
        <vt:i4>45</vt:i4>
      </vt:variant>
      <vt:variant>
        <vt:i4>0</vt:i4>
      </vt:variant>
      <vt:variant>
        <vt:i4>5</vt:i4>
      </vt:variant>
      <vt:variant>
        <vt:lpwstr>http://www.nevo.co.il/case/5882592</vt:lpwstr>
      </vt:variant>
      <vt:variant>
        <vt:lpwstr/>
      </vt:variant>
      <vt:variant>
        <vt:i4>3670129</vt:i4>
      </vt:variant>
      <vt:variant>
        <vt:i4>42</vt:i4>
      </vt:variant>
      <vt:variant>
        <vt:i4>0</vt:i4>
      </vt:variant>
      <vt:variant>
        <vt:i4>5</vt:i4>
      </vt:variant>
      <vt:variant>
        <vt:lpwstr>http://www.nevo.co.il/case/6166921</vt:lpwstr>
      </vt:variant>
      <vt:variant>
        <vt:lpwstr/>
      </vt:variant>
      <vt:variant>
        <vt:i4>3276915</vt:i4>
      </vt:variant>
      <vt:variant>
        <vt:i4>39</vt:i4>
      </vt:variant>
      <vt:variant>
        <vt:i4>0</vt:i4>
      </vt:variant>
      <vt:variant>
        <vt:i4>5</vt:i4>
      </vt:variant>
      <vt:variant>
        <vt:lpwstr>http://www.nevo.co.il/case/6116500</vt:lpwstr>
      </vt:variant>
      <vt:variant>
        <vt:lpwstr/>
      </vt:variant>
      <vt:variant>
        <vt:i4>3997814</vt:i4>
      </vt:variant>
      <vt:variant>
        <vt:i4>36</vt:i4>
      </vt:variant>
      <vt:variant>
        <vt:i4>0</vt:i4>
      </vt:variant>
      <vt:variant>
        <vt:i4>5</vt:i4>
      </vt:variant>
      <vt:variant>
        <vt:lpwstr>http://www.nevo.co.il/case/6082704</vt:lpwstr>
      </vt:variant>
      <vt:variant>
        <vt:lpwstr/>
      </vt:variant>
      <vt:variant>
        <vt:i4>3604593</vt:i4>
      </vt:variant>
      <vt:variant>
        <vt:i4>33</vt:i4>
      </vt:variant>
      <vt:variant>
        <vt:i4>0</vt:i4>
      </vt:variant>
      <vt:variant>
        <vt:i4>5</vt:i4>
      </vt:variant>
      <vt:variant>
        <vt:lpwstr>http://www.nevo.co.il/case/4510200</vt:lpwstr>
      </vt:variant>
      <vt:variant>
        <vt:lpwstr/>
      </vt:variant>
      <vt:variant>
        <vt:i4>3932274</vt:i4>
      </vt:variant>
      <vt:variant>
        <vt:i4>30</vt:i4>
      </vt:variant>
      <vt:variant>
        <vt:i4>0</vt:i4>
      </vt:variant>
      <vt:variant>
        <vt:i4>5</vt:i4>
      </vt:variant>
      <vt:variant>
        <vt:lpwstr>http://www.nevo.co.il/case/5585564</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6357089</vt:i4>
      </vt:variant>
      <vt:variant>
        <vt:i4>18</vt:i4>
      </vt:variant>
      <vt:variant>
        <vt:i4>0</vt:i4>
      </vt:variant>
      <vt:variant>
        <vt:i4>5</vt:i4>
      </vt:variant>
      <vt:variant>
        <vt:lpwstr>http://www.nevo.co.il/law/70301/448</vt:lpwstr>
      </vt:variant>
      <vt:variant>
        <vt:lpwstr/>
      </vt:variant>
      <vt:variant>
        <vt:i4>6357089</vt:i4>
      </vt:variant>
      <vt:variant>
        <vt:i4>15</vt:i4>
      </vt:variant>
      <vt:variant>
        <vt:i4>0</vt:i4>
      </vt:variant>
      <vt:variant>
        <vt:i4>5</vt:i4>
      </vt:variant>
      <vt:variant>
        <vt:lpwstr>http://www.nevo.co.il/law/70301/448</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39535</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עלמיו סרצה</vt:lpwstr>
  </property>
  <property fmtid="{D5CDD505-2E9C-101B-9397-08002B2CF9AE}" pid="10" name="LAWYER">
    <vt:lpwstr>אליזבט קדמון;סעיד חדאד</vt:lpwstr>
  </property>
  <property fmtid="{D5CDD505-2E9C-101B-9397-08002B2CF9AE}" pid="11" name="JUDGE">
    <vt:lpwstr>אשר קולה</vt:lpwstr>
  </property>
  <property fmtid="{D5CDD505-2E9C-101B-9397-08002B2CF9AE}" pid="12" name="CITY">
    <vt:lpwstr>נצ'</vt:lpwstr>
  </property>
  <property fmtid="{D5CDD505-2E9C-101B-9397-08002B2CF9AE}" pid="13" name="DATE">
    <vt:lpwstr>20130606</vt:lpwstr>
  </property>
  <property fmtid="{D5CDD505-2E9C-101B-9397-08002B2CF9AE}" pid="14" name="TYPE_N_DATE">
    <vt:lpwstr>39020130606</vt:lpwstr>
  </property>
  <property fmtid="{D5CDD505-2E9C-101B-9397-08002B2CF9AE}" pid="15" name="ISABSTRACT">
    <vt:lpwstr>Y</vt:lpwstr>
  </property>
  <property fmtid="{D5CDD505-2E9C-101B-9397-08002B2CF9AE}" pid="16" name="WORDNUMPAGES">
    <vt:lpwstr>8</vt:lpwstr>
  </property>
  <property fmtid="{D5CDD505-2E9C-101B-9397-08002B2CF9AE}" pid="17" name="TYPE_ABS_DATE">
    <vt:lpwstr>390020130606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5585564:2;4510200;6082704;6116500;6166921;5882592;5852404;5118876;4748508;5585473;5501571;4296598</vt:lpwstr>
  </property>
  <property fmtid="{D5CDD505-2E9C-101B-9397-08002B2CF9AE}" pid="36" name="LAWLISTTMP1">
    <vt:lpwstr>70301/448:3;144.a:2;040i;40ja;144</vt:lpwstr>
  </property>
</Properties>
</file>