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A12F1B" w:rsidRPr="00BD30EA" w14:paraId="55E2D1F6" w14:textId="77777777">
        <w:trPr>
          <w:trHeight w:hRule="exact" w:val="418"/>
          <w:jc w:val="center"/>
        </w:trPr>
        <w:tc>
          <w:tcPr>
            <w:tcW w:w="8721" w:type="dxa"/>
            <w:gridSpan w:val="2"/>
          </w:tcPr>
          <w:p w14:paraId="4666193B" w14:textId="77777777" w:rsidR="00A12F1B" w:rsidRPr="00BD30EA" w:rsidRDefault="00BD30EA">
            <w:pPr>
              <w:pStyle w:val="a3"/>
              <w:jc w:val="center"/>
              <w:rPr>
                <w:rFonts w:ascii="Tahoma" w:hAnsi="Tahoma" w:cs="Tahoma"/>
                <w:color w:val="000080"/>
                <w:rtl/>
              </w:rPr>
            </w:pPr>
            <w:bookmarkStart w:id="0" w:name="FirstLawyer"/>
            <w:bookmarkStart w:id="1" w:name="LastJudge"/>
            <w:r w:rsidRPr="00BD30EA">
              <w:rPr>
                <w:rFonts w:ascii="Tahoma" w:hAnsi="Tahoma" w:cs="Tahoma"/>
                <w:b/>
                <w:bCs/>
                <w:color w:val="000080"/>
                <w:rtl/>
              </w:rPr>
              <w:t>בית המשפט המחוזי בחיפה</w:t>
            </w:r>
          </w:p>
        </w:tc>
      </w:tr>
      <w:tr w:rsidR="00A12F1B" w:rsidRPr="00BD30EA" w14:paraId="02047549" w14:textId="77777777">
        <w:trPr>
          <w:trHeight w:val="337"/>
          <w:jc w:val="center"/>
        </w:trPr>
        <w:tc>
          <w:tcPr>
            <w:tcW w:w="5056" w:type="dxa"/>
          </w:tcPr>
          <w:p w14:paraId="799DA8EC" w14:textId="77777777" w:rsidR="00A12F1B" w:rsidRPr="00517B80" w:rsidRDefault="00BD30EA">
            <w:pPr>
              <w:rPr>
                <w:rFonts w:cs="FrankRuehl"/>
                <w:b/>
                <w:bCs/>
                <w:sz w:val="28"/>
                <w:szCs w:val="28"/>
                <w:rtl/>
              </w:rPr>
            </w:pPr>
            <w:r w:rsidRPr="00517B80">
              <w:rPr>
                <w:rFonts w:cs="FrankRuehl"/>
                <w:b/>
                <w:bCs/>
                <w:sz w:val="28"/>
                <w:szCs w:val="28"/>
                <w:rtl/>
              </w:rPr>
              <w:t>ת"פ</w:t>
            </w:r>
            <w:r w:rsidRPr="00517B80">
              <w:rPr>
                <w:rFonts w:cs="FrankRuehl" w:hint="cs"/>
                <w:b/>
                <w:bCs/>
                <w:sz w:val="28"/>
                <w:szCs w:val="28"/>
                <w:rtl/>
              </w:rPr>
              <w:t xml:space="preserve"> </w:t>
            </w:r>
            <w:r w:rsidRPr="00517B80">
              <w:rPr>
                <w:rFonts w:cs="FrankRuehl"/>
                <w:b/>
                <w:bCs/>
                <w:sz w:val="28"/>
                <w:szCs w:val="28"/>
                <w:rtl/>
              </w:rPr>
              <w:t>12122-04-13</w:t>
            </w:r>
            <w:r w:rsidRPr="00517B80">
              <w:rPr>
                <w:rFonts w:cs="FrankRuehl" w:hint="cs"/>
                <w:b/>
                <w:bCs/>
                <w:sz w:val="28"/>
                <w:szCs w:val="28"/>
                <w:rtl/>
              </w:rPr>
              <w:t xml:space="preserve"> </w:t>
            </w:r>
            <w:r w:rsidRPr="00517B80">
              <w:rPr>
                <w:rFonts w:cs="FrankRuehl"/>
                <w:b/>
                <w:bCs/>
                <w:sz w:val="28"/>
                <w:szCs w:val="28"/>
                <w:rtl/>
              </w:rPr>
              <w:t>מדינת ישראל נ' יונס</w:t>
            </w:r>
            <w:r w:rsidR="00517B80">
              <w:rPr>
                <w:rFonts w:cs="FrankRuehl" w:hint="cs"/>
                <w:b/>
                <w:bCs/>
                <w:sz w:val="28"/>
                <w:szCs w:val="28"/>
                <w:rtl/>
              </w:rPr>
              <w:t xml:space="preserve"> </w:t>
            </w:r>
            <w:r w:rsidRPr="00517B80">
              <w:rPr>
                <w:rFonts w:cs="FrankRuehl"/>
                <w:b/>
                <w:bCs/>
                <w:sz w:val="28"/>
                <w:szCs w:val="28"/>
                <w:rtl/>
              </w:rPr>
              <w:t>(עציר)</w:t>
            </w:r>
          </w:p>
          <w:p w14:paraId="30666EC8" w14:textId="77777777" w:rsidR="00A12F1B" w:rsidRPr="00BD30EA" w:rsidRDefault="00A12F1B">
            <w:pPr>
              <w:pStyle w:val="a3"/>
              <w:rPr>
                <w:rFonts w:cs="FrankRuehl"/>
                <w:sz w:val="28"/>
                <w:szCs w:val="28"/>
                <w:rtl/>
              </w:rPr>
            </w:pPr>
          </w:p>
        </w:tc>
        <w:tc>
          <w:tcPr>
            <w:tcW w:w="3665" w:type="dxa"/>
          </w:tcPr>
          <w:p w14:paraId="64B4AAAC" w14:textId="77777777" w:rsidR="00A12F1B" w:rsidRPr="00BD30EA" w:rsidRDefault="00A12F1B">
            <w:pPr>
              <w:pStyle w:val="a3"/>
              <w:jc w:val="right"/>
              <w:rPr>
                <w:rFonts w:cs="FrankRuehl"/>
                <w:sz w:val="28"/>
                <w:szCs w:val="28"/>
                <w:rtl/>
              </w:rPr>
            </w:pPr>
          </w:p>
        </w:tc>
      </w:tr>
    </w:tbl>
    <w:p w14:paraId="00141B1C" w14:textId="77777777" w:rsidR="00A12F1B" w:rsidRPr="00BD30EA" w:rsidRDefault="00BD30EA">
      <w:pPr>
        <w:pStyle w:val="a3"/>
        <w:rPr>
          <w:rtl/>
        </w:rPr>
      </w:pPr>
      <w:r w:rsidRPr="00BD30EA">
        <w:rPr>
          <w:rFonts w:hint="cs"/>
          <w:rtl/>
        </w:rPr>
        <w:t xml:space="preserve"> </w:t>
      </w:r>
    </w:p>
    <w:tbl>
      <w:tblPr>
        <w:bidiVisual/>
        <w:tblW w:w="8820" w:type="dxa"/>
        <w:jc w:val="center"/>
        <w:tblLook w:val="01E0" w:firstRow="1" w:lastRow="1" w:firstColumn="1" w:lastColumn="1" w:noHBand="0" w:noVBand="0"/>
      </w:tblPr>
      <w:tblGrid>
        <w:gridCol w:w="743"/>
        <w:gridCol w:w="2506"/>
        <w:gridCol w:w="5571"/>
      </w:tblGrid>
      <w:tr w:rsidR="00A12F1B" w:rsidRPr="00BD30EA" w14:paraId="55BF12C7" w14:textId="77777777">
        <w:trPr>
          <w:jc w:val="center"/>
        </w:trPr>
        <w:tc>
          <w:tcPr>
            <w:tcW w:w="743" w:type="dxa"/>
          </w:tcPr>
          <w:p w14:paraId="1E60AD62" w14:textId="77777777" w:rsidR="00A12F1B" w:rsidRPr="00517B80" w:rsidRDefault="00BD30EA">
            <w:pPr>
              <w:jc w:val="both"/>
              <w:rPr>
                <w:rFonts w:ascii="Arial" w:hAnsi="Arial"/>
                <w:b/>
                <w:bCs/>
                <w:noProof/>
                <w:sz w:val="26"/>
                <w:szCs w:val="26"/>
              </w:rPr>
            </w:pPr>
            <w:r w:rsidRPr="00517B80">
              <w:rPr>
                <w:rFonts w:ascii="Arial" w:hAnsi="Arial" w:hint="cs"/>
                <w:b/>
                <w:bCs/>
                <w:sz w:val="26"/>
                <w:szCs w:val="26"/>
                <w:rtl/>
              </w:rPr>
              <w:t xml:space="preserve">בפני </w:t>
            </w:r>
          </w:p>
        </w:tc>
        <w:tc>
          <w:tcPr>
            <w:tcW w:w="8077" w:type="dxa"/>
            <w:gridSpan w:val="2"/>
          </w:tcPr>
          <w:p w14:paraId="7DE85984" w14:textId="77777777" w:rsidR="00A12F1B" w:rsidRPr="00517B80" w:rsidRDefault="00BD30EA">
            <w:pPr>
              <w:rPr>
                <w:rFonts w:ascii="Arial" w:hAnsi="Arial"/>
                <w:b/>
                <w:bCs/>
                <w:noProof/>
                <w:sz w:val="26"/>
                <w:szCs w:val="26"/>
              </w:rPr>
            </w:pPr>
            <w:r w:rsidRPr="00517B80">
              <w:rPr>
                <w:rFonts w:ascii="Arial" w:hAnsi="Arial" w:hint="cs"/>
                <w:b/>
                <w:bCs/>
                <w:sz w:val="26"/>
                <w:szCs w:val="26"/>
                <w:rtl/>
              </w:rPr>
              <w:t>כב' ה</w:t>
            </w:r>
            <w:r w:rsidRPr="00517B80">
              <w:rPr>
                <w:rFonts w:hint="cs"/>
                <w:b/>
                <w:bCs/>
                <w:sz w:val="26"/>
                <w:szCs w:val="26"/>
                <w:rtl/>
              </w:rPr>
              <w:t>שופט</w:t>
            </w:r>
            <w:r w:rsidRPr="00517B80">
              <w:rPr>
                <w:rFonts w:ascii="Arial" w:hAnsi="Arial" w:hint="cs"/>
                <w:b/>
                <w:bCs/>
                <w:sz w:val="26"/>
                <w:szCs w:val="26"/>
                <w:rtl/>
              </w:rPr>
              <w:t xml:space="preserve">  </w:t>
            </w:r>
            <w:r w:rsidRPr="00517B80">
              <w:rPr>
                <w:rFonts w:hint="cs"/>
                <w:b/>
                <w:bCs/>
                <w:sz w:val="26"/>
                <w:szCs w:val="26"/>
                <w:rtl/>
              </w:rPr>
              <w:t>דניאל פיש</w:t>
            </w:r>
          </w:p>
        </w:tc>
      </w:tr>
      <w:tr w:rsidR="00A12F1B" w:rsidRPr="00BD30EA" w14:paraId="7081638B" w14:textId="77777777">
        <w:trPr>
          <w:jc w:val="center"/>
        </w:trPr>
        <w:tc>
          <w:tcPr>
            <w:tcW w:w="3249" w:type="dxa"/>
            <w:gridSpan w:val="2"/>
          </w:tcPr>
          <w:p w14:paraId="1E403B3B" w14:textId="77777777" w:rsidR="00A12F1B" w:rsidRPr="00517B80" w:rsidRDefault="00A12F1B">
            <w:pPr>
              <w:bidi w:val="0"/>
              <w:rPr>
                <w:rFonts w:ascii="Arial" w:hAnsi="Arial"/>
                <w:b/>
                <w:bCs/>
                <w:sz w:val="26"/>
                <w:szCs w:val="26"/>
                <w:rtl/>
              </w:rPr>
            </w:pPr>
            <w:bookmarkStart w:id="2" w:name="FirstAppellant"/>
          </w:p>
          <w:p w14:paraId="212CFF3B" w14:textId="77777777" w:rsidR="00A12F1B" w:rsidRPr="00517B80" w:rsidRDefault="00BD30EA">
            <w:pPr>
              <w:bidi w:val="0"/>
              <w:jc w:val="right"/>
              <w:rPr>
                <w:rFonts w:ascii="Arial" w:hAnsi="Arial"/>
                <w:b/>
                <w:bCs/>
                <w:sz w:val="26"/>
                <w:szCs w:val="26"/>
              </w:rPr>
            </w:pPr>
            <w:r w:rsidRPr="00517B80">
              <w:rPr>
                <w:rFonts w:hint="cs"/>
                <w:b/>
                <w:bCs/>
                <w:sz w:val="26"/>
                <w:szCs w:val="26"/>
                <w:rtl/>
              </w:rPr>
              <w:t xml:space="preserve">המאשימה </w:t>
            </w:r>
          </w:p>
        </w:tc>
        <w:tc>
          <w:tcPr>
            <w:tcW w:w="5571" w:type="dxa"/>
          </w:tcPr>
          <w:p w14:paraId="56484822" w14:textId="77777777" w:rsidR="00A12F1B" w:rsidRPr="00517B80" w:rsidRDefault="00A12F1B">
            <w:pPr>
              <w:rPr>
                <w:rFonts w:ascii="Arial" w:hAnsi="Arial"/>
                <w:b/>
                <w:bCs/>
                <w:sz w:val="26"/>
                <w:szCs w:val="26"/>
                <w:rtl/>
              </w:rPr>
            </w:pPr>
          </w:p>
          <w:p w14:paraId="2E04280E" w14:textId="77777777" w:rsidR="00A12F1B" w:rsidRPr="00517B80" w:rsidRDefault="00BD30EA">
            <w:pPr>
              <w:rPr>
                <w:b/>
                <w:bCs/>
                <w:sz w:val="26"/>
                <w:szCs w:val="26"/>
              </w:rPr>
            </w:pPr>
            <w:r w:rsidRPr="00517B80">
              <w:rPr>
                <w:rFonts w:hint="cs"/>
                <w:b/>
                <w:bCs/>
                <w:sz w:val="26"/>
                <w:szCs w:val="26"/>
                <w:rtl/>
              </w:rPr>
              <w:t>מדינת ישראל</w:t>
            </w:r>
            <w:r w:rsidRPr="00517B80">
              <w:rPr>
                <w:rFonts w:hint="cs"/>
                <w:b/>
                <w:bCs/>
                <w:sz w:val="26"/>
                <w:szCs w:val="26"/>
                <w:rtl/>
              </w:rPr>
              <w:br/>
              <w:t>באמצעות פרקליטות חיפה - פלילי</w:t>
            </w:r>
            <w:r w:rsidRPr="00517B80">
              <w:rPr>
                <w:rFonts w:hint="cs"/>
                <w:b/>
                <w:bCs/>
                <w:sz w:val="26"/>
                <w:szCs w:val="26"/>
                <w:rtl/>
              </w:rPr>
              <w:br/>
              <w:t xml:space="preserve">ע"י ב"כ עו"ד טל עופר </w:t>
            </w:r>
          </w:p>
        </w:tc>
      </w:tr>
      <w:bookmarkEnd w:id="2"/>
      <w:tr w:rsidR="00A12F1B" w:rsidRPr="00BD30EA" w14:paraId="1918CAB6" w14:textId="77777777">
        <w:trPr>
          <w:jc w:val="center"/>
        </w:trPr>
        <w:tc>
          <w:tcPr>
            <w:tcW w:w="8820" w:type="dxa"/>
            <w:gridSpan w:val="3"/>
          </w:tcPr>
          <w:p w14:paraId="2ED4D01F" w14:textId="77777777" w:rsidR="00A12F1B" w:rsidRPr="00517B80" w:rsidRDefault="00A12F1B">
            <w:pPr>
              <w:rPr>
                <w:rFonts w:ascii="Arial" w:hAnsi="Arial"/>
                <w:b/>
                <w:bCs/>
                <w:sz w:val="26"/>
                <w:szCs w:val="26"/>
                <w:rtl/>
              </w:rPr>
            </w:pPr>
          </w:p>
          <w:p w14:paraId="3540FC38" w14:textId="77777777" w:rsidR="00A12F1B" w:rsidRPr="00517B80" w:rsidRDefault="00BD30EA">
            <w:pPr>
              <w:jc w:val="center"/>
              <w:rPr>
                <w:rFonts w:ascii="Arial" w:hAnsi="Arial"/>
                <w:b/>
                <w:bCs/>
                <w:sz w:val="26"/>
                <w:szCs w:val="26"/>
              </w:rPr>
            </w:pPr>
            <w:r w:rsidRPr="00517B80">
              <w:rPr>
                <w:rFonts w:ascii="Arial" w:hAnsi="Arial" w:hint="cs"/>
                <w:b/>
                <w:bCs/>
                <w:sz w:val="26"/>
                <w:szCs w:val="26"/>
                <w:rtl/>
              </w:rPr>
              <w:t>נגד</w:t>
            </w:r>
          </w:p>
        </w:tc>
      </w:tr>
      <w:tr w:rsidR="00A12F1B" w:rsidRPr="00BD30EA" w14:paraId="23877ADD" w14:textId="77777777">
        <w:trPr>
          <w:jc w:val="center"/>
        </w:trPr>
        <w:tc>
          <w:tcPr>
            <w:tcW w:w="3249" w:type="dxa"/>
            <w:gridSpan w:val="2"/>
          </w:tcPr>
          <w:p w14:paraId="67255DD7" w14:textId="77777777" w:rsidR="00A12F1B" w:rsidRPr="00517B80" w:rsidRDefault="00A12F1B">
            <w:pPr>
              <w:rPr>
                <w:rFonts w:ascii="Arial" w:hAnsi="Arial"/>
                <w:b/>
                <w:bCs/>
                <w:sz w:val="26"/>
                <w:szCs w:val="26"/>
                <w:rtl/>
              </w:rPr>
            </w:pPr>
          </w:p>
          <w:p w14:paraId="1F8DE403" w14:textId="77777777" w:rsidR="00A12F1B" w:rsidRPr="00517B80" w:rsidRDefault="00BD30EA">
            <w:pPr>
              <w:rPr>
                <w:rFonts w:ascii="Arial" w:hAnsi="Arial"/>
                <w:b/>
                <w:bCs/>
                <w:sz w:val="26"/>
                <w:szCs w:val="26"/>
              </w:rPr>
            </w:pPr>
            <w:r w:rsidRPr="00517B80">
              <w:rPr>
                <w:rFonts w:hint="cs"/>
                <w:b/>
                <w:bCs/>
                <w:sz w:val="26"/>
                <w:szCs w:val="26"/>
                <w:rtl/>
              </w:rPr>
              <w:t xml:space="preserve">הנאשם </w:t>
            </w:r>
          </w:p>
        </w:tc>
        <w:tc>
          <w:tcPr>
            <w:tcW w:w="5571" w:type="dxa"/>
          </w:tcPr>
          <w:p w14:paraId="217117F1" w14:textId="77777777" w:rsidR="00A12F1B" w:rsidRPr="00517B80" w:rsidRDefault="00A12F1B">
            <w:pPr>
              <w:rPr>
                <w:rFonts w:ascii="Arial" w:hAnsi="Arial"/>
                <w:b/>
                <w:bCs/>
                <w:sz w:val="26"/>
                <w:szCs w:val="26"/>
                <w:rtl/>
              </w:rPr>
            </w:pPr>
          </w:p>
          <w:p w14:paraId="0AB02BA8" w14:textId="77777777" w:rsidR="00A12F1B" w:rsidRPr="00517B80" w:rsidRDefault="00BD30EA">
            <w:pPr>
              <w:rPr>
                <w:b/>
                <w:bCs/>
                <w:sz w:val="26"/>
                <w:szCs w:val="26"/>
              </w:rPr>
            </w:pPr>
            <w:r w:rsidRPr="00517B80">
              <w:rPr>
                <w:rFonts w:hint="cs"/>
                <w:b/>
                <w:bCs/>
                <w:sz w:val="26"/>
                <w:szCs w:val="26"/>
                <w:rtl/>
              </w:rPr>
              <w:t xml:space="preserve">מוחמד יונס ת.ז. 204295943 </w:t>
            </w:r>
            <w:r w:rsidRPr="00517B80">
              <w:rPr>
                <w:rFonts w:hint="cs"/>
                <w:b/>
                <w:bCs/>
                <w:sz w:val="26"/>
                <w:szCs w:val="26"/>
                <w:rtl/>
              </w:rPr>
              <w:br/>
              <w:t xml:space="preserve">ע"י ב"כ עו"ד איברהים חורי ועו"ד עדאל בויראת </w:t>
            </w:r>
          </w:p>
        </w:tc>
      </w:tr>
    </w:tbl>
    <w:p w14:paraId="1F8137EB" w14:textId="77777777" w:rsidR="00B512C3" w:rsidRDefault="00B512C3" w:rsidP="00833D11">
      <w:pPr>
        <w:spacing w:after="120" w:line="240" w:lineRule="exact"/>
        <w:ind w:left="283" w:hanging="283"/>
        <w:jc w:val="both"/>
        <w:rPr>
          <w:rFonts w:ascii="FrankRuehl" w:hAnsi="FrankRuehl" w:cs="FrankRuehl"/>
          <w:rtl/>
        </w:rPr>
      </w:pPr>
      <w:bookmarkStart w:id="3" w:name="LawTable"/>
      <w:bookmarkEnd w:id="3"/>
    </w:p>
    <w:p w14:paraId="3B4AFEB9" w14:textId="77777777" w:rsidR="00B512C3" w:rsidRPr="00B512C3" w:rsidRDefault="00B512C3" w:rsidP="00B512C3">
      <w:pPr>
        <w:spacing w:after="120" w:line="240" w:lineRule="exact"/>
        <w:ind w:left="283" w:hanging="283"/>
        <w:jc w:val="both"/>
        <w:rPr>
          <w:rFonts w:ascii="FrankRuehl" w:hAnsi="FrankRuehl" w:cs="FrankRuehl"/>
          <w:rtl/>
        </w:rPr>
      </w:pPr>
      <w:r w:rsidRPr="00B512C3">
        <w:rPr>
          <w:rFonts w:ascii="FrankRuehl" w:hAnsi="FrankRuehl" w:cs="FrankRuehl"/>
          <w:rtl/>
        </w:rPr>
        <w:t xml:space="preserve">חקיקה שאוזכרה: </w:t>
      </w:r>
    </w:p>
    <w:p w14:paraId="471ADC91" w14:textId="77777777" w:rsidR="00B512C3" w:rsidRPr="00B512C3" w:rsidRDefault="00B512C3" w:rsidP="00B512C3">
      <w:pPr>
        <w:spacing w:after="120" w:line="240" w:lineRule="exact"/>
        <w:ind w:left="283" w:hanging="283"/>
        <w:jc w:val="both"/>
        <w:rPr>
          <w:rFonts w:ascii="FrankRuehl" w:hAnsi="FrankRuehl" w:cs="FrankRuehl"/>
          <w:rtl/>
        </w:rPr>
      </w:pPr>
      <w:hyperlink r:id="rId7" w:history="1">
        <w:r w:rsidRPr="00B512C3">
          <w:rPr>
            <w:rFonts w:ascii="FrankRuehl" w:hAnsi="FrankRuehl" w:cs="FrankRuehl"/>
            <w:color w:val="0000FF"/>
            <w:u w:val="single"/>
            <w:rtl/>
          </w:rPr>
          <w:t>חוק העונשין, תשל"ז-1977</w:t>
        </w:r>
      </w:hyperlink>
      <w:r w:rsidRPr="00B512C3">
        <w:rPr>
          <w:rFonts w:ascii="FrankRuehl" w:hAnsi="FrankRuehl" w:cs="FrankRuehl"/>
          <w:rtl/>
        </w:rPr>
        <w:t xml:space="preserve">: סע'  </w:t>
      </w:r>
      <w:hyperlink r:id="rId8" w:history="1">
        <w:r w:rsidRPr="00B512C3">
          <w:rPr>
            <w:rFonts w:ascii="FrankRuehl" w:hAnsi="FrankRuehl" w:cs="FrankRuehl"/>
            <w:color w:val="0000FF"/>
            <w:u w:val="single"/>
            <w:rtl/>
          </w:rPr>
          <w:t>144(א)</w:t>
        </w:r>
      </w:hyperlink>
      <w:r w:rsidRPr="00B512C3">
        <w:rPr>
          <w:rFonts w:ascii="FrankRuehl" w:hAnsi="FrankRuehl" w:cs="FrankRuehl"/>
          <w:rtl/>
        </w:rPr>
        <w:t xml:space="preserve">, </w:t>
      </w:r>
      <w:hyperlink r:id="rId9" w:history="1">
        <w:r w:rsidRPr="00B512C3">
          <w:rPr>
            <w:rFonts w:ascii="FrankRuehl" w:hAnsi="FrankRuehl" w:cs="FrankRuehl"/>
            <w:color w:val="0000FF"/>
            <w:u w:val="single"/>
            <w:rtl/>
          </w:rPr>
          <w:t>144(ב)</w:t>
        </w:r>
      </w:hyperlink>
      <w:r w:rsidRPr="00B512C3">
        <w:rPr>
          <w:rFonts w:ascii="FrankRuehl" w:hAnsi="FrankRuehl" w:cs="FrankRuehl"/>
          <w:rtl/>
        </w:rPr>
        <w:t xml:space="preserve">, </w:t>
      </w:r>
      <w:hyperlink r:id="rId10" w:history="1">
        <w:r w:rsidRPr="00B512C3">
          <w:rPr>
            <w:rFonts w:ascii="FrankRuehl" w:hAnsi="FrankRuehl" w:cs="FrankRuehl"/>
            <w:color w:val="0000FF"/>
            <w:u w:val="single"/>
            <w:rtl/>
          </w:rPr>
          <w:t>287(א)</w:t>
        </w:r>
      </w:hyperlink>
      <w:r w:rsidRPr="00B512C3">
        <w:rPr>
          <w:rFonts w:ascii="FrankRuehl" w:hAnsi="FrankRuehl" w:cs="FrankRuehl"/>
          <w:rtl/>
        </w:rPr>
        <w:t xml:space="preserve">, </w:t>
      </w:r>
      <w:hyperlink r:id="rId11" w:history="1">
        <w:r w:rsidRPr="00B512C3">
          <w:rPr>
            <w:rFonts w:ascii="FrankRuehl" w:hAnsi="FrankRuehl" w:cs="FrankRuehl"/>
            <w:color w:val="0000FF"/>
            <w:u w:val="single"/>
            <w:rtl/>
          </w:rPr>
          <w:t>329</w:t>
        </w:r>
      </w:hyperlink>
      <w:r w:rsidRPr="00B512C3">
        <w:rPr>
          <w:rFonts w:ascii="FrankRuehl" w:hAnsi="FrankRuehl" w:cs="FrankRuehl"/>
          <w:rtl/>
        </w:rPr>
        <w:t xml:space="preserve">, </w:t>
      </w:r>
      <w:hyperlink r:id="rId12" w:history="1">
        <w:r w:rsidRPr="00B512C3">
          <w:rPr>
            <w:rFonts w:ascii="FrankRuehl" w:hAnsi="FrankRuehl" w:cs="FrankRuehl"/>
            <w:color w:val="0000FF"/>
            <w:u w:val="single"/>
            <w:rtl/>
          </w:rPr>
          <w:t>329(1)</w:t>
        </w:r>
      </w:hyperlink>
      <w:r w:rsidRPr="00B512C3">
        <w:rPr>
          <w:rFonts w:ascii="FrankRuehl" w:hAnsi="FrankRuehl" w:cs="FrankRuehl"/>
          <w:rtl/>
        </w:rPr>
        <w:t xml:space="preserve">, </w:t>
      </w:r>
      <w:hyperlink r:id="rId13" w:history="1">
        <w:r w:rsidRPr="00B512C3">
          <w:rPr>
            <w:rFonts w:ascii="FrankRuehl" w:hAnsi="FrankRuehl" w:cs="FrankRuehl"/>
            <w:color w:val="0000FF"/>
            <w:u w:val="single"/>
            <w:rtl/>
          </w:rPr>
          <w:t>329(א)(1)</w:t>
        </w:r>
      </w:hyperlink>
    </w:p>
    <w:p w14:paraId="6C8C8CF3" w14:textId="77777777" w:rsidR="00B512C3" w:rsidRPr="00B512C3" w:rsidRDefault="00B512C3" w:rsidP="00B512C3">
      <w:pPr>
        <w:spacing w:after="120" w:line="240" w:lineRule="exact"/>
        <w:ind w:left="283" w:hanging="283"/>
        <w:jc w:val="both"/>
        <w:rPr>
          <w:rFonts w:ascii="FrankRuehl" w:hAnsi="FrankRuehl" w:cs="FrankRuehl"/>
          <w:rtl/>
        </w:rPr>
      </w:pPr>
      <w:hyperlink r:id="rId14" w:history="1">
        <w:r w:rsidRPr="00B512C3">
          <w:rPr>
            <w:rFonts w:ascii="FrankRuehl" w:hAnsi="FrankRuehl" w:cs="FrankRuehl"/>
            <w:color w:val="0000FF"/>
            <w:u w:val="single"/>
            <w:rtl/>
          </w:rPr>
          <w:t>חוק זכויות נפגעי עבירה, תשס"א-2001</w:t>
        </w:r>
      </w:hyperlink>
      <w:r w:rsidRPr="00B512C3">
        <w:rPr>
          <w:rFonts w:ascii="FrankRuehl" w:hAnsi="FrankRuehl" w:cs="FrankRuehl"/>
          <w:rtl/>
        </w:rPr>
        <w:t xml:space="preserve">: סע'  </w:t>
      </w:r>
      <w:hyperlink r:id="rId15" w:history="1">
        <w:r w:rsidRPr="00B512C3">
          <w:rPr>
            <w:rFonts w:ascii="FrankRuehl" w:hAnsi="FrankRuehl" w:cs="FrankRuehl"/>
            <w:color w:val="0000FF"/>
            <w:u w:val="single"/>
            <w:rtl/>
          </w:rPr>
          <w:t>18</w:t>
        </w:r>
      </w:hyperlink>
    </w:p>
    <w:p w14:paraId="67084428" w14:textId="77777777" w:rsidR="00B512C3" w:rsidRPr="00B512C3" w:rsidRDefault="00B512C3" w:rsidP="00B512C3">
      <w:pPr>
        <w:spacing w:after="120" w:line="240" w:lineRule="exact"/>
        <w:ind w:left="283" w:hanging="283"/>
        <w:jc w:val="both"/>
        <w:rPr>
          <w:rFonts w:ascii="FrankRuehl" w:hAnsi="FrankRuehl" w:cs="FrankRuehl"/>
          <w:rtl/>
        </w:rPr>
      </w:pPr>
    </w:p>
    <w:p w14:paraId="432B925D" w14:textId="77777777" w:rsidR="00517B80" w:rsidRDefault="00517B80" w:rsidP="00517B80">
      <w:pPr>
        <w:pStyle w:val="a6"/>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bookmarkStart w:id="4" w:name="LawTable_End"/>
      <w:bookmarkStart w:id="5" w:name="ABSTRACT_START"/>
      <w:bookmarkEnd w:id="4"/>
      <w:bookmarkEnd w:id="5"/>
      <w:r>
        <w:rPr>
          <w:rFonts w:ascii="Times New Roman" w:hAnsi="Times New Roman" w:cs="FrankRuehl"/>
          <w:sz w:val="24"/>
          <w:szCs w:val="26"/>
          <w:rtl/>
        </w:rPr>
        <w:t>מיני-רציו:</w:t>
      </w:r>
    </w:p>
    <w:p w14:paraId="799ADFD6" w14:textId="77777777" w:rsidR="00517B80" w:rsidRPr="00517B80" w:rsidRDefault="00517B80" w:rsidP="00517B80">
      <w:pPr>
        <w:pStyle w:val="a6"/>
        <w:pBdr>
          <w:top w:val="single" w:sz="4" w:space="1" w:color="auto"/>
          <w:bottom w:val="single" w:sz="4" w:space="1" w:color="auto"/>
        </w:pBdr>
        <w:spacing w:after="120" w:line="320" w:lineRule="exact"/>
        <w:ind w:left="0"/>
        <w:jc w:val="both"/>
        <w:rPr>
          <w:rFonts w:ascii="Times New Roman" w:hAnsi="Times New Roman" w:cs="FrankRuehl" w:hint="cs"/>
          <w:sz w:val="24"/>
          <w:szCs w:val="26"/>
        </w:rPr>
      </w:pPr>
      <w:r>
        <w:rPr>
          <w:rFonts w:ascii="Times New Roman" w:hAnsi="Times New Roman" w:cs="FrankRuehl" w:hint="cs"/>
          <w:sz w:val="24"/>
          <w:szCs w:val="26"/>
          <w:rtl/>
        </w:rPr>
        <w:t xml:space="preserve">* </w:t>
      </w:r>
      <w:r w:rsidRPr="00517B80">
        <w:rPr>
          <w:rFonts w:ascii="Times New Roman" w:hAnsi="Times New Roman" w:cs="FrankRuehl" w:hint="cs"/>
          <w:sz w:val="24"/>
          <w:szCs w:val="26"/>
          <w:rtl/>
        </w:rPr>
        <w:t xml:space="preserve">הנאשם, אשר הורשע </w:t>
      </w:r>
      <w:r w:rsidRPr="00517B80">
        <w:rPr>
          <w:rFonts w:ascii="Times New Roman" w:hAnsi="Times New Roman" w:cs="FrankRuehl"/>
          <w:sz w:val="24"/>
          <w:szCs w:val="26"/>
          <w:rtl/>
        </w:rPr>
        <w:t>בעבירות של חבלה בכוונה מחמירה</w:t>
      </w:r>
      <w:r w:rsidRPr="00517B80">
        <w:rPr>
          <w:rFonts w:ascii="Times New Roman" w:hAnsi="Times New Roman" w:cs="FrankRuehl" w:hint="cs"/>
          <w:sz w:val="24"/>
          <w:szCs w:val="26"/>
          <w:rtl/>
        </w:rPr>
        <w:t xml:space="preserve">, </w:t>
      </w:r>
      <w:r w:rsidRPr="00517B80">
        <w:rPr>
          <w:rFonts w:ascii="Times New Roman" w:hAnsi="Times New Roman" w:cs="FrankRuehl"/>
          <w:sz w:val="24"/>
          <w:szCs w:val="26"/>
          <w:rtl/>
        </w:rPr>
        <w:t>החזקת ונשיאת נשק ותחמושת והפרת הוראה חוקית</w:t>
      </w:r>
      <w:r w:rsidRPr="00517B80">
        <w:rPr>
          <w:rFonts w:ascii="Times New Roman" w:hAnsi="Times New Roman" w:cs="FrankRuehl" w:hint="cs"/>
          <w:sz w:val="24"/>
          <w:szCs w:val="26"/>
          <w:rtl/>
        </w:rPr>
        <w:t xml:space="preserve">, נידון ל-11 שנות </w:t>
      </w:r>
      <w:r w:rsidRPr="00517B80">
        <w:rPr>
          <w:rFonts w:ascii="Times New Roman" w:hAnsi="Times New Roman" w:cs="FrankRuehl"/>
          <w:sz w:val="24"/>
          <w:szCs w:val="26"/>
          <w:rtl/>
        </w:rPr>
        <w:t>מאסר בפועל</w:t>
      </w:r>
      <w:r w:rsidRPr="00517B80">
        <w:rPr>
          <w:rFonts w:ascii="Times New Roman" w:hAnsi="Times New Roman" w:cs="FrankRuehl" w:hint="cs"/>
          <w:sz w:val="24"/>
          <w:szCs w:val="26"/>
          <w:rtl/>
        </w:rPr>
        <w:t xml:space="preserve">, </w:t>
      </w:r>
      <w:r w:rsidRPr="00517B80">
        <w:rPr>
          <w:rFonts w:ascii="Times New Roman" w:hAnsi="Times New Roman" w:cs="FrankRuehl"/>
          <w:sz w:val="24"/>
          <w:szCs w:val="26"/>
          <w:rtl/>
        </w:rPr>
        <w:t xml:space="preserve">18 חודשי מאסר </w:t>
      </w:r>
      <w:r w:rsidRPr="00517B80">
        <w:rPr>
          <w:rFonts w:ascii="Times New Roman" w:hAnsi="Times New Roman" w:cs="FrankRuehl" w:hint="cs"/>
          <w:sz w:val="24"/>
          <w:szCs w:val="26"/>
          <w:rtl/>
        </w:rPr>
        <w:t xml:space="preserve">מותנה, </w:t>
      </w:r>
      <w:r w:rsidRPr="00517B80">
        <w:rPr>
          <w:rFonts w:ascii="Times New Roman" w:hAnsi="Times New Roman" w:cs="FrankRuehl"/>
          <w:sz w:val="24"/>
          <w:szCs w:val="26"/>
          <w:rtl/>
        </w:rPr>
        <w:t xml:space="preserve">קנס </w:t>
      </w:r>
      <w:r w:rsidRPr="00517B80">
        <w:rPr>
          <w:rFonts w:ascii="Times New Roman" w:hAnsi="Times New Roman" w:cs="FrankRuehl" w:hint="cs"/>
          <w:sz w:val="24"/>
          <w:szCs w:val="26"/>
          <w:rtl/>
        </w:rPr>
        <w:t>ו</w:t>
      </w:r>
      <w:r w:rsidRPr="00517B80">
        <w:rPr>
          <w:rFonts w:ascii="Times New Roman" w:hAnsi="Times New Roman" w:cs="FrankRuehl"/>
          <w:sz w:val="24"/>
          <w:szCs w:val="26"/>
          <w:rtl/>
        </w:rPr>
        <w:t>פיצויים למתלונן</w:t>
      </w:r>
      <w:r w:rsidRPr="00517B80">
        <w:rPr>
          <w:rFonts w:ascii="Times New Roman" w:hAnsi="Times New Roman" w:cs="FrankRuehl" w:hint="cs"/>
          <w:sz w:val="24"/>
          <w:szCs w:val="26"/>
          <w:rtl/>
        </w:rPr>
        <w:t>.</w:t>
      </w:r>
    </w:p>
    <w:p w14:paraId="4589FDB7" w14:textId="77777777" w:rsidR="00517B80" w:rsidRDefault="00517B80" w:rsidP="00517B80">
      <w:pPr>
        <w:pStyle w:val="a6"/>
        <w:pBdr>
          <w:top w:val="single" w:sz="4" w:space="1" w:color="auto"/>
          <w:bottom w:val="single" w:sz="4" w:space="1" w:color="auto"/>
        </w:pBdr>
        <w:spacing w:after="120" w:line="320" w:lineRule="exact"/>
        <w:ind w:left="0"/>
        <w:jc w:val="both"/>
        <w:rPr>
          <w:rFonts w:ascii="Times New Roman" w:hAnsi="Times New Roman" w:cs="FrankRuehl"/>
          <w:sz w:val="24"/>
          <w:szCs w:val="26"/>
          <w:rtl/>
        </w:rPr>
      </w:pPr>
      <w:r>
        <w:rPr>
          <w:rFonts w:ascii="Times New Roman" w:hAnsi="Times New Roman" w:cs="FrankRuehl"/>
          <w:sz w:val="24"/>
          <w:szCs w:val="26"/>
          <w:rtl/>
        </w:rPr>
        <w:t>* עונשין – ענישה – מדיניות ענישה: עבירות אלימות</w:t>
      </w:r>
    </w:p>
    <w:p w14:paraId="59D741C0" w14:textId="77777777" w:rsidR="00517B80" w:rsidRDefault="00517B80" w:rsidP="00517B80">
      <w:pPr>
        <w:pStyle w:val="a6"/>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sz w:val="24"/>
          <w:szCs w:val="26"/>
          <w:rtl/>
        </w:rPr>
        <w:t>* עונשין – ענישה – מדיניות ענישה: עבירות נשק</w:t>
      </w:r>
    </w:p>
    <w:p w14:paraId="32024EA6" w14:textId="77777777" w:rsidR="00517B80" w:rsidRDefault="00517B80" w:rsidP="00517B80">
      <w:pPr>
        <w:pStyle w:val="a6"/>
        <w:pBdr>
          <w:top w:val="single" w:sz="4" w:space="1" w:color="auto"/>
          <w:bottom w:val="single" w:sz="4" w:space="1" w:color="auto"/>
        </w:pBdr>
        <w:spacing w:after="120" w:line="320" w:lineRule="exact"/>
        <w:ind w:left="0"/>
        <w:jc w:val="both"/>
        <w:rPr>
          <w:rFonts w:ascii="Times New Roman" w:hAnsi="Times New Roman" w:cs="FrankRuehl" w:hint="cs"/>
          <w:sz w:val="24"/>
          <w:szCs w:val="26"/>
          <w:rtl/>
        </w:rPr>
      </w:pPr>
      <w:r>
        <w:rPr>
          <w:rFonts w:ascii="Times New Roman" w:hAnsi="Times New Roman" w:cs="FrankRuehl" w:hint="cs"/>
          <w:sz w:val="24"/>
          <w:szCs w:val="26"/>
          <w:rtl/>
        </w:rPr>
        <w:t>.</w:t>
      </w:r>
    </w:p>
    <w:p w14:paraId="1D8FFF5D" w14:textId="77777777" w:rsidR="00440F47" w:rsidRPr="00517B80" w:rsidRDefault="00440F47" w:rsidP="00517B80">
      <w:pPr>
        <w:pBdr>
          <w:top w:val="single" w:sz="4" w:space="1" w:color="auto"/>
          <w:bottom w:val="single" w:sz="4" w:space="1" w:color="auto"/>
        </w:pBdr>
        <w:spacing w:after="120" w:line="320" w:lineRule="exact"/>
        <w:jc w:val="both"/>
        <w:rPr>
          <w:rFonts w:cs="FrankRuehl" w:hint="cs"/>
          <w:szCs w:val="26"/>
          <w:rtl/>
        </w:rPr>
      </w:pPr>
      <w:r w:rsidRPr="00517B80">
        <w:rPr>
          <w:rFonts w:cs="FrankRuehl"/>
          <w:szCs w:val="26"/>
          <w:rtl/>
        </w:rPr>
        <w:t>הנאשם הורשע בעבירות של חבלה בכוונה מחמירה</w:t>
      </w:r>
      <w:r w:rsidRPr="00517B80">
        <w:rPr>
          <w:rFonts w:cs="FrankRuehl" w:hint="cs"/>
          <w:szCs w:val="26"/>
          <w:rtl/>
        </w:rPr>
        <w:t xml:space="preserve">, </w:t>
      </w:r>
      <w:r w:rsidRPr="00517B80">
        <w:rPr>
          <w:rFonts w:cs="FrankRuehl"/>
          <w:szCs w:val="26"/>
          <w:rtl/>
        </w:rPr>
        <w:t>החזקת ונשיאת נשק ותחמושת והפרת הוראה חוקית</w:t>
      </w:r>
      <w:r w:rsidRPr="00517B80">
        <w:rPr>
          <w:rFonts w:cs="FrankRuehl" w:hint="cs"/>
          <w:szCs w:val="26"/>
          <w:rtl/>
        </w:rPr>
        <w:t xml:space="preserve">, בגין כך שירה במתלונן באקדח. </w:t>
      </w:r>
    </w:p>
    <w:p w14:paraId="38444A15" w14:textId="77777777" w:rsidR="00517B80" w:rsidRDefault="00517B80" w:rsidP="00517B80">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EDAE36B" w14:textId="77777777" w:rsidR="00440F47" w:rsidRPr="00517B80" w:rsidRDefault="00440F47" w:rsidP="00517B80">
      <w:pPr>
        <w:pBdr>
          <w:top w:val="single" w:sz="4" w:space="1" w:color="auto"/>
          <w:bottom w:val="single" w:sz="4" w:space="1" w:color="auto"/>
        </w:pBdr>
        <w:spacing w:after="120" w:line="320" w:lineRule="exact"/>
        <w:jc w:val="both"/>
        <w:rPr>
          <w:rFonts w:cs="FrankRuehl" w:hint="cs"/>
          <w:szCs w:val="26"/>
          <w:rtl/>
        </w:rPr>
      </w:pPr>
      <w:r w:rsidRPr="00517B80">
        <w:rPr>
          <w:rFonts w:cs="FrankRuehl"/>
          <w:szCs w:val="26"/>
          <w:rtl/>
        </w:rPr>
        <w:t>בית המשפט המחוזי</w:t>
      </w:r>
      <w:r w:rsidRPr="00517B80">
        <w:rPr>
          <w:rFonts w:cs="FrankRuehl" w:hint="cs"/>
          <w:szCs w:val="26"/>
          <w:rtl/>
        </w:rPr>
        <w:t xml:space="preserve"> גזר את הדין ופסק:</w:t>
      </w:r>
    </w:p>
    <w:p w14:paraId="1E5346E8" w14:textId="77777777" w:rsidR="00440F47" w:rsidRPr="00517B80" w:rsidRDefault="00440F47" w:rsidP="00517B80">
      <w:pPr>
        <w:pBdr>
          <w:top w:val="single" w:sz="4" w:space="1" w:color="auto"/>
          <w:bottom w:val="single" w:sz="4" w:space="1" w:color="auto"/>
        </w:pBdr>
        <w:spacing w:after="120" w:line="320" w:lineRule="exact"/>
        <w:jc w:val="both"/>
        <w:rPr>
          <w:rFonts w:cs="FrankRuehl"/>
          <w:szCs w:val="26"/>
        </w:rPr>
      </w:pPr>
      <w:r w:rsidRPr="00517B80">
        <w:rPr>
          <w:rFonts w:cs="FrankRuehl"/>
          <w:szCs w:val="26"/>
          <w:rtl/>
        </w:rPr>
        <w:t>כאשר מדובר בביצוע ירי</w:t>
      </w:r>
      <w:r w:rsidRPr="00517B80">
        <w:rPr>
          <w:rFonts w:cs="FrankRuehl" w:hint="cs"/>
          <w:szCs w:val="26"/>
          <w:rtl/>
        </w:rPr>
        <w:t>,</w:t>
      </w:r>
      <w:r w:rsidRPr="00517B80">
        <w:rPr>
          <w:rFonts w:cs="FrankRuehl"/>
          <w:szCs w:val="26"/>
          <w:rtl/>
        </w:rPr>
        <w:t xml:space="preserve"> ועוד מטווח קרוב</w:t>
      </w:r>
      <w:r w:rsidRPr="00517B80">
        <w:rPr>
          <w:rFonts w:cs="FrankRuehl" w:hint="cs"/>
          <w:szCs w:val="26"/>
          <w:rtl/>
        </w:rPr>
        <w:t xml:space="preserve">, </w:t>
      </w:r>
      <w:r w:rsidRPr="00517B80">
        <w:rPr>
          <w:rFonts w:cs="FrankRuehl"/>
          <w:szCs w:val="26"/>
          <w:rtl/>
        </w:rPr>
        <w:t>בכוונה לפגוע באחר, תוך כדי גרימת נזקים גופניים רציניים, מידת הפגיעה בערכי</w:t>
      </w:r>
      <w:r w:rsidRPr="00517B80">
        <w:rPr>
          <w:rFonts w:cs="FrankRuehl" w:hint="cs"/>
          <w:szCs w:val="26"/>
          <w:rtl/>
        </w:rPr>
        <w:t>ם המוגנים -</w:t>
      </w:r>
      <w:r w:rsidRPr="00517B80">
        <w:rPr>
          <w:rFonts w:cs="FrankRuehl"/>
          <w:szCs w:val="26"/>
          <w:rtl/>
        </w:rPr>
        <w:t xml:space="preserve"> הזכות לשלמות הגוף, השמירה על שלום הציבור ושמירה על שלטון החוק</w:t>
      </w:r>
      <w:r w:rsidR="00517B80">
        <w:rPr>
          <w:rFonts w:cs="FrankRuehl" w:hint="cs"/>
          <w:szCs w:val="26"/>
          <w:rtl/>
        </w:rPr>
        <w:t xml:space="preserve"> – </w:t>
      </w:r>
      <w:r w:rsidRPr="00517B80">
        <w:rPr>
          <w:rFonts w:cs="FrankRuehl" w:hint="cs"/>
          <w:szCs w:val="26"/>
          <w:rtl/>
        </w:rPr>
        <w:t>גבוהה</w:t>
      </w:r>
      <w:r w:rsidRPr="00517B80">
        <w:rPr>
          <w:rFonts w:cs="FrankRuehl"/>
          <w:szCs w:val="26"/>
          <w:rtl/>
        </w:rPr>
        <w:t>. מדיניות הענישה המשתקפת מן הפסיקה במקרים דומים מחמירה.</w:t>
      </w:r>
      <w:r w:rsidRPr="00517B80">
        <w:rPr>
          <w:rFonts w:cs="FrankRuehl" w:hint="cs"/>
          <w:szCs w:val="26"/>
          <w:rtl/>
        </w:rPr>
        <w:t xml:space="preserve"> בנסיבות העניין, </w:t>
      </w:r>
      <w:r w:rsidRPr="00517B80">
        <w:rPr>
          <w:rFonts w:cs="FrankRuehl"/>
          <w:szCs w:val="26"/>
          <w:rtl/>
        </w:rPr>
        <w:t>מתחם הענישה הסביר נ</w:t>
      </w:r>
      <w:r w:rsidRPr="00517B80">
        <w:rPr>
          <w:rFonts w:cs="FrankRuehl" w:hint="cs"/>
          <w:szCs w:val="26"/>
          <w:rtl/>
        </w:rPr>
        <w:t>ע</w:t>
      </w:r>
      <w:r w:rsidRPr="00517B80">
        <w:rPr>
          <w:rFonts w:cs="FrankRuehl"/>
          <w:szCs w:val="26"/>
          <w:rtl/>
        </w:rPr>
        <w:t xml:space="preserve"> בין 9 </w:t>
      </w:r>
      <w:r w:rsidR="00517B80">
        <w:rPr>
          <w:rFonts w:cs="FrankRuehl" w:hint="eastAsia"/>
          <w:szCs w:val="26"/>
          <w:rtl/>
        </w:rPr>
        <w:t>–</w:t>
      </w:r>
      <w:r w:rsidRPr="00517B80">
        <w:rPr>
          <w:rFonts w:cs="FrankRuehl"/>
          <w:szCs w:val="26"/>
          <w:rtl/>
        </w:rPr>
        <w:t xml:space="preserve"> 13 שנות מאסר</w:t>
      </w:r>
      <w:r w:rsidRPr="00517B80">
        <w:rPr>
          <w:rFonts w:cs="FrankRuehl" w:hint="cs"/>
          <w:szCs w:val="26"/>
          <w:rtl/>
        </w:rPr>
        <w:t xml:space="preserve"> ולאור מכלול השיקולים הושתו על הנאשם 11 שנות </w:t>
      </w:r>
      <w:r w:rsidRPr="00517B80">
        <w:rPr>
          <w:rFonts w:cs="FrankRuehl"/>
          <w:szCs w:val="26"/>
          <w:rtl/>
        </w:rPr>
        <w:t>מאסר בפועל</w:t>
      </w:r>
      <w:r w:rsidRPr="00517B80">
        <w:rPr>
          <w:rFonts w:cs="FrankRuehl" w:hint="cs"/>
          <w:szCs w:val="26"/>
          <w:rtl/>
        </w:rPr>
        <w:t xml:space="preserve"> בניכוי המעצר, </w:t>
      </w:r>
      <w:r w:rsidRPr="00517B80">
        <w:rPr>
          <w:rFonts w:cs="FrankRuehl"/>
          <w:szCs w:val="26"/>
          <w:rtl/>
        </w:rPr>
        <w:t>18 חודשי מאסר על תנאי</w:t>
      </w:r>
      <w:r w:rsidRPr="00517B80">
        <w:rPr>
          <w:rFonts w:cs="FrankRuehl" w:hint="cs"/>
          <w:szCs w:val="26"/>
          <w:rtl/>
        </w:rPr>
        <w:t xml:space="preserve">, </w:t>
      </w:r>
      <w:r w:rsidRPr="00517B80">
        <w:rPr>
          <w:rFonts w:cs="FrankRuehl"/>
          <w:szCs w:val="26"/>
          <w:rtl/>
        </w:rPr>
        <w:t xml:space="preserve">קנס בסך 5,000 ₪ </w:t>
      </w:r>
      <w:r w:rsidRPr="00517B80">
        <w:rPr>
          <w:rFonts w:cs="FrankRuehl" w:hint="cs"/>
          <w:szCs w:val="26"/>
          <w:rtl/>
        </w:rPr>
        <w:t>ו</w:t>
      </w:r>
      <w:r w:rsidRPr="00517B80">
        <w:rPr>
          <w:rFonts w:cs="FrankRuehl"/>
          <w:szCs w:val="26"/>
          <w:rtl/>
        </w:rPr>
        <w:t>פיצויים למתלונן בסך 36,000 ₪</w:t>
      </w:r>
      <w:r w:rsidRPr="00517B80">
        <w:rPr>
          <w:rFonts w:cs="FrankRuehl" w:hint="cs"/>
          <w:szCs w:val="26"/>
          <w:rtl/>
        </w:rPr>
        <w:t>.</w:t>
      </w:r>
    </w:p>
    <w:p w14:paraId="7BD3ED3F" w14:textId="77777777" w:rsidR="00440F47" w:rsidRPr="00440F47" w:rsidRDefault="00440F47" w:rsidP="00833D11">
      <w:pPr>
        <w:spacing w:after="120" w:line="240" w:lineRule="exact"/>
        <w:ind w:left="283" w:hanging="283"/>
        <w:jc w:val="both"/>
        <w:rPr>
          <w:rFonts w:ascii="FrankRuehl" w:hAnsi="FrankRuehl" w:cs="FrankRuehl"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12F1B" w14:paraId="0D8B5C69" w14:textId="77777777">
        <w:trPr>
          <w:trHeight w:val="355"/>
          <w:jc w:val="center"/>
        </w:trPr>
        <w:tc>
          <w:tcPr>
            <w:tcW w:w="8820" w:type="dxa"/>
            <w:tcBorders>
              <w:top w:val="nil"/>
              <w:left w:val="nil"/>
              <w:bottom w:val="nil"/>
              <w:right w:val="nil"/>
            </w:tcBorders>
          </w:tcPr>
          <w:p w14:paraId="0C418838" w14:textId="77777777" w:rsidR="00BD30EA" w:rsidRPr="00BD30EA" w:rsidRDefault="00BD30EA" w:rsidP="00BD30EA">
            <w:pPr>
              <w:jc w:val="center"/>
              <w:rPr>
                <w:rFonts w:ascii="Arial" w:hAnsi="Arial" w:cs="FrankRuehl"/>
                <w:b/>
                <w:bCs/>
                <w:sz w:val="32"/>
                <w:szCs w:val="32"/>
                <w:u w:val="single"/>
                <w:rtl/>
              </w:rPr>
            </w:pPr>
            <w:bookmarkStart w:id="7" w:name="PsakDin" w:colFirst="0" w:colLast="0"/>
            <w:bookmarkEnd w:id="0"/>
            <w:bookmarkEnd w:id="1"/>
            <w:r w:rsidRPr="00BD30EA">
              <w:rPr>
                <w:rFonts w:ascii="Arial" w:hAnsi="Arial" w:cs="FrankRuehl"/>
                <w:b/>
                <w:bCs/>
                <w:sz w:val="32"/>
                <w:szCs w:val="32"/>
                <w:u w:val="single"/>
                <w:rtl/>
              </w:rPr>
              <w:t>גזר דין</w:t>
            </w:r>
          </w:p>
          <w:p w14:paraId="49138969" w14:textId="77777777" w:rsidR="00A12F1B" w:rsidRPr="00BD30EA" w:rsidRDefault="00A12F1B" w:rsidP="00BD30EA">
            <w:pPr>
              <w:jc w:val="center"/>
              <w:rPr>
                <w:rFonts w:ascii="Arial" w:hAnsi="Arial" w:cs="FrankRuehl"/>
                <w:bCs/>
                <w:sz w:val="32"/>
                <w:szCs w:val="32"/>
                <w:u w:val="single"/>
                <w:rtl/>
              </w:rPr>
            </w:pPr>
          </w:p>
        </w:tc>
      </w:tr>
      <w:bookmarkEnd w:id="7"/>
    </w:tbl>
    <w:p w14:paraId="3664E4C3" w14:textId="77777777" w:rsidR="00A12F1B" w:rsidRDefault="00A12F1B">
      <w:pPr>
        <w:rPr>
          <w:rFonts w:ascii="Arial" w:hAnsi="Arial"/>
          <w:rtl/>
        </w:rPr>
      </w:pPr>
    </w:p>
    <w:p w14:paraId="57A8E4A8" w14:textId="77777777" w:rsidR="00A12F1B" w:rsidRDefault="00BD30EA">
      <w:pPr>
        <w:spacing w:line="360" w:lineRule="auto"/>
        <w:ind w:left="720" w:hanging="720"/>
        <w:jc w:val="both"/>
        <w:rPr>
          <w:rtl/>
        </w:rPr>
      </w:pPr>
      <w:r>
        <w:rPr>
          <w:rtl/>
        </w:rPr>
        <w:lastRenderedPageBreak/>
        <w:t>1.</w:t>
      </w:r>
      <w:r>
        <w:rPr>
          <w:rtl/>
        </w:rPr>
        <w:tab/>
        <w:t xml:space="preserve">בהכרעת הדין שניתנה ביום 19.10.14 הורשע הנאשם לאחר ניהול הוכחות בעבירות של חבלה בכוונה מחמירה, לפי </w:t>
      </w:r>
      <w:hyperlink r:id="rId16" w:history="1">
        <w:r w:rsidR="00833D11" w:rsidRPr="00833D11">
          <w:rPr>
            <w:color w:val="0000FF"/>
            <w:u w:val="single"/>
            <w:rtl/>
          </w:rPr>
          <w:t>סעיף 329(א)(1)</w:t>
        </w:r>
      </w:hyperlink>
      <w:r>
        <w:rPr>
          <w:rtl/>
        </w:rPr>
        <w:t xml:space="preserve"> ל</w:t>
      </w:r>
      <w:hyperlink r:id="rId17" w:history="1">
        <w:r w:rsidRPr="00BD30EA">
          <w:rPr>
            <w:color w:val="0000FF"/>
            <w:u w:val="single"/>
            <w:rtl/>
          </w:rPr>
          <w:t>חוק העונשין</w:t>
        </w:r>
      </w:hyperlink>
      <w:r>
        <w:rPr>
          <w:rtl/>
        </w:rPr>
        <w:t xml:space="preserve">, התשל"ז-1977, החזקת ונשיאת נשק ותחמושת, לפי </w:t>
      </w:r>
      <w:hyperlink r:id="rId18" w:history="1">
        <w:r w:rsidR="00833D11" w:rsidRPr="00833D11">
          <w:rPr>
            <w:color w:val="0000FF"/>
            <w:u w:val="single"/>
            <w:rtl/>
          </w:rPr>
          <w:t>סעיפים 144(א)</w:t>
        </w:r>
      </w:hyperlink>
      <w:r>
        <w:rPr>
          <w:rtl/>
        </w:rPr>
        <w:t xml:space="preserve"> רישא וסיפא + </w:t>
      </w:r>
      <w:hyperlink r:id="rId19" w:history="1">
        <w:r w:rsidR="00833D11" w:rsidRPr="00833D11">
          <w:rPr>
            <w:color w:val="0000FF"/>
            <w:u w:val="single"/>
            <w:rtl/>
          </w:rPr>
          <w:t>144(ב)</w:t>
        </w:r>
      </w:hyperlink>
      <w:r>
        <w:rPr>
          <w:rtl/>
        </w:rPr>
        <w:t xml:space="preserve"> רישא וסיפא לחוק והפרת הוראה חוקית, לפי </w:t>
      </w:r>
      <w:hyperlink r:id="rId20" w:history="1">
        <w:r w:rsidR="00833D11" w:rsidRPr="00833D11">
          <w:rPr>
            <w:color w:val="0000FF"/>
            <w:u w:val="single"/>
            <w:rtl/>
          </w:rPr>
          <w:t>סעיף 287(א)</w:t>
        </w:r>
      </w:hyperlink>
      <w:r>
        <w:rPr>
          <w:rtl/>
        </w:rPr>
        <w:t xml:space="preserve"> לחוק.</w:t>
      </w:r>
    </w:p>
    <w:p w14:paraId="0558D661" w14:textId="77777777" w:rsidR="00A12F1B" w:rsidRDefault="00A12F1B">
      <w:pPr>
        <w:spacing w:line="360" w:lineRule="auto"/>
        <w:ind w:left="720" w:hanging="720"/>
        <w:jc w:val="both"/>
        <w:rPr>
          <w:rtl/>
        </w:rPr>
      </w:pPr>
    </w:p>
    <w:p w14:paraId="3C24F672" w14:textId="77777777" w:rsidR="00A12F1B" w:rsidRDefault="00BD30EA">
      <w:pPr>
        <w:spacing w:line="360" w:lineRule="auto"/>
        <w:ind w:left="720" w:hanging="720"/>
        <w:jc w:val="both"/>
        <w:rPr>
          <w:rtl/>
        </w:rPr>
      </w:pPr>
      <w:r>
        <w:rPr>
          <w:rtl/>
        </w:rPr>
        <w:t>2.</w:t>
      </w:r>
      <w:r>
        <w:rPr>
          <w:rtl/>
        </w:rPr>
        <w:tab/>
        <w:t>הכרעת הדין פירטה את מהות העבירות ואין מקום לחזור עליהן עתה, כאשר יצוין רק, שמדובר באירוע בו הגיע הנאשם לביתו של המתלונן, שהינו בן דודו, ביום 22.03.13 בשעת ערב, כאשר בידיו אקדח. הנאשם ירה במתלונן מטווח קרוב ולפחות 4 יריות פגעו בחלק גופו התחתון.</w:t>
      </w:r>
    </w:p>
    <w:p w14:paraId="710F3785" w14:textId="77777777" w:rsidR="00A12F1B" w:rsidRDefault="00A12F1B">
      <w:pPr>
        <w:spacing w:line="360" w:lineRule="auto"/>
        <w:ind w:left="720" w:hanging="720"/>
        <w:jc w:val="both"/>
        <w:rPr>
          <w:rtl/>
        </w:rPr>
      </w:pPr>
    </w:p>
    <w:p w14:paraId="6FD1EDC9" w14:textId="77777777" w:rsidR="00A12F1B" w:rsidRDefault="00BD30EA">
      <w:pPr>
        <w:spacing w:line="360" w:lineRule="auto"/>
        <w:ind w:left="720" w:hanging="720"/>
        <w:jc w:val="both"/>
        <w:rPr>
          <w:rtl/>
        </w:rPr>
      </w:pPr>
      <w:r>
        <w:rPr>
          <w:b/>
          <w:bCs/>
          <w:u w:val="single"/>
          <w:rtl/>
        </w:rPr>
        <w:t>טיעוני המאשימה לעניין העונש</w:t>
      </w:r>
    </w:p>
    <w:p w14:paraId="639C3D9D" w14:textId="77777777" w:rsidR="00A12F1B" w:rsidRDefault="00A12F1B">
      <w:pPr>
        <w:spacing w:line="360" w:lineRule="auto"/>
        <w:ind w:left="720" w:hanging="720"/>
        <w:jc w:val="both"/>
        <w:rPr>
          <w:rtl/>
        </w:rPr>
      </w:pPr>
    </w:p>
    <w:p w14:paraId="7BF4AB24" w14:textId="77777777" w:rsidR="00A12F1B" w:rsidRDefault="00BD30EA" w:rsidP="00517B80">
      <w:pPr>
        <w:spacing w:line="360" w:lineRule="auto"/>
        <w:ind w:left="720" w:hanging="720"/>
        <w:jc w:val="both"/>
        <w:rPr>
          <w:rtl/>
        </w:rPr>
      </w:pPr>
      <w:r>
        <w:rPr>
          <w:rtl/>
        </w:rPr>
        <w:t>3.</w:t>
      </w:r>
      <w:r>
        <w:rPr>
          <w:rtl/>
        </w:rPr>
        <w:tab/>
        <w:t xml:space="preserve">המדינה הזכירה, שהנאשם נידון על ידי כב' השופטת סלע מבית משפט זה במסגרת הליך אחר, </w:t>
      </w:r>
      <w:hyperlink r:id="rId21" w:history="1">
        <w:r w:rsidRPr="00BD30EA">
          <w:rPr>
            <w:color w:val="0000FF"/>
            <w:u w:val="single"/>
            <w:rtl/>
          </w:rPr>
          <w:t>ת"פ 12175-10-12</w:t>
        </w:r>
      </w:hyperlink>
      <w:r>
        <w:rPr>
          <w:rtl/>
        </w:rPr>
        <w:t xml:space="preserve">, </w:t>
      </w:r>
      <w:r>
        <w:rPr>
          <w:b/>
          <w:bCs/>
          <w:rtl/>
        </w:rPr>
        <w:t>מדינת ישראל נ' יונס</w:t>
      </w:r>
      <w:r w:rsidR="00517B80">
        <w:rPr>
          <w:rFonts w:hint="cs"/>
          <w:rtl/>
        </w:rPr>
        <w:t xml:space="preserve">, </w:t>
      </w:r>
      <w:r w:rsidR="00517B80" w:rsidRPr="00517B80">
        <w:rPr>
          <w:sz w:val="22"/>
          <w:rtl/>
        </w:rPr>
        <w:t>[פורסם בנבו]</w:t>
      </w:r>
      <w:r>
        <w:rPr>
          <w:rtl/>
        </w:rPr>
        <w:t xml:space="preserve">, ל-30 חודשי מאסר בפועל בגין ביצוע עבירת שוד בנסיבות מחמירות. הוזכר, שגזר הדין אושר על ידי בית המשפט העליון במסגרת </w:t>
      </w:r>
      <w:hyperlink r:id="rId22" w:history="1">
        <w:r w:rsidRPr="00BD30EA">
          <w:rPr>
            <w:color w:val="0000FF"/>
            <w:u w:val="single"/>
            <w:rtl/>
          </w:rPr>
          <w:t>ע"פ 1890/14</w:t>
        </w:r>
      </w:hyperlink>
      <w:r>
        <w:rPr>
          <w:rtl/>
        </w:rPr>
        <w:t xml:space="preserve">, </w:t>
      </w:r>
      <w:r>
        <w:rPr>
          <w:b/>
          <w:bCs/>
          <w:rtl/>
        </w:rPr>
        <w:t>יונס נ' מדינת ישראל</w:t>
      </w:r>
      <w:r w:rsidR="00517B80">
        <w:rPr>
          <w:rFonts w:hint="cs"/>
          <w:b/>
          <w:bCs/>
          <w:rtl/>
        </w:rPr>
        <w:t xml:space="preserve">, </w:t>
      </w:r>
      <w:r w:rsidR="00517B80" w:rsidRPr="00517B80">
        <w:rPr>
          <w:sz w:val="22"/>
          <w:rtl/>
        </w:rPr>
        <w:t>[פורסם בנבו]</w:t>
      </w:r>
      <w:r>
        <w:rPr>
          <w:b/>
          <w:bCs/>
          <w:rtl/>
        </w:rPr>
        <w:t xml:space="preserve">. </w:t>
      </w:r>
      <w:r>
        <w:rPr>
          <w:rtl/>
        </w:rPr>
        <w:t>תקופת המאסר בהליך הנזכר חלה מיום 30.01.14, מועד בו הנאשם היה עצור במקביל בתיק דנן, וטרם הסתיימה. המדינה טענה שככל שבכוונת בית המשפט לנכות לטובת הנאשם ימי מעצר מתקופת המאסר שתיגזר, יש לנכות אך ורק את התקופה שמיום מעצרו ביום 22.03.13 עד ליום 30.01.14, שאז הוא החל לרצות את מאסרו הנוכחי בגין עבירת השוד.</w:t>
      </w:r>
    </w:p>
    <w:p w14:paraId="74566EA0" w14:textId="77777777" w:rsidR="00A12F1B" w:rsidRDefault="00A12F1B">
      <w:pPr>
        <w:spacing w:line="360" w:lineRule="auto"/>
        <w:ind w:left="720" w:hanging="720"/>
        <w:jc w:val="both"/>
        <w:rPr>
          <w:rtl/>
        </w:rPr>
      </w:pPr>
    </w:p>
    <w:p w14:paraId="32DED55B" w14:textId="77777777" w:rsidR="00A12F1B" w:rsidRDefault="00BD30EA" w:rsidP="00517B80">
      <w:pPr>
        <w:spacing w:line="360" w:lineRule="auto"/>
        <w:ind w:left="720" w:hanging="720"/>
        <w:jc w:val="both"/>
        <w:rPr>
          <w:rtl/>
        </w:rPr>
      </w:pPr>
      <w:r>
        <w:rPr>
          <w:rtl/>
        </w:rPr>
        <w:t>4.</w:t>
      </w:r>
      <w:r>
        <w:rPr>
          <w:rtl/>
        </w:rPr>
        <w:tab/>
        <w:t>המדינה אזכרה פסיקה בתמיכה לעמדה זו (עפ"</w:t>
      </w:r>
      <w:hyperlink r:id="rId23" w:history="1">
        <w:r w:rsidRPr="00BD30EA">
          <w:rPr>
            <w:color w:val="0000FF"/>
            <w:u w:val="single"/>
            <w:rtl/>
          </w:rPr>
          <w:t>א (נצ') 277/09</w:t>
        </w:r>
      </w:hyperlink>
      <w:r>
        <w:rPr>
          <w:rtl/>
        </w:rPr>
        <w:t xml:space="preserve">, </w:t>
      </w:r>
      <w:r>
        <w:rPr>
          <w:b/>
          <w:bCs/>
          <w:rtl/>
        </w:rPr>
        <w:t>ערד נ' מדינת ישראל</w:t>
      </w:r>
      <w:r w:rsidR="00517B80">
        <w:rPr>
          <w:rFonts w:hint="cs"/>
          <w:rtl/>
        </w:rPr>
        <w:t xml:space="preserve"> </w:t>
      </w:r>
      <w:r w:rsidR="00517B80" w:rsidRPr="00517B80">
        <w:rPr>
          <w:sz w:val="22"/>
          <w:rtl/>
        </w:rPr>
        <w:t>[פורסם בנבו]</w:t>
      </w:r>
      <w:r>
        <w:rPr>
          <w:rtl/>
        </w:rPr>
        <w:t>). כמו כן, טענה המדינה, שההלכה מחייבת להורות על צבירת עונש המאסר שיושת בגין המקרה הנוכחי לזה שהוטל על ידי בית המשפט במקרה הקודם, שאחרת מתאיין העונש שנגזר במקרה הראשון.</w:t>
      </w:r>
    </w:p>
    <w:p w14:paraId="29ABC6D2" w14:textId="77777777" w:rsidR="00A12F1B" w:rsidRDefault="00A12F1B">
      <w:pPr>
        <w:spacing w:line="360" w:lineRule="auto"/>
        <w:ind w:left="720" w:hanging="720"/>
        <w:jc w:val="both"/>
        <w:rPr>
          <w:rtl/>
        </w:rPr>
      </w:pPr>
    </w:p>
    <w:p w14:paraId="3DF73A0F" w14:textId="77777777" w:rsidR="00A12F1B" w:rsidRDefault="00BD30EA">
      <w:pPr>
        <w:spacing w:line="360" w:lineRule="auto"/>
        <w:ind w:left="720" w:hanging="720"/>
        <w:jc w:val="both"/>
        <w:rPr>
          <w:rtl/>
        </w:rPr>
      </w:pPr>
      <w:r>
        <w:rPr>
          <w:rtl/>
        </w:rPr>
        <w:t>5.</w:t>
      </w:r>
      <w:r>
        <w:rPr>
          <w:rtl/>
        </w:rPr>
        <w:tab/>
        <w:t>הוזכר, שהנאשם הורשע לאחר ניהול הליך הוכחות מלא בסדרת אירועים חמורה ביותר, הכל על רקע העובדה שהמתלונן היה עתיד להעיד נגד הנאשם בפרשה בה שניהם הסתבכו, שהוזכרה לעיל. נטען, שהכרעת הדין קבעה שהנאשם חבל במתלונן בצורה חמורה ביותר, תוך שהוא גרם לו לפגיעות גופניות קשות מאוד, שאך בנס לא הסתיימו בתוצאה קטלנית.</w:t>
      </w:r>
    </w:p>
    <w:p w14:paraId="507B2E23" w14:textId="77777777" w:rsidR="00A12F1B" w:rsidRDefault="00A12F1B">
      <w:pPr>
        <w:spacing w:line="360" w:lineRule="auto"/>
        <w:ind w:left="720" w:hanging="720"/>
        <w:jc w:val="both"/>
        <w:rPr>
          <w:rtl/>
        </w:rPr>
      </w:pPr>
    </w:p>
    <w:p w14:paraId="20A5C2A4" w14:textId="77777777" w:rsidR="00A12F1B" w:rsidRDefault="00BD30EA">
      <w:pPr>
        <w:spacing w:line="360" w:lineRule="auto"/>
        <w:ind w:left="720" w:hanging="720"/>
        <w:jc w:val="both"/>
        <w:rPr>
          <w:rtl/>
        </w:rPr>
      </w:pPr>
      <w:r>
        <w:rPr>
          <w:rtl/>
        </w:rPr>
        <w:t>6.</w:t>
      </w:r>
      <w:r>
        <w:rPr>
          <w:rtl/>
        </w:rPr>
        <w:tab/>
        <w:t xml:space="preserve">נטען שבעת גזירת הדין על בית המשפט לבחון את חלקו של הנאשם בביצוע העבירות, מידת הנזק שנגרם ורף הענישה הראוי, כמו גם שיקולי גמול והרתעה. נטען, ששאיפתו של הנאשם לנקום במתלונן הכתיבה את מעשיו, בלא נקיפות מצפון ובלא שום שיקול מוסרי. נטען, שמדובר בהתנהגות ברוטאלית ואכזרית, שהונעה על ידי ביריונות לשמה, אשר משקפת </w:t>
      </w:r>
      <w:r>
        <w:rPr>
          <w:rtl/>
        </w:rPr>
        <w:lastRenderedPageBreak/>
        <w:t>דפוסים עבריינים בולטים, חרף גילו הצעיר של הנאשם. נטען שהעבירות אותן ביצע הנאשם הפכו למכת מדינה ושהן פוגעות קשות ברקמה החברתית ושעל בית משפט להילחם בהן. נטען שרק ענישה מכבידה, הכוללת עונש מאסר ארוך, תהווה עונש ראוי. הוזכר שהמתלונן נפגע באיברי גוף רגישים ושרק בזכות המזל והטיפול הרפואי המהיר, נמנעה תוצאה קשה יותר.</w:t>
      </w:r>
    </w:p>
    <w:p w14:paraId="1228E3D3" w14:textId="77777777" w:rsidR="00A12F1B" w:rsidRDefault="00A12F1B">
      <w:pPr>
        <w:spacing w:line="360" w:lineRule="auto"/>
        <w:ind w:left="720" w:hanging="720"/>
        <w:jc w:val="both"/>
        <w:rPr>
          <w:rtl/>
        </w:rPr>
      </w:pPr>
    </w:p>
    <w:p w14:paraId="45B8CBC0" w14:textId="77777777" w:rsidR="00A12F1B" w:rsidRDefault="00BD30EA">
      <w:pPr>
        <w:spacing w:line="360" w:lineRule="auto"/>
        <w:ind w:left="720" w:hanging="720"/>
        <w:jc w:val="both"/>
        <w:rPr>
          <w:rtl/>
        </w:rPr>
      </w:pPr>
      <w:r>
        <w:rPr>
          <w:rtl/>
        </w:rPr>
        <w:t>7.</w:t>
      </w:r>
      <w:r>
        <w:rPr>
          <w:rtl/>
        </w:rPr>
        <w:tab/>
        <w:t>הוזכר שתקרת העונש לכלל העבירות בהן הורשע הנאשם נמצאת למעלה מ-30 שנות מאסר ונטען שהעונש המרבי צריך להוות את נקודת המוצא בשיקולי הענישה.</w:t>
      </w:r>
    </w:p>
    <w:p w14:paraId="5D6D6422" w14:textId="77777777" w:rsidR="00A12F1B" w:rsidRDefault="00A12F1B">
      <w:pPr>
        <w:spacing w:line="360" w:lineRule="auto"/>
        <w:ind w:left="720" w:hanging="720"/>
        <w:jc w:val="both"/>
        <w:rPr>
          <w:rtl/>
        </w:rPr>
      </w:pPr>
    </w:p>
    <w:p w14:paraId="48A74EF5" w14:textId="77777777" w:rsidR="00A12F1B" w:rsidRDefault="00BD30EA" w:rsidP="00517B80">
      <w:pPr>
        <w:spacing w:line="360" w:lineRule="auto"/>
        <w:ind w:left="720" w:hanging="720"/>
        <w:jc w:val="both"/>
        <w:rPr>
          <w:rtl/>
        </w:rPr>
      </w:pPr>
      <w:r>
        <w:rPr>
          <w:rtl/>
        </w:rPr>
        <w:t>8.</w:t>
      </w:r>
      <w:r>
        <w:rPr>
          <w:rtl/>
        </w:rPr>
        <w:tab/>
        <w:t xml:space="preserve">הוזכר שהנאשם היה בן 20.5 בעת ביצוע העבירה, אך נטען שגילו הצעיר אינו יכול להוות חסינות ושעל גזר הדין לשקף איזון בין אינטרס השיקום לבין האינטרס הציבורי במובנו הרחב. אוזכרה הגישה הידועה בפסיקה, לפיה גיל צעיר של נאשם מהווה חלק מהנתונים הניצבים בפני בית משפט, אך נטען שאין ליצור קטגוריה נפרדת לנאשמים צעירים מסיבה זו בלבד (השוו בין </w:t>
      </w:r>
      <w:hyperlink r:id="rId24" w:history="1">
        <w:r w:rsidRPr="00BD30EA">
          <w:rPr>
            <w:color w:val="0000FF"/>
            <w:u w:val="single"/>
            <w:rtl/>
          </w:rPr>
          <w:t>ע"פ 7781/12</w:t>
        </w:r>
      </w:hyperlink>
      <w:r>
        <w:rPr>
          <w:rtl/>
        </w:rPr>
        <w:t xml:space="preserve">, </w:t>
      </w:r>
      <w:r>
        <w:rPr>
          <w:b/>
          <w:bCs/>
          <w:rtl/>
        </w:rPr>
        <w:t>פלוני נ' מדינת ישראל</w:t>
      </w:r>
      <w:r w:rsidR="00517B80">
        <w:rPr>
          <w:rFonts w:hint="cs"/>
          <w:b/>
          <w:bCs/>
          <w:rtl/>
        </w:rPr>
        <w:t xml:space="preserve">, </w:t>
      </w:r>
      <w:r w:rsidR="00517B80" w:rsidRPr="00517B80">
        <w:rPr>
          <w:sz w:val="22"/>
          <w:rtl/>
        </w:rPr>
        <w:t>[פורסם בנבו]</w:t>
      </w:r>
      <w:r>
        <w:rPr>
          <w:rtl/>
        </w:rPr>
        <w:t xml:space="preserve">, לבין </w:t>
      </w:r>
      <w:hyperlink r:id="rId25" w:history="1">
        <w:r w:rsidRPr="00BD30EA">
          <w:rPr>
            <w:color w:val="0000FF"/>
            <w:u w:val="single"/>
            <w:rtl/>
          </w:rPr>
          <w:t>ע"פ 452/14</w:t>
        </w:r>
      </w:hyperlink>
      <w:r>
        <w:rPr>
          <w:rtl/>
        </w:rPr>
        <w:t xml:space="preserve">, </w:t>
      </w:r>
      <w:r>
        <w:rPr>
          <w:b/>
          <w:bCs/>
          <w:rtl/>
        </w:rPr>
        <w:t>דבוש נ' מדינת ישראל</w:t>
      </w:r>
      <w:r>
        <w:rPr>
          <w:rtl/>
        </w:rPr>
        <w:t xml:space="preserve"> </w:t>
      </w:r>
      <w:r w:rsidR="00517B80" w:rsidRPr="00517B80">
        <w:rPr>
          <w:sz w:val="22"/>
          <w:rtl/>
        </w:rPr>
        <w:t xml:space="preserve">[פורסם בנבו] </w:t>
      </w:r>
      <w:r>
        <w:rPr>
          <w:rtl/>
        </w:rPr>
        <w:t>(30/04/2014), והאסמכתאות המובאות שם).</w:t>
      </w:r>
    </w:p>
    <w:p w14:paraId="558CE857" w14:textId="77777777" w:rsidR="00A12F1B" w:rsidRDefault="00A12F1B">
      <w:pPr>
        <w:spacing w:line="360" w:lineRule="auto"/>
        <w:ind w:left="720" w:hanging="720"/>
        <w:jc w:val="both"/>
        <w:rPr>
          <w:rtl/>
        </w:rPr>
      </w:pPr>
    </w:p>
    <w:p w14:paraId="19BA3B8F" w14:textId="77777777" w:rsidR="00A12F1B" w:rsidRDefault="00BD30EA">
      <w:pPr>
        <w:spacing w:line="360" w:lineRule="auto"/>
        <w:ind w:left="720" w:hanging="720"/>
        <w:jc w:val="both"/>
        <w:rPr>
          <w:rtl/>
        </w:rPr>
      </w:pPr>
      <w:r>
        <w:rPr>
          <w:rtl/>
        </w:rPr>
        <w:t>9.</w:t>
      </w:r>
      <w:r>
        <w:rPr>
          <w:rtl/>
        </w:rPr>
        <w:tab/>
        <w:t>נטען שחרף הכרעת הדין המנומקת והמפורטת, הנאשם אינו מרכין ראש אל מול הכרעת הדין ואינו נוטל אחריות על מעשיו, אלא טוען שהמתלונן הותקף ונורה על ידי אחר. נטען שאמנם זכותו של הנאשם לנהל משפטו, אך משהורשע אין הוא זכאי ליהנות מהקלה שהיא מנת חלקו של מי שמודה ונוטל אחריות. עוד הוזכר שהנשק ששימש לביצוע העבירות, מסיבות השמורות עם הנאשם, לא נמצא ולא הוסגר עד היום, ויכול להוות סיכון כלפי אחרים בעתיד.</w:t>
      </w:r>
    </w:p>
    <w:p w14:paraId="188B8A49" w14:textId="77777777" w:rsidR="00A12F1B" w:rsidRDefault="00A12F1B">
      <w:pPr>
        <w:spacing w:line="360" w:lineRule="auto"/>
        <w:ind w:left="720" w:hanging="720"/>
        <w:jc w:val="both"/>
        <w:rPr>
          <w:rtl/>
        </w:rPr>
      </w:pPr>
    </w:p>
    <w:p w14:paraId="3C44C1E0" w14:textId="77777777" w:rsidR="00A12F1B" w:rsidRDefault="00BD30EA">
      <w:pPr>
        <w:spacing w:line="360" w:lineRule="auto"/>
        <w:ind w:left="720" w:hanging="720"/>
        <w:jc w:val="both"/>
        <w:rPr>
          <w:rtl/>
        </w:rPr>
      </w:pPr>
      <w:r>
        <w:rPr>
          <w:rtl/>
        </w:rPr>
        <w:t>10.</w:t>
      </w:r>
      <w:r>
        <w:rPr>
          <w:rtl/>
        </w:rPr>
        <w:tab/>
        <w:t>נטען שתסקיר שירות המבחן מחזק את העמדה העונשית בה מצדדת המדינה, כיוון שהנאשם אינו נוטל אחריות ומכיוון ששירות המבחן התרשם שהנאשם נוטה ליטול סיכונים ללא שיקול דעת, מגלה קושי בוויסות דחפיו, מתקשה בקבלת סמכות ומרות ונוטה להשליך האחריות למצבו על גורמים חיצוניים. נטען שנקבע שקיימת מסוכנות בינונית להישנות מעשים חמורים וכי לא הובאה המלצה טיפולית.</w:t>
      </w:r>
    </w:p>
    <w:p w14:paraId="34CE806C" w14:textId="77777777" w:rsidR="00A12F1B" w:rsidRDefault="00A12F1B">
      <w:pPr>
        <w:spacing w:line="360" w:lineRule="auto"/>
        <w:ind w:left="720" w:hanging="720"/>
        <w:jc w:val="both"/>
        <w:rPr>
          <w:rtl/>
        </w:rPr>
      </w:pPr>
    </w:p>
    <w:p w14:paraId="71218519" w14:textId="77777777" w:rsidR="00A12F1B" w:rsidRDefault="00BD30EA">
      <w:pPr>
        <w:spacing w:line="360" w:lineRule="auto"/>
        <w:ind w:left="720" w:hanging="720"/>
        <w:jc w:val="both"/>
        <w:rPr>
          <w:rtl/>
        </w:rPr>
      </w:pPr>
      <w:r>
        <w:rPr>
          <w:rtl/>
        </w:rPr>
        <w:t>11.</w:t>
      </w:r>
      <w:r>
        <w:rPr>
          <w:rtl/>
        </w:rPr>
        <w:tab/>
        <w:t>נטען שהערכים החברתיים של שמירה על גופו וביטחונו של המתלונן נפגעו, שקדם לעבירה תכנון מוקדם, שהנאשם הוא היחיד שביצע את העבירה-כך שחלקו מוחלט, שהנזק הצפוי להיגרם היה ניכר ושהנסיבות שהביאו את הנאשם לביצוע העבירה היו פסולות ביותר. נטען, שהנאשם יכל להבין את אשר עושה - בהיותו בגיר ואינטליגנטי, ושבחר בחירה מודעת לפגוע במתלונן. נטען עוד שלא הייתה כל מניעה שהנאשם יימנע מביצוע העבירות. אוזכרה פסיקה ביחס למדיניות הענישה.</w:t>
      </w:r>
    </w:p>
    <w:p w14:paraId="2DFC166E" w14:textId="77777777" w:rsidR="00A12F1B" w:rsidRDefault="00A12F1B">
      <w:pPr>
        <w:spacing w:line="360" w:lineRule="auto"/>
        <w:ind w:left="720" w:hanging="720"/>
        <w:jc w:val="both"/>
        <w:rPr>
          <w:rtl/>
        </w:rPr>
      </w:pPr>
    </w:p>
    <w:p w14:paraId="3AF547AA" w14:textId="77777777" w:rsidR="00A12F1B" w:rsidRDefault="00BD30EA">
      <w:pPr>
        <w:spacing w:line="360" w:lineRule="auto"/>
        <w:ind w:left="720" w:hanging="720"/>
        <w:jc w:val="both"/>
        <w:rPr>
          <w:rtl/>
        </w:rPr>
      </w:pPr>
      <w:r>
        <w:rPr>
          <w:rtl/>
        </w:rPr>
        <w:t>12.</w:t>
      </w:r>
      <w:r>
        <w:rPr>
          <w:rtl/>
        </w:rPr>
        <w:tab/>
        <w:t>בסיכומו של עניין, טענה המדינה, שמתחם הענישה ההולם לכלל העבירות החמורות שביצע הנאשם, נמצא בין 10 ל-14 שנות מאסר בפועל, ושלאור החומרה היתרה במעשים, העונש שיושת צריך להיות הרף העליון של המתחם.</w:t>
      </w:r>
    </w:p>
    <w:p w14:paraId="6ECB0618" w14:textId="77777777" w:rsidR="00A12F1B" w:rsidRDefault="00A12F1B">
      <w:pPr>
        <w:spacing w:line="360" w:lineRule="auto"/>
        <w:ind w:left="720" w:hanging="720"/>
        <w:jc w:val="both"/>
        <w:rPr>
          <w:rtl/>
        </w:rPr>
      </w:pPr>
    </w:p>
    <w:p w14:paraId="7DB5AF8A" w14:textId="77777777" w:rsidR="00A12F1B" w:rsidRDefault="00BD30EA">
      <w:pPr>
        <w:spacing w:line="360" w:lineRule="auto"/>
        <w:ind w:left="720" w:hanging="720"/>
        <w:jc w:val="both"/>
        <w:rPr>
          <w:rtl/>
        </w:rPr>
      </w:pPr>
      <w:r>
        <w:rPr>
          <w:b/>
          <w:bCs/>
          <w:u w:val="single"/>
          <w:rtl/>
        </w:rPr>
        <w:t>טיעוני הסניגור</w:t>
      </w:r>
    </w:p>
    <w:p w14:paraId="3E1C45D5" w14:textId="77777777" w:rsidR="00A12F1B" w:rsidRDefault="00A12F1B">
      <w:pPr>
        <w:spacing w:line="360" w:lineRule="auto"/>
        <w:ind w:left="720" w:hanging="720"/>
        <w:jc w:val="both"/>
        <w:rPr>
          <w:rtl/>
        </w:rPr>
      </w:pPr>
    </w:p>
    <w:p w14:paraId="5DAFCA3A" w14:textId="77777777" w:rsidR="00A12F1B" w:rsidRDefault="00BD30EA">
      <w:pPr>
        <w:spacing w:line="360" w:lineRule="auto"/>
        <w:ind w:left="720" w:hanging="720"/>
        <w:jc w:val="both"/>
        <w:rPr>
          <w:rtl/>
        </w:rPr>
      </w:pPr>
      <w:r>
        <w:rPr>
          <w:rtl/>
        </w:rPr>
        <w:t>13.</w:t>
      </w:r>
      <w:r>
        <w:rPr>
          <w:rtl/>
        </w:rPr>
        <w:tab/>
        <w:t>הסנגור הזכיר שהמעצר הוארך מספר פעמים במהלך ההליך, החל מיום 22.03.13 ועד היום, ונטען, שיש לנכות את כל תקופת המעצר מכל עונש שייגזר. נטען שאין זה רלבנטי שהנאשם אסיר מתוקף הליך אחר וכי אין זה משנה את העובדה שהוא מבחינת עצור בהליך זה. נטען שמרבית התקופה הוחזק הנאשם בתנאי עצור ללא זכויות, שהם תנאים קשים יותר מתנאים של מאסר.</w:t>
      </w:r>
    </w:p>
    <w:p w14:paraId="3BEE08B5" w14:textId="77777777" w:rsidR="00A12F1B" w:rsidRDefault="00A12F1B">
      <w:pPr>
        <w:spacing w:line="360" w:lineRule="auto"/>
        <w:ind w:left="720" w:hanging="720"/>
        <w:jc w:val="both"/>
        <w:rPr>
          <w:rtl/>
        </w:rPr>
      </w:pPr>
    </w:p>
    <w:p w14:paraId="35D0E856" w14:textId="77777777" w:rsidR="00A12F1B" w:rsidRDefault="00BD30EA">
      <w:pPr>
        <w:spacing w:line="360" w:lineRule="auto"/>
        <w:ind w:left="720" w:hanging="720"/>
        <w:jc w:val="both"/>
        <w:rPr>
          <w:rtl/>
        </w:rPr>
      </w:pPr>
      <w:r>
        <w:rPr>
          <w:rtl/>
        </w:rPr>
        <w:t>14.</w:t>
      </w:r>
      <w:r>
        <w:rPr>
          <w:rtl/>
        </w:rPr>
        <w:tab/>
        <w:t>הסנגור טען, שמדיניות הענישה, כפי שמשתקפת בפסיקה, אינה תואמת את מתחם הענישה שהוצע על ידי המדינה ונטען שמדובר במתחם בלתי סביר בעליל. נטען שמתחם הענישה ההולם נע בין עונש של מאסר שירוצה בעבודות שירות לבין עונש של "כמה חודשים שלא עוברים 33 חודשים", שהוטלו במקרים קשים יותר.</w:t>
      </w:r>
    </w:p>
    <w:p w14:paraId="2A6E0A41" w14:textId="77777777" w:rsidR="00A12F1B" w:rsidRDefault="00A12F1B">
      <w:pPr>
        <w:spacing w:line="360" w:lineRule="auto"/>
        <w:ind w:left="720" w:hanging="720"/>
        <w:jc w:val="both"/>
        <w:rPr>
          <w:rtl/>
        </w:rPr>
      </w:pPr>
    </w:p>
    <w:p w14:paraId="5A8C1F60" w14:textId="77777777" w:rsidR="00A12F1B" w:rsidRDefault="00BD30EA">
      <w:pPr>
        <w:spacing w:line="360" w:lineRule="auto"/>
        <w:ind w:left="720" w:hanging="720"/>
        <w:jc w:val="both"/>
        <w:rPr>
          <w:rtl/>
        </w:rPr>
      </w:pPr>
      <w:r>
        <w:rPr>
          <w:rtl/>
        </w:rPr>
        <w:t>15.</w:t>
      </w:r>
      <w:r>
        <w:rPr>
          <w:rtl/>
        </w:rPr>
        <w:tab/>
        <w:t>נטען שמדובר באדם צעיר בן 22 כיום, רווק, שרק מתחיל את תכנון חייו. תוארו נסיבות משפחת מוצאו ושמדובר במשפחה נורמטיבית ומקובלת, שמעולם לא הייתה להם מעורבות או נגיעה במעשים פליליים בעבר. זאת, למעט שני ההליכים בהם הסתבך הנאשם. נטען שמהתסקיר עולה הקושי והזרות עמם מתמודד הנאשם, שמצא את עצמו נתון בהליך פלילי ושהוא הביע קושי זה בפני שירות המבחן.</w:t>
      </w:r>
    </w:p>
    <w:p w14:paraId="4C9C95D1" w14:textId="77777777" w:rsidR="00A12F1B" w:rsidRDefault="00A12F1B">
      <w:pPr>
        <w:spacing w:line="360" w:lineRule="auto"/>
        <w:ind w:left="720" w:hanging="720"/>
        <w:jc w:val="both"/>
        <w:rPr>
          <w:rtl/>
        </w:rPr>
      </w:pPr>
    </w:p>
    <w:p w14:paraId="2E2C5B01" w14:textId="77777777" w:rsidR="00A12F1B" w:rsidRDefault="00BD30EA">
      <w:pPr>
        <w:spacing w:line="360" w:lineRule="auto"/>
        <w:ind w:left="720" w:hanging="720"/>
        <w:jc w:val="both"/>
        <w:rPr>
          <w:rtl/>
        </w:rPr>
      </w:pPr>
      <w:r>
        <w:rPr>
          <w:rtl/>
        </w:rPr>
        <w:t>16.</w:t>
      </w:r>
      <w:r>
        <w:rPr>
          <w:rtl/>
        </w:rPr>
        <w:tab/>
        <w:t>הסנגור טען שאף שהנאשם חולק על הכרעת הדין, הוא מקבל את הדברים. הסנגור ביקש להראות שהענישה ההולמת אינה צריכה לעבור את תקופת המעצר. נטען שאין להתעלם מגילו הצעיר של הנאשם במסגרת שיקולי הענישה והסנגור צידד באימוץ הגישה שהובעה על ידי בית המשפט העליון ב</w:t>
      </w:r>
      <w:hyperlink r:id="rId26" w:history="1">
        <w:r w:rsidRPr="00BD30EA">
          <w:rPr>
            <w:color w:val="0000FF"/>
            <w:u w:val="single"/>
            <w:rtl/>
          </w:rPr>
          <w:t>ע"פ 7781/12</w:t>
        </w:r>
      </w:hyperlink>
      <w:r>
        <w:rPr>
          <w:rtl/>
        </w:rPr>
        <w:t xml:space="preserve">, </w:t>
      </w:r>
      <w:r w:rsidR="00517B80" w:rsidRPr="00517B80">
        <w:rPr>
          <w:sz w:val="22"/>
          <w:rtl/>
        </w:rPr>
        <w:t xml:space="preserve">[פורסם בנבו] </w:t>
      </w:r>
      <w:r>
        <w:rPr>
          <w:rtl/>
        </w:rPr>
        <w:t>לעומת הקולות האחרים הנשמעים בפסיקה.</w:t>
      </w:r>
    </w:p>
    <w:p w14:paraId="76ABF44D" w14:textId="77777777" w:rsidR="00A12F1B" w:rsidRDefault="00A12F1B">
      <w:pPr>
        <w:spacing w:line="360" w:lineRule="auto"/>
        <w:ind w:left="720" w:hanging="720"/>
        <w:jc w:val="both"/>
        <w:rPr>
          <w:rtl/>
        </w:rPr>
      </w:pPr>
    </w:p>
    <w:p w14:paraId="3DC81DFE" w14:textId="77777777" w:rsidR="00A12F1B" w:rsidRDefault="00BD30EA">
      <w:pPr>
        <w:spacing w:line="360" w:lineRule="auto"/>
        <w:ind w:left="720" w:hanging="720"/>
        <w:jc w:val="both"/>
        <w:rPr>
          <w:rtl/>
        </w:rPr>
      </w:pPr>
      <w:r>
        <w:rPr>
          <w:rtl/>
        </w:rPr>
        <w:t>17.</w:t>
      </w:r>
      <w:r>
        <w:rPr>
          <w:rtl/>
        </w:rPr>
        <w:tab/>
        <w:t xml:space="preserve">הסנגור אזכר פסיקה, בה נידונו נאשמים בעלי עבר משמעותי, אם כי לא מכביד, בעבירות לפי </w:t>
      </w:r>
      <w:hyperlink r:id="rId27" w:history="1">
        <w:r w:rsidR="00833D11" w:rsidRPr="00833D11">
          <w:rPr>
            <w:color w:val="0000FF"/>
            <w:u w:val="single"/>
            <w:rtl/>
          </w:rPr>
          <w:t>סעיף 329</w:t>
        </w:r>
      </w:hyperlink>
      <w:r>
        <w:rPr>
          <w:rtl/>
        </w:rPr>
        <w:t xml:space="preserve"> ל</w:t>
      </w:r>
      <w:hyperlink r:id="rId28" w:history="1">
        <w:r w:rsidRPr="00BD30EA">
          <w:rPr>
            <w:color w:val="0000FF"/>
            <w:u w:val="single"/>
            <w:rtl/>
          </w:rPr>
          <w:t>חוק העונשין</w:t>
        </w:r>
      </w:hyperlink>
      <w:r>
        <w:rPr>
          <w:rtl/>
        </w:rPr>
        <w:t>, כתוצאה מירי, כאשר חלקם נפתחו באישום של ניסיון לרצח. נטען, שהתוצאה ברובם הייתה גרימת חבלות גופניות משמעותיות, ובכל זאת העונשים נעו בין 6 חודשי מאסר מרוצים בעבודות שירות לבין עונש מרבי של 48 חודשי מאסר בפועל. נטען שבמקרה של הנאשם יש לפעול לפי מידת הרחמים. נטען שמדובר במי שמבלה כבר תקופה משמעותית מחייו מאחורי סורג ובריח.</w:t>
      </w:r>
    </w:p>
    <w:p w14:paraId="41336207" w14:textId="77777777" w:rsidR="00A12F1B" w:rsidRDefault="00A12F1B">
      <w:pPr>
        <w:spacing w:line="360" w:lineRule="auto"/>
        <w:ind w:left="720" w:hanging="720"/>
        <w:jc w:val="both"/>
        <w:rPr>
          <w:rtl/>
        </w:rPr>
      </w:pPr>
    </w:p>
    <w:p w14:paraId="6B448EB1" w14:textId="77777777" w:rsidR="00A12F1B" w:rsidRDefault="00BD30EA">
      <w:pPr>
        <w:spacing w:line="360" w:lineRule="auto"/>
        <w:ind w:left="720" w:hanging="720"/>
        <w:jc w:val="both"/>
        <w:rPr>
          <w:rtl/>
        </w:rPr>
      </w:pPr>
      <w:r>
        <w:rPr>
          <w:b/>
          <w:bCs/>
          <w:u w:val="single"/>
          <w:rtl/>
        </w:rPr>
        <w:t>תסקיר שירות המבחן</w:t>
      </w:r>
    </w:p>
    <w:p w14:paraId="40230893" w14:textId="77777777" w:rsidR="00A12F1B" w:rsidRDefault="00A12F1B">
      <w:pPr>
        <w:spacing w:line="360" w:lineRule="auto"/>
        <w:ind w:left="720" w:hanging="720"/>
        <w:jc w:val="both"/>
        <w:rPr>
          <w:rtl/>
        </w:rPr>
      </w:pPr>
    </w:p>
    <w:p w14:paraId="1B0CB503" w14:textId="77777777" w:rsidR="00A12F1B" w:rsidRDefault="00BD30EA">
      <w:pPr>
        <w:spacing w:line="360" w:lineRule="auto"/>
        <w:ind w:left="720" w:hanging="720"/>
        <w:jc w:val="both"/>
        <w:rPr>
          <w:rtl/>
        </w:rPr>
      </w:pPr>
      <w:r>
        <w:rPr>
          <w:rtl/>
        </w:rPr>
        <w:t>18.</w:t>
      </w:r>
      <w:r>
        <w:rPr>
          <w:rtl/>
        </w:rPr>
        <w:tab/>
        <w:t>בתסקיר שהוגש ביום 08.12.14 פורטו קורותיו של הנאשם, שהוא בן 22, רווק, שהתגורר בבית משפחתו טרם מעצרו. תוארו קשיים מהם הוא סבל במהלך המעצר. הנאשם סיים 12 שנות לימוד ובסיומן עבד בעבודות גינון ושמירה ולמד במכללה באום אל פחם, אך לא סיים את לימודיו כיוון שנעצר בהליך הראשון שהוזכר לעיל. בתקופת מאסרו הנוכחית הוא לא שולב במסגרת טיפולית, כיוון שהוא בסטאטוס של עצור. הוא תיאר שהוא ארוס. צוין, שאין לנאשם הרשעות קודמות, מעבר לאלה שהוזכרו לעיל, והוא הביע תסכול על כך שלא הצליח להוכיח את חפותו.</w:t>
      </w:r>
    </w:p>
    <w:p w14:paraId="5189041D" w14:textId="77777777" w:rsidR="00A12F1B" w:rsidRDefault="00A12F1B">
      <w:pPr>
        <w:spacing w:line="360" w:lineRule="auto"/>
        <w:ind w:left="720" w:hanging="720"/>
        <w:jc w:val="both"/>
        <w:rPr>
          <w:rtl/>
        </w:rPr>
      </w:pPr>
    </w:p>
    <w:p w14:paraId="106FA614" w14:textId="77777777" w:rsidR="00A12F1B" w:rsidRDefault="00BD30EA">
      <w:pPr>
        <w:spacing w:line="360" w:lineRule="auto"/>
        <w:ind w:left="720" w:hanging="720"/>
        <w:jc w:val="both"/>
        <w:rPr>
          <w:rtl/>
        </w:rPr>
      </w:pPr>
      <w:r>
        <w:rPr>
          <w:rtl/>
        </w:rPr>
        <w:t>19.</w:t>
      </w:r>
      <w:r>
        <w:rPr>
          <w:rtl/>
        </w:rPr>
        <w:tab/>
        <w:t>בהקשר להערכת הסיכון, התרשם שירות המבחן, כי מדובר באדם בעל רמה קוגניטיבית טובה, אך ללא זהות מגובשת וברורה. תוארו קשרים עם חברת שוליים וחשיפה לנורמות התנהגות עברייניות. תואר שהנאשם נוטה לקחת סיכונים בלא שיקול דעת ומגלה קושי בוויסות דחפיו ושהוא מתקשה לקבל סמכות ומרות ונוטה להשליך את האחריות למצבו על גורמים חיצוניים. שירות המבחן העריך כי קיימת רמת סיכון בינונית להישנות התנהגות תוקפנית ברמת חומרה בינונית.</w:t>
      </w:r>
    </w:p>
    <w:p w14:paraId="26430311" w14:textId="77777777" w:rsidR="00A12F1B" w:rsidRDefault="00A12F1B">
      <w:pPr>
        <w:spacing w:line="360" w:lineRule="auto"/>
        <w:ind w:left="720" w:hanging="720"/>
        <w:jc w:val="both"/>
        <w:rPr>
          <w:rtl/>
        </w:rPr>
      </w:pPr>
    </w:p>
    <w:p w14:paraId="73D966AF" w14:textId="77777777" w:rsidR="00A12F1B" w:rsidRDefault="00BD30EA">
      <w:pPr>
        <w:spacing w:line="360" w:lineRule="auto"/>
        <w:ind w:left="720" w:hanging="720"/>
        <w:jc w:val="both"/>
        <w:rPr>
          <w:rtl/>
        </w:rPr>
      </w:pPr>
      <w:r>
        <w:rPr>
          <w:rtl/>
        </w:rPr>
        <w:t>20.</w:t>
      </w:r>
      <w:r>
        <w:rPr>
          <w:rtl/>
        </w:rPr>
        <w:tab/>
        <w:t>בסופו של דבר, לאור כך שהנאשם מרצה כיום עונש מאסר בפועל ומכיוון שאינו לוקח אחריות בביצוע העבירה, לא הובאה המלצה טיפולית והומלץ על הצבת גבול ברור להתנהגותו.</w:t>
      </w:r>
    </w:p>
    <w:p w14:paraId="76453AA9" w14:textId="77777777" w:rsidR="00A12F1B" w:rsidRDefault="00A12F1B">
      <w:pPr>
        <w:spacing w:line="360" w:lineRule="auto"/>
        <w:ind w:left="720" w:hanging="720"/>
        <w:jc w:val="both"/>
        <w:rPr>
          <w:rtl/>
        </w:rPr>
      </w:pPr>
    </w:p>
    <w:p w14:paraId="58E86598" w14:textId="77777777" w:rsidR="00A12F1B" w:rsidRDefault="00BD30EA">
      <w:pPr>
        <w:spacing w:line="360" w:lineRule="auto"/>
        <w:ind w:left="720" w:hanging="720"/>
        <w:jc w:val="both"/>
        <w:rPr>
          <w:rtl/>
        </w:rPr>
      </w:pPr>
      <w:r>
        <w:rPr>
          <w:b/>
          <w:bCs/>
          <w:u w:val="single"/>
          <w:rtl/>
        </w:rPr>
        <w:t>הנזקים שנגרמו למתלונן</w:t>
      </w:r>
    </w:p>
    <w:p w14:paraId="668E7054" w14:textId="77777777" w:rsidR="00A12F1B" w:rsidRDefault="00A12F1B">
      <w:pPr>
        <w:spacing w:line="360" w:lineRule="auto"/>
        <w:ind w:left="720" w:hanging="720"/>
        <w:jc w:val="both"/>
        <w:rPr>
          <w:rtl/>
        </w:rPr>
      </w:pPr>
    </w:p>
    <w:p w14:paraId="017826E1" w14:textId="77777777" w:rsidR="00A12F1B" w:rsidRDefault="00BD30EA">
      <w:pPr>
        <w:spacing w:line="360" w:lineRule="auto"/>
        <w:ind w:left="720" w:hanging="720"/>
        <w:jc w:val="both"/>
        <w:rPr>
          <w:rtl/>
        </w:rPr>
      </w:pPr>
      <w:r>
        <w:rPr>
          <w:rtl/>
        </w:rPr>
        <w:t>21.</w:t>
      </w:r>
      <w:r>
        <w:rPr>
          <w:rtl/>
        </w:rPr>
        <w:tab/>
        <w:t xml:space="preserve">במסגרת הטיעונים לעונש נמסרה הצהרת נפגע העבירה, לפי </w:t>
      </w:r>
      <w:hyperlink r:id="rId29" w:history="1">
        <w:r w:rsidR="00833D11" w:rsidRPr="00833D11">
          <w:rPr>
            <w:color w:val="0000FF"/>
            <w:u w:val="single"/>
            <w:rtl/>
          </w:rPr>
          <w:t>סעיף 18</w:t>
        </w:r>
      </w:hyperlink>
      <w:r>
        <w:rPr>
          <w:rtl/>
        </w:rPr>
        <w:t xml:space="preserve"> ל</w:t>
      </w:r>
      <w:hyperlink r:id="rId30" w:history="1">
        <w:r w:rsidRPr="00BD30EA">
          <w:rPr>
            <w:color w:val="0000FF"/>
            <w:u w:val="single"/>
            <w:rtl/>
          </w:rPr>
          <w:t>חוק זכויות נפגעי עבירה</w:t>
        </w:r>
      </w:hyperlink>
      <w:r>
        <w:rPr>
          <w:rtl/>
        </w:rPr>
        <w:t>, התשמ"א-2001.</w:t>
      </w:r>
      <w:r>
        <w:t xml:space="preserve"> </w:t>
      </w:r>
      <w:r>
        <w:rPr>
          <w:rtl/>
        </w:rPr>
        <w:t>המתלונן פירט כי הוא סובל מקושי רב בעקבות הפגיעות בו בכל שעות היום והלילה ובזמן ביצוע פעולות יומיומיות רגילות. הוא תיאר כאבים כרוניים ברגלו ותיאר שעוד יצטרך לעבור ניתוחים נוספים ושהוא נאלץ ליטול תרופות נגד כאבים. הוא תיאר גם קשיים נפשיים.</w:t>
      </w:r>
    </w:p>
    <w:p w14:paraId="7978297A" w14:textId="77777777" w:rsidR="00A12F1B" w:rsidRDefault="00A12F1B">
      <w:pPr>
        <w:spacing w:line="360" w:lineRule="auto"/>
        <w:ind w:left="720" w:hanging="720"/>
        <w:jc w:val="both"/>
        <w:rPr>
          <w:rtl/>
        </w:rPr>
      </w:pPr>
    </w:p>
    <w:p w14:paraId="11DC1FD1" w14:textId="77777777" w:rsidR="00A12F1B" w:rsidRDefault="00BD30EA">
      <w:pPr>
        <w:spacing w:line="360" w:lineRule="auto"/>
        <w:ind w:left="720" w:hanging="720"/>
        <w:jc w:val="both"/>
        <w:rPr>
          <w:rtl/>
        </w:rPr>
      </w:pPr>
      <w:r>
        <w:rPr>
          <w:b/>
          <w:bCs/>
          <w:u w:val="single"/>
          <w:rtl/>
        </w:rPr>
        <w:t>פסיקה</w:t>
      </w:r>
    </w:p>
    <w:p w14:paraId="44BD428F" w14:textId="77777777" w:rsidR="00A12F1B" w:rsidRDefault="00A12F1B">
      <w:pPr>
        <w:spacing w:line="360" w:lineRule="auto"/>
        <w:ind w:left="720" w:hanging="720"/>
        <w:jc w:val="both"/>
        <w:rPr>
          <w:rtl/>
        </w:rPr>
      </w:pPr>
    </w:p>
    <w:p w14:paraId="2BAF332E" w14:textId="77777777" w:rsidR="00A12F1B" w:rsidRDefault="00BD30EA">
      <w:pPr>
        <w:spacing w:line="360" w:lineRule="auto"/>
        <w:ind w:left="720" w:hanging="720"/>
        <w:jc w:val="both"/>
        <w:rPr>
          <w:rtl/>
        </w:rPr>
      </w:pPr>
      <w:r>
        <w:rPr>
          <w:rtl/>
        </w:rPr>
        <w:t>22.</w:t>
      </w:r>
      <w:r>
        <w:rPr>
          <w:rtl/>
        </w:rPr>
        <w:tab/>
        <w:t>המדינה איזכרה פסיקה כדלקמן: ב</w:t>
      </w:r>
      <w:hyperlink r:id="rId31" w:history="1">
        <w:r w:rsidRPr="00BD30EA">
          <w:rPr>
            <w:color w:val="0000FF"/>
            <w:u w:val="single"/>
            <w:rtl/>
          </w:rPr>
          <w:t>ע"פ 4314/04</w:t>
        </w:r>
      </w:hyperlink>
      <w:r>
        <w:rPr>
          <w:rtl/>
        </w:rPr>
        <w:t xml:space="preserve"> </w:t>
      </w:r>
      <w:r>
        <w:rPr>
          <w:b/>
          <w:bCs/>
          <w:rtl/>
        </w:rPr>
        <w:t>ליסר יפים נ' מדינת ישראל</w:t>
      </w:r>
      <w:r w:rsidR="00517B80">
        <w:rPr>
          <w:rFonts w:hint="cs"/>
          <w:b/>
          <w:bCs/>
          <w:rtl/>
        </w:rPr>
        <w:t xml:space="preserve"> </w:t>
      </w:r>
      <w:r w:rsidR="00517B80" w:rsidRPr="00517B80">
        <w:rPr>
          <w:sz w:val="22"/>
          <w:rtl/>
        </w:rPr>
        <w:t xml:space="preserve">[פורסם בנבו] </w:t>
      </w:r>
      <w:r>
        <w:rPr>
          <w:b/>
          <w:bCs/>
          <w:rtl/>
        </w:rPr>
        <w:t xml:space="preserve"> </w:t>
      </w:r>
      <w:r>
        <w:rPr>
          <w:rtl/>
        </w:rPr>
        <w:t>05.09.2007), הוטלו על נאשם שחבל בשכנתו בראש באמצעות נשק קר וגרם לה לפצעים ושברים בגולגולת 13 שנות מאסר בערכאה הדיונית. בית המשפט העליון לא התערב בתוצאה. בערעור צויין שמדובר בנאשם מבוגר, כבן 67, במצב בריאותי לקוי, אך קבע שלמרות שיקולים אלה ועל אף שהעונש לא היה קל, הוא הולם את נסיבות המקרה.</w:t>
      </w:r>
    </w:p>
    <w:p w14:paraId="7B4B2D45" w14:textId="77777777" w:rsidR="00A12F1B" w:rsidRDefault="00BD30EA">
      <w:pPr>
        <w:spacing w:line="360" w:lineRule="auto"/>
        <w:ind w:left="720" w:hanging="720"/>
        <w:jc w:val="both"/>
        <w:rPr>
          <w:rtl/>
        </w:rPr>
      </w:pPr>
      <w:r>
        <w:rPr>
          <w:rtl/>
        </w:rPr>
        <w:tab/>
      </w:r>
      <w:hyperlink r:id="rId32" w:history="1">
        <w:r w:rsidRPr="00BD30EA">
          <w:rPr>
            <w:color w:val="0000FF"/>
            <w:u w:val="single"/>
            <w:rtl/>
          </w:rPr>
          <w:t>ע"פ 4375/02</w:t>
        </w:r>
      </w:hyperlink>
      <w:r>
        <w:rPr>
          <w:rtl/>
        </w:rPr>
        <w:t xml:space="preserve"> </w:t>
      </w:r>
      <w:r>
        <w:rPr>
          <w:b/>
          <w:bCs/>
          <w:rtl/>
        </w:rPr>
        <w:t>לזר דיין נ' מדינת ישראל</w:t>
      </w:r>
      <w:r>
        <w:rPr>
          <w:rtl/>
        </w:rPr>
        <w:t xml:space="preserve"> </w:t>
      </w:r>
      <w:r w:rsidR="00517B80" w:rsidRPr="00517B80">
        <w:rPr>
          <w:sz w:val="22"/>
          <w:rtl/>
        </w:rPr>
        <w:t xml:space="preserve">[פורסם בנבו] </w:t>
      </w:r>
      <w:r>
        <w:rPr>
          <w:rtl/>
        </w:rPr>
        <w:t xml:space="preserve">(09.01.2003), נאשם בעל משפחה ללא עבר פלילי, עם בריאות לקויה, ירה 13 כדורים לעבר רגליו של הממונה עליו בעבודה בחברת חשמל ופגע בפלג גופו התחתון באופן קשה. הנאשם הואשם בניסיון לרצח, אך הערכאה הדיונית לא שוכנעה במידה הנדרשת כי התקיימה כוונה ורצון להמית והוא הורשע בעבירה של חבלה בכוונה מחמירה, לפי </w:t>
      </w:r>
      <w:hyperlink r:id="rId33" w:history="1">
        <w:r w:rsidR="00833D11" w:rsidRPr="00833D11">
          <w:rPr>
            <w:color w:val="0000FF"/>
            <w:u w:val="single"/>
            <w:rtl/>
          </w:rPr>
          <w:t>סעיף 329(1)</w:t>
        </w:r>
      </w:hyperlink>
      <w:r>
        <w:rPr>
          <w:rtl/>
        </w:rPr>
        <w:t xml:space="preserve"> ל</w:t>
      </w:r>
      <w:hyperlink r:id="rId34" w:history="1">
        <w:r w:rsidRPr="00BD30EA">
          <w:rPr>
            <w:color w:val="0000FF"/>
            <w:u w:val="single"/>
            <w:rtl/>
          </w:rPr>
          <w:t>חוק העונשין</w:t>
        </w:r>
      </w:hyperlink>
      <w:r>
        <w:rPr>
          <w:rtl/>
        </w:rPr>
        <w:t>, ונגזרו עליו 13 שנות מאסר בפועל. בית המשפט העליון לא התערב בתוצאה והדגיש את הפסול בניסיון "ליישב" סכסוך באמצעות נשק חם.</w:t>
      </w:r>
    </w:p>
    <w:p w14:paraId="0E14ADCD" w14:textId="77777777" w:rsidR="00A12F1B" w:rsidRDefault="00BD30EA">
      <w:pPr>
        <w:spacing w:line="360" w:lineRule="auto"/>
        <w:ind w:left="720" w:hanging="720"/>
        <w:jc w:val="both"/>
        <w:rPr>
          <w:rtl/>
        </w:rPr>
      </w:pPr>
      <w:r>
        <w:rPr>
          <w:rtl/>
        </w:rPr>
        <w:tab/>
        <w:t>ב</w:t>
      </w:r>
      <w:hyperlink r:id="rId35" w:history="1">
        <w:r w:rsidRPr="00BD30EA">
          <w:rPr>
            <w:color w:val="0000FF"/>
            <w:u w:val="single"/>
            <w:rtl/>
          </w:rPr>
          <w:t>תפ"ח (ת"א) 1004/09</w:t>
        </w:r>
      </w:hyperlink>
      <w:r>
        <w:rPr>
          <w:rtl/>
        </w:rPr>
        <w:t xml:space="preserve"> </w:t>
      </w:r>
      <w:r>
        <w:rPr>
          <w:b/>
          <w:bCs/>
          <w:rtl/>
        </w:rPr>
        <w:t>מדינת ישראל נ' דיגנקוב מיכאל</w:t>
      </w:r>
      <w:r>
        <w:rPr>
          <w:rtl/>
        </w:rPr>
        <w:t xml:space="preserve"> </w:t>
      </w:r>
      <w:r w:rsidR="00517B80" w:rsidRPr="00517B80">
        <w:rPr>
          <w:sz w:val="22"/>
          <w:rtl/>
        </w:rPr>
        <w:t xml:space="preserve">[פורסם בנבו] </w:t>
      </w:r>
      <w:r>
        <w:rPr>
          <w:rtl/>
        </w:rPr>
        <w:t>(15.09.2009) הורשע נאשם בחבלה בכוונה מחמירה, כאשר בכתב האישום המקורי יוחס לו ניסיון לרצח. על פי עובדות המקרה, בעקבות ויכוח בינו לבין המתלונן נטל הנאשם סכין ושיסף את גרונו של המתלונן, ששכב במיטתו. במאבק שהתפתח נחבל המתלונן קשות בידיו. הנאשם היה בעל עבר פלילי עשיר בתחום האלימות, והעבירה בוצעה ללא רקע ברור, כאשר המתלונן בכלל התארח בדירתו של הנאשם באותו זמן. בית המשפט הטיל 13 שנות מאסר בפועל על הנאשם.</w:t>
      </w:r>
    </w:p>
    <w:p w14:paraId="4A5C3D28" w14:textId="77777777" w:rsidR="00A12F1B" w:rsidRDefault="00BD30EA">
      <w:pPr>
        <w:spacing w:line="360" w:lineRule="auto"/>
        <w:ind w:left="720" w:hanging="720"/>
        <w:jc w:val="both"/>
        <w:rPr>
          <w:rtl/>
        </w:rPr>
      </w:pPr>
      <w:r>
        <w:rPr>
          <w:rtl/>
        </w:rPr>
        <w:tab/>
        <w:t>ב</w:t>
      </w:r>
      <w:hyperlink r:id="rId36" w:history="1">
        <w:r w:rsidRPr="00BD30EA">
          <w:rPr>
            <w:color w:val="0000FF"/>
            <w:u w:val="single"/>
            <w:rtl/>
          </w:rPr>
          <w:t>ע"פ 4697/11</w:t>
        </w:r>
      </w:hyperlink>
      <w:r>
        <w:rPr>
          <w:rtl/>
        </w:rPr>
        <w:t xml:space="preserve"> </w:t>
      </w:r>
      <w:r>
        <w:rPr>
          <w:b/>
          <w:bCs/>
          <w:rtl/>
        </w:rPr>
        <w:t>מדינת ישראל נ' סילמאן אלצאנע</w:t>
      </w:r>
      <w:r>
        <w:rPr>
          <w:rtl/>
        </w:rPr>
        <w:t xml:space="preserve"> </w:t>
      </w:r>
      <w:r w:rsidR="00517B80" w:rsidRPr="00517B80">
        <w:rPr>
          <w:sz w:val="22"/>
          <w:rtl/>
        </w:rPr>
        <w:t xml:space="preserve">[פורסם בנבו] </w:t>
      </w:r>
      <w:r>
        <w:rPr>
          <w:rtl/>
        </w:rPr>
        <w:t>(24/03/2013) ירה הנאשם בגבה של אחותו ממרחק קצר וגרם לה פגיעות קשות. הערכאה הדיונית גזרה עונש בסך 8 שנות מאסר. בית המשפט העליון החמיר בענישה והטיל עונש של 9 שנות מאסר.</w:t>
      </w:r>
    </w:p>
    <w:p w14:paraId="4FA2FD66" w14:textId="77777777" w:rsidR="00A12F1B" w:rsidRDefault="00A12F1B">
      <w:pPr>
        <w:spacing w:line="360" w:lineRule="auto"/>
        <w:ind w:left="720" w:hanging="720"/>
        <w:jc w:val="both"/>
        <w:rPr>
          <w:rtl/>
        </w:rPr>
      </w:pPr>
    </w:p>
    <w:p w14:paraId="3AE0120A" w14:textId="77777777" w:rsidR="00A12F1B" w:rsidRDefault="00BD30EA">
      <w:pPr>
        <w:spacing w:line="360" w:lineRule="auto"/>
        <w:ind w:left="720" w:hanging="720"/>
        <w:jc w:val="both"/>
        <w:rPr>
          <w:rtl/>
        </w:rPr>
      </w:pPr>
      <w:r>
        <w:rPr>
          <w:rtl/>
        </w:rPr>
        <w:t>23.</w:t>
      </w:r>
      <w:r>
        <w:rPr>
          <w:rtl/>
        </w:rPr>
        <w:tab/>
        <w:t xml:space="preserve">הסנגור איזכר פסיקה מקלה יותר. בין היתר, </w:t>
      </w:r>
      <w:hyperlink r:id="rId37" w:history="1">
        <w:r w:rsidRPr="00BD30EA">
          <w:rPr>
            <w:color w:val="0000FF"/>
            <w:u w:val="single"/>
            <w:rtl/>
          </w:rPr>
          <w:t>ע"פ 10676/07</w:t>
        </w:r>
      </w:hyperlink>
      <w:r>
        <w:rPr>
          <w:rtl/>
        </w:rPr>
        <w:t xml:space="preserve"> </w:t>
      </w:r>
      <w:r>
        <w:rPr>
          <w:b/>
          <w:bCs/>
          <w:rtl/>
        </w:rPr>
        <w:t xml:space="preserve"> בועז אביטאן נ' מדינת ישראל </w:t>
      </w:r>
      <w:r w:rsidR="00517B80" w:rsidRPr="00517B80">
        <w:rPr>
          <w:sz w:val="22"/>
          <w:rtl/>
        </w:rPr>
        <w:t xml:space="preserve">[פורסם בנבו] </w:t>
      </w:r>
      <w:r>
        <w:rPr>
          <w:rtl/>
        </w:rPr>
        <w:t>(18.9.2008) שם בגין עבירה של חבלה בכוונה מחמירה נגזרו על נאשם 12 חודשי מאסר בפועל. ביחס לעבירה תוארה תקיפה של המתלונן על ידי הנאשם (שאחותו של הנאשם עברה מספר ימים קודם לכן לגור עמו ונטשה אורח חיים דתי). התקיפה ארעה בלא התגרות ותוך כדי ביצועה עשה הנאשם שימוש במוט עץ כבד ולמתלונן ואדם נוסף נגרמו פצעים קשים כתוצאה ממכות המוט (יוער, שהפצעים לא היו בדרגה חמורה כגון במקרה דנן). ניתנו תסקירי מבחן חיוביים ואף הומלץ על נקיטת הליך של צדק מאחה. בית המשפט קיבל את הערעור באופן חלקי והעמיד את העונש שהוטל על תקופה של 6 חודשי מאסר שירוצו בעבודות שירות וזאת תוך כדי כך שהוא מבקר מסלול שיקומי.</w:t>
      </w:r>
    </w:p>
    <w:p w14:paraId="4120D742" w14:textId="77777777" w:rsidR="00A12F1B" w:rsidRDefault="00BD30EA">
      <w:pPr>
        <w:spacing w:line="360" w:lineRule="auto"/>
        <w:ind w:left="720" w:hanging="720"/>
        <w:jc w:val="both"/>
        <w:rPr>
          <w:rtl/>
        </w:rPr>
      </w:pPr>
      <w:r>
        <w:rPr>
          <w:rtl/>
        </w:rPr>
        <w:tab/>
        <w:t>ב</w:t>
      </w:r>
      <w:hyperlink r:id="rId38" w:history="1">
        <w:r w:rsidRPr="00BD30EA">
          <w:rPr>
            <w:color w:val="0000FF"/>
            <w:u w:val="single"/>
            <w:rtl/>
          </w:rPr>
          <w:t>ע"פ 5717/14</w:t>
        </w:r>
      </w:hyperlink>
      <w:r>
        <w:rPr>
          <w:rtl/>
        </w:rPr>
        <w:t xml:space="preserve"> </w:t>
      </w:r>
      <w:r>
        <w:rPr>
          <w:b/>
          <w:bCs/>
          <w:rtl/>
        </w:rPr>
        <w:t>מדינת ישראל נ' מוסא גדבאן</w:t>
      </w:r>
      <w:r>
        <w:rPr>
          <w:rtl/>
        </w:rPr>
        <w:t xml:space="preserve"> </w:t>
      </w:r>
      <w:r w:rsidR="00517B80" w:rsidRPr="00517B80">
        <w:rPr>
          <w:sz w:val="22"/>
          <w:rtl/>
        </w:rPr>
        <w:t xml:space="preserve">[פורסם בנבו] </w:t>
      </w:r>
      <w:r>
        <w:rPr>
          <w:rtl/>
        </w:rPr>
        <w:t>(2.12.2014) גזרה הערכאה הדיונית עונש של 20 חודשי מאסר בפועל על נאשם שהורשע בעבירות של חבלה חמורה בנסיבות מחמירות ועבירות נשק כאשר הוא ירה יריות לעבר הקרקע בקרבת המתלונן וקליע אחד פגע ברגלו של המתלונן. בית המשפט העליון העמיד את תקופת המאסר בפועל על 30 חודשי מאסר.</w:t>
      </w:r>
    </w:p>
    <w:p w14:paraId="23EEDFB6" w14:textId="77777777" w:rsidR="00A12F1B" w:rsidRDefault="00BD30EA">
      <w:pPr>
        <w:spacing w:line="360" w:lineRule="auto"/>
        <w:ind w:left="720" w:hanging="720"/>
        <w:jc w:val="both"/>
        <w:rPr>
          <w:rtl/>
        </w:rPr>
      </w:pPr>
      <w:r>
        <w:rPr>
          <w:rtl/>
        </w:rPr>
        <w:tab/>
        <w:t>ב</w:t>
      </w:r>
      <w:hyperlink r:id="rId39" w:history="1">
        <w:r w:rsidR="00517B80" w:rsidRPr="00517B80">
          <w:rPr>
            <w:color w:val="0000FF"/>
            <w:u w:val="single"/>
            <w:rtl/>
          </w:rPr>
          <w:t>ת"פ (חיפה) 3054/04</w:t>
        </w:r>
      </w:hyperlink>
      <w:r>
        <w:rPr>
          <w:rtl/>
        </w:rPr>
        <w:t xml:space="preserve"> </w:t>
      </w:r>
      <w:r>
        <w:rPr>
          <w:b/>
          <w:bCs/>
          <w:rtl/>
        </w:rPr>
        <w:t>מדינת ישראל נ' מייסור בן מחמוד כרכור</w:t>
      </w:r>
      <w:r>
        <w:rPr>
          <w:rtl/>
        </w:rPr>
        <w:t xml:space="preserve"> </w:t>
      </w:r>
      <w:r w:rsidR="00517B80" w:rsidRPr="00517B80">
        <w:rPr>
          <w:sz w:val="22"/>
          <w:rtl/>
        </w:rPr>
        <w:t xml:space="preserve">[פורסם בנבו] </w:t>
      </w:r>
      <w:r>
        <w:rPr>
          <w:rtl/>
        </w:rPr>
        <w:t>(1.06.2004) בגין עבירות של חבלה חמורה בנסיבות מחמירות ועבירת איומים הטיל בית המשפט על הנאשם עונש מאסר בפועל של 24 חודשים. באותו מקרה תואר כי בין משפחות המעורבים היה קיים סכסוך והנאשם ירה ברובה ציד בסמוך לבית המתלונן לכיוון המתלונן ואנשים שעמדו סביבו. מספר אנשים נפצעו פצעים קלים כתוצאה. בית המשפט הדגיש כי מדובר בפגיעות שטחיות שדרשו טיפול מקומי ולא דרשו אשפוז.</w:t>
      </w:r>
    </w:p>
    <w:p w14:paraId="1E090FB4" w14:textId="77777777" w:rsidR="00A12F1B" w:rsidRDefault="00BD30EA">
      <w:pPr>
        <w:spacing w:line="360" w:lineRule="auto"/>
        <w:ind w:left="720" w:hanging="720"/>
        <w:jc w:val="both"/>
        <w:rPr>
          <w:rtl/>
        </w:rPr>
      </w:pPr>
      <w:r>
        <w:rPr>
          <w:rtl/>
        </w:rPr>
        <w:tab/>
        <w:t>ב</w:t>
      </w:r>
      <w:hyperlink r:id="rId40" w:history="1">
        <w:r w:rsidRPr="00BD30EA">
          <w:rPr>
            <w:color w:val="0000FF"/>
            <w:u w:val="single"/>
            <w:rtl/>
          </w:rPr>
          <w:t>ת"פ 39605-04-11</w:t>
        </w:r>
      </w:hyperlink>
      <w:r>
        <w:rPr>
          <w:rtl/>
        </w:rPr>
        <w:t xml:space="preserve"> </w:t>
      </w:r>
      <w:r>
        <w:rPr>
          <w:b/>
          <w:bCs/>
          <w:rtl/>
        </w:rPr>
        <w:t>מדינת ישראל נ' מוחמד סעד</w:t>
      </w:r>
      <w:r>
        <w:rPr>
          <w:rtl/>
        </w:rPr>
        <w:t xml:space="preserve"> </w:t>
      </w:r>
      <w:r w:rsidR="00517B80" w:rsidRPr="00517B80">
        <w:rPr>
          <w:sz w:val="22"/>
          <w:rtl/>
        </w:rPr>
        <w:t xml:space="preserve">[פורסם בנבו] </w:t>
      </w:r>
      <w:r>
        <w:rPr>
          <w:rtl/>
        </w:rPr>
        <w:t>(16.10.2012) ירה הנאשם 3 קליעים ברגליו של המתלונן וגרם לו פציעות רציניות על רקע אירועי ירי קודמים בין בני משפחות המתלונן והנאשם. בית משפט הטיל 42 חודשי מאסר בפועל על הנאשם. יוער, כי במסגרת התסקיר, למרות שניהל הליך הוכחות, הודה הנאשם בביצוע העבירה, הביע חרטה על מעשיו וביקש שלא תיחסם דרכו לשיקום.</w:t>
      </w:r>
    </w:p>
    <w:p w14:paraId="5CAC23E9" w14:textId="77777777" w:rsidR="00A12F1B" w:rsidRDefault="00BD30EA">
      <w:pPr>
        <w:spacing w:line="360" w:lineRule="auto"/>
        <w:ind w:left="720" w:hanging="720"/>
        <w:jc w:val="both"/>
        <w:rPr>
          <w:rtl/>
        </w:rPr>
      </w:pPr>
      <w:r>
        <w:rPr>
          <w:rtl/>
        </w:rPr>
        <w:tab/>
        <w:t>ב</w:t>
      </w:r>
      <w:hyperlink r:id="rId41" w:history="1">
        <w:r w:rsidRPr="00BD30EA">
          <w:rPr>
            <w:color w:val="0000FF"/>
            <w:u w:val="single"/>
            <w:rtl/>
          </w:rPr>
          <w:t>ת"פ (חי') 5013/12</w:t>
        </w:r>
      </w:hyperlink>
      <w:r>
        <w:rPr>
          <w:rtl/>
        </w:rPr>
        <w:t xml:space="preserve"> </w:t>
      </w:r>
      <w:r>
        <w:rPr>
          <w:b/>
          <w:bCs/>
          <w:rtl/>
        </w:rPr>
        <w:t xml:space="preserve">מדינת ישראל נ' אלכסנדר פיטייב </w:t>
      </w:r>
      <w:r w:rsidR="00517B80" w:rsidRPr="00517B80">
        <w:rPr>
          <w:sz w:val="22"/>
          <w:rtl/>
        </w:rPr>
        <w:t xml:space="preserve">[פורסם בנבו] </w:t>
      </w:r>
      <w:r>
        <w:rPr>
          <w:rtl/>
        </w:rPr>
        <w:t>(18.12.2013) הורשע הנאשם בעבירות של חבלה בכוונה מחמירה, ייצור נשק, החזקת נשק ונשיאת נשק כאשר תואר שעת ששהה בחניון אגם מונפורט עם חבריו בטיול, התפתח דין ודברים עם המתלוננים. בהמשך ייצרו הנאשם וחבריו בקבוקי תבערה ויידו אותם לעבר חברי הקבוצה השניה. לא תואר שנגרם נזק גופני למתלוננים. הנאשם לקח אחריות על מעשיו וניתן תסקיר חיובי. בית משפט הטיל עונש של 6 חודשי מאסר לריצוי בעבודות שירות.</w:t>
      </w:r>
    </w:p>
    <w:p w14:paraId="52EA9256" w14:textId="77777777" w:rsidR="00A12F1B" w:rsidRDefault="00A12F1B">
      <w:pPr>
        <w:spacing w:line="360" w:lineRule="auto"/>
        <w:ind w:left="720" w:hanging="720"/>
        <w:jc w:val="both"/>
        <w:rPr>
          <w:rtl/>
        </w:rPr>
      </w:pPr>
    </w:p>
    <w:p w14:paraId="0BFCCE47" w14:textId="77777777" w:rsidR="00A12F1B" w:rsidRDefault="00BD30EA">
      <w:pPr>
        <w:spacing w:line="360" w:lineRule="auto"/>
        <w:ind w:left="720" w:hanging="720"/>
        <w:jc w:val="both"/>
        <w:rPr>
          <w:b/>
          <w:bCs/>
          <w:u w:val="single"/>
          <w:rtl/>
        </w:rPr>
      </w:pPr>
      <w:r>
        <w:rPr>
          <w:b/>
          <w:bCs/>
          <w:u w:val="single"/>
          <w:rtl/>
        </w:rPr>
        <w:t>הכרעה</w:t>
      </w:r>
    </w:p>
    <w:p w14:paraId="7C8235E2" w14:textId="77777777" w:rsidR="00A12F1B" w:rsidRDefault="00A12F1B">
      <w:pPr>
        <w:spacing w:line="360" w:lineRule="auto"/>
        <w:ind w:left="720" w:hanging="720"/>
        <w:jc w:val="both"/>
        <w:rPr>
          <w:b/>
          <w:bCs/>
          <w:u w:val="single"/>
          <w:rtl/>
        </w:rPr>
      </w:pPr>
    </w:p>
    <w:p w14:paraId="2A5A12DE" w14:textId="77777777" w:rsidR="00A12F1B" w:rsidRDefault="00BD30EA">
      <w:pPr>
        <w:spacing w:line="360" w:lineRule="auto"/>
        <w:ind w:left="720" w:hanging="720"/>
        <w:jc w:val="both"/>
        <w:rPr>
          <w:rtl/>
        </w:rPr>
      </w:pPr>
      <w:r>
        <w:rPr>
          <w:rtl/>
        </w:rPr>
        <w:t>24.</w:t>
      </w:r>
      <w:r>
        <w:rPr>
          <w:rtl/>
        </w:rPr>
        <w:tab/>
        <w:t>במקרה דנן הערך החברתי שנפגע הוא הזכות לשלמות הגוף, השמירה על שלום הציבור ושמירה על שלטון החוק. אין צריך לומר שכאשר מדובר בביצוע ירי - ועוד מטווח קרוב  - בכוונה לפגוע באחר, תוך כדי גרימת נזקים גופניים רציניים, מידת הפגיעה בערכים האמורים גבוהה. מדיניות הענישה המשתקפת מן הפסיקה במקרים דומים מחמירה.</w:t>
      </w:r>
    </w:p>
    <w:p w14:paraId="5C929A8D" w14:textId="77777777" w:rsidR="00A12F1B" w:rsidRDefault="00A12F1B">
      <w:pPr>
        <w:spacing w:line="360" w:lineRule="auto"/>
        <w:ind w:left="720" w:hanging="720"/>
        <w:jc w:val="both"/>
        <w:rPr>
          <w:rtl/>
        </w:rPr>
      </w:pPr>
    </w:p>
    <w:p w14:paraId="7F3FED22" w14:textId="77777777" w:rsidR="00A12F1B" w:rsidRDefault="00BD30EA">
      <w:pPr>
        <w:spacing w:line="360" w:lineRule="auto"/>
        <w:ind w:left="720" w:hanging="720"/>
        <w:jc w:val="both"/>
        <w:rPr>
          <w:rtl/>
        </w:rPr>
      </w:pPr>
      <w:r>
        <w:rPr>
          <w:rtl/>
        </w:rPr>
        <w:t>25.</w:t>
      </w:r>
      <w:r>
        <w:rPr>
          <w:rtl/>
        </w:rPr>
        <w:tab/>
        <w:t>באשר לנסיבות הקשורות בביצוע העבירה, אין ספק שהעבירה דרשה תכנון מוקדם משמעותי. כפי שעולה מהכרעת הדין, הנאשם הצטייד בנשק ובכפפות ועשה את דרכו לביתו של המתלונן תוך כדי הפרת תנאים מגבילים שחלו עליו. חלקו של הנאשם בביצוע העבירה הוא בלעדי ולא נראה שאדם אחר השפיע עליו או דחף אותו לביצועה. הנזק שהיה צפוי להיגרם מביצוע העבירה היה משמעותי ורק פסע הפריד בין פגיעה חמורה יותר ואולי אף פגיעה קטלנית במתלונן. הסיבות אשר הביאו את הנאשם לביצוע העבירה היו פסולות וקשורות לעדות שהמתלונן עמד לתת נגדו. הנאשם יכל להימנע בכל שלב מביצוע העבירה. באשר לגילו, אמנם מדובר באדם צעיר, אבל לא הייתה כל מניעה שיבין את הפסול במעשיו, שהרי הוא אדם אינטליגנטי ונבון. מכל מקום הפסיקה אינה אחידה ביחסה לבגירים צעירים (ראו האסמכתאות לעיל).</w:t>
      </w:r>
    </w:p>
    <w:p w14:paraId="5279305B" w14:textId="77777777" w:rsidR="00A12F1B" w:rsidRDefault="00A12F1B">
      <w:pPr>
        <w:spacing w:line="360" w:lineRule="auto"/>
        <w:ind w:left="720" w:hanging="720"/>
        <w:jc w:val="both"/>
        <w:rPr>
          <w:rtl/>
        </w:rPr>
      </w:pPr>
    </w:p>
    <w:p w14:paraId="0E40E868" w14:textId="77777777" w:rsidR="00A12F1B" w:rsidRDefault="00BD30EA">
      <w:pPr>
        <w:spacing w:line="360" w:lineRule="auto"/>
        <w:ind w:left="720" w:hanging="720"/>
        <w:jc w:val="both"/>
        <w:rPr>
          <w:rtl/>
        </w:rPr>
      </w:pPr>
      <w:r>
        <w:rPr>
          <w:rtl/>
        </w:rPr>
        <w:t>26.</w:t>
      </w:r>
      <w:r>
        <w:rPr>
          <w:rtl/>
        </w:rPr>
        <w:tab/>
        <w:t>מכל האמור הגעתי למסקנה, שמתחם הענישה הסביר נמצא בין 9 עד 13 שנות מאסר. בשולי הדברים יוער כי יש לראות בעבירות השונות אירוע אחד.</w:t>
      </w:r>
    </w:p>
    <w:p w14:paraId="6B208CFC" w14:textId="77777777" w:rsidR="00A12F1B" w:rsidRDefault="00A12F1B">
      <w:pPr>
        <w:spacing w:line="360" w:lineRule="auto"/>
        <w:ind w:left="720" w:hanging="720"/>
        <w:jc w:val="both"/>
        <w:rPr>
          <w:rtl/>
        </w:rPr>
      </w:pPr>
    </w:p>
    <w:p w14:paraId="5ACD8A05" w14:textId="77777777" w:rsidR="00A12F1B" w:rsidRDefault="00BD30EA">
      <w:pPr>
        <w:spacing w:line="360" w:lineRule="auto"/>
        <w:ind w:left="720" w:hanging="720"/>
        <w:jc w:val="both"/>
        <w:rPr>
          <w:rtl/>
        </w:rPr>
      </w:pPr>
      <w:r>
        <w:rPr>
          <w:rtl/>
        </w:rPr>
        <w:t>27.</w:t>
      </w:r>
      <w:r>
        <w:rPr>
          <w:rtl/>
        </w:rPr>
        <w:tab/>
        <w:t>באשר לשיקולים הספציפיים לעונש שייגזר, הנאשם כאמור אינו נוטל אחריות היות והוא מכחיש את ביצוע המעשה. בנוסף, לחומרה העובדה כי המעשה בוצע על רקע כעס בנוגע למעשה פלילי אחר של הנאשם (השוד) ועדותו של המתלונן נגדו. הנאשם בא מרקע נורמטיבי ולא מצאתי כי קיימות נסיבות משפחתיות מקלות. הלכה למעשה השיקול המרכזי לטובתו הינו כי הוא אדם צעיר, ואולם כפי שצויין לעיל גיל צעיר אינו מהווה חסינות. במקרה דנן התרשמתי כי מדובר באדם אשר אימץ התנהגות עבריינית. בנסיבות המקרה לא עלה כי קיים הליך שיקומי כזה או אחר.</w:t>
      </w:r>
    </w:p>
    <w:p w14:paraId="1A34C001" w14:textId="77777777" w:rsidR="00A12F1B" w:rsidRDefault="00A12F1B">
      <w:pPr>
        <w:spacing w:line="360" w:lineRule="auto"/>
        <w:ind w:left="720" w:hanging="720"/>
        <w:jc w:val="both"/>
        <w:rPr>
          <w:rtl/>
        </w:rPr>
      </w:pPr>
    </w:p>
    <w:p w14:paraId="74B6A633" w14:textId="77777777" w:rsidR="00A12F1B" w:rsidRDefault="00BD30EA">
      <w:pPr>
        <w:spacing w:line="360" w:lineRule="auto"/>
        <w:ind w:left="720" w:hanging="720"/>
        <w:jc w:val="both"/>
        <w:rPr>
          <w:rtl/>
        </w:rPr>
      </w:pPr>
      <w:r>
        <w:rPr>
          <w:rtl/>
        </w:rPr>
        <w:t>28.</w:t>
      </w:r>
      <w:r>
        <w:rPr>
          <w:rtl/>
        </w:rPr>
        <w:tab/>
        <w:t>כתוצאה מכל האמור לעיל, הנני מטיל על הנאשם עונשים כדלקמן:</w:t>
      </w:r>
    </w:p>
    <w:p w14:paraId="1E12E971" w14:textId="77777777" w:rsidR="00A12F1B" w:rsidRDefault="00BD30EA">
      <w:pPr>
        <w:spacing w:line="360" w:lineRule="auto"/>
        <w:ind w:left="1440" w:hanging="720"/>
        <w:jc w:val="both"/>
        <w:rPr>
          <w:rtl/>
        </w:rPr>
      </w:pPr>
      <w:r>
        <w:rPr>
          <w:rtl/>
        </w:rPr>
        <w:t>1.</w:t>
      </w:r>
      <w:r>
        <w:rPr>
          <w:rtl/>
        </w:rPr>
        <w:tab/>
        <w:t>מאסר בפועל לתקופה של 11 שנים. מתקופה זו יש לנכות רק את התקופה שבין 22.3.13 עד ליום 30.1.14.</w:t>
      </w:r>
    </w:p>
    <w:p w14:paraId="569251B7" w14:textId="77777777" w:rsidR="00A12F1B" w:rsidRDefault="00BD30EA" w:rsidP="00517B80">
      <w:pPr>
        <w:spacing w:line="360" w:lineRule="auto"/>
        <w:ind w:left="720" w:hanging="720"/>
        <w:jc w:val="both"/>
        <w:rPr>
          <w:rtl/>
        </w:rPr>
      </w:pPr>
      <w:r>
        <w:rPr>
          <w:rtl/>
        </w:rPr>
        <w:tab/>
      </w:r>
      <w:r>
        <w:rPr>
          <w:rFonts w:hint="cs"/>
          <w:rtl/>
        </w:rPr>
        <w:t xml:space="preserve">2. </w:t>
      </w:r>
      <w:r>
        <w:rPr>
          <w:rtl/>
        </w:rPr>
        <w:tab/>
        <w:t>המאסר ירוצה במצטבר לעונש שנקבע ב</w:t>
      </w:r>
      <w:hyperlink r:id="rId42" w:history="1">
        <w:r w:rsidRPr="00BD30EA">
          <w:rPr>
            <w:color w:val="0000FF"/>
            <w:u w:val="single"/>
            <w:rtl/>
          </w:rPr>
          <w:t>ת"פ 12175-10-12</w:t>
        </w:r>
      </w:hyperlink>
      <w:r w:rsidR="00517B80">
        <w:rPr>
          <w:rFonts w:hint="cs"/>
          <w:rtl/>
        </w:rPr>
        <w:t xml:space="preserve"> </w:t>
      </w:r>
      <w:r w:rsidR="00517B80" w:rsidRPr="00517B80">
        <w:rPr>
          <w:sz w:val="22"/>
          <w:rtl/>
        </w:rPr>
        <w:t>[פורסם בנבו]</w:t>
      </w:r>
      <w:r>
        <w:rPr>
          <w:rFonts w:hint="cs"/>
          <w:rtl/>
        </w:rPr>
        <w:t>.</w:t>
      </w:r>
    </w:p>
    <w:p w14:paraId="4655C620" w14:textId="77777777" w:rsidR="00A12F1B" w:rsidRDefault="00BD30EA">
      <w:pPr>
        <w:spacing w:line="360" w:lineRule="auto"/>
        <w:ind w:left="1440" w:hanging="720"/>
        <w:jc w:val="both"/>
        <w:rPr>
          <w:rtl/>
        </w:rPr>
      </w:pPr>
      <w:r>
        <w:rPr>
          <w:rtl/>
        </w:rPr>
        <w:t>3.</w:t>
      </w:r>
      <w:r>
        <w:rPr>
          <w:rtl/>
        </w:rPr>
        <w:tab/>
        <w:t>מאסר על תנאי לתקופה של 18 חודשים למשך 3 שנים מיום שחרורו כאשר התנאי יופעל במידה והנאשם יעבור עבירת אלימות מסוג פשע.</w:t>
      </w:r>
    </w:p>
    <w:p w14:paraId="639EA200" w14:textId="77777777" w:rsidR="00A12F1B" w:rsidRDefault="00BD30EA">
      <w:pPr>
        <w:spacing w:line="360" w:lineRule="auto"/>
        <w:ind w:left="720" w:hanging="720"/>
        <w:jc w:val="both"/>
        <w:rPr>
          <w:rtl/>
        </w:rPr>
      </w:pPr>
      <w:r>
        <w:rPr>
          <w:rtl/>
        </w:rPr>
        <w:tab/>
        <w:t>4.</w:t>
      </w:r>
      <w:r>
        <w:rPr>
          <w:rtl/>
        </w:rPr>
        <w:tab/>
        <w:t>קנס בסך 5,000 ₪ לתשלום עד ליום 31.3.15.</w:t>
      </w:r>
    </w:p>
    <w:p w14:paraId="57B9B4D0" w14:textId="77777777" w:rsidR="00A12F1B" w:rsidRDefault="00BD30EA">
      <w:pPr>
        <w:spacing w:line="360" w:lineRule="auto"/>
        <w:ind w:left="720" w:hanging="720"/>
        <w:jc w:val="both"/>
        <w:rPr>
          <w:rtl/>
        </w:rPr>
      </w:pPr>
      <w:r>
        <w:rPr>
          <w:rtl/>
        </w:rPr>
        <w:tab/>
        <w:t>5.</w:t>
      </w:r>
      <w:r>
        <w:rPr>
          <w:rtl/>
        </w:rPr>
        <w:tab/>
        <w:t>פיצויים למתלונן בסך 36,000 ₪ לתשלום עד ליום 1.6.15.</w:t>
      </w:r>
    </w:p>
    <w:p w14:paraId="0A5A6F1A" w14:textId="77777777" w:rsidR="00A12F1B" w:rsidRDefault="00A12F1B">
      <w:pPr>
        <w:spacing w:line="360" w:lineRule="auto"/>
        <w:ind w:left="720" w:hanging="720"/>
        <w:jc w:val="both"/>
        <w:rPr>
          <w:rtl/>
        </w:rPr>
      </w:pPr>
    </w:p>
    <w:p w14:paraId="4A64DC43" w14:textId="77777777" w:rsidR="00A12F1B" w:rsidRDefault="00BD30EA">
      <w:pPr>
        <w:rPr>
          <w:u w:val="single"/>
          <w:rtl/>
        </w:rPr>
      </w:pPr>
      <w:r>
        <w:rPr>
          <w:rFonts w:hint="cs"/>
          <w:u w:val="single"/>
          <w:rtl/>
        </w:rPr>
        <w:t xml:space="preserve">זכות ערעור תוך 45 ימים. </w:t>
      </w:r>
    </w:p>
    <w:p w14:paraId="1A62C970" w14:textId="77777777" w:rsidR="00A12F1B" w:rsidRDefault="00A12F1B">
      <w:pPr>
        <w:rPr>
          <w:rtl/>
        </w:rPr>
      </w:pPr>
    </w:p>
    <w:p w14:paraId="5AD69205" w14:textId="77777777" w:rsidR="00A12F1B" w:rsidRPr="00BD30EA" w:rsidRDefault="00BD30EA">
      <w:pPr>
        <w:rPr>
          <w:color w:val="FFFFFF"/>
          <w:sz w:val="2"/>
          <w:szCs w:val="2"/>
          <w:rtl/>
        </w:rPr>
      </w:pPr>
      <w:r w:rsidRPr="00BD30EA">
        <w:rPr>
          <w:color w:val="FFFFFF"/>
          <w:sz w:val="2"/>
          <w:szCs w:val="2"/>
          <w:rtl/>
        </w:rPr>
        <w:t>5129371</w:t>
      </w:r>
    </w:p>
    <w:tbl>
      <w:tblPr>
        <w:tblpPr w:leftFromText="180" w:rightFromText="180" w:vertAnchor="text" w:horzAnchor="margin" w:tblpY="667"/>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A12F1B" w14:paraId="04F70F32" w14:textId="77777777">
        <w:trPr>
          <w:trHeight w:val="316"/>
        </w:trPr>
        <w:tc>
          <w:tcPr>
            <w:tcW w:w="3936" w:type="dxa"/>
            <w:tcBorders>
              <w:top w:val="nil"/>
              <w:left w:val="nil"/>
              <w:bottom w:val="single" w:sz="4" w:space="0" w:color="auto"/>
              <w:right w:val="nil"/>
            </w:tcBorders>
          </w:tcPr>
          <w:p w14:paraId="74ACBCD4" w14:textId="77777777" w:rsidR="00A12F1B" w:rsidRPr="00BD30EA" w:rsidRDefault="00BD30EA">
            <w:pPr>
              <w:jc w:val="center"/>
              <w:rPr>
                <w:color w:val="FFFFFF"/>
                <w:sz w:val="2"/>
                <w:szCs w:val="2"/>
                <w:rtl/>
              </w:rPr>
            </w:pPr>
            <w:r w:rsidRPr="00BD30EA">
              <w:rPr>
                <w:color w:val="FFFFFF"/>
                <w:sz w:val="2"/>
                <w:szCs w:val="2"/>
                <w:rtl/>
              </w:rPr>
              <w:t>54678313</w:t>
            </w:r>
          </w:p>
          <w:p w14:paraId="21D50A40" w14:textId="77777777" w:rsidR="00A12F1B" w:rsidRDefault="00A12F1B">
            <w:pPr>
              <w:jc w:val="center"/>
            </w:pPr>
          </w:p>
        </w:tc>
      </w:tr>
      <w:tr w:rsidR="00A12F1B" w14:paraId="6FC6029E" w14:textId="77777777">
        <w:trPr>
          <w:trHeight w:val="361"/>
        </w:trPr>
        <w:tc>
          <w:tcPr>
            <w:tcW w:w="3936" w:type="dxa"/>
            <w:tcBorders>
              <w:top w:val="single" w:sz="4" w:space="0" w:color="auto"/>
              <w:left w:val="nil"/>
              <w:bottom w:val="nil"/>
              <w:right w:val="nil"/>
            </w:tcBorders>
          </w:tcPr>
          <w:p w14:paraId="150EB1C1" w14:textId="77777777" w:rsidR="00A12F1B" w:rsidRDefault="00BD30EA">
            <w:pPr>
              <w:jc w:val="center"/>
              <w:rPr>
                <w:b/>
                <w:bCs/>
              </w:rPr>
            </w:pPr>
            <w:r>
              <w:rPr>
                <w:rFonts w:hint="cs"/>
                <w:b/>
                <w:bCs/>
                <w:rtl/>
              </w:rPr>
              <w:t xml:space="preserve">דניאל פיש , שופט </w:t>
            </w:r>
          </w:p>
        </w:tc>
      </w:tr>
    </w:tbl>
    <w:p w14:paraId="1A5F4882" w14:textId="77777777" w:rsidR="00BD30EA" w:rsidRPr="00517B80" w:rsidRDefault="00833D11" w:rsidP="00BD30EA">
      <w:pPr>
        <w:keepNext/>
        <w:rPr>
          <w:rFonts w:ascii="David" w:hAnsi="David"/>
          <w:b/>
          <w:bCs/>
          <w:color w:val="000000"/>
          <w:sz w:val="22"/>
          <w:szCs w:val="22"/>
        </w:rPr>
      </w:pPr>
      <w:r w:rsidRPr="00517B80">
        <w:rPr>
          <w:rFonts w:ascii="Arial" w:hAnsi="Arial"/>
          <w:b/>
          <w:bCs/>
          <w:color w:val="FFFFFF"/>
          <w:sz w:val="2"/>
          <w:szCs w:val="2"/>
          <w:rtl/>
        </w:rPr>
        <w:t>5129371</w:t>
      </w:r>
      <w:r w:rsidR="00BD30EA" w:rsidRPr="00517B80">
        <w:rPr>
          <w:rFonts w:ascii="Arial" w:hAnsi="Arial"/>
          <w:b/>
          <w:bCs/>
          <w:rtl/>
        </w:rPr>
        <w:t xml:space="preserve">ניתן היום,  כ"ג טבת תשע"ה, 14 ינואר 2015 במעמד הצדדים.  </w:t>
      </w:r>
    </w:p>
    <w:p w14:paraId="546D6649" w14:textId="77777777" w:rsidR="00BD30EA" w:rsidRDefault="00BD30EA" w:rsidP="00BD30EA">
      <w:pPr>
        <w:rPr>
          <w:rtl/>
        </w:rPr>
      </w:pPr>
    </w:p>
    <w:p w14:paraId="03F9EE2B" w14:textId="77777777" w:rsidR="00517B80" w:rsidRDefault="00517B80" w:rsidP="00BD30EA">
      <w:pPr>
        <w:jc w:val="center"/>
        <w:rPr>
          <w:rFonts w:hint="cs"/>
          <w:color w:val="0000FF"/>
          <w:u w:val="single"/>
          <w:rtl/>
        </w:rPr>
      </w:pPr>
    </w:p>
    <w:p w14:paraId="26328D76" w14:textId="77777777" w:rsidR="00517B80" w:rsidRDefault="00517B80" w:rsidP="00BD30EA">
      <w:pPr>
        <w:jc w:val="center"/>
        <w:rPr>
          <w:rFonts w:hint="cs"/>
          <w:color w:val="0000FF"/>
          <w:u w:val="single"/>
          <w:rtl/>
        </w:rPr>
      </w:pPr>
    </w:p>
    <w:p w14:paraId="7C69B74A" w14:textId="77777777" w:rsidR="00517B80" w:rsidRDefault="00517B80" w:rsidP="00BD30EA">
      <w:pPr>
        <w:jc w:val="center"/>
        <w:rPr>
          <w:rFonts w:hint="cs"/>
          <w:color w:val="0000FF"/>
          <w:u w:val="single"/>
          <w:rtl/>
        </w:rPr>
      </w:pPr>
    </w:p>
    <w:p w14:paraId="7EA98066" w14:textId="77777777" w:rsidR="00517B80" w:rsidRDefault="00517B80" w:rsidP="00BD30EA">
      <w:pPr>
        <w:jc w:val="center"/>
        <w:rPr>
          <w:rFonts w:hint="cs"/>
          <w:color w:val="0000FF"/>
          <w:u w:val="single"/>
          <w:rtl/>
        </w:rPr>
      </w:pPr>
    </w:p>
    <w:p w14:paraId="47AFC642" w14:textId="77777777" w:rsidR="00517B80" w:rsidRDefault="00517B80" w:rsidP="00BD30EA">
      <w:pPr>
        <w:jc w:val="center"/>
        <w:rPr>
          <w:rFonts w:hint="cs"/>
          <w:color w:val="0000FF"/>
          <w:u w:val="single"/>
          <w:rtl/>
        </w:rPr>
      </w:pPr>
    </w:p>
    <w:p w14:paraId="3D55BFE6" w14:textId="77777777" w:rsidR="00BD30EA" w:rsidRDefault="00BD30EA" w:rsidP="00BD30EA">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1DAF9FF1" w14:textId="77777777" w:rsidR="00833D11" w:rsidRPr="00833D11" w:rsidRDefault="00833D11" w:rsidP="00833D11">
      <w:pPr>
        <w:keepNext/>
        <w:rPr>
          <w:rFonts w:ascii="David" w:hAnsi="David"/>
          <w:color w:val="000000"/>
          <w:sz w:val="22"/>
          <w:szCs w:val="22"/>
          <w:rtl/>
        </w:rPr>
      </w:pPr>
    </w:p>
    <w:p w14:paraId="75979BAB" w14:textId="77777777" w:rsidR="00833D11" w:rsidRDefault="00833D11" w:rsidP="00833D11">
      <w:pPr>
        <w:keepNext/>
        <w:rPr>
          <w:rFonts w:ascii="David" w:hAnsi="David" w:hint="cs"/>
          <w:color w:val="000000"/>
          <w:sz w:val="22"/>
          <w:szCs w:val="22"/>
          <w:rtl/>
        </w:rPr>
      </w:pPr>
      <w:r w:rsidRPr="00833D11">
        <w:rPr>
          <w:rFonts w:ascii="David" w:hAnsi="David"/>
          <w:color w:val="000000"/>
          <w:sz w:val="22"/>
          <w:szCs w:val="22"/>
          <w:rtl/>
        </w:rPr>
        <w:t>דניאל פיש 54678313-/</w:t>
      </w:r>
    </w:p>
    <w:p w14:paraId="543BD506" w14:textId="77777777" w:rsidR="00517B80" w:rsidRDefault="00517B80" w:rsidP="00517B80">
      <w:r w:rsidRPr="00BD30EA">
        <w:rPr>
          <w:color w:val="000000"/>
          <w:rtl/>
        </w:rPr>
        <w:t>נוסח מסמך זה כפוף לשינויי ניסוח ועריכה</w:t>
      </w:r>
    </w:p>
    <w:p w14:paraId="16682238" w14:textId="77777777" w:rsidR="00517B80" w:rsidRPr="00517B80" w:rsidRDefault="00517B80" w:rsidP="00833D11">
      <w:pPr>
        <w:keepNext/>
        <w:rPr>
          <w:rFonts w:ascii="David" w:hAnsi="David" w:hint="cs"/>
          <w:color w:val="000000"/>
          <w:sz w:val="22"/>
          <w:szCs w:val="22"/>
          <w:rtl/>
        </w:rPr>
      </w:pPr>
    </w:p>
    <w:sectPr w:rsidR="00517B80" w:rsidRPr="00517B80" w:rsidSect="00833D11">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B75434" w14:textId="77777777" w:rsidR="00E6018A" w:rsidRPr="00206121" w:rsidRDefault="00E6018A">
      <w:pPr>
        <w:rPr>
          <w:rFonts w:cs="Arial"/>
          <w:szCs w:val="20"/>
        </w:rPr>
      </w:pPr>
      <w:r>
        <w:separator/>
      </w:r>
    </w:p>
  </w:endnote>
  <w:endnote w:type="continuationSeparator" w:id="0">
    <w:p w14:paraId="7CEF1D55" w14:textId="77777777" w:rsidR="00E6018A" w:rsidRPr="00206121" w:rsidRDefault="00E6018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B3950" w14:textId="77777777" w:rsidR="00B512C3" w:rsidRDefault="00B512C3" w:rsidP="00833D1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90267A4" w14:textId="77777777" w:rsidR="00B512C3" w:rsidRPr="00833D11" w:rsidRDefault="00B512C3" w:rsidP="00833D11">
    <w:pPr>
      <w:pStyle w:val="a4"/>
      <w:pBdr>
        <w:top w:val="single" w:sz="4" w:space="1" w:color="auto"/>
        <w:between w:val="single" w:sz="4" w:space="0" w:color="auto"/>
      </w:pBdr>
      <w:spacing w:after="60"/>
      <w:jc w:val="center"/>
      <w:rPr>
        <w:rFonts w:ascii="FrankRuehl" w:hAnsi="FrankRuehl" w:cs="FrankRuehl"/>
        <w:color w:val="000000"/>
      </w:rPr>
    </w:pPr>
    <w:r w:rsidRPr="00833D1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6BD2A" w14:textId="77777777" w:rsidR="00B512C3" w:rsidRDefault="00B512C3" w:rsidP="00833D1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7A3CCF9" w14:textId="77777777" w:rsidR="00B512C3" w:rsidRPr="00833D11" w:rsidRDefault="00B512C3" w:rsidP="00833D11">
    <w:pPr>
      <w:pStyle w:val="a4"/>
      <w:pBdr>
        <w:top w:val="single" w:sz="4" w:space="1" w:color="auto"/>
        <w:between w:val="single" w:sz="4" w:space="0" w:color="auto"/>
      </w:pBdr>
      <w:spacing w:after="60"/>
      <w:jc w:val="center"/>
      <w:rPr>
        <w:rFonts w:ascii="FrankRuehl" w:hAnsi="FrankRuehl" w:cs="FrankRuehl"/>
        <w:color w:val="000000"/>
      </w:rPr>
    </w:pPr>
    <w:r w:rsidRPr="00833D11">
      <w:rPr>
        <w:rFonts w:ascii="FrankRuehl" w:hAnsi="FrankRuehl" w:cs="FrankRuehl"/>
        <w:color w:val="000000"/>
      </w:rPr>
      <w:pict w14:anchorId="2E861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8C90C" w14:textId="77777777" w:rsidR="00E6018A" w:rsidRPr="00206121" w:rsidRDefault="00E6018A">
      <w:pPr>
        <w:rPr>
          <w:rFonts w:cs="Arial"/>
          <w:szCs w:val="20"/>
        </w:rPr>
      </w:pPr>
      <w:r>
        <w:separator/>
      </w:r>
    </w:p>
  </w:footnote>
  <w:footnote w:type="continuationSeparator" w:id="0">
    <w:p w14:paraId="55CDBCAF" w14:textId="77777777" w:rsidR="00E6018A" w:rsidRPr="00206121" w:rsidRDefault="00E6018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E2524" w14:textId="77777777" w:rsidR="00B512C3" w:rsidRPr="00833D11" w:rsidRDefault="00B512C3" w:rsidP="00833D1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12122-04-13</w:t>
    </w:r>
    <w:r>
      <w:rPr>
        <w:rFonts w:ascii="David" w:hAnsi="David"/>
        <w:color w:val="000000"/>
        <w:sz w:val="22"/>
        <w:szCs w:val="22"/>
        <w:rtl/>
      </w:rPr>
      <w:tab/>
      <w:t xml:space="preserve"> מדינת ישראל פרקליטות חיפה - פלילי נ' מוחמד יונס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DF3FC" w14:textId="77777777" w:rsidR="00B512C3" w:rsidRPr="00833D11" w:rsidRDefault="00B512C3" w:rsidP="00833D1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12122-04-13</w:t>
    </w:r>
    <w:r>
      <w:rPr>
        <w:rFonts w:ascii="David" w:hAnsi="David"/>
        <w:color w:val="000000"/>
        <w:sz w:val="22"/>
        <w:szCs w:val="22"/>
        <w:rtl/>
      </w:rPr>
      <w:tab/>
      <w:t xml:space="preserve"> מדינת ישראל פרקליטות חיפה - פלילי נ' מוחמד יונס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645E50"/>
    <w:multiLevelType w:val="hybridMultilevel"/>
    <w:tmpl w:val="3856CA32"/>
    <w:lvl w:ilvl="0" w:tplc="132E293C">
      <w:start w:val="5"/>
      <w:numFmt w:val="bullet"/>
      <w:lvlText w:val="-"/>
      <w:lvlJc w:val="left"/>
      <w:pPr>
        <w:ind w:left="720" w:hanging="360"/>
      </w:pPr>
      <w:rPr>
        <w:rFonts w:ascii="Calibri" w:eastAsia="Times New Roman" w:hAnsi="Calibr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819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2F1B"/>
    <w:rsid w:val="00395768"/>
    <w:rsid w:val="00440F47"/>
    <w:rsid w:val="00517B80"/>
    <w:rsid w:val="00833D11"/>
    <w:rsid w:val="00866290"/>
    <w:rsid w:val="00A12F1B"/>
    <w:rsid w:val="00B35611"/>
    <w:rsid w:val="00B512C3"/>
    <w:rsid w:val="00BC0522"/>
    <w:rsid w:val="00BD30EA"/>
    <w:rsid w:val="00E601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B5F126C"/>
  <w15:chartTrackingRefBased/>
  <w15:docId w15:val="{7561CD5A-250F-4088-8343-91A4B267A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2F1B"/>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12F1B"/>
    <w:pPr>
      <w:tabs>
        <w:tab w:val="center" w:pos="4153"/>
        <w:tab w:val="right" w:pos="8306"/>
      </w:tabs>
    </w:pPr>
  </w:style>
  <w:style w:type="paragraph" w:styleId="a4">
    <w:name w:val="footer"/>
    <w:basedOn w:val="a"/>
    <w:rsid w:val="00A12F1B"/>
    <w:pPr>
      <w:tabs>
        <w:tab w:val="center" w:pos="4153"/>
        <w:tab w:val="right" w:pos="8306"/>
      </w:tabs>
    </w:pPr>
  </w:style>
  <w:style w:type="character" w:styleId="a5">
    <w:name w:val="page number"/>
    <w:basedOn w:val="a0"/>
    <w:rsid w:val="00A12F1B"/>
  </w:style>
  <w:style w:type="character" w:styleId="Hyperlink">
    <w:name w:val="Hyperlink"/>
    <w:basedOn w:val="a0"/>
    <w:rsid w:val="00BD30EA"/>
    <w:rPr>
      <w:color w:val="0000FF"/>
      <w:u w:val="single"/>
    </w:rPr>
  </w:style>
  <w:style w:type="paragraph" w:styleId="a6">
    <w:name w:val="List Paragraph"/>
    <w:basedOn w:val="a"/>
    <w:qFormat/>
    <w:rsid w:val="00440F47"/>
    <w:pPr>
      <w:spacing w:after="200" w:line="276" w:lineRule="auto"/>
      <w:ind w:left="720"/>
      <w:contextualSpacing/>
    </w:pPr>
    <w:rPr>
      <w:rFonts w:ascii="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a.1" TargetMode="External"/><Relationship Id="rId18" Type="http://schemas.openxmlformats.org/officeDocument/2006/relationships/hyperlink" Target="http://www.nevo.co.il/law/70301/144.a" TargetMode="External"/><Relationship Id="rId26" Type="http://schemas.openxmlformats.org/officeDocument/2006/relationships/hyperlink" Target="http://www.nevo.co.il/case/6248029" TargetMode="External"/><Relationship Id="rId39" Type="http://schemas.openxmlformats.org/officeDocument/2006/relationships/hyperlink" Target="http://www.nevo.co.il/case/363454" TargetMode="External"/><Relationship Id="rId21" Type="http://schemas.openxmlformats.org/officeDocument/2006/relationships/hyperlink" Target="http://www.nevo.co.il/case/3970095" TargetMode="External"/><Relationship Id="rId34" Type="http://schemas.openxmlformats.org/officeDocument/2006/relationships/hyperlink" Target="http://www.nevo.co.il/law/70301" TargetMode="External"/><Relationship Id="rId42" Type="http://schemas.openxmlformats.org/officeDocument/2006/relationships/hyperlink" Target="http://www.nevo.co.il/case/3970095"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29.a.1" TargetMode="External"/><Relationship Id="rId29" Type="http://schemas.openxmlformats.org/officeDocument/2006/relationships/hyperlink" Target="http://www.nevo.co.il/law/71835/18" TargetMode="External"/><Relationship Id="rId11" Type="http://schemas.openxmlformats.org/officeDocument/2006/relationships/hyperlink" Target="http://www.nevo.co.il/law/70301/329" TargetMode="External"/><Relationship Id="rId24" Type="http://schemas.openxmlformats.org/officeDocument/2006/relationships/hyperlink" Target="http://www.nevo.co.il/case/6248029" TargetMode="External"/><Relationship Id="rId32" Type="http://schemas.openxmlformats.org/officeDocument/2006/relationships/hyperlink" Target="http://www.nevo.co.il/case/5953678" TargetMode="External"/><Relationship Id="rId37" Type="http://schemas.openxmlformats.org/officeDocument/2006/relationships/hyperlink" Target="http://www.nevo.co.il/case/6173264" TargetMode="External"/><Relationship Id="rId40" Type="http://schemas.openxmlformats.org/officeDocument/2006/relationships/hyperlink" Target="http://www.nevo.co.il/case/4983248"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1835/18" TargetMode="External"/><Relationship Id="rId23" Type="http://schemas.openxmlformats.org/officeDocument/2006/relationships/hyperlink" Target="http://www.nevo.co.il/case/2403856"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5753941" TargetMode="External"/><Relationship Id="rId49" Type="http://schemas.openxmlformats.org/officeDocument/2006/relationships/theme" Target="theme/theme1.xml"/><Relationship Id="rId10" Type="http://schemas.openxmlformats.org/officeDocument/2006/relationships/hyperlink" Target="http://www.nevo.co.il/law/70301/287.a" TargetMode="External"/><Relationship Id="rId19" Type="http://schemas.openxmlformats.org/officeDocument/2006/relationships/hyperlink" Target="http://www.nevo.co.il/law/70301/144.b" TargetMode="External"/><Relationship Id="rId31" Type="http://schemas.openxmlformats.org/officeDocument/2006/relationships/hyperlink" Target="http://www.nevo.co.il/case/5949796"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1835" TargetMode="External"/><Relationship Id="rId22" Type="http://schemas.openxmlformats.org/officeDocument/2006/relationships/hyperlink" Target="http://www.nevo.co.il/case/13077171" TargetMode="External"/><Relationship Id="rId27" Type="http://schemas.openxmlformats.org/officeDocument/2006/relationships/hyperlink" Target="http://www.nevo.co.il/law/70301/329" TargetMode="External"/><Relationship Id="rId30" Type="http://schemas.openxmlformats.org/officeDocument/2006/relationships/hyperlink" Target="http://www.nevo.co.il/law/71835" TargetMode="External"/><Relationship Id="rId35" Type="http://schemas.openxmlformats.org/officeDocument/2006/relationships/hyperlink" Target="http://www.nevo.co.il/case/2504998"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329.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1206432" TargetMode="External"/><Relationship Id="rId33" Type="http://schemas.openxmlformats.org/officeDocument/2006/relationships/hyperlink" Target="http://www.nevo.co.il/law/70301/329.1" TargetMode="External"/><Relationship Id="rId38" Type="http://schemas.openxmlformats.org/officeDocument/2006/relationships/hyperlink" Target="http://www.nevo.co.il/case/17948201" TargetMode="External"/><Relationship Id="rId46" Type="http://schemas.openxmlformats.org/officeDocument/2006/relationships/footer" Target="footer1.xml"/><Relationship Id="rId20" Type="http://schemas.openxmlformats.org/officeDocument/2006/relationships/hyperlink" Target="http://www.nevo.co.il/law/70301/287.a" TargetMode="External"/><Relationship Id="rId41" Type="http://schemas.openxmlformats.org/officeDocument/2006/relationships/hyperlink" Target="http://www.nevo.co.il/case/588407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2800</Words>
  <Characters>14002</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16769</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3211380</vt:i4>
      </vt:variant>
      <vt:variant>
        <vt:i4>105</vt:i4>
      </vt:variant>
      <vt:variant>
        <vt:i4>0</vt:i4>
      </vt:variant>
      <vt:variant>
        <vt:i4>5</vt:i4>
      </vt:variant>
      <vt:variant>
        <vt:lpwstr>http://www.nevo.co.il/case/3970095</vt:lpwstr>
      </vt:variant>
      <vt:variant>
        <vt:lpwstr/>
      </vt:variant>
      <vt:variant>
        <vt:i4>4063359</vt:i4>
      </vt:variant>
      <vt:variant>
        <vt:i4>102</vt:i4>
      </vt:variant>
      <vt:variant>
        <vt:i4>0</vt:i4>
      </vt:variant>
      <vt:variant>
        <vt:i4>5</vt:i4>
      </vt:variant>
      <vt:variant>
        <vt:lpwstr>http://www.nevo.co.il/case/5884073</vt:lpwstr>
      </vt:variant>
      <vt:variant>
        <vt:lpwstr/>
      </vt:variant>
      <vt:variant>
        <vt:i4>3539066</vt:i4>
      </vt:variant>
      <vt:variant>
        <vt:i4>99</vt:i4>
      </vt:variant>
      <vt:variant>
        <vt:i4>0</vt:i4>
      </vt:variant>
      <vt:variant>
        <vt:i4>5</vt:i4>
      </vt:variant>
      <vt:variant>
        <vt:lpwstr>http://www.nevo.co.il/case/4983248</vt:lpwstr>
      </vt:variant>
      <vt:variant>
        <vt:lpwstr/>
      </vt:variant>
      <vt:variant>
        <vt:i4>327750</vt:i4>
      </vt:variant>
      <vt:variant>
        <vt:i4>96</vt:i4>
      </vt:variant>
      <vt:variant>
        <vt:i4>0</vt:i4>
      </vt:variant>
      <vt:variant>
        <vt:i4>5</vt:i4>
      </vt:variant>
      <vt:variant>
        <vt:lpwstr>http://www.nevo.co.il/case/363454</vt:lpwstr>
      </vt:variant>
      <vt:variant>
        <vt:lpwstr/>
      </vt:variant>
      <vt:variant>
        <vt:i4>3145845</vt:i4>
      </vt:variant>
      <vt:variant>
        <vt:i4>93</vt:i4>
      </vt:variant>
      <vt:variant>
        <vt:i4>0</vt:i4>
      </vt:variant>
      <vt:variant>
        <vt:i4>5</vt:i4>
      </vt:variant>
      <vt:variant>
        <vt:lpwstr>http://www.nevo.co.il/case/17948201</vt:lpwstr>
      </vt:variant>
      <vt:variant>
        <vt:lpwstr/>
      </vt:variant>
      <vt:variant>
        <vt:i4>3604592</vt:i4>
      </vt:variant>
      <vt:variant>
        <vt:i4>90</vt:i4>
      </vt:variant>
      <vt:variant>
        <vt:i4>0</vt:i4>
      </vt:variant>
      <vt:variant>
        <vt:i4>5</vt:i4>
      </vt:variant>
      <vt:variant>
        <vt:lpwstr>http://www.nevo.co.il/case/6173264</vt:lpwstr>
      </vt:variant>
      <vt:variant>
        <vt:lpwstr/>
      </vt:variant>
      <vt:variant>
        <vt:i4>3670132</vt:i4>
      </vt:variant>
      <vt:variant>
        <vt:i4>87</vt:i4>
      </vt:variant>
      <vt:variant>
        <vt:i4>0</vt:i4>
      </vt:variant>
      <vt:variant>
        <vt:i4>5</vt:i4>
      </vt:variant>
      <vt:variant>
        <vt:lpwstr>http://www.nevo.co.il/case/5753941</vt:lpwstr>
      </vt:variant>
      <vt:variant>
        <vt:lpwstr/>
      </vt:variant>
      <vt:variant>
        <vt:i4>3342460</vt:i4>
      </vt:variant>
      <vt:variant>
        <vt:i4>84</vt:i4>
      </vt:variant>
      <vt:variant>
        <vt:i4>0</vt:i4>
      </vt:variant>
      <vt:variant>
        <vt:i4>5</vt:i4>
      </vt:variant>
      <vt:variant>
        <vt:lpwstr>http://www.nevo.co.il/case/2504998</vt:lpwstr>
      </vt:variant>
      <vt:variant>
        <vt:lpwstr/>
      </vt:variant>
      <vt:variant>
        <vt:i4>7995492</vt:i4>
      </vt:variant>
      <vt:variant>
        <vt:i4>81</vt:i4>
      </vt:variant>
      <vt:variant>
        <vt:i4>0</vt:i4>
      </vt:variant>
      <vt:variant>
        <vt:i4>5</vt:i4>
      </vt:variant>
      <vt:variant>
        <vt:lpwstr>http://www.nevo.co.il/law/70301</vt:lpwstr>
      </vt:variant>
      <vt:variant>
        <vt:lpwstr/>
      </vt:variant>
      <vt:variant>
        <vt:i4>4784223</vt:i4>
      </vt:variant>
      <vt:variant>
        <vt:i4>78</vt:i4>
      </vt:variant>
      <vt:variant>
        <vt:i4>0</vt:i4>
      </vt:variant>
      <vt:variant>
        <vt:i4>5</vt:i4>
      </vt:variant>
      <vt:variant>
        <vt:lpwstr>http://www.nevo.co.il/law/70301/329.1</vt:lpwstr>
      </vt:variant>
      <vt:variant>
        <vt:lpwstr/>
      </vt:variant>
      <vt:variant>
        <vt:i4>4063353</vt:i4>
      </vt:variant>
      <vt:variant>
        <vt:i4>75</vt:i4>
      </vt:variant>
      <vt:variant>
        <vt:i4>0</vt:i4>
      </vt:variant>
      <vt:variant>
        <vt:i4>5</vt:i4>
      </vt:variant>
      <vt:variant>
        <vt:lpwstr>http://www.nevo.co.il/case/5953678</vt:lpwstr>
      </vt:variant>
      <vt:variant>
        <vt:lpwstr/>
      </vt:variant>
      <vt:variant>
        <vt:i4>3145853</vt:i4>
      </vt:variant>
      <vt:variant>
        <vt:i4>72</vt:i4>
      </vt:variant>
      <vt:variant>
        <vt:i4>0</vt:i4>
      </vt:variant>
      <vt:variant>
        <vt:i4>5</vt:i4>
      </vt:variant>
      <vt:variant>
        <vt:lpwstr>http://www.nevo.co.il/case/5949796</vt:lpwstr>
      </vt:variant>
      <vt:variant>
        <vt:lpwstr/>
      </vt:variant>
      <vt:variant>
        <vt:i4>7864431</vt:i4>
      </vt:variant>
      <vt:variant>
        <vt:i4>69</vt:i4>
      </vt:variant>
      <vt:variant>
        <vt:i4>0</vt:i4>
      </vt:variant>
      <vt:variant>
        <vt:i4>5</vt:i4>
      </vt:variant>
      <vt:variant>
        <vt:lpwstr>http://www.nevo.co.il/law/71835</vt:lpwstr>
      </vt:variant>
      <vt:variant>
        <vt:lpwstr/>
      </vt:variant>
      <vt:variant>
        <vt:i4>7274603</vt:i4>
      </vt:variant>
      <vt:variant>
        <vt:i4>66</vt:i4>
      </vt:variant>
      <vt:variant>
        <vt:i4>0</vt:i4>
      </vt:variant>
      <vt:variant>
        <vt:i4>5</vt:i4>
      </vt:variant>
      <vt:variant>
        <vt:lpwstr>http://www.nevo.co.il/law/71835/18</vt:lpwstr>
      </vt:variant>
      <vt:variant>
        <vt:lpwstr/>
      </vt:variant>
      <vt:variant>
        <vt:i4>7995492</vt:i4>
      </vt:variant>
      <vt:variant>
        <vt:i4>63</vt:i4>
      </vt:variant>
      <vt:variant>
        <vt:i4>0</vt:i4>
      </vt:variant>
      <vt:variant>
        <vt:i4>5</vt:i4>
      </vt:variant>
      <vt:variant>
        <vt:lpwstr>http://www.nevo.co.il/law/70301</vt:lpwstr>
      </vt:variant>
      <vt:variant>
        <vt:lpwstr/>
      </vt:variant>
      <vt:variant>
        <vt:i4>6750310</vt:i4>
      </vt:variant>
      <vt:variant>
        <vt:i4>60</vt:i4>
      </vt:variant>
      <vt:variant>
        <vt:i4>0</vt:i4>
      </vt:variant>
      <vt:variant>
        <vt:i4>5</vt:i4>
      </vt:variant>
      <vt:variant>
        <vt:lpwstr>http://www.nevo.co.il/law/70301/329</vt:lpwstr>
      </vt:variant>
      <vt:variant>
        <vt:lpwstr/>
      </vt:variant>
      <vt:variant>
        <vt:i4>3866748</vt:i4>
      </vt:variant>
      <vt:variant>
        <vt:i4>57</vt:i4>
      </vt:variant>
      <vt:variant>
        <vt:i4>0</vt:i4>
      </vt:variant>
      <vt:variant>
        <vt:i4>5</vt:i4>
      </vt:variant>
      <vt:variant>
        <vt:lpwstr>http://www.nevo.co.il/case/6248029</vt:lpwstr>
      </vt:variant>
      <vt:variant>
        <vt:lpwstr/>
      </vt:variant>
      <vt:variant>
        <vt:i4>3539057</vt:i4>
      </vt:variant>
      <vt:variant>
        <vt:i4>54</vt:i4>
      </vt:variant>
      <vt:variant>
        <vt:i4>0</vt:i4>
      </vt:variant>
      <vt:variant>
        <vt:i4>5</vt:i4>
      </vt:variant>
      <vt:variant>
        <vt:lpwstr>http://www.nevo.co.il/case/11206432</vt:lpwstr>
      </vt:variant>
      <vt:variant>
        <vt:lpwstr/>
      </vt:variant>
      <vt:variant>
        <vt:i4>3866748</vt:i4>
      </vt:variant>
      <vt:variant>
        <vt:i4>51</vt:i4>
      </vt:variant>
      <vt:variant>
        <vt:i4>0</vt:i4>
      </vt:variant>
      <vt:variant>
        <vt:i4>5</vt:i4>
      </vt:variant>
      <vt:variant>
        <vt:lpwstr>http://www.nevo.co.il/case/6248029</vt:lpwstr>
      </vt:variant>
      <vt:variant>
        <vt:lpwstr/>
      </vt:variant>
      <vt:variant>
        <vt:i4>3932278</vt:i4>
      </vt:variant>
      <vt:variant>
        <vt:i4>48</vt:i4>
      </vt:variant>
      <vt:variant>
        <vt:i4>0</vt:i4>
      </vt:variant>
      <vt:variant>
        <vt:i4>5</vt:i4>
      </vt:variant>
      <vt:variant>
        <vt:lpwstr>http://www.nevo.co.il/case/2403856</vt:lpwstr>
      </vt:variant>
      <vt:variant>
        <vt:lpwstr/>
      </vt:variant>
      <vt:variant>
        <vt:i4>3211377</vt:i4>
      </vt:variant>
      <vt:variant>
        <vt:i4>45</vt:i4>
      </vt:variant>
      <vt:variant>
        <vt:i4>0</vt:i4>
      </vt:variant>
      <vt:variant>
        <vt:i4>5</vt:i4>
      </vt:variant>
      <vt:variant>
        <vt:lpwstr>http://www.nevo.co.il/case/13077171</vt:lpwstr>
      </vt:variant>
      <vt:variant>
        <vt:lpwstr/>
      </vt:variant>
      <vt:variant>
        <vt:i4>3211380</vt:i4>
      </vt:variant>
      <vt:variant>
        <vt:i4>42</vt:i4>
      </vt:variant>
      <vt:variant>
        <vt:i4>0</vt:i4>
      </vt:variant>
      <vt:variant>
        <vt:i4>5</vt:i4>
      </vt:variant>
      <vt:variant>
        <vt:lpwstr>http://www.nevo.co.il/case/3970095</vt:lpwstr>
      </vt:variant>
      <vt:variant>
        <vt:lpwstr/>
      </vt:variant>
      <vt:variant>
        <vt:i4>4390992</vt:i4>
      </vt:variant>
      <vt:variant>
        <vt:i4>39</vt:i4>
      </vt:variant>
      <vt:variant>
        <vt:i4>0</vt:i4>
      </vt:variant>
      <vt:variant>
        <vt:i4>5</vt:i4>
      </vt:variant>
      <vt:variant>
        <vt:lpwstr>http://www.nevo.co.il/law/70301/287.a</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5177424</vt:i4>
      </vt:variant>
      <vt:variant>
        <vt:i4>33</vt:i4>
      </vt:variant>
      <vt:variant>
        <vt:i4>0</vt:i4>
      </vt:variant>
      <vt:variant>
        <vt:i4>5</vt:i4>
      </vt:variant>
      <vt:variant>
        <vt:lpwstr>http://www.nevo.co.il/law/70301/144.a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6750270</vt:i4>
      </vt:variant>
      <vt:variant>
        <vt:i4>27</vt:i4>
      </vt:variant>
      <vt:variant>
        <vt:i4>0</vt:i4>
      </vt:variant>
      <vt:variant>
        <vt:i4>5</vt:i4>
      </vt:variant>
      <vt:variant>
        <vt:lpwstr>http://www.nevo.co.il/law/70301/329.a.1</vt:lpwstr>
      </vt:variant>
      <vt:variant>
        <vt:lpwstr/>
      </vt:variant>
      <vt:variant>
        <vt:i4>7274603</vt:i4>
      </vt:variant>
      <vt:variant>
        <vt:i4>24</vt:i4>
      </vt:variant>
      <vt:variant>
        <vt:i4>0</vt:i4>
      </vt:variant>
      <vt:variant>
        <vt:i4>5</vt:i4>
      </vt:variant>
      <vt:variant>
        <vt:lpwstr>http://www.nevo.co.il/law/71835/18</vt:lpwstr>
      </vt:variant>
      <vt:variant>
        <vt:lpwstr/>
      </vt:variant>
      <vt:variant>
        <vt:i4>7864431</vt:i4>
      </vt:variant>
      <vt:variant>
        <vt:i4>21</vt:i4>
      </vt:variant>
      <vt:variant>
        <vt:i4>0</vt:i4>
      </vt:variant>
      <vt:variant>
        <vt:i4>5</vt:i4>
      </vt:variant>
      <vt:variant>
        <vt:lpwstr>http://www.nevo.co.il/law/71835</vt:lpwstr>
      </vt:variant>
      <vt:variant>
        <vt:lpwstr/>
      </vt:variant>
      <vt:variant>
        <vt:i4>6750270</vt:i4>
      </vt:variant>
      <vt:variant>
        <vt:i4>18</vt:i4>
      </vt:variant>
      <vt:variant>
        <vt:i4>0</vt:i4>
      </vt:variant>
      <vt:variant>
        <vt:i4>5</vt:i4>
      </vt:variant>
      <vt:variant>
        <vt:lpwstr>http://www.nevo.co.il/law/70301/329.a.1</vt:lpwstr>
      </vt:variant>
      <vt:variant>
        <vt:lpwstr/>
      </vt:variant>
      <vt:variant>
        <vt:i4>4784223</vt:i4>
      </vt:variant>
      <vt:variant>
        <vt:i4>15</vt:i4>
      </vt:variant>
      <vt:variant>
        <vt:i4>0</vt:i4>
      </vt:variant>
      <vt:variant>
        <vt:i4>5</vt:i4>
      </vt:variant>
      <vt:variant>
        <vt:lpwstr>http://www.nevo.co.il/law/70301/329.1</vt:lpwstr>
      </vt:variant>
      <vt:variant>
        <vt:lpwstr/>
      </vt:variant>
      <vt:variant>
        <vt:i4>6750310</vt:i4>
      </vt:variant>
      <vt:variant>
        <vt:i4>12</vt:i4>
      </vt:variant>
      <vt:variant>
        <vt:i4>0</vt:i4>
      </vt:variant>
      <vt:variant>
        <vt:i4>5</vt:i4>
      </vt:variant>
      <vt:variant>
        <vt:lpwstr>http://www.nevo.co.il/law/70301/329</vt:lpwstr>
      </vt:variant>
      <vt:variant>
        <vt:lpwstr/>
      </vt:variant>
      <vt:variant>
        <vt:i4>4390992</vt:i4>
      </vt:variant>
      <vt:variant>
        <vt:i4>9</vt:i4>
      </vt:variant>
      <vt:variant>
        <vt:i4>0</vt:i4>
      </vt:variant>
      <vt:variant>
        <vt:i4>5</vt:i4>
      </vt:variant>
      <vt:variant>
        <vt:lpwstr>http://www.nevo.co.il/law/70301/287.a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2025-01-19T15:48:00Z</dcterms:created>
  <dcterms:modified xsi:type="dcterms:W3CDTF">2025-01-19T15:48:00Z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12122</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 פרקליטות חיפה - פלילי</vt:lpwstr>
  </property>
  <property fmtid="{D5CDD505-2E9C-101B-9397-08002B2CF9AE}" pid="9" name="APPELLEE">
    <vt:lpwstr>מוחמד יונס</vt:lpwstr>
  </property>
  <property fmtid="{D5CDD505-2E9C-101B-9397-08002B2CF9AE}" pid="10" name="LAWYER">
    <vt:lpwstr>טל עופר;איברהים חורי ;עדאל בויראת</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20150114</vt:lpwstr>
  </property>
  <property fmtid="{D5CDD505-2E9C-101B-9397-08002B2CF9AE}" pid="14" name="TYPE_N_DATE">
    <vt:lpwstr>39020150114</vt:lpwstr>
  </property>
  <property fmtid="{D5CDD505-2E9C-101B-9397-08002B2CF9AE}" pid="15" name="WORDNUMPAGES">
    <vt:lpwstr>8</vt:lpwstr>
  </property>
  <property fmtid="{D5CDD505-2E9C-101B-9397-08002B2CF9AE}" pid="16" name="TYPE_ABS_DATE">
    <vt:lpwstr>390120150114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מיכל</vt:lpwstr>
  </property>
  <property fmtid="{D5CDD505-2E9C-101B-9397-08002B2CF9AE}" pid="36" name="NOSE1ID">
    <vt:lpwstr>77;77</vt:lpwstr>
  </property>
  <property fmtid="{D5CDD505-2E9C-101B-9397-08002B2CF9AE}" pid="37" name="NOSE2ID">
    <vt:lpwstr>1446;1446</vt:lpwstr>
  </property>
  <property fmtid="{D5CDD505-2E9C-101B-9397-08002B2CF9AE}" pid="38" name="NOSE3ID">
    <vt:lpwstr>8984;13800</vt:lpwstr>
  </property>
  <property fmtid="{D5CDD505-2E9C-101B-9397-08002B2CF9AE}" pid="39" name="NOSE11">
    <vt:lpwstr>עונשין</vt:lpwstr>
  </property>
  <property fmtid="{D5CDD505-2E9C-101B-9397-08002B2CF9AE}" pid="40" name="NOSE21">
    <vt:lpwstr>ענישה</vt:lpwstr>
  </property>
  <property fmtid="{D5CDD505-2E9C-101B-9397-08002B2CF9AE}" pid="41" name="NOSE31">
    <vt:lpwstr>מדיניות ענישה: עבירות אלימות</vt:lpwstr>
  </property>
  <property fmtid="{D5CDD505-2E9C-101B-9397-08002B2CF9AE}" pid="42" name="NOSE12">
    <vt:lpwstr>עונשין</vt:lpwstr>
  </property>
  <property fmtid="{D5CDD505-2E9C-101B-9397-08002B2CF9AE}" pid="43" name="NOSE22">
    <vt:lpwstr>ענישה</vt:lpwstr>
  </property>
  <property fmtid="{D5CDD505-2E9C-101B-9397-08002B2CF9AE}" pid="44" name="NOSE32">
    <vt:lpwstr>מדיניות ענישה: עבירות נשק</vt:lpwstr>
  </property>
  <property fmtid="{D5CDD505-2E9C-101B-9397-08002B2CF9AE}" pid="45" name="NOSE13">
    <vt:lpwstr/>
  </property>
  <property fmtid="{D5CDD505-2E9C-101B-9397-08002B2CF9AE}" pid="46" name="NOSE23">
    <vt:lpwstr/>
  </property>
  <property fmtid="{D5CDD505-2E9C-101B-9397-08002B2CF9AE}" pid="47" name="NOSE33">
    <vt:lpwstr/>
  </property>
  <property fmtid="{D5CDD505-2E9C-101B-9397-08002B2CF9AE}" pid="48" name="NOSE14">
    <vt:lpwstr/>
  </property>
  <property fmtid="{D5CDD505-2E9C-101B-9397-08002B2CF9AE}" pid="49" name="NOSE24">
    <vt:lpwstr/>
  </property>
  <property fmtid="{D5CDD505-2E9C-101B-9397-08002B2CF9AE}" pid="50" name="NOSE34">
    <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20150202</vt:lpwstr>
  </property>
  <property fmtid="{D5CDD505-2E9C-101B-9397-08002B2CF9AE}" pid="70" name="CASESLISTTMP1">
    <vt:lpwstr>3970095:2;13077171;2403856;6248029:2;11206432;5949796;5953678;2504998;5753941;6173264;17948201;363454;4983248;5884073</vt:lpwstr>
  </property>
  <property fmtid="{D5CDD505-2E9C-101B-9397-08002B2CF9AE}" pid="71" name="LAWLISTTMP1">
    <vt:lpwstr>70301/329.a.1;144.a;144.b;287.a;329;329.1</vt:lpwstr>
  </property>
  <property fmtid="{D5CDD505-2E9C-101B-9397-08002B2CF9AE}" pid="72" name="LAWLISTTMP2">
    <vt:lpwstr>71835/018</vt:lpwstr>
  </property>
</Properties>
</file>