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413FB" w:rsidRPr="00C205DD" w14:paraId="4F425A5C" w14:textId="77777777">
        <w:trPr>
          <w:trHeight w:hRule="exact" w:val="418"/>
          <w:jc w:val="center"/>
        </w:trPr>
        <w:tc>
          <w:tcPr>
            <w:tcW w:w="8721" w:type="dxa"/>
            <w:gridSpan w:val="2"/>
          </w:tcPr>
          <w:p w14:paraId="3513AF8C" w14:textId="77777777" w:rsidR="00B413FB" w:rsidRPr="00C205DD" w:rsidRDefault="00C205DD">
            <w:pPr>
              <w:pStyle w:val="a3"/>
              <w:jc w:val="center"/>
              <w:rPr>
                <w:rFonts w:ascii="Tahoma" w:hAnsi="Tahoma" w:cs="Tahoma"/>
                <w:color w:val="000080"/>
                <w:rtl/>
              </w:rPr>
            </w:pPr>
            <w:bookmarkStart w:id="0" w:name="LastJudge"/>
            <w:r w:rsidRPr="00C205DD">
              <w:rPr>
                <w:rFonts w:ascii="Tahoma" w:hAnsi="Tahoma" w:cs="Tahoma"/>
                <w:b/>
                <w:bCs/>
                <w:color w:val="000080"/>
                <w:rtl/>
              </w:rPr>
              <w:t>בית המשפט המחוזי בירושלים</w:t>
            </w:r>
          </w:p>
        </w:tc>
      </w:tr>
      <w:tr w:rsidR="00B413FB" w:rsidRPr="00C205DD" w14:paraId="094E3D28" w14:textId="77777777">
        <w:trPr>
          <w:trHeight w:val="337"/>
          <w:jc w:val="center"/>
        </w:trPr>
        <w:tc>
          <w:tcPr>
            <w:tcW w:w="5059" w:type="dxa"/>
          </w:tcPr>
          <w:p w14:paraId="3F9166B8" w14:textId="77777777" w:rsidR="00B413FB" w:rsidRPr="00C205DD" w:rsidRDefault="00C205DD">
            <w:pPr>
              <w:rPr>
                <w:rFonts w:cs="FrankRuehl"/>
                <w:sz w:val="28"/>
                <w:szCs w:val="28"/>
                <w:rtl/>
              </w:rPr>
            </w:pPr>
            <w:r w:rsidRPr="00C205DD">
              <w:rPr>
                <w:rFonts w:cs="FrankRuehl"/>
                <w:sz w:val="28"/>
                <w:szCs w:val="28"/>
                <w:rtl/>
              </w:rPr>
              <w:t>ת"פ</w:t>
            </w:r>
            <w:r w:rsidRPr="00C205DD">
              <w:rPr>
                <w:rFonts w:cs="FrankRuehl" w:hint="cs"/>
                <w:sz w:val="28"/>
                <w:szCs w:val="28"/>
                <w:rtl/>
              </w:rPr>
              <w:t xml:space="preserve"> </w:t>
            </w:r>
            <w:r w:rsidRPr="00C205DD">
              <w:rPr>
                <w:rFonts w:cs="FrankRuehl"/>
                <w:sz w:val="28"/>
                <w:szCs w:val="28"/>
                <w:rtl/>
              </w:rPr>
              <w:t>1578-04-13</w:t>
            </w:r>
            <w:r w:rsidRPr="00C205DD">
              <w:rPr>
                <w:rFonts w:cs="FrankRuehl" w:hint="cs"/>
                <w:sz w:val="28"/>
                <w:szCs w:val="28"/>
                <w:rtl/>
              </w:rPr>
              <w:t xml:space="preserve"> </w:t>
            </w:r>
            <w:r w:rsidRPr="00C205DD">
              <w:rPr>
                <w:rFonts w:cs="FrankRuehl"/>
                <w:sz w:val="28"/>
                <w:szCs w:val="28"/>
                <w:rtl/>
              </w:rPr>
              <w:t>מדינת ישראל נ' סרחאן עווידה(עציר)</w:t>
            </w:r>
          </w:p>
          <w:p w14:paraId="481E7EE1" w14:textId="77777777" w:rsidR="00B413FB" w:rsidRPr="00C205DD" w:rsidRDefault="00B413FB">
            <w:pPr>
              <w:pStyle w:val="a3"/>
              <w:rPr>
                <w:rFonts w:cs="FrankRuehl"/>
                <w:sz w:val="28"/>
                <w:szCs w:val="28"/>
                <w:rtl/>
              </w:rPr>
            </w:pPr>
          </w:p>
        </w:tc>
        <w:tc>
          <w:tcPr>
            <w:tcW w:w="3662" w:type="dxa"/>
          </w:tcPr>
          <w:p w14:paraId="54F65601" w14:textId="77777777" w:rsidR="00B413FB" w:rsidRPr="00C205DD" w:rsidRDefault="00B413FB">
            <w:pPr>
              <w:pStyle w:val="a3"/>
              <w:jc w:val="right"/>
              <w:rPr>
                <w:rFonts w:cs="FrankRuehl"/>
                <w:sz w:val="28"/>
                <w:szCs w:val="28"/>
                <w:rtl/>
              </w:rPr>
            </w:pPr>
          </w:p>
        </w:tc>
      </w:tr>
    </w:tbl>
    <w:p w14:paraId="198CE460" w14:textId="77777777" w:rsidR="00B413FB" w:rsidRPr="00C205DD" w:rsidRDefault="00C205DD">
      <w:pPr>
        <w:pStyle w:val="a3"/>
        <w:rPr>
          <w:rtl/>
        </w:rPr>
      </w:pPr>
      <w:r w:rsidRPr="00C205DD">
        <w:rPr>
          <w:rFonts w:hint="cs"/>
          <w:rtl/>
        </w:rPr>
        <w:t xml:space="preserve"> </w:t>
      </w:r>
    </w:p>
    <w:p w14:paraId="4D21FD3B" w14:textId="77777777" w:rsidR="00B413FB" w:rsidRPr="00C205DD" w:rsidRDefault="00B413F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413FB" w:rsidRPr="00C205DD" w14:paraId="15B1DED3" w14:textId="77777777">
        <w:trPr>
          <w:trHeight w:val="295"/>
          <w:jc w:val="center"/>
        </w:trPr>
        <w:tc>
          <w:tcPr>
            <w:tcW w:w="923" w:type="dxa"/>
            <w:tcBorders>
              <w:top w:val="nil"/>
              <w:left w:val="nil"/>
              <w:bottom w:val="nil"/>
              <w:right w:val="nil"/>
            </w:tcBorders>
          </w:tcPr>
          <w:p w14:paraId="2BFCAFC7" w14:textId="77777777" w:rsidR="00B413FB" w:rsidRPr="00C205DD" w:rsidRDefault="00C205DD">
            <w:pPr>
              <w:jc w:val="both"/>
              <w:rPr>
                <w:rFonts w:ascii="Arial" w:hAnsi="Arial" w:cs="FrankRuehl"/>
                <w:sz w:val="28"/>
                <w:szCs w:val="28"/>
              </w:rPr>
            </w:pPr>
            <w:r w:rsidRPr="00C205DD">
              <w:rPr>
                <w:rFonts w:ascii="Arial" w:hAnsi="Arial" w:cs="FrankRuehl" w:hint="cs"/>
                <w:sz w:val="28"/>
                <w:szCs w:val="28"/>
                <w:rtl/>
              </w:rPr>
              <w:t>ב</w:t>
            </w:r>
            <w:r w:rsidRPr="00C205DD">
              <w:rPr>
                <w:rFonts w:ascii="Arial" w:hAnsi="Arial" w:cs="FrankRuehl"/>
                <w:sz w:val="28"/>
                <w:szCs w:val="28"/>
                <w:rtl/>
              </w:rPr>
              <w:t xml:space="preserve">פני </w:t>
            </w:r>
          </w:p>
        </w:tc>
        <w:tc>
          <w:tcPr>
            <w:tcW w:w="7897" w:type="dxa"/>
            <w:gridSpan w:val="2"/>
            <w:tcBorders>
              <w:top w:val="nil"/>
              <w:left w:val="nil"/>
              <w:bottom w:val="nil"/>
              <w:right w:val="nil"/>
            </w:tcBorders>
          </w:tcPr>
          <w:p w14:paraId="17F03BFD" w14:textId="77777777" w:rsidR="00B413FB" w:rsidRPr="00C205DD" w:rsidRDefault="00C205DD">
            <w:pPr>
              <w:rPr>
                <w:rFonts w:ascii="Arial" w:hAnsi="Arial"/>
                <w:b/>
                <w:bCs/>
                <w:rtl/>
              </w:rPr>
            </w:pPr>
            <w:r w:rsidRPr="00C205DD">
              <w:rPr>
                <w:rFonts w:ascii="Arial" w:hAnsi="Arial" w:hint="cs"/>
                <w:b/>
                <w:bCs/>
                <w:rtl/>
              </w:rPr>
              <w:t>כב' ה</w:t>
            </w:r>
            <w:r w:rsidRPr="00C205DD">
              <w:rPr>
                <w:rFonts w:hint="cs"/>
                <w:rtl/>
              </w:rPr>
              <w:t>שופט</w:t>
            </w:r>
            <w:r w:rsidRPr="00C205DD">
              <w:rPr>
                <w:rFonts w:ascii="Arial" w:hAnsi="Arial" w:hint="cs"/>
                <w:b/>
                <w:bCs/>
                <w:rtl/>
              </w:rPr>
              <w:t xml:space="preserve">  </w:t>
            </w:r>
            <w:r w:rsidRPr="00C205DD">
              <w:rPr>
                <w:rFonts w:hint="cs"/>
                <w:rtl/>
              </w:rPr>
              <w:t>ראובן שמיע</w:t>
            </w:r>
          </w:p>
          <w:p w14:paraId="763A1274" w14:textId="77777777" w:rsidR="00B413FB" w:rsidRPr="00C205DD" w:rsidRDefault="00B413FB">
            <w:pPr>
              <w:rPr>
                <w:rtl/>
              </w:rPr>
            </w:pPr>
          </w:p>
          <w:p w14:paraId="2CE2D92A" w14:textId="77777777" w:rsidR="00B413FB" w:rsidRPr="00C205DD" w:rsidRDefault="00B413FB">
            <w:pPr>
              <w:jc w:val="both"/>
              <w:rPr>
                <w:rFonts w:ascii="Arial" w:hAnsi="Arial" w:cs="FrankRuehl"/>
                <w:sz w:val="28"/>
                <w:szCs w:val="28"/>
              </w:rPr>
            </w:pPr>
          </w:p>
        </w:tc>
      </w:tr>
      <w:tr w:rsidR="00B413FB" w:rsidRPr="00C205DD" w14:paraId="2D2F51CC" w14:textId="77777777">
        <w:trPr>
          <w:trHeight w:val="355"/>
          <w:jc w:val="center"/>
        </w:trPr>
        <w:tc>
          <w:tcPr>
            <w:tcW w:w="923" w:type="dxa"/>
            <w:tcBorders>
              <w:top w:val="nil"/>
              <w:left w:val="nil"/>
              <w:bottom w:val="nil"/>
              <w:right w:val="nil"/>
            </w:tcBorders>
          </w:tcPr>
          <w:p w14:paraId="63BE11D4" w14:textId="77777777" w:rsidR="00B413FB" w:rsidRPr="00C205DD" w:rsidRDefault="00C205DD">
            <w:pPr>
              <w:jc w:val="both"/>
              <w:rPr>
                <w:rFonts w:ascii="Arial" w:hAnsi="Arial" w:cs="FrankRuehl"/>
                <w:sz w:val="28"/>
                <w:szCs w:val="28"/>
              </w:rPr>
            </w:pPr>
            <w:bookmarkStart w:id="1" w:name="FirstAppellant"/>
            <w:r w:rsidRPr="00C205DD">
              <w:rPr>
                <w:rFonts w:ascii="Arial" w:hAnsi="Arial" w:cs="FrankRuehl" w:hint="cs"/>
                <w:sz w:val="28"/>
                <w:szCs w:val="28"/>
                <w:rtl/>
              </w:rPr>
              <w:t>בעניין:</w:t>
            </w:r>
          </w:p>
        </w:tc>
        <w:tc>
          <w:tcPr>
            <w:tcW w:w="4126" w:type="dxa"/>
            <w:tcBorders>
              <w:top w:val="nil"/>
              <w:left w:val="nil"/>
              <w:bottom w:val="nil"/>
              <w:right w:val="nil"/>
            </w:tcBorders>
          </w:tcPr>
          <w:p w14:paraId="0DBECF4E" w14:textId="77777777" w:rsidR="00B413FB" w:rsidRPr="00C205DD" w:rsidRDefault="00C205DD">
            <w:r w:rsidRPr="00C205DD">
              <w:rPr>
                <w:rFonts w:hint="cs"/>
                <w:rtl/>
              </w:rPr>
              <w:t>מדינת ישראל</w:t>
            </w:r>
          </w:p>
        </w:tc>
        <w:tc>
          <w:tcPr>
            <w:tcW w:w="3771" w:type="dxa"/>
            <w:tcBorders>
              <w:top w:val="nil"/>
              <w:left w:val="nil"/>
              <w:bottom w:val="nil"/>
              <w:right w:val="nil"/>
            </w:tcBorders>
          </w:tcPr>
          <w:p w14:paraId="6C239C47" w14:textId="77777777" w:rsidR="00B413FB" w:rsidRPr="00C205DD" w:rsidRDefault="00B413FB">
            <w:pPr>
              <w:jc w:val="both"/>
              <w:rPr>
                <w:rFonts w:ascii="Arial" w:hAnsi="Arial" w:cs="FrankRuehl"/>
                <w:sz w:val="28"/>
                <w:szCs w:val="28"/>
              </w:rPr>
            </w:pPr>
          </w:p>
        </w:tc>
      </w:tr>
      <w:bookmarkEnd w:id="1"/>
      <w:tr w:rsidR="00B413FB" w:rsidRPr="00C205DD" w14:paraId="16E4B7F1" w14:textId="77777777">
        <w:trPr>
          <w:trHeight w:val="355"/>
          <w:jc w:val="center"/>
        </w:trPr>
        <w:tc>
          <w:tcPr>
            <w:tcW w:w="923" w:type="dxa"/>
            <w:tcBorders>
              <w:top w:val="nil"/>
              <w:left w:val="nil"/>
              <w:bottom w:val="nil"/>
              <w:right w:val="nil"/>
            </w:tcBorders>
          </w:tcPr>
          <w:p w14:paraId="0B61B848" w14:textId="77777777" w:rsidR="00B413FB" w:rsidRPr="00C205DD" w:rsidRDefault="00B413FB">
            <w:pPr>
              <w:jc w:val="both"/>
              <w:rPr>
                <w:rFonts w:ascii="Arial" w:hAnsi="Arial" w:cs="FrankRuehl"/>
                <w:sz w:val="28"/>
                <w:szCs w:val="28"/>
                <w:rtl/>
              </w:rPr>
            </w:pPr>
          </w:p>
        </w:tc>
        <w:tc>
          <w:tcPr>
            <w:tcW w:w="4126" w:type="dxa"/>
            <w:tcBorders>
              <w:top w:val="nil"/>
              <w:left w:val="nil"/>
              <w:bottom w:val="nil"/>
              <w:right w:val="nil"/>
            </w:tcBorders>
          </w:tcPr>
          <w:p w14:paraId="3EE76C56" w14:textId="77777777" w:rsidR="00B413FB" w:rsidRPr="00C205DD" w:rsidRDefault="00B413FB">
            <w:pPr>
              <w:jc w:val="both"/>
              <w:rPr>
                <w:rtl/>
              </w:rPr>
            </w:pPr>
          </w:p>
        </w:tc>
        <w:tc>
          <w:tcPr>
            <w:tcW w:w="3771" w:type="dxa"/>
            <w:tcBorders>
              <w:top w:val="nil"/>
              <w:left w:val="nil"/>
              <w:bottom w:val="nil"/>
              <w:right w:val="nil"/>
            </w:tcBorders>
          </w:tcPr>
          <w:p w14:paraId="4F33F256" w14:textId="77777777" w:rsidR="00B413FB" w:rsidRPr="00C205DD" w:rsidRDefault="00C205DD">
            <w:pPr>
              <w:jc w:val="right"/>
              <w:rPr>
                <w:rFonts w:ascii="Arial" w:hAnsi="Arial" w:cs="FrankRuehl"/>
                <w:sz w:val="28"/>
                <w:szCs w:val="28"/>
                <w:rtl/>
              </w:rPr>
            </w:pPr>
            <w:r w:rsidRPr="00C205DD">
              <w:rPr>
                <w:rFonts w:ascii="Arial" w:hAnsi="Arial" w:cs="FrankRuehl" w:hint="cs"/>
                <w:sz w:val="28"/>
                <w:szCs w:val="28"/>
                <w:rtl/>
              </w:rPr>
              <w:t>ה</w:t>
            </w:r>
            <w:r w:rsidRPr="00C205DD">
              <w:rPr>
                <w:rFonts w:hint="cs"/>
                <w:rtl/>
              </w:rPr>
              <w:t>מאשימה</w:t>
            </w:r>
          </w:p>
        </w:tc>
      </w:tr>
      <w:tr w:rsidR="00B413FB" w:rsidRPr="00C205DD" w14:paraId="00E4DD66" w14:textId="77777777">
        <w:trPr>
          <w:trHeight w:val="355"/>
          <w:jc w:val="center"/>
        </w:trPr>
        <w:tc>
          <w:tcPr>
            <w:tcW w:w="923" w:type="dxa"/>
            <w:tcBorders>
              <w:top w:val="nil"/>
              <w:left w:val="nil"/>
              <w:bottom w:val="nil"/>
              <w:right w:val="nil"/>
            </w:tcBorders>
          </w:tcPr>
          <w:p w14:paraId="5F716533" w14:textId="77777777" w:rsidR="00B413FB" w:rsidRPr="00C205DD" w:rsidRDefault="00B413FB">
            <w:pPr>
              <w:jc w:val="both"/>
              <w:rPr>
                <w:rFonts w:ascii="Arial" w:hAnsi="Arial" w:cs="FrankRuehl"/>
                <w:sz w:val="28"/>
                <w:szCs w:val="28"/>
                <w:rtl/>
              </w:rPr>
            </w:pPr>
          </w:p>
        </w:tc>
        <w:tc>
          <w:tcPr>
            <w:tcW w:w="7897" w:type="dxa"/>
            <w:gridSpan w:val="2"/>
            <w:tcBorders>
              <w:top w:val="nil"/>
              <w:left w:val="nil"/>
              <w:bottom w:val="nil"/>
              <w:right w:val="nil"/>
            </w:tcBorders>
          </w:tcPr>
          <w:p w14:paraId="1C444EC4" w14:textId="77777777" w:rsidR="00B413FB" w:rsidRPr="00C205DD" w:rsidRDefault="00B413FB">
            <w:pPr>
              <w:jc w:val="center"/>
              <w:rPr>
                <w:rFonts w:ascii="Arial" w:hAnsi="Arial" w:cs="FrankRuehl"/>
                <w:b/>
                <w:bCs/>
                <w:sz w:val="28"/>
                <w:szCs w:val="28"/>
                <w:rtl/>
              </w:rPr>
            </w:pPr>
          </w:p>
          <w:p w14:paraId="038E64A3" w14:textId="77777777" w:rsidR="00B413FB" w:rsidRPr="00C205DD" w:rsidRDefault="00C205DD">
            <w:pPr>
              <w:jc w:val="center"/>
              <w:rPr>
                <w:rFonts w:ascii="Arial" w:hAnsi="Arial" w:cs="FrankRuehl"/>
                <w:b/>
                <w:bCs/>
                <w:sz w:val="28"/>
                <w:szCs w:val="28"/>
                <w:rtl/>
              </w:rPr>
            </w:pPr>
            <w:r w:rsidRPr="00C205DD">
              <w:rPr>
                <w:rFonts w:ascii="Arial" w:hAnsi="Arial" w:cs="FrankRuehl"/>
                <w:b/>
                <w:bCs/>
                <w:sz w:val="28"/>
                <w:szCs w:val="28"/>
                <w:rtl/>
              </w:rPr>
              <w:t>נגד</w:t>
            </w:r>
          </w:p>
          <w:p w14:paraId="08B773DF" w14:textId="77777777" w:rsidR="00B413FB" w:rsidRPr="00C205DD" w:rsidRDefault="00B413FB">
            <w:pPr>
              <w:jc w:val="both"/>
              <w:rPr>
                <w:rFonts w:ascii="Arial" w:hAnsi="Arial" w:cs="FrankRuehl"/>
                <w:sz w:val="28"/>
                <w:szCs w:val="28"/>
              </w:rPr>
            </w:pPr>
          </w:p>
        </w:tc>
      </w:tr>
      <w:tr w:rsidR="00B413FB" w:rsidRPr="00C205DD" w14:paraId="4F85E51C" w14:textId="77777777">
        <w:trPr>
          <w:trHeight w:val="355"/>
          <w:jc w:val="center"/>
        </w:trPr>
        <w:tc>
          <w:tcPr>
            <w:tcW w:w="923" w:type="dxa"/>
            <w:tcBorders>
              <w:top w:val="nil"/>
              <w:left w:val="nil"/>
              <w:bottom w:val="nil"/>
              <w:right w:val="nil"/>
            </w:tcBorders>
          </w:tcPr>
          <w:p w14:paraId="670E4C0C" w14:textId="77777777" w:rsidR="00B413FB" w:rsidRPr="00C205DD" w:rsidRDefault="00B413FB">
            <w:pPr>
              <w:rPr>
                <w:rFonts w:ascii="Arial" w:hAnsi="Arial" w:cs="FrankRuehl"/>
                <w:sz w:val="28"/>
                <w:szCs w:val="28"/>
                <w:rtl/>
              </w:rPr>
            </w:pPr>
          </w:p>
        </w:tc>
        <w:tc>
          <w:tcPr>
            <w:tcW w:w="4126" w:type="dxa"/>
            <w:tcBorders>
              <w:top w:val="nil"/>
              <w:left w:val="nil"/>
              <w:bottom w:val="nil"/>
              <w:right w:val="nil"/>
            </w:tcBorders>
          </w:tcPr>
          <w:p w14:paraId="2A8858D4" w14:textId="77777777" w:rsidR="00B413FB" w:rsidRPr="00C205DD" w:rsidRDefault="00C205DD">
            <w:pPr>
              <w:rPr>
                <w:rtl/>
              </w:rPr>
            </w:pPr>
            <w:r w:rsidRPr="00C205DD">
              <w:rPr>
                <w:rFonts w:hint="cs"/>
                <w:rtl/>
              </w:rPr>
              <w:t>נאצר סרחאן עווידה (עציר)</w:t>
            </w:r>
          </w:p>
        </w:tc>
        <w:tc>
          <w:tcPr>
            <w:tcW w:w="3771" w:type="dxa"/>
            <w:tcBorders>
              <w:top w:val="nil"/>
              <w:left w:val="nil"/>
              <w:bottom w:val="nil"/>
              <w:right w:val="nil"/>
            </w:tcBorders>
          </w:tcPr>
          <w:p w14:paraId="4BC4949B" w14:textId="77777777" w:rsidR="00B413FB" w:rsidRPr="00C205DD" w:rsidRDefault="00B413FB">
            <w:pPr>
              <w:jc w:val="right"/>
              <w:rPr>
                <w:rFonts w:ascii="Arial" w:hAnsi="Arial" w:cs="FrankRuehl"/>
                <w:sz w:val="28"/>
                <w:szCs w:val="28"/>
              </w:rPr>
            </w:pPr>
          </w:p>
        </w:tc>
      </w:tr>
      <w:tr w:rsidR="00B413FB" w:rsidRPr="00C205DD" w14:paraId="09029A90" w14:textId="77777777">
        <w:trPr>
          <w:trHeight w:val="355"/>
          <w:jc w:val="center"/>
        </w:trPr>
        <w:tc>
          <w:tcPr>
            <w:tcW w:w="923" w:type="dxa"/>
            <w:tcBorders>
              <w:top w:val="nil"/>
              <w:left w:val="nil"/>
              <w:bottom w:val="nil"/>
              <w:right w:val="nil"/>
            </w:tcBorders>
          </w:tcPr>
          <w:p w14:paraId="5EB3451A" w14:textId="77777777" w:rsidR="00B413FB" w:rsidRPr="00C205DD" w:rsidRDefault="00B413FB">
            <w:pPr>
              <w:jc w:val="both"/>
              <w:rPr>
                <w:rFonts w:ascii="Arial" w:hAnsi="Arial" w:cs="FrankRuehl"/>
                <w:sz w:val="28"/>
                <w:szCs w:val="28"/>
                <w:rtl/>
              </w:rPr>
            </w:pPr>
          </w:p>
        </w:tc>
        <w:tc>
          <w:tcPr>
            <w:tcW w:w="4126" w:type="dxa"/>
            <w:tcBorders>
              <w:top w:val="nil"/>
              <w:left w:val="nil"/>
              <w:bottom w:val="nil"/>
              <w:right w:val="nil"/>
            </w:tcBorders>
          </w:tcPr>
          <w:p w14:paraId="1E6EDFCC" w14:textId="77777777" w:rsidR="00B413FB" w:rsidRPr="00C205DD" w:rsidRDefault="00B413FB">
            <w:pPr>
              <w:jc w:val="both"/>
              <w:rPr>
                <w:rtl/>
              </w:rPr>
            </w:pPr>
          </w:p>
        </w:tc>
        <w:tc>
          <w:tcPr>
            <w:tcW w:w="3771" w:type="dxa"/>
            <w:tcBorders>
              <w:top w:val="nil"/>
              <w:left w:val="nil"/>
              <w:bottom w:val="nil"/>
              <w:right w:val="nil"/>
            </w:tcBorders>
          </w:tcPr>
          <w:p w14:paraId="1E8C576C" w14:textId="77777777" w:rsidR="00B413FB" w:rsidRPr="00C205DD" w:rsidRDefault="00C205DD">
            <w:pPr>
              <w:jc w:val="right"/>
              <w:rPr>
                <w:rFonts w:ascii="Arial" w:hAnsi="Arial" w:cs="FrankRuehl"/>
                <w:sz w:val="28"/>
                <w:szCs w:val="28"/>
              </w:rPr>
            </w:pPr>
            <w:r w:rsidRPr="00C205DD">
              <w:rPr>
                <w:rFonts w:ascii="Arial" w:hAnsi="Arial" w:cs="FrankRuehl" w:hint="cs"/>
                <w:sz w:val="28"/>
                <w:szCs w:val="28"/>
                <w:rtl/>
              </w:rPr>
              <w:t>ה</w:t>
            </w:r>
            <w:r w:rsidRPr="00C205DD">
              <w:rPr>
                <w:rFonts w:hint="cs"/>
                <w:rtl/>
              </w:rPr>
              <w:t>נאשם</w:t>
            </w:r>
          </w:p>
        </w:tc>
      </w:tr>
    </w:tbl>
    <w:p w14:paraId="43F02F00" w14:textId="77777777" w:rsidR="00B413FB" w:rsidRDefault="00C205DD">
      <w:pPr>
        <w:rPr>
          <w:rFonts w:hint="cs"/>
          <w:rtl/>
        </w:rPr>
      </w:pPr>
      <w:r w:rsidRPr="00C205DD">
        <w:rPr>
          <w:rFonts w:hint="cs"/>
          <w:rtl/>
        </w:rPr>
        <w:t xml:space="preserve">נוכחים: </w:t>
      </w:r>
    </w:p>
    <w:p w14:paraId="7047DEAD" w14:textId="77777777" w:rsidR="00A578F8" w:rsidRPr="00C205DD" w:rsidRDefault="00A578F8" w:rsidP="00A578F8">
      <w:pPr>
        <w:rPr>
          <w:rtl/>
        </w:rPr>
      </w:pPr>
      <w:r w:rsidRPr="00C205DD">
        <w:rPr>
          <w:rFonts w:hint="cs"/>
          <w:rtl/>
        </w:rPr>
        <w:t>עו"ד מירה מטאנס מפרקליטות מחוז ירושלים (פלילי)</w:t>
      </w:r>
    </w:p>
    <w:p w14:paraId="10367E39" w14:textId="77777777" w:rsidR="009F1CA8" w:rsidRDefault="00A578F8" w:rsidP="00924D0A">
      <w:pPr>
        <w:spacing w:after="120" w:line="240" w:lineRule="exact"/>
        <w:ind w:left="283" w:hanging="283"/>
        <w:jc w:val="both"/>
        <w:rPr>
          <w:rFonts w:hint="cs"/>
          <w:rtl/>
        </w:rPr>
      </w:pPr>
      <w:r w:rsidRPr="00C205DD">
        <w:rPr>
          <w:rFonts w:hint="cs"/>
          <w:rtl/>
        </w:rPr>
        <w:t>הנאשם ו</w:t>
      </w:r>
      <w:bookmarkStart w:id="2" w:name="FirstLawyer"/>
      <w:r w:rsidRPr="00C205DD">
        <w:rPr>
          <w:rFonts w:hint="cs"/>
          <w:rtl/>
        </w:rPr>
        <w:t>ב"כ</w:t>
      </w:r>
      <w:bookmarkEnd w:id="2"/>
      <w:r w:rsidRPr="00C205DD">
        <w:rPr>
          <w:rFonts w:hint="cs"/>
          <w:rtl/>
        </w:rPr>
        <w:t xml:space="preserve"> עו"ד דכוו</w:t>
      </w:r>
      <w:bookmarkStart w:id="3" w:name="LawTable"/>
      <w:bookmarkEnd w:id="3"/>
      <w:r w:rsidR="001C5519">
        <w:rPr>
          <w:rFonts w:hint="cs"/>
          <w:rtl/>
        </w:rPr>
        <w:t>אר</w:t>
      </w:r>
    </w:p>
    <w:p w14:paraId="15950F6D" w14:textId="77777777" w:rsidR="009F1CA8" w:rsidRPr="009F1CA8" w:rsidRDefault="009F1CA8" w:rsidP="009F1CA8">
      <w:pPr>
        <w:spacing w:after="120" w:line="240" w:lineRule="exact"/>
        <w:ind w:left="283" w:hanging="283"/>
        <w:jc w:val="both"/>
        <w:rPr>
          <w:rFonts w:ascii="FrankRuehl" w:hAnsi="FrankRuehl" w:cs="FrankRuehl"/>
          <w:rtl/>
        </w:rPr>
      </w:pPr>
    </w:p>
    <w:p w14:paraId="127D7D5A" w14:textId="77777777" w:rsidR="009F1CA8" w:rsidRPr="009F1CA8" w:rsidRDefault="009F1CA8" w:rsidP="009F1CA8">
      <w:pPr>
        <w:spacing w:after="120" w:line="240" w:lineRule="exact"/>
        <w:ind w:left="283" w:hanging="283"/>
        <w:jc w:val="both"/>
        <w:rPr>
          <w:rFonts w:ascii="FrankRuehl" w:hAnsi="FrankRuehl" w:cs="FrankRuehl"/>
          <w:rtl/>
        </w:rPr>
      </w:pPr>
      <w:r w:rsidRPr="009F1CA8">
        <w:rPr>
          <w:rFonts w:ascii="FrankRuehl" w:hAnsi="FrankRuehl" w:cs="FrankRuehl"/>
          <w:rtl/>
        </w:rPr>
        <w:t xml:space="preserve">חקיקה שאוזכרה: </w:t>
      </w:r>
    </w:p>
    <w:p w14:paraId="733E945F" w14:textId="77777777" w:rsidR="009F1CA8" w:rsidRPr="009F1CA8" w:rsidRDefault="009F1CA8" w:rsidP="009F1CA8">
      <w:pPr>
        <w:spacing w:after="120" w:line="240" w:lineRule="exact"/>
        <w:ind w:left="283" w:hanging="283"/>
        <w:jc w:val="both"/>
        <w:rPr>
          <w:rFonts w:ascii="FrankRuehl" w:hAnsi="FrankRuehl" w:cs="FrankRuehl"/>
          <w:rtl/>
        </w:rPr>
      </w:pPr>
      <w:hyperlink r:id="rId6" w:history="1">
        <w:r w:rsidRPr="009F1CA8">
          <w:rPr>
            <w:rFonts w:ascii="FrankRuehl" w:hAnsi="FrankRuehl" w:cs="FrankRuehl"/>
            <w:color w:val="0000FF"/>
            <w:u w:val="single"/>
            <w:rtl/>
          </w:rPr>
          <w:t>חוק העונשין, תשל"ז-1977</w:t>
        </w:r>
      </w:hyperlink>
      <w:r w:rsidRPr="009F1CA8">
        <w:rPr>
          <w:rFonts w:ascii="FrankRuehl" w:hAnsi="FrankRuehl" w:cs="FrankRuehl"/>
          <w:rtl/>
        </w:rPr>
        <w:t xml:space="preserve">: סע'  </w:t>
      </w:r>
      <w:hyperlink r:id="rId7" w:history="1">
        <w:r w:rsidRPr="009F1CA8">
          <w:rPr>
            <w:rFonts w:ascii="FrankRuehl" w:hAnsi="FrankRuehl" w:cs="FrankRuehl"/>
            <w:color w:val="0000FF"/>
            <w:u w:val="single"/>
            <w:rtl/>
          </w:rPr>
          <w:t>25</w:t>
        </w:r>
      </w:hyperlink>
      <w:r w:rsidRPr="009F1CA8">
        <w:rPr>
          <w:rFonts w:ascii="FrankRuehl" w:hAnsi="FrankRuehl" w:cs="FrankRuehl"/>
          <w:rtl/>
        </w:rPr>
        <w:t xml:space="preserve">, </w:t>
      </w:r>
      <w:hyperlink r:id="rId8" w:history="1">
        <w:r w:rsidRPr="009F1CA8">
          <w:rPr>
            <w:rFonts w:ascii="FrankRuehl" w:hAnsi="FrankRuehl" w:cs="FrankRuehl"/>
            <w:color w:val="0000FF"/>
            <w:u w:val="single"/>
            <w:rtl/>
          </w:rPr>
          <w:t>40 ג</w:t>
        </w:r>
      </w:hyperlink>
      <w:r w:rsidRPr="009F1CA8">
        <w:rPr>
          <w:rFonts w:ascii="FrankRuehl" w:hAnsi="FrankRuehl" w:cs="FrankRuehl"/>
          <w:rtl/>
        </w:rPr>
        <w:t xml:space="preserve">, </w:t>
      </w:r>
      <w:hyperlink r:id="rId9" w:history="1">
        <w:r w:rsidRPr="009F1CA8">
          <w:rPr>
            <w:rFonts w:ascii="FrankRuehl" w:hAnsi="FrankRuehl" w:cs="FrankRuehl"/>
            <w:color w:val="0000FF"/>
            <w:u w:val="single"/>
            <w:rtl/>
          </w:rPr>
          <w:t>144(ב)</w:t>
        </w:r>
      </w:hyperlink>
      <w:r w:rsidRPr="009F1CA8">
        <w:rPr>
          <w:rFonts w:ascii="FrankRuehl" w:hAnsi="FrankRuehl" w:cs="FrankRuehl"/>
          <w:rtl/>
        </w:rPr>
        <w:t xml:space="preserve">, </w:t>
      </w:r>
      <w:hyperlink r:id="rId10" w:history="1">
        <w:r w:rsidRPr="009F1CA8">
          <w:rPr>
            <w:rFonts w:ascii="FrankRuehl" w:hAnsi="FrankRuehl" w:cs="FrankRuehl"/>
            <w:color w:val="0000FF"/>
            <w:u w:val="single"/>
            <w:rtl/>
          </w:rPr>
          <w:t>333</w:t>
        </w:r>
      </w:hyperlink>
      <w:r w:rsidRPr="009F1CA8">
        <w:rPr>
          <w:rFonts w:ascii="FrankRuehl" w:hAnsi="FrankRuehl" w:cs="FrankRuehl"/>
          <w:rtl/>
        </w:rPr>
        <w:t xml:space="preserve">, </w:t>
      </w:r>
      <w:hyperlink r:id="rId11" w:history="1">
        <w:r w:rsidRPr="009F1CA8">
          <w:rPr>
            <w:rFonts w:ascii="FrankRuehl" w:hAnsi="FrankRuehl" w:cs="FrankRuehl"/>
            <w:color w:val="0000FF"/>
            <w:u w:val="single"/>
            <w:rtl/>
          </w:rPr>
          <w:t>335(א) (1)</w:t>
        </w:r>
      </w:hyperlink>
      <w:r w:rsidRPr="009F1CA8">
        <w:rPr>
          <w:rFonts w:ascii="FrankRuehl" w:hAnsi="FrankRuehl" w:cs="FrankRuehl"/>
          <w:rtl/>
        </w:rPr>
        <w:t xml:space="preserve">, </w:t>
      </w:r>
      <w:hyperlink r:id="rId12" w:history="1">
        <w:r w:rsidRPr="009F1CA8">
          <w:rPr>
            <w:rFonts w:ascii="FrankRuehl" w:hAnsi="FrankRuehl" w:cs="FrankRuehl"/>
            <w:color w:val="0000FF"/>
            <w:u w:val="single"/>
            <w:rtl/>
          </w:rPr>
          <w:t>(2)</w:t>
        </w:r>
      </w:hyperlink>
      <w:r w:rsidRPr="009F1CA8">
        <w:rPr>
          <w:rFonts w:ascii="FrankRuehl" w:hAnsi="FrankRuehl" w:cs="FrankRuehl"/>
          <w:rtl/>
        </w:rPr>
        <w:t xml:space="preserve">, </w:t>
      </w:r>
      <w:hyperlink r:id="rId13" w:history="1">
        <w:r w:rsidRPr="009F1CA8">
          <w:rPr>
            <w:rFonts w:ascii="FrankRuehl" w:hAnsi="FrankRuehl" w:cs="FrankRuehl"/>
            <w:color w:val="0000FF"/>
            <w:u w:val="single"/>
            <w:rtl/>
          </w:rPr>
          <w:t>340א</w:t>
        </w:r>
      </w:hyperlink>
      <w:r w:rsidRPr="009F1CA8">
        <w:rPr>
          <w:rFonts w:ascii="FrankRuehl" w:hAnsi="FrankRuehl" w:cs="FrankRuehl"/>
          <w:rtl/>
        </w:rPr>
        <w:t xml:space="preserve">, </w:t>
      </w:r>
      <w:hyperlink r:id="rId14" w:history="1">
        <w:r w:rsidRPr="009F1CA8">
          <w:rPr>
            <w:rFonts w:ascii="FrankRuehl" w:hAnsi="FrankRuehl" w:cs="FrankRuehl"/>
            <w:color w:val="0000FF"/>
            <w:u w:val="single"/>
            <w:rtl/>
          </w:rPr>
          <w:t>40יא</w:t>
        </w:r>
      </w:hyperlink>
    </w:p>
    <w:p w14:paraId="42CF06EF" w14:textId="77777777" w:rsidR="009F1CA8" w:rsidRPr="009F1CA8" w:rsidRDefault="009F1CA8" w:rsidP="009F1CA8">
      <w:pPr>
        <w:spacing w:after="120" w:line="240" w:lineRule="exact"/>
        <w:ind w:left="283" w:hanging="283"/>
        <w:jc w:val="both"/>
        <w:rPr>
          <w:rFonts w:ascii="FrankRuehl" w:hAnsi="FrankRuehl" w:cs="FrankRuehl"/>
          <w:rtl/>
        </w:rPr>
      </w:pPr>
    </w:p>
    <w:p w14:paraId="1B49D392" w14:textId="77777777" w:rsidR="00A578F8" w:rsidRPr="00A578F8" w:rsidRDefault="00A578F8">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13FB" w14:paraId="3BBBF935" w14:textId="77777777">
        <w:trPr>
          <w:trHeight w:val="355"/>
          <w:jc w:val="center"/>
        </w:trPr>
        <w:tc>
          <w:tcPr>
            <w:tcW w:w="8820" w:type="dxa"/>
            <w:tcBorders>
              <w:top w:val="nil"/>
              <w:left w:val="nil"/>
              <w:bottom w:val="nil"/>
              <w:right w:val="nil"/>
            </w:tcBorders>
          </w:tcPr>
          <w:p w14:paraId="7A464C38" w14:textId="77777777" w:rsidR="00C205DD" w:rsidRPr="00C205DD" w:rsidRDefault="00C205DD" w:rsidP="00C205DD">
            <w:pPr>
              <w:jc w:val="center"/>
              <w:rPr>
                <w:rFonts w:ascii="Arial" w:hAnsi="Arial" w:cs="FrankRuehl"/>
                <w:b/>
                <w:bCs/>
                <w:sz w:val="32"/>
                <w:szCs w:val="32"/>
                <w:u w:val="single"/>
                <w:rtl/>
              </w:rPr>
            </w:pPr>
            <w:bookmarkStart w:id="5" w:name="PsakDin" w:colFirst="0" w:colLast="0"/>
            <w:bookmarkEnd w:id="0"/>
            <w:r w:rsidRPr="00C205DD">
              <w:rPr>
                <w:rFonts w:ascii="Arial" w:hAnsi="Arial" w:cs="FrankRuehl"/>
                <w:b/>
                <w:bCs/>
                <w:sz w:val="32"/>
                <w:szCs w:val="32"/>
                <w:u w:val="single"/>
                <w:rtl/>
              </w:rPr>
              <w:t>גזר דין</w:t>
            </w:r>
          </w:p>
          <w:p w14:paraId="75E70BC8" w14:textId="77777777" w:rsidR="00B413FB" w:rsidRPr="00C205DD" w:rsidRDefault="00B413FB" w:rsidP="00C205DD">
            <w:pPr>
              <w:jc w:val="center"/>
              <w:rPr>
                <w:rFonts w:ascii="Arial" w:hAnsi="Arial" w:cs="FrankRuehl"/>
                <w:bCs/>
                <w:sz w:val="32"/>
                <w:szCs w:val="32"/>
                <w:u w:val="single"/>
                <w:rtl/>
              </w:rPr>
            </w:pPr>
          </w:p>
        </w:tc>
      </w:tr>
      <w:bookmarkEnd w:id="5"/>
    </w:tbl>
    <w:p w14:paraId="35544257" w14:textId="77777777" w:rsidR="00B413FB" w:rsidRDefault="00B413FB">
      <w:pPr>
        <w:rPr>
          <w:rFonts w:ascii="Arial" w:hAnsi="Arial"/>
          <w:rtl/>
        </w:rPr>
      </w:pPr>
    </w:p>
    <w:p w14:paraId="7C81E682" w14:textId="77777777" w:rsidR="00B413FB" w:rsidRDefault="00B413FB">
      <w:pPr>
        <w:rPr>
          <w:rFonts w:ascii="Arial" w:hAnsi="Arial"/>
          <w:rtl/>
        </w:rPr>
      </w:pPr>
    </w:p>
    <w:p w14:paraId="1E750071" w14:textId="77777777" w:rsidR="00B413FB" w:rsidRDefault="00B413FB">
      <w:pPr>
        <w:rPr>
          <w:rtl/>
        </w:rPr>
      </w:pPr>
    </w:p>
    <w:p w14:paraId="099EA23B" w14:textId="77777777" w:rsidR="00B413FB" w:rsidRDefault="00C205DD">
      <w:pPr>
        <w:spacing w:line="360" w:lineRule="auto"/>
        <w:jc w:val="both"/>
        <w:rPr>
          <w:rtl/>
        </w:rPr>
      </w:pPr>
      <w:r>
        <w:rPr>
          <w:rFonts w:hint="cs"/>
          <w:rtl/>
        </w:rPr>
        <w:t xml:space="preserve">הנאשם הודה במסגרת עסקת טיעון בעובדות כתב אישום מתוקן. הסדר הטיעון הושג במהלך ניהול ההוכחות בתיק. על פי עובדות כתב האישום המתוקן, בין משפחת הנאשם למשפחת המתלונן התגלעה קטטה במהלכה תקפו הצדדים זה את זה, ויידו אבנים. במהלך הקטטה, עשה המתלונן שימוש בתרסיס גז פלפל ממנו נפגעו מספר אנשים ביניהם בנו של הנאשם, אשר החזיק בסכין. בשלב מסוים הגיע הנאשם למקום. אחדים מבני משפחתו וממשפחת קרקי פנו לנאשם וביקשו שירגיע את הרוחות ויוריד את אנס ואחיו ששהו באותה העת על גג בית המשפחה והשליכו משם אבנים ובקבוקים. הנאשם נכנס לביתו, הוציא אקדח, אותו הוא נושא בלי רשות על פי דין, נעמד בפינת המרפסת וירה שתי יריות ממרחק של 20-15 מטרים לעבר המתלונן ובני משפחה נוספת שעמדו במקום.  </w:t>
      </w:r>
      <w:r>
        <w:rPr>
          <w:rtl/>
        </w:rPr>
        <w:t>לאחר מכן החל לרדת במדרגות ביתו תוך שהוא מכוון את נשקו לעבר נשים וילדים</w:t>
      </w:r>
      <w:r>
        <w:rPr>
          <w:rFonts w:hint="cs"/>
          <w:rtl/>
        </w:rPr>
        <w:t xml:space="preserve"> </w:t>
      </w:r>
      <w:r>
        <w:rPr>
          <w:rtl/>
        </w:rPr>
        <w:t>שעמדו בפתח בית משפח</w:t>
      </w:r>
      <w:r>
        <w:rPr>
          <w:rFonts w:hint="cs"/>
          <w:rtl/>
        </w:rPr>
        <w:t>ה נוספת שהשתתפה באירוע</w:t>
      </w:r>
      <w:r>
        <w:rPr>
          <w:rtl/>
        </w:rPr>
        <w:t>, ואז עלה חזרה לביתו.</w:t>
      </w:r>
      <w:r>
        <w:rPr>
          <w:rFonts w:hint="cs"/>
          <w:rtl/>
        </w:rPr>
        <w:t xml:space="preserve"> עוד מצוין בכתב האישום </w:t>
      </w:r>
      <w:r>
        <w:rPr>
          <w:rFonts w:hint="cs"/>
          <w:rtl/>
        </w:rPr>
        <w:lastRenderedPageBreak/>
        <w:t>המתוקן, כי במהלך האירוע, נפגע המתלונן ברגלו הימנית מירי שהגיע מכיוון משפחת הנאשם. הוסכם על הצדדים כי לא ניתן ליחס את הפגיעה במתלונן לירי שביצע הנאשם.</w:t>
      </w:r>
    </w:p>
    <w:p w14:paraId="25C2673C" w14:textId="77777777" w:rsidR="00B413FB" w:rsidRDefault="00B413FB">
      <w:pPr>
        <w:spacing w:line="360" w:lineRule="auto"/>
        <w:jc w:val="both"/>
        <w:rPr>
          <w:rtl/>
        </w:rPr>
      </w:pPr>
    </w:p>
    <w:p w14:paraId="2DFF2C4F" w14:textId="77777777" w:rsidR="00B413FB" w:rsidRDefault="00C205DD">
      <w:pPr>
        <w:spacing w:line="360" w:lineRule="auto"/>
        <w:jc w:val="both"/>
        <w:rPr>
          <w:rtl/>
        </w:rPr>
      </w:pPr>
      <w:bookmarkStart w:id="6" w:name="ABSTRACT_START"/>
      <w:bookmarkEnd w:id="6"/>
      <w:r>
        <w:rPr>
          <w:rFonts w:hint="cs"/>
          <w:rtl/>
        </w:rPr>
        <w:t xml:space="preserve">הנאשם הורשע בניסיון לחבלה בנסיבות מחמירות </w:t>
      </w:r>
      <w:r>
        <w:rPr>
          <w:rtl/>
        </w:rPr>
        <w:t>–</w:t>
      </w:r>
      <w:r>
        <w:rPr>
          <w:rFonts w:hint="cs"/>
          <w:rtl/>
        </w:rPr>
        <w:t xml:space="preserve"> עבירה לפי </w:t>
      </w:r>
      <w:hyperlink r:id="rId15" w:history="1">
        <w:r w:rsidR="00924D0A" w:rsidRPr="00924D0A">
          <w:rPr>
            <w:color w:val="0000FF"/>
            <w:u w:val="single"/>
            <w:rtl/>
          </w:rPr>
          <w:t>סעיף 333</w:t>
        </w:r>
      </w:hyperlink>
      <w:r>
        <w:rPr>
          <w:rFonts w:hint="cs"/>
          <w:rtl/>
        </w:rPr>
        <w:t xml:space="preserve"> בנסיבות </w:t>
      </w:r>
      <w:hyperlink r:id="rId16" w:history="1">
        <w:r w:rsidR="00924D0A" w:rsidRPr="00924D0A">
          <w:rPr>
            <w:color w:val="0000FF"/>
            <w:u w:val="single"/>
            <w:rtl/>
          </w:rPr>
          <w:t>סעיף 335(א) (1)</w:t>
        </w:r>
      </w:hyperlink>
      <w:r>
        <w:rPr>
          <w:rFonts w:hint="cs"/>
          <w:rtl/>
        </w:rPr>
        <w:t>+</w:t>
      </w:r>
      <w:hyperlink r:id="rId17" w:history="1">
        <w:r w:rsidR="00924D0A" w:rsidRPr="00924D0A">
          <w:rPr>
            <w:color w:val="0000FF"/>
            <w:u w:val="single"/>
            <w:rtl/>
          </w:rPr>
          <w:t>(2)</w:t>
        </w:r>
      </w:hyperlink>
      <w:r>
        <w:rPr>
          <w:rFonts w:hint="cs"/>
          <w:rtl/>
        </w:rPr>
        <w:t xml:space="preserve"> בצירוף </w:t>
      </w:r>
      <w:hyperlink r:id="rId18" w:history="1">
        <w:r w:rsidR="00924D0A" w:rsidRPr="00924D0A">
          <w:rPr>
            <w:color w:val="0000FF"/>
            <w:u w:val="single"/>
            <w:rtl/>
          </w:rPr>
          <w:t>סעיף 25</w:t>
        </w:r>
      </w:hyperlink>
      <w:r>
        <w:rPr>
          <w:rFonts w:hint="cs"/>
          <w:rtl/>
        </w:rPr>
        <w:t xml:space="preserve"> </w:t>
      </w:r>
      <w:r>
        <w:rPr>
          <w:rFonts w:hint="cs"/>
          <w:b/>
          <w:bCs/>
          <w:rtl/>
        </w:rPr>
        <w:t>ל</w:t>
      </w:r>
      <w:hyperlink r:id="rId19" w:history="1">
        <w:r w:rsidR="009C240E" w:rsidRPr="009C240E">
          <w:rPr>
            <w:rStyle w:val="Hyperlink"/>
            <w:b/>
            <w:bCs/>
            <w:rtl/>
          </w:rPr>
          <w:t>חוק העונשין</w:t>
        </w:r>
      </w:hyperlink>
      <w:r>
        <w:rPr>
          <w:rFonts w:hint="cs"/>
          <w:b/>
          <w:bCs/>
          <w:rtl/>
        </w:rPr>
        <w:t xml:space="preserve"> </w:t>
      </w:r>
      <w:r>
        <w:rPr>
          <w:rFonts w:hint="cs"/>
          <w:rtl/>
        </w:rPr>
        <w:t>התשל"ז 1977 (להלן: "</w:t>
      </w:r>
      <w:r>
        <w:rPr>
          <w:rFonts w:hint="cs"/>
          <w:b/>
          <w:bCs/>
          <w:rtl/>
        </w:rPr>
        <w:t>החוק</w:t>
      </w:r>
      <w:r>
        <w:rPr>
          <w:rFonts w:hint="cs"/>
          <w:rtl/>
        </w:rPr>
        <w:t xml:space="preserve">"), בעבירה של נשיאת נשק </w:t>
      </w:r>
      <w:r>
        <w:rPr>
          <w:rtl/>
        </w:rPr>
        <w:t>–</w:t>
      </w:r>
      <w:r>
        <w:rPr>
          <w:rFonts w:hint="cs"/>
          <w:rtl/>
        </w:rPr>
        <w:t xml:space="preserve"> עבירה לפי </w:t>
      </w:r>
      <w:hyperlink r:id="rId20" w:history="1">
        <w:r w:rsidR="00924D0A" w:rsidRPr="00924D0A">
          <w:rPr>
            <w:color w:val="0000FF"/>
            <w:u w:val="single"/>
            <w:rtl/>
          </w:rPr>
          <w:t>סעיף 144(ב)</w:t>
        </w:r>
      </w:hyperlink>
      <w:r>
        <w:rPr>
          <w:rFonts w:hint="cs"/>
          <w:rtl/>
        </w:rPr>
        <w:t xml:space="preserve"> לחוק ובעבירה של ירי באזור מגורים </w:t>
      </w:r>
      <w:r>
        <w:rPr>
          <w:rtl/>
        </w:rPr>
        <w:t>–</w:t>
      </w:r>
      <w:r>
        <w:rPr>
          <w:rFonts w:hint="cs"/>
          <w:rtl/>
        </w:rPr>
        <w:t xml:space="preserve"> עבירה לפי </w:t>
      </w:r>
      <w:hyperlink r:id="rId21" w:history="1">
        <w:r w:rsidR="00924D0A" w:rsidRPr="00924D0A">
          <w:rPr>
            <w:color w:val="0000FF"/>
            <w:u w:val="single"/>
            <w:rtl/>
          </w:rPr>
          <w:t>סעיף 340א</w:t>
        </w:r>
      </w:hyperlink>
      <w:r>
        <w:rPr>
          <w:rFonts w:hint="cs"/>
          <w:rtl/>
        </w:rPr>
        <w:t xml:space="preserve"> לחוק.</w:t>
      </w:r>
    </w:p>
    <w:p w14:paraId="31539F6D" w14:textId="77777777" w:rsidR="00B413FB" w:rsidRDefault="00C205DD">
      <w:pPr>
        <w:spacing w:line="360" w:lineRule="auto"/>
        <w:jc w:val="both"/>
        <w:rPr>
          <w:rtl/>
        </w:rPr>
      </w:pPr>
      <w:r>
        <w:rPr>
          <w:rFonts w:hint="cs"/>
          <w:rtl/>
        </w:rPr>
        <w:t>בהסכמת הצדדים, נשלח הנאשם לקבלת תסקיר מבחן לעניין העונש.</w:t>
      </w:r>
    </w:p>
    <w:p w14:paraId="7017F26F" w14:textId="77777777" w:rsidR="00B413FB" w:rsidRDefault="00B413FB">
      <w:pPr>
        <w:spacing w:line="360" w:lineRule="auto"/>
        <w:jc w:val="both"/>
        <w:rPr>
          <w:rtl/>
        </w:rPr>
      </w:pPr>
      <w:bookmarkStart w:id="7" w:name="ABSTRACT_END"/>
      <w:bookmarkEnd w:id="7"/>
    </w:p>
    <w:p w14:paraId="61BC845C" w14:textId="77777777" w:rsidR="00B413FB" w:rsidRDefault="00C205DD">
      <w:pPr>
        <w:spacing w:line="360" w:lineRule="auto"/>
        <w:jc w:val="both"/>
        <w:rPr>
          <w:b/>
          <w:bCs/>
          <w:rtl/>
        </w:rPr>
      </w:pPr>
      <w:r>
        <w:rPr>
          <w:rFonts w:hint="cs"/>
          <w:b/>
          <w:bCs/>
          <w:rtl/>
        </w:rPr>
        <w:t xml:space="preserve">תסקיר המבחן </w:t>
      </w:r>
    </w:p>
    <w:p w14:paraId="182E96F7" w14:textId="77777777" w:rsidR="00B413FB" w:rsidRDefault="00B413FB">
      <w:pPr>
        <w:spacing w:line="360" w:lineRule="auto"/>
        <w:jc w:val="both"/>
        <w:rPr>
          <w:rtl/>
        </w:rPr>
      </w:pPr>
    </w:p>
    <w:p w14:paraId="4E623787" w14:textId="77777777" w:rsidR="00B413FB" w:rsidRDefault="00C205DD">
      <w:pPr>
        <w:spacing w:line="360" w:lineRule="auto"/>
        <w:jc w:val="both"/>
        <w:rPr>
          <w:rtl/>
        </w:rPr>
      </w:pPr>
      <w:r>
        <w:rPr>
          <w:rFonts w:hint="cs"/>
          <w:rtl/>
        </w:rPr>
        <w:t>הנאשם</w:t>
      </w:r>
      <w:r>
        <w:rPr>
          <w:rtl/>
        </w:rPr>
        <w:t xml:space="preserve"> בן 48 נשוי ואב לחמ</w:t>
      </w:r>
      <w:r>
        <w:rPr>
          <w:rFonts w:hint="cs"/>
          <w:rtl/>
        </w:rPr>
        <w:t>י</w:t>
      </w:r>
      <w:r>
        <w:rPr>
          <w:rtl/>
        </w:rPr>
        <w:t>שה בנים</w:t>
      </w:r>
      <w:r>
        <w:rPr>
          <w:rFonts w:hint="cs"/>
          <w:rtl/>
        </w:rPr>
        <w:t xml:space="preserve">. </w:t>
      </w:r>
      <w:r>
        <w:rPr>
          <w:rtl/>
        </w:rPr>
        <w:t>עד למעצרו עבד לסירוגין כנהג מונית</w:t>
      </w:r>
      <w:r>
        <w:rPr>
          <w:rFonts w:hint="cs"/>
          <w:rtl/>
        </w:rPr>
        <w:t xml:space="preserve"> </w:t>
      </w:r>
      <w:r>
        <w:rPr>
          <w:rtl/>
        </w:rPr>
        <w:t>ובשיפוצים.</w:t>
      </w:r>
      <w:r>
        <w:rPr>
          <w:rFonts w:hint="cs"/>
          <w:rtl/>
        </w:rPr>
        <w:t xml:space="preserve"> שירות המבחן התרשם כי הנאשם</w:t>
      </w:r>
      <w:r>
        <w:rPr>
          <w:rtl/>
        </w:rPr>
        <w:t xml:space="preserve"> בעל מערכת ערכי</w:t>
      </w:r>
      <w:r>
        <w:rPr>
          <w:rFonts w:hint="cs"/>
          <w:rtl/>
        </w:rPr>
        <w:t>ם</w:t>
      </w:r>
      <w:r>
        <w:rPr>
          <w:rtl/>
        </w:rPr>
        <w:t xml:space="preserve"> חיובית בבסיסו, מנהל אורח חיים נורמטיבי ושומר</w:t>
      </w:r>
      <w:r>
        <w:rPr>
          <w:rFonts w:hint="cs"/>
          <w:rtl/>
        </w:rPr>
        <w:t xml:space="preserve"> </w:t>
      </w:r>
      <w:r>
        <w:rPr>
          <w:rtl/>
        </w:rPr>
        <w:t xml:space="preserve">חוק בדרך כלל, כפי שבא לידי ביטוי בסיום 8 שנות לימוד וברצף תעסוקתי. </w:t>
      </w:r>
    </w:p>
    <w:p w14:paraId="28F91FEB" w14:textId="77777777" w:rsidR="00B413FB" w:rsidRDefault="00C205DD">
      <w:pPr>
        <w:spacing w:line="360" w:lineRule="auto"/>
        <w:jc w:val="both"/>
        <w:rPr>
          <w:rtl/>
        </w:rPr>
      </w:pPr>
      <w:r>
        <w:rPr>
          <w:rtl/>
        </w:rPr>
        <w:t xml:space="preserve">לצד </w:t>
      </w:r>
      <w:r>
        <w:rPr>
          <w:rFonts w:hint="cs"/>
          <w:rtl/>
        </w:rPr>
        <w:t>זה התרשם שירות המבחן</w:t>
      </w:r>
      <w:r>
        <w:rPr>
          <w:rtl/>
        </w:rPr>
        <w:t xml:space="preserve"> כי על רקע חינוך נוקשה הדוגל בתפיסה תרבותית פטריארכלית והבנתו את</w:t>
      </w:r>
      <w:r>
        <w:rPr>
          <w:rFonts w:hint="cs"/>
          <w:rtl/>
        </w:rPr>
        <w:t xml:space="preserve"> </w:t>
      </w:r>
      <w:r>
        <w:rPr>
          <w:rtl/>
        </w:rPr>
        <w:t>הציפיות החברתיות ממנו כאבי המשפחה, הוא ממלא במסגרת המשפחתית תפקיד של</w:t>
      </w:r>
      <w:r>
        <w:rPr>
          <w:rFonts w:hint="cs"/>
          <w:rtl/>
        </w:rPr>
        <w:t xml:space="preserve"> </w:t>
      </w:r>
      <w:r>
        <w:rPr>
          <w:rtl/>
        </w:rPr>
        <w:t>הטלת סמכות ומשמעת, כאשר לעיתים מתקשה להכיל את צרכיהם השונים של בני</w:t>
      </w:r>
      <w:r>
        <w:rPr>
          <w:rFonts w:hint="cs"/>
          <w:rtl/>
        </w:rPr>
        <w:t xml:space="preserve"> </w:t>
      </w:r>
      <w:r>
        <w:rPr>
          <w:rtl/>
        </w:rPr>
        <w:t xml:space="preserve">המשפחה ופועל מתוך קושי בנפרדות. </w:t>
      </w:r>
      <w:r>
        <w:rPr>
          <w:rFonts w:hint="cs"/>
          <w:rtl/>
        </w:rPr>
        <w:t>להערכת שירות המבחן</w:t>
      </w:r>
      <w:r>
        <w:rPr>
          <w:rtl/>
        </w:rPr>
        <w:t xml:space="preserve">, </w:t>
      </w:r>
      <w:r>
        <w:rPr>
          <w:rFonts w:hint="cs"/>
          <w:rtl/>
        </w:rPr>
        <w:t>במקרים אלה,</w:t>
      </w:r>
      <w:r>
        <w:rPr>
          <w:rtl/>
        </w:rPr>
        <w:t xml:space="preserve"> עלול</w:t>
      </w:r>
      <w:r>
        <w:rPr>
          <w:rFonts w:hint="cs"/>
          <w:rtl/>
        </w:rPr>
        <w:t xml:space="preserve"> הנאשם</w:t>
      </w:r>
      <w:r>
        <w:rPr>
          <w:rtl/>
        </w:rPr>
        <w:t xml:space="preserve"> לנסות להשיג</w:t>
      </w:r>
      <w:r>
        <w:rPr>
          <w:rFonts w:hint="cs"/>
          <w:rtl/>
        </w:rPr>
        <w:t xml:space="preserve"> </w:t>
      </w:r>
      <w:r>
        <w:rPr>
          <w:rtl/>
        </w:rPr>
        <w:t>את מטרותיו בדרך פוגענית ו</w:t>
      </w:r>
      <w:r>
        <w:rPr>
          <w:rFonts w:hint="cs"/>
          <w:rtl/>
        </w:rPr>
        <w:t>הרס</w:t>
      </w:r>
      <w:r>
        <w:rPr>
          <w:rtl/>
        </w:rPr>
        <w:t>נית כלפי עצמו וכלפי סביבתו, כפי שבא לידי ביטוי, בין</w:t>
      </w:r>
      <w:r>
        <w:rPr>
          <w:rFonts w:hint="cs"/>
          <w:rtl/>
        </w:rPr>
        <w:t xml:space="preserve"> </w:t>
      </w:r>
      <w:r>
        <w:rPr>
          <w:rtl/>
        </w:rPr>
        <w:t xml:space="preserve">היתר, בעבירות מושא דיון זה. בשיחה עמו </w:t>
      </w:r>
      <w:r>
        <w:rPr>
          <w:rFonts w:hint="cs"/>
          <w:rtl/>
        </w:rPr>
        <w:t>התרשם שירות המבחן</w:t>
      </w:r>
      <w:r>
        <w:rPr>
          <w:rtl/>
        </w:rPr>
        <w:t xml:space="preserve"> מטשטוש חלקים בעייתיים</w:t>
      </w:r>
      <w:r>
        <w:rPr>
          <w:rFonts w:hint="cs"/>
          <w:rtl/>
        </w:rPr>
        <w:t xml:space="preserve"> </w:t>
      </w:r>
      <w:r>
        <w:rPr>
          <w:rtl/>
        </w:rPr>
        <w:t>בהתנהגותו וכאישיותו, לצד הבעת חרטה על ביצוע העבירות.</w:t>
      </w:r>
      <w:r>
        <w:rPr>
          <w:rFonts w:hint="cs"/>
          <w:rtl/>
        </w:rPr>
        <w:t xml:space="preserve"> שירות המבחן ציין מחד</w:t>
      </w:r>
      <w:r>
        <w:rPr>
          <w:rtl/>
        </w:rPr>
        <w:t xml:space="preserve"> את חומרת העבירות ואת התרשמו</w:t>
      </w:r>
      <w:r>
        <w:rPr>
          <w:rFonts w:hint="cs"/>
          <w:rtl/>
        </w:rPr>
        <w:t>תו</w:t>
      </w:r>
      <w:r>
        <w:rPr>
          <w:rtl/>
        </w:rPr>
        <w:t xml:space="preserve"> </w:t>
      </w:r>
      <w:r>
        <w:rPr>
          <w:rFonts w:hint="cs"/>
          <w:rtl/>
        </w:rPr>
        <w:t>מעמדה</w:t>
      </w:r>
      <w:r>
        <w:rPr>
          <w:rtl/>
        </w:rPr>
        <w:t xml:space="preserve"> נוקשה</w:t>
      </w:r>
      <w:r>
        <w:rPr>
          <w:rFonts w:hint="cs"/>
          <w:rtl/>
        </w:rPr>
        <w:t xml:space="preserve"> </w:t>
      </w:r>
      <w:r>
        <w:rPr>
          <w:rtl/>
        </w:rPr>
        <w:t xml:space="preserve">של </w:t>
      </w:r>
      <w:r>
        <w:rPr>
          <w:rFonts w:hint="cs"/>
          <w:rtl/>
        </w:rPr>
        <w:t>הנאשם</w:t>
      </w:r>
      <w:r>
        <w:rPr>
          <w:rtl/>
        </w:rPr>
        <w:t xml:space="preserve"> בתפיסתו את תפקידו כאבי המשפחה. מאידך גיסא, </w:t>
      </w:r>
      <w:r>
        <w:rPr>
          <w:rFonts w:hint="cs"/>
          <w:rtl/>
        </w:rPr>
        <w:t>ציין שירות המבחן</w:t>
      </w:r>
      <w:r>
        <w:rPr>
          <w:rtl/>
        </w:rPr>
        <w:t xml:space="preserve"> את העדרו של עבר</w:t>
      </w:r>
      <w:r>
        <w:rPr>
          <w:rFonts w:hint="cs"/>
          <w:rtl/>
        </w:rPr>
        <w:t xml:space="preserve"> </w:t>
      </w:r>
      <w:r>
        <w:rPr>
          <w:rtl/>
        </w:rPr>
        <w:t>פלילי מכביד, למעט עבירת הבנייה</w:t>
      </w:r>
      <w:r>
        <w:rPr>
          <w:rFonts w:hint="cs"/>
          <w:rtl/>
        </w:rPr>
        <w:t xml:space="preserve"> ללא היתר בה הורשע בשנת 1999</w:t>
      </w:r>
      <w:r>
        <w:rPr>
          <w:rtl/>
        </w:rPr>
        <w:t>, ואת הזמן הממושך בו הוא במעצר.</w:t>
      </w:r>
      <w:r>
        <w:rPr>
          <w:rFonts w:hint="cs"/>
          <w:rtl/>
        </w:rPr>
        <w:t xml:space="preserve"> </w:t>
      </w:r>
      <w:r>
        <w:rPr>
          <w:rtl/>
        </w:rPr>
        <w:t xml:space="preserve">לאור חומרת העבירות </w:t>
      </w:r>
      <w:r>
        <w:rPr>
          <w:rFonts w:hint="cs"/>
          <w:rtl/>
        </w:rPr>
        <w:t xml:space="preserve">שירות המבחן לא בא </w:t>
      </w:r>
      <w:r>
        <w:rPr>
          <w:rtl/>
        </w:rPr>
        <w:t>בהמלצה טיפולית בעניינו.</w:t>
      </w:r>
      <w:r>
        <w:rPr>
          <w:rFonts w:hint="cs"/>
          <w:rtl/>
        </w:rPr>
        <w:t xml:space="preserve"> שירות המבחן המליץ עם זאת</w:t>
      </w:r>
      <w:r>
        <w:rPr>
          <w:rtl/>
        </w:rPr>
        <w:t xml:space="preserve"> כי בשיקולי הענישה יילקחו בחשבון תקופת מעצרו הממושכת של </w:t>
      </w:r>
      <w:r>
        <w:rPr>
          <w:rFonts w:hint="cs"/>
          <w:rtl/>
        </w:rPr>
        <w:t xml:space="preserve">הנאשם </w:t>
      </w:r>
      <w:r>
        <w:rPr>
          <w:rtl/>
        </w:rPr>
        <w:t>וכוחותיו לתפקוד תקין, כמתואר לעיל.</w:t>
      </w:r>
      <w:r>
        <w:rPr>
          <w:rFonts w:hint="cs"/>
          <w:rtl/>
        </w:rPr>
        <w:t xml:space="preserve"> </w:t>
      </w:r>
      <w:r>
        <w:rPr>
          <w:rtl/>
        </w:rPr>
        <w:t xml:space="preserve">כמו כן, </w:t>
      </w:r>
      <w:r>
        <w:rPr>
          <w:rFonts w:hint="cs"/>
          <w:rtl/>
        </w:rPr>
        <w:t>המליץ שירות המבחן</w:t>
      </w:r>
      <w:r>
        <w:rPr>
          <w:rtl/>
        </w:rPr>
        <w:t xml:space="preserve"> על מאסר על תנאי כעונש מרתיע.</w:t>
      </w:r>
    </w:p>
    <w:p w14:paraId="784A4718" w14:textId="77777777" w:rsidR="00B413FB" w:rsidRDefault="00B413FB">
      <w:pPr>
        <w:spacing w:line="360" w:lineRule="auto"/>
        <w:jc w:val="both"/>
        <w:rPr>
          <w:rtl/>
        </w:rPr>
      </w:pPr>
    </w:p>
    <w:p w14:paraId="549663EC" w14:textId="77777777" w:rsidR="00B413FB" w:rsidRDefault="00C205DD">
      <w:pPr>
        <w:spacing w:line="360" w:lineRule="auto"/>
        <w:jc w:val="both"/>
        <w:rPr>
          <w:b/>
          <w:bCs/>
          <w:rtl/>
        </w:rPr>
      </w:pPr>
      <w:r>
        <w:rPr>
          <w:rFonts w:hint="cs"/>
          <w:b/>
          <w:bCs/>
          <w:rtl/>
        </w:rPr>
        <w:t>טיעון המאשימה</w:t>
      </w:r>
    </w:p>
    <w:p w14:paraId="2884267C" w14:textId="77777777" w:rsidR="00B413FB" w:rsidRDefault="00B413FB">
      <w:pPr>
        <w:spacing w:line="360" w:lineRule="auto"/>
        <w:jc w:val="both"/>
        <w:rPr>
          <w:rtl/>
        </w:rPr>
      </w:pPr>
    </w:p>
    <w:p w14:paraId="70C51D0A" w14:textId="77777777" w:rsidR="00B413FB" w:rsidRDefault="00C205DD">
      <w:pPr>
        <w:spacing w:line="360" w:lineRule="auto"/>
        <w:jc w:val="both"/>
        <w:rPr>
          <w:rtl/>
        </w:rPr>
      </w:pPr>
      <w:r>
        <w:rPr>
          <w:rFonts w:hint="cs"/>
          <w:rtl/>
        </w:rPr>
        <w:t xml:space="preserve">ב"כ המאשימה טענה בפני כי מעשיו של הנאשם פוגעים בערכים מוגנים ביניהם שלמות הגוף, חיי אדם, ביטחון הציבור והסדר הציבורי. לטענת המאשימה, במקרים של עבירות אלימות, יש להעדיף  את עקרון ההלימה על מדיניות הענישה הנוהגת, וזאת לאור פסיקת בית המשפט העליון והנחיית פרקליט המדינה לפיה יש לפעול להעלאת רף הענישה בעבירות אלימות. עוד ציינה ב"כ המאשימה כי אין הבדל מהותי בין העבירה המושלמת לבין עבירת הניסיון בה הורשע הנאשם. המאשימה ביקשה להדגיש כי הנאשם הוזעק למקום על ידי בני משפחה ונתבקש להרגיע את הרוחות ובמקום זאת עשה </w:t>
      </w:r>
      <w:r>
        <w:rPr>
          <w:rFonts w:hint="cs"/>
          <w:rtl/>
        </w:rPr>
        <w:lastRenderedPageBreak/>
        <w:t xml:space="preserve">את שעשה. על כן, טוענת המאשימה, אין לראות במעשיו חלק מאירוע מתגלגל או פעולה שהתבצעה בלהט הרגע כי אם פעולה מתוכננת. עוד נטען כי חלקו של הנאשם בעבירה מרכזי וכי הנזק שנגרם, על אף שלא ניתן לייחס לו אותו, הוא הנזק אותו התכוון לגרום הנאשם, כאשר הנזק הפוטנציאלי של פעולה זו הינו גדול הרבה יותר. נוכח האמור, סברה המאשימה כי מתחם הענישה ההולם במקרה זה הינו בין 3.5 ל 7 שנים וכי לאור עברו הנקי של הנאשם ולאור התסקיר החיובי שהוגש, יש למקם את הנאשם בין השליש התחתון לבין אמצע המתחם. המאשימה סבורה כי יש להטיל על הנאשם פיצוי כספי לטובת המתלונן על אף שלא הוכח הקשר הסיבתי בין הפגיעה לבין הירי.      </w:t>
      </w:r>
    </w:p>
    <w:p w14:paraId="54F7F919" w14:textId="77777777" w:rsidR="00B413FB" w:rsidRDefault="00B413FB">
      <w:pPr>
        <w:rPr>
          <w:rtl/>
        </w:rPr>
      </w:pPr>
    </w:p>
    <w:p w14:paraId="481C26A6" w14:textId="77777777" w:rsidR="00B413FB" w:rsidRDefault="00B413FB">
      <w:pPr>
        <w:rPr>
          <w:rtl/>
        </w:rPr>
      </w:pPr>
    </w:p>
    <w:p w14:paraId="7B037DBA" w14:textId="77777777" w:rsidR="00B413FB" w:rsidRDefault="00C205DD">
      <w:pPr>
        <w:rPr>
          <w:b/>
          <w:bCs/>
          <w:rtl/>
        </w:rPr>
      </w:pPr>
      <w:r>
        <w:rPr>
          <w:rFonts w:hint="cs"/>
          <w:b/>
          <w:bCs/>
          <w:rtl/>
        </w:rPr>
        <w:t xml:space="preserve">טיעון הנאשם </w:t>
      </w:r>
    </w:p>
    <w:p w14:paraId="4FFB3717" w14:textId="77777777" w:rsidR="00B413FB" w:rsidRDefault="00B413FB">
      <w:pPr>
        <w:rPr>
          <w:rtl/>
        </w:rPr>
      </w:pPr>
    </w:p>
    <w:p w14:paraId="737D4432" w14:textId="77777777" w:rsidR="00B413FB" w:rsidRDefault="00C205DD">
      <w:pPr>
        <w:spacing w:line="360" w:lineRule="auto"/>
        <w:jc w:val="both"/>
        <w:rPr>
          <w:rtl/>
        </w:rPr>
      </w:pPr>
      <w:r>
        <w:rPr>
          <w:rFonts w:hint="cs"/>
          <w:rtl/>
        </w:rPr>
        <w:t xml:space="preserve">ב"כ הנאשם הפנה לתסקיר החיובי שהוגש בעניינו של הנאשם, לפיו מדובר באדם בעל מערכת ערכים חיובית החיי אורח חיים נורמטיבי. ב"כ הנאשם ציין את עברו הנקי של הנאשם ואת העובדה שהנאשם עובד באופן קבוע לפרנסת משפחתו. ב"כ הנאשם התייחס לאמור בתצהיר המבחן לפיו נטל אחריות חלקית בלבד למעשיו. לטענתו, הנאשם ציין בפני קצינת המבחן כי הוא אינו אחראי לפגיעה, כפי שעולה גם מכתב האישום ואין לזקוף זאת לחובתו. ב"כ הנאשם ביקש להפנות להמלצת קצין המבחן להתחשב בעת מתן גזר הדין ביכולתו של הנאשם לתפקוד תקין ובתקופת מעצרו. עוד ביקש ב"כ הנאשם להדגיש את נסיבות ביצוע העבירה ואת העובדה כי בנו של הנאשם ושאר בני משפחתו הותקפו על ידי המתלונן ושאר המשתתפים באירוע בגז מדמיע ובאבנים. ב"כ המערער ביקש גם להדגיש את העובדה כי על אף שמעשים אלו מתוארים בכתב האישום, לא מצאה לנכון הפרקליטות להעמיד את המעורבים לדין. </w:t>
      </w:r>
    </w:p>
    <w:p w14:paraId="27AE2003" w14:textId="77777777" w:rsidR="00B413FB" w:rsidRDefault="00C205DD">
      <w:pPr>
        <w:spacing w:line="360" w:lineRule="auto"/>
        <w:jc w:val="both"/>
        <w:rPr>
          <w:rtl/>
        </w:rPr>
      </w:pPr>
      <w:r>
        <w:rPr>
          <w:rFonts w:hint="cs"/>
          <w:rtl/>
        </w:rPr>
        <w:t xml:space="preserve">ב"כ הנאשם הגיש פסיקה מטעמו המצביעה על ענישה נוהגת נמוכה בהרבה מזו שהציעה המאשימה ומסתכמת בחודשי מעצר בודדים ומאסר על תנאי במקרים קלים ו- 10-14 חודשי מאסר במקרים חמורים יותר. ב"כ הנאשם התייחס לפסק דינו של השופט גרשון שניתן במסגרת </w:t>
      </w:r>
      <w:hyperlink r:id="rId22" w:history="1">
        <w:r w:rsidR="009C240E" w:rsidRPr="009C240E">
          <w:rPr>
            <w:rStyle w:val="Hyperlink"/>
            <w:rtl/>
          </w:rPr>
          <w:t>ת"פ 51546-06-11</w:t>
        </w:r>
      </w:hyperlink>
      <w:r>
        <w:rPr>
          <w:rFonts w:hint="cs"/>
          <w:rtl/>
        </w:rPr>
        <w:t xml:space="preserve"> אליו הפנתה המאשימה אשר במסגרתו נידון נאשם בחבלה חמורה ל 8 שנות מאסר. לטענת ב"כ הנאשם מדובר בפסק דין נדיר מאד, שאינו חלוט שכן הוגש נגדו ערעור שטרם הוכרע. עוד טען ב"כ המערער כי נסיבות פסק הדין, ונסיבות יתר פסקי הדין שהגישה המאשימה חמורות בהרבה מהמקרה דנן. ב"כ הנאשם ביקש לדחות את ניסיון המאשימה לחרוג מהענישה המקובלת לאור עיקרון ההלימה בהסתמכה על דברי השופטת ארבל ב</w:t>
      </w:r>
      <w:hyperlink r:id="rId23" w:history="1">
        <w:r w:rsidR="009C240E" w:rsidRPr="009C240E">
          <w:rPr>
            <w:rStyle w:val="Hyperlink"/>
            <w:rtl/>
          </w:rPr>
          <w:t>ע"פ 1323/13</w:t>
        </w:r>
      </w:hyperlink>
      <w:r>
        <w:rPr>
          <w:rFonts w:hint="cs"/>
          <w:rtl/>
        </w:rPr>
        <w:t xml:space="preserve"> </w:t>
      </w:r>
      <w:r>
        <w:rPr>
          <w:rFonts w:hint="cs"/>
          <w:b/>
          <w:bCs/>
          <w:rtl/>
        </w:rPr>
        <w:t>חסן נ' מדינת ישראל</w:t>
      </w:r>
      <w:r>
        <w:rPr>
          <w:rFonts w:hint="cs"/>
          <w:rtl/>
        </w:rPr>
        <w:t xml:space="preserve"> (פורסם בנבו, 13.5.13) (להלן: "</w:t>
      </w:r>
      <w:r>
        <w:rPr>
          <w:rFonts w:hint="cs"/>
          <w:b/>
          <w:bCs/>
          <w:rtl/>
        </w:rPr>
        <w:t>פסק דין חסן</w:t>
      </w:r>
      <w:r>
        <w:rPr>
          <w:rFonts w:hint="cs"/>
          <w:rtl/>
        </w:rPr>
        <w:t xml:space="preserve">"). לטענתו, עקרון ההלימה אינו מכוון כלל להחמרה בענישה. הכלל העולה מפסיקת בית המשפט העליון הוא כי יש לבחון כל מקרה לפי נסיבותיו וכי המלצת פרקליט המדינה מצביעה לכל היותר על נטיית ליבה של הפרקליטות להחמיר בענישה אך אין זה מסוג השיקולים שעל בית המשפט להביא בחשבון בעת מתן גזר הדין. </w:t>
      </w:r>
    </w:p>
    <w:p w14:paraId="5E0ED1A7" w14:textId="77777777" w:rsidR="00B413FB" w:rsidRDefault="00B413FB">
      <w:pPr>
        <w:spacing w:line="360" w:lineRule="auto"/>
        <w:jc w:val="both"/>
        <w:rPr>
          <w:rtl/>
        </w:rPr>
      </w:pPr>
    </w:p>
    <w:p w14:paraId="798DE734" w14:textId="77777777" w:rsidR="00B413FB" w:rsidRDefault="00C205DD">
      <w:pPr>
        <w:spacing w:line="360" w:lineRule="auto"/>
        <w:jc w:val="both"/>
        <w:rPr>
          <w:b/>
          <w:bCs/>
          <w:rtl/>
        </w:rPr>
      </w:pPr>
      <w:r>
        <w:rPr>
          <w:rFonts w:hint="cs"/>
          <w:b/>
          <w:bCs/>
          <w:rtl/>
        </w:rPr>
        <w:t xml:space="preserve">דיון והכרעה   </w:t>
      </w:r>
    </w:p>
    <w:p w14:paraId="53EBB98A" w14:textId="77777777" w:rsidR="00B413FB" w:rsidRDefault="00B413FB">
      <w:pPr>
        <w:rPr>
          <w:rtl/>
        </w:rPr>
      </w:pPr>
    </w:p>
    <w:p w14:paraId="1539C285" w14:textId="77777777" w:rsidR="00B413FB" w:rsidRDefault="00C205DD">
      <w:pPr>
        <w:spacing w:line="360" w:lineRule="auto"/>
        <w:jc w:val="both"/>
      </w:pPr>
      <w:r>
        <w:rPr>
          <w:rFonts w:hint="cs"/>
          <w:rtl/>
        </w:rPr>
        <w:lastRenderedPageBreak/>
        <w:t xml:space="preserve">במסגרת קביעת מתחם העונש ההולם וגזירת עונשו של הנאשם, על ביהמ"ש לבדוק מספר פרמטרים, כאמור </w:t>
      </w:r>
      <w:hyperlink r:id="rId24" w:history="1">
        <w:r w:rsidR="00924D0A" w:rsidRPr="00924D0A">
          <w:rPr>
            <w:color w:val="0000FF"/>
            <w:u w:val="single"/>
            <w:rtl/>
          </w:rPr>
          <w:t>בסעיף 40 ג</w:t>
        </w:r>
      </w:hyperlink>
      <w:r>
        <w:rPr>
          <w:rFonts w:hint="cs"/>
          <w:rtl/>
        </w:rPr>
        <w:t xml:space="preserve"> </w:t>
      </w:r>
      <w:r>
        <w:rPr>
          <w:rFonts w:hint="cs"/>
          <w:b/>
          <w:bCs/>
          <w:rtl/>
        </w:rPr>
        <w:t>לתיקון 113 ל</w:t>
      </w:r>
      <w:hyperlink r:id="rId25" w:history="1">
        <w:r w:rsidR="009C240E" w:rsidRPr="009C240E">
          <w:rPr>
            <w:rStyle w:val="Hyperlink"/>
            <w:b/>
            <w:bCs/>
            <w:rtl/>
          </w:rPr>
          <w:t>חוק העונשין</w:t>
        </w:r>
      </w:hyperlink>
      <w:r>
        <w:rPr>
          <w:rFonts w:hint="cs"/>
          <w:rtl/>
        </w:rPr>
        <w:t xml:space="preserve"> – התשע"ב – 2012: </w:t>
      </w:r>
    </w:p>
    <w:p w14:paraId="63E8248F" w14:textId="77777777" w:rsidR="00B413FB" w:rsidRDefault="00B413FB">
      <w:pPr>
        <w:spacing w:line="360" w:lineRule="auto"/>
        <w:jc w:val="both"/>
        <w:rPr>
          <w:rtl/>
        </w:rPr>
      </w:pPr>
    </w:p>
    <w:p w14:paraId="5BCF5D49" w14:textId="77777777" w:rsidR="00B413FB" w:rsidRDefault="00C205DD">
      <w:pPr>
        <w:spacing w:line="360" w:lineRule="auto"/>
        <w:ind w:left="567" w:right="567"/>
        <w:jc w:val="both"/>
        <w:rPr>
          <w:rtl/>
        </w:rPr>
      </w:pPr>
      <w:r>
        <w:rPr>
          <w:rFonts w:hint="cs"/>
          <w:rtl/>
        </w:rPr>
        <w:t>"</w:t>
      </w:r>
      <w:r>
        <w:rPr>
          <w:rFonts w:hint="cs"/>
          <w:b/>
          <w:bCs/>
          <w:rtl/>
        </w:rPr>
        <w:t>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 ט</w:t>
      </w:r>
      <w:r>
        <w:rPr>
          <w:rFonts w:hint="cs"/>
          <w:rtl/>
        </w:rPr>
        <w:t xml:space="preserve">."  </w:t>
      </w:r>
    </w:p>
    <w:p w14:paraId="3D3AA378" w14:textId="77777777" w:rsidR="00B413FB" w:rsidRDefault="00B413FB">
      <w:pPr>
        <w:spacing w:line="360" w:lineRule="auto"/>
        <w:ind w:right="567"/>
        <w:jc w:val="both"/>
        <w:rPr>
          <w:rtl/>
        </w:rPr>
      </w:pPr>
    </w:p>
    <w:p w14:paraId="0D9E064B" w14:textId="77777777" w:rsidR="00B413FB" w:rsidRDefault="00C205DD">
      <w:pPr>
        <w:spacing w:line="360" w:lineRule="auto"/>
        <w:jc w:val="both"/>
        <w:rPr>
          <w:rtl/>
        </w:rPr>
      </w:pPr>
      <w:r>
        <w:rPr>
          <w:rFonts w:hint="cs"/>
          <w:rtl/>
        </w:rPr>
        <w:t xml:space="preserve">הנאשם הורשע בעבירה של ניסיון לחבלה חמורה, ירי באזור מגורים ונשיאת נשק שלא כדין. נראה כי אין צורך להכביר במילים באשר לחומרה שיש לראות במעשי הנאשם אשר במקום לנסות ולהרגיע את הרוחות, בין בעצמו ובין על ידי פניה למשטרה, בחר ליטול את החוק לידיו ולפתוח בירי לכיוון המתלונן. </w:t>
      </w:r>
      <w:r>
        <w:rPr>
          <w:rtl/>
        </w:rPr>
        <w:t xml:space="preserve">יש לראות בחומרה </w:t>
      </w:r>
      <w:r>
        <w:rPr>
          <w:rFonts w:hint="cs"/>
          <w:rtl/>
        </w:rPr>
        <w:t xml:space="preserve">גם את </w:t>
      </w:r>
      <w:r>
        <w:rPr>
          <w:rtl/>
        </w:rPr>
        <w:t xml:space="preserve">החזקת </w:t>
      </w:r>
      <w:r>
        <w:rPr>
          <w:rFonts w:hint="cs"/>
          <w:rtl/>
        </w:rPr>
        <w:t>ה</w:t>
      </w:r>
      <w:r>
        <w:rPr>
          <w:rtl/>
        </w:rPr>
        <w:t>נשק ללא רישיון</w:t>
      </w:r>
      <w:r>
        <w:rPr>
          <w:rFonts w:hint="cs"/>
          <w:rtl/>
        </w:rPr>
        <w:t>.</w:t>
      </w:r>
      <w:r>
        <w:rPr>
          <w:rtl/>
        </w:rPr>
        <w:t xml:space="preserve"> לא אחת נפסק, כי ככלל, החזקת נשק, ללא ר</w:t>
      </w:r>
      <w:r>
        <w:rPr>
          <w:rFonts w:hint="cs"/>
          <w:rtl/>
        </w:rPr>
        <w:t>י</w:t>
      </w:r>
      <w:r>
        <w:rPr>
          <w:rtl/>
        </w:rPr>
        <w:t>שיון, גם על ידי מי שאין לחובתו הרשעות קודמות, מחייבת</w:t>
      </w:r>
      <w:r>
        <w:rPr>
          <w:rFonts w:hint="cs"/>
          <w:rtl/>
        </w:rPr>
        <w:t>,</w:t>
      </w:r>
      <w:r>
        <w:rPr>
          <w:rtl/>
        </w:rPr>
        <w:t xml:space="preserve"> הטלת עונש מאסר בפועל וזאת - בשל הסיכון הפוטנציאלי הטמון בהחזקת נשק שלא כדין ובשל הצורך בהרתעה (ראו, למשל, </w:t>
      </w:r>
      <w:hyperlink r:id="rId26" w:history="1">
        <w:r w:rsidR="009C240E" w:rsidRPr="009C240E">
          <w:rPr>
            <w:rStyle w:val="Hyperlink"/>
            <w:rtl/>
          </w:rPr>
          <w:t>רע"פ 2718/04</w:t>
        </w:r>
      </w:hyperlink>
      <w:r>
        <w:rPr>
          <w:rtl/>
        </w:rPr>
        <w:t xml:space="preserve"> </w:t>
      </w:r>
      <w:r>
        <w:rPr>
          <w:b/>
          <w:bCs/>
          <w:rtl/>
        </w:rPr>
        <w:t xml:space="preserve">פואד אבו דאחל נ' מדינת ישראל </w:t>
      </w:r>
      <w:r>
        <w:rPr>
          <w:rtl/>
        </w:rPr>
        <w:t xml:space="preserve">. (לא פורסם, [פורסם בנבו]  23.9.04) </w:t>
      </w:r>
      <w:hyperlink r:id="rId27" w:history="1">
        <w:r w:rsidR="009C240E" w:rsidRPr="009C240E">
          <w:rPr>
            <w:rStyle w:val="Hyperlink"/>
            <w:rtl/>
          </w:rPr>
          <w:t>ע"פ 6583/06</w:t>
        </w:r>
      </w:hyperlink>
      <w:r>
        <w:rPr>
          <w:rtl/>
        </w:rPr>
        <w:t xml:space="preserve"> </w:t>
      </w:r>
      <w:r>
        <w:rPr>
          <w:b/>
          <w:bCs/>
          <w:rtl/>
        </w:rPr>
        <w:t>אגא אדהאם נ' מדינת ישראל</w:t>
      </w:r>
      <w:r>
        <w:rPr>
          <w:rtl/>
        </w:rPr>
        <w:t xml:space="preserve">  (פורסם בנבו</w:t>
      </w:r>
      <w:r>
        <w:rPr>
          <w:rFonts w:hint="cs"/>
          <w:rtl/>
        </w:rPr>
        <w:t>,</w:t>
      </w:r>
      <w:r>
        <w:rPr>
          <w:rtl/>
        </w:rPr>
        <w:t xml:space="preserve"> 12.7.06)</w:t>
      </w:r>
      <w:r>
        <w:rPr>
          <w:rFonts w:hint="cs"/>
          <w:rtl/>
        </w:rPr>
        <w:t>. על ה</w:t>
      </w:r>
      <w:r>
        <w:rPr>
          <w:rtl/>
        </w:rPr>
        <w:t xml:space="preserve">חשיבות </w:t>
      </w:r>
      <w:r>
        <w:rPr>
          <w:rFonts w:hint="cs"/>
          <w:rtl/>
        </w:rPr>
        <w:t>שב</w:t>
      </w:r>
      <w:r>
        <w:rPr>
          <w:rtl/>
        </w:rPr>
        <w:t xml:space="preserve">מיגור התופעה של החזקת נשק מסוג זה </w:t>
      </w:r>
      <w:r>
        <w:rPr>
          <w:rFonts w:hint="cs"/>
          <w:rtl/>
        </w:rPr>
        <w:t>עמד בית המשפט ב</w:t>
      </w:r>
      <w:hyperlink r:id="rId28" w:history="1">
        <w:r w:rsidR="009C240E" w:rsidRPr="009C240E">
          <w:rPr>
            <w:rStyle w:val="Hyperlink"/>
            <w:rtl/>
          </w:rPr>
          <w:t>ע"פ 761/07</w:t>
        </w:r>
      </w:hyperlink>
      <w:r>
        <w:rPr>
          <w:rtl/>
        </w:rPr>
        <w:t xml:space="preserve"> </w:t>
      </w:r>
      <w:r>
        <w:rPr>
          <w:b/>
          <w:bCs/>
          <w:rtl/>
        </w:rPr>
        <w:t>מדינת ישראל נ' מיכאל אדרי</w:t>
      </w:r>
      <w:r>
        <w:rPr>
          <w:rtl/>
        </w:rPr>
        <w:t xml:space="preserve"> (</w:t>
      </w:r>
      <w:r>
        <w:rPr>
          <w:rFonts w:hint="cs"/>
          <w:rtl/>
        </w:rPr>
        <w:t>פורסם במאגרים</w:t>
      </w:r>
      <w:r>
        <w:rPr>
          <w:rtl/>
        </w:rPr>
        <w:t xml:space="preserve">,  22.2.07): </w:t>
      </w:r>
    </w:p>
    <w:p w14:paraId="02641A9B" w14:textId="77777777" w:rsidR="00B413FB" w:rsidRDefault="00C205DD">
      <w:pPr>
        <w:spacing w:line="360" w:lineRule="auto"/>
        <w:ind w:firstLine="720"/>
        <w:jc w:val="both"/>
        <w:rPr>
          <w:rFonts w:cs="Miriam"/>
          <w:rtl/>
        </w:rPr>
      </w:pPr>
      <w:r>
        <w:rPr>
          <w:rFonts w:cs="Miriam"/>
          <w:rtl/>
        </w:rPr>
        <w:t xml:space="preserve"> </w:t>
      </w:r>
    </w:p>
    <w:p w14:paraId="555D57FE" w14:textId="77777777" w:rsidR="00B413FB" w:rsidRDefault="00C205DD">
      <w:pPr>
        <w:spacing w:line="360" w:lineRule="auto"/>
        <w:ind w:left="567" w:right="567"/>
        <w:jc w:val="both"/>
        <w:rPr>
          <w:b/>
          <w:bCs/>
          <w:rtl/>
        </w:rPr>
      </w:pPr>
      <w:r>
        <w:rPr>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w:t>
      </w:r>
      <w:r>
        <w:rPr>
          <w:rFonts w:hint="cs"/>
          <w:b/>
          <w:bCs/>
          <w:rtl/>
        </w:rPr>
        <w:t xml:space="preserve"> </w:t>
      </w:r>
      <w:r>
        <w:rPr>
          <w:b/>
          <w:bCs/>
          <w:rtl/>
        </w:rPr>
        <w:t>לא אחת לאובדן חיי אדם, ולפגיעה בחפים מפשע שכל 'חטאם' נבע מכך שהם נקלעו בדרך מקרה לזירת הפשע. כדי לה</w:t>
      </w:r>
      <w:r>
        <w:rPr>
          <w:rFonts w:hint="cs"/>
          <w:b/>
          <w:bCs/>
          <w:rtl/>
        </w:rPr>
        <w:t>י</w:t>
      </w:r>
      <w:r>
        <w:rPr>
          <w:b/>
          <w:bCs/>
          <w:rtl/>
        </w:rPr>
        <w:t xml:space="preserve">לחם בכל אלה צריך העונש לבטא את סלידתה של החברה ודעתה הנחרצת שלא להשלים עם עבריינות בכלל, ומסוג זה בפרט". </w:t>
      </w:r>
    </w:p>
    <w:p w14:paraId="79058124" w14:textId="77777777" w:rsidR="00B413FB" w:rsidRDefault="00B413FB">
      <w:pPr>
        <w:spacing w:line="360" w:lineRule="auto"/>
        <w:ind w:right="567"/>
        <w:jc w:val="both"/>
        <w:rPr>
          <w:b/>
          <w:bCs/>
          <w:rtl/>
        </w:rPr>
      </w:pPr>
    </w:p>
    <w:p w14:paraId="63383910" w14:textId="77777777" w:rsidR="00B413FB" w:rsidRDefault="00C205DD">
      <w:pPr>
        <w:pStyle w:val="normal-p"/>
        <w:bidi/>
        <w:spacing w:line="360" w:lineRule="auto"/>
        <w:jc w:val="both"/>
        <w:rPr>
          <w:rFonts w:cs="David"/>
          <w:rtl/>
        </w:rPr>
      </w:pPr>
      <w:r>
        <w:rPr>
          <w:rFonts w:cs="David" w:hint="cs"/>
          <w:rtl/>
        </w:rPr>
        <w:t xml:space="preserve">דברים אלו נכונים שבעתיים כלפי מי </w:t>
      </w:r>
      <w:r>
        <w:rPr>
          <w:rFonts w:cs="David"/>
          <w:rtl/>
        </w:rPr>
        <w:t>שלא רק מחזיק בנשק מסוג זה, אלא אף עושה בו שימוש, כפי</w:t>
      </w:r>
      <w:r>
        <w:rPr>
          <w:rFonts w:cs="David" w:hint="cs"/>
          <w:rtl/>
        </w:rPr>
        <w:t xml:space="preserve"> שעשה</w:t>
      </w:r>
      <w:r>
        <w:rPr>
          <w:rFonts w:cs="David"/>
          <w:rtl/>
        </w:rPr>
        <w:t xml:space="preserve"> הנאשם שבפניי</w:t>
      </w:r>
      <w:r>
        <w:rPr>
          <w:rFonts w:cs="David" w:hint="cs"/>
          <w:rtl/>
        </w:rPr>
        <w:t xml:space="preserve">. הנאשם </w:t>
      </w:r>
      <w:r>
        <w:rPr>
          <w:rFonts w:cs="David"/>
          <w:rtl/>
        </w:rPr>
        <w:t xml:space="preserve"> בחר לעשות שימוש בנשק</w:t>
      </w:r>
      <w:r>
        <w:rPr>
          <w:rFonts w:cs="David" w:hint="cs"/>
          <w:rtl/>
        </w:rPr>
        <w:t xml:space="preserve"> - אקדח</w:t>
      </w:r>
      <w:r>
        <w:rPr>
          <w:rFonts w:cs="David"/>
          <w:rtl/>
        </w:rPr>
        <w:t xml:space="preserve"> שהחזיק ללא ר</w:t>
      </w:r>
      <w:r>
        <w:rPr>
          <w:rFonts w:cs="David" w:hint="cs"/>
          <w:rtl/>
        </w:rPr>
        <w:t>י</w:t>
      </w:r>
      <w:r>
        <w:rPr>
          <w:rFonts w:cs="David"/>
          <w:rtl/>
        </w:rPr>
        <w:t>שיון</w:t>
      </w:r>
      <w:r>
        <w:rPr>
          <w:rFonts w:cs="David" w:hint="cs"/>
          <w:rtl/>
        </w:rPr>
        <w:t xml:space="preserve"> -</w:t>
      </w:r>
      <w:r>
        <w:rPr>
          <w:rFonts w:cs="David"/>
          <w:rtl/>
        </w:rPr>
        <w:t xml:space="preserve"> על מנת לפתור סכסוך שהתגלע בין משפחתו ל</w:t>
      </w:r>
      <w:r>
        <w:rPr>
          <w:rFonts w:cs="David" w:hint="cs"/>
          <w:rtl/>
        </w:rPr>
        <w:t>בין משפחת המתלונן ומשפחה נוספת</w:t>
      </w:r>
      <w:r>
        <w:rPr>
          <w:rFonts w:cs="David"/>
          <w:rtl/>
        </w:rPr>
        <w:t xml:space="preserve">. </w:t>
      </w:r>
      <w:r>
        <w:rPr>
          <w:rFonts w:cs="David" w:hint="cs"/>
          <w:rtl/>
        </w:rPr>
        <w:t>בית המשפט העליון התייחס</w:t>
      </w:r>
      <w:r>
        <w:rPr>
          <w:rFonts w:cs="David"/>
          <w:rtl/>
        </w:rPr>
        <w:t xml:space="preserve"> </w:t>
      </w:r>
      <w:r>
        <w:rPr>
          <w:rFonts w:cs="David" w:hint="cs"/>
          <w:rtl/>
        </w:rPr>
        <w:t>ל</w:t>
      </w:r>
      <w:r>
        <w:rPr>
          <w:rFonts w:cs="David"/>
          <w:rtl/>
        </w:rPr>
        <w:t>תופעה של שימוש בנשק לפתרון סכסוכים ב</w:t>
      </w:r>
      <w:hyperlink r:id="rId29" w:history="1">
        <w:r w:rsidR="009C240E" w:rsidRPr="009C240E">
          <w:rPr>
            <w:rStyle w:val="Hyperlink"/>
            <w:rFonts w:cs="David"/>
            <w:rtl/>
          </w:rPr>
          <w:t>ע"פ 5753/04</w:t>
        </w:r>
      </w:hyperlink>
      <w:r>
        <w:rPr>
          <w:rFonts w:cs="David"/>
          <w:rtl/>
        </w:rPr>
        <w:t xml:space="preserve"> </w:t>
      </w:r>
      <w:r>
        <w:rPr>
          <w:rFonts w:cs="David"/>
          <w:b/>
          <w:bCs/>
          <w:rtl/>
        </w:rPr>
        <w:t>מדינת ישראל נ' ירון רייכמן</w:t>
      </w:r>
      <w:r>
        <w:rPr>
          <w:rFonts w:cs="David"/>
          <w:rtl/>
        </w:rPr>
        <w:t xml:space="preserve"> פורסם בנבו</w:t>
      </w:r>
      <w:r>
        <w:rPr>
          <w:rFonts w:cs="David" w:hint="cs"/>
          <w:rtl/>
        </w:rPr>
        <w:t>,</w:t>
      </w:r>
      <w:r>
        <w:rPr>
          <w:rFonts w:cs="David"/>
          <w:rtl/>
        </w:rPr>
        <w:t xml:space="preserve"> 7.2.05):</w:t>
      </w:r>
    </w:p>
    <w:p w14:paraId="7EF205BB" w14:textId="77777777" w:rsidR="00B413FB" w:rsidRDefault="00C205DD">
      <w:pPr>
        <w:pStyle w:val="normal-p"/>
        <w:bidi/>
        <w:spacing w:beforeAutospacing="0" w:afterAutospacing="0" w:line="360" w:lineRule="auto"/>
        <w:ind w:left="567" w:right="567"/>
        <w:jc w:val="both"/>
        <w:rPr>
          <w:rFonts w:cs="David"/>
          <w:rtl/>
        </w:rPr>
      </w:pPr>
      <w:r>
        <w:rPr>
          <w:rFonts w:cs="David"/>
          <w:b/>
          <w:bCs/>
          <w:rtl/>
        </w:rPr>
        <w:t>"תופעה נוראה זו פשתה בחברתנו, הי</w:t>
      </w:r>
      <w:r>
        <w:rPr>
          <w:rFonts w:cs="David" w:hint="cs"/>
          <w:b/>
          <w:bCs/>
          <w:rtl/>
        </w:rPr>
        <w:t>י</w:t>
      </w:r>
      <w:r>
        <w:rPr>
          <w:rFonts w:cs="David"/>
          <w:b/>
          <w:bCs/>
          <w:rtl/>
        </w:rPr>
        <w:t xml:space="preserve">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w:t>
      </w:r>
      <w:r>
        <w:rPr>
          <w:rFonts w:cs="David"/>
          <w:b/>
          <w:bCs/>
          <w:rtl/>
        </w:rPr>
        <w:lastRenderedPageBreak/>
        <w:t xml:space="preserve">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 </w:t>
      </w:r>
      <w:r>
        <w:rPr>
          <w:rFonts w:cs="David" w:hint="cs"/>
          <w:rtl/>
        </w:rPr>
        <w:t>(</w:t>
      </w:r>
      <w:r>
        <w:rPr>
          <w:rFonts w:cs="David" w:hint="cs"/>
          <w:b/>
          <w:bCs/>
          <w:rtl/>
        </w:rPr>
        <w:t>שם</w:t>
      </w:r>
      <w:r>
        <w:rPr>
          <w:rFonts w:cs="David" w:hint="cs"/>
          <w:rtl/>
        </w:rPr>
        <w:t xml:space="preserve">, עמ' 5 לפסק הדין; ראה גם </w:t>
      </w:r>
      <w:hyperlink r:id="rId30" w:history="1">
        <w:r w:rsidR="009C240E" w:rsidRPr="009C240E">
          <w:rPr>
            <w:rStyle w:val="Hyperlink"/>
            <w:rFonts w:cs="David"/>
            <w:rtl/>
          </w:rPr>
          <w:t>תפ (חי') 36897-11-09</w:t>
        </w:r>
      </w:hyperlink>
      <w:r>
        <w:rPr>
          <w:rFonts w:cs="David"/>
          <w:rtl/>
        </w:rPr>
        <w:t xml:space="preserve"> </w:t>
      </w:r>
      <w:r>
        <w:rPr>
          <w:rFonts w:cs="David"/>
          <w:b/>
          <w:bCs/>
          <w:rtl/>
        </w:rPr>
        <w:t>מדינת ישראל נ' נזאר סח</w:t>
      </w:r>
      <w:r>
        <w:rPr>
          <w:rFonts w:cs="David" w:hint="cs"/>
          <w:rtl/>
        </w:rPr>
        <w:t xml:space="preserve"> (פורסם בנבו, 9.6.2010) פסקה 8).</w:t>
      </w:r>
    </w:p>
    <w:p w14:paraId="25D2DEDB" w14:textId="77777777" w:rsidR="00B413FB" w:rsidRDefault="00B413FB">
      <w:pPr>
        <w:pStyle w:val="normal-p"/>
        <w:bidi/>
        <w:spacing w:beforeAutospacing="0" w:afterAutospacing="0" w:line="360" w:lineRule="auto"/>
        <w:ind w:right="567"/>
        <w:jc w:val="both"/>
        <w:rPr>
          <w:rFonts w:cs="David"/>
          <w:b/>
          <w:bCs/>
          <w:rtl/>
        </w:rPr>
      </w:pPr>
    </w:p>
    <w:p w14:paraId="25BC3E38" w14:textId="77777777" w:rsidR="00B413FB" w:rsidRDefault="00C205DD">
      <w:pPr>
        <w:spacing w:line="360" w:lineRule="auto"/>
        <w:jc w:val="both"/>
        <w:rPr>
          <w:rtl/>
        </w:rPr>
      </w:pPr>
      <w:r>
        <w:rPr>
          <w:rFonts w:hint="cs"/>
          <w:rtl/>
        </w:rPr>
        <w:t>עינינו</w:t>
      </w:r>
      <w:r>
        <w:rPr>
          <w:rFonts w:hint="cs"/>
        </w:rPr>
        <w:t xml:space="preserve"> </w:t>
      </w:r>
      <w:r>
        <w:rPr>
          <w:rFonts w:hint="cs"/>
          <w:rtl/>
        </w:rPr>
        <w:t>הרואות,</w:t>
      </w:r>
      <w:r>
        <w:rPr>
          <w:rFonts w:hint="cs"/>
        </w:rPr>
        <w:t xml:space="preserve"> </w:t>
      </w:r>
      <w:r>
        <w:rPr>
          <w:rFonts w:hint="cs"/>
          <w:rtl/>
        </w:rPr>
        <w:t>אפוא</w:t>
      </w:r>
      <w:r>
        <w:rPr>
          <w:rFonts w:ascii="Calibri" w:hAnsi="Calibri" w:hint="cs"/>
          <w:rtl/>
        </w:rPr>
        <w:t xml:space="preserve">, </w:t>
      </w:r>
      <w:r>
        <w:rPr>
          <w:rFonts w:hint="cs"/>
          <w:rtl/>
        </w:rPr>
        <w:t>שהפסיקה</w:t>
      </w:r>
      <w:r>
        <w:rPr>
          <w:rFonts w:hint="cs"/>
        </w:rPr>
        <w:t xml:space="preserve"> </w:t>
      </w:r>
      <w:r>
        <w:rPr>
          <w:rFonts w:hint="cs"/>
          <w:rtl/>
        </w:rPr>
        <w:t>מתייחסת</w:t>
      </w:r>
      <w:r>
        <w:rPr>
          <w:rFonts w:hint="cs"/>
        </w:rPr>
        <w:t xml:space="preserve"> </w:t>
      </w:r>
      <w:r>
        <w:rPr>
          <w:rFonts w:hint="cs"/>
          <w:rtl/>
        </w:rPr>
        <w:t>בחומרה</w:t>
      </w:r>
      <w:r>
        <w:rPr>
          <w:rFonts w:hint="cs"/>
        </w:rPr>
        <w:t xml:space="preserve"> </w:t>
      </w:r>
      <w:r>
        <w:rPr>
          <w:rFonts w:hint="cs"/>
          <w:rtl/>
        </w:rPr>
        <w:t>לעבירת</w:t>
      </w:r>
      <w:r>
        <w:rPr>
          <w:rFonts w:hint="cs"/>
        </w:rPr>
        <w:t xml:space="preserve"> </w:t>
      </w:r>
      <w:r>
        <w:rPr>
          <w:rFonts w:hint="cs"/>
          <w:rtl/>
        </w:rPr>
        <w:t>החזקת הנשק ללא רישיון ולשימוש בנשק לצורך פתרון סכסוכים בפרט.</w:t>
      </w:r>
      <w:r>
        <w:rPr>
          <w:rFonts w:hint="cs"/>
        </w:rPr>
        <w:t xml:space="preserve"> </w:t>
      </w:r>
      <w:r>
        <w:rPr>
          <w:rFonts w:hint="cs"/>
          <w:rtl/>
        </w:rPr>
        <w:t>הפסיקה</w:t>
      </w:r>
      <w:r>
        <w:rPr>
          <w:rFonts w:hint="cs"/>
        </w:rPr>
        <w:t xml:space="preserve"> </w:t>
      </w:r>
      <w:r>
        <w:rPr>
          <w:rFonts w:hint="cs"/>
          <w:rtl/>
        </w:rPr>
        <w:t>מדגישה</w:t>
      </w:r>
      <w:r>
        <w:rPr>
          <w:rFonts w:hint="cs"/>
        </w:rPr>
        <w:t xml:space="preserve"> </w:t>
      </w:r>
      <w:r>
        <w:rPr>
          <w:rFonts w:hint="cs"/>
          <w:rtl/>
        </w:rPr>
        <w:t>שעל</w:t>
      </w:r>
      <w:r>
        <w:rPr>
          <w:rFonts w:hint="cs"/>
        </w:rPr>
        <w:t xml:space="preserve"> </w:t>
      </w:r>
      <w:r>
        <w:rPr>
          <w:rFonts w:hint="cs"/>
          <w:rtl/>
        </w:rPr>
        <w:t>הענישה</w:t>
      </w:r>
      <w:r>
        <w:rPr>
          <w:rFonts w:hint="cs"/>
        </w:rPr>
        <w:t xml:space="preserve"> </w:t>
      </w:r>
      <w:r>
        <w:rPr>
          <w:rFonts w:hint="cs"/>
          <w:rtl/>
        </w:rPr>
        <w:t>בגין</w:t>
      </w:r>
      <w:r>
        <w:rPr>
          <w:rFonts w:hint="cs"/>
        </w:rPr>
        <w:t xml:space="preserve"> </w:t>
      </w:r>
      <w:r>
        <w:rPr>
          <w:rFonts w:hint="cs"/>
          <w:rtl/>
        </w:rPr>
        <w:t>עבירות אלימות</w:t>
      </w:r>
      <w:r>
        <w:rPr>
          <w:rFonts w:hint="cs"/>
        </w:rPr>
        <w:t xml:space="preserve"> </w:t>
      </w:r>
      <w:r>
        <w:rPr>
          <w:rFonts w:hint="cs"/>
          <w:rtl/>
        </w:rPr>
        <w:t>להלום</w:t>
      </w:r>
      <w:r>
        <w:rPr>
          <w:rFonts w:hint="cs"/>
        </w:rPr>
        <w:t xml:space="preserve"> </w:t>
      </w:r>
      <w:r>
        <w:rPr>
          <w:rFonts w:hint="cs"/>
          <w:rtl/>
        </w:rPr>
        <w:t>את</w:t>
      </w:r>
      <w:r>
        <w:rPr>
          <w:rFonts w:hint="cs"/>
        </w:rPr>
        <w:t xml:space="preserve"> </w:t>
      </w:r>
      <w:r>
        <w:rPr>
          <w:rFonts w:hint="cs"/>
          <w:rtl/>
        </w:rPr>
        <w:t>חומרתן</w:t>
      </w:r>
      <w:r>
        <w:rPr>
          <w:rFonts w:hint="cs"/>
        </w:rPr>
        <w:t xml:space="preserve"> </w:t>
      </w:r>
      <w:r>
        <w:rPr>
          <w:rFonts w:hint="cs"/>
          <w:rtl/>
        </w:rPr>
        <w:t>ולהקנות</w:t>
      </w:r>
      <w:r>
        <w:rPr>
          <w:rFonts w:hint="cs"/>
        </w:rPr>
        <w:t xml:space="preserve"> </w:t>
      </w:r>
      <w:r>
        <w:rPr>
          <w:rFonts w:hint="cs"/>
          <w:rtl/>
        </w:rPr>
        <w:t>ביטחון</w:t>
      </w:r>
      <w:r>
        <w:rPr>
          <w:rFonts w:hint="cs"/>
        </w:rPr>
        <w:t xml:space="preserve"> </w:t>
      </w:r>
      <w:r>
        <w:rPr>
          <w:rFonts w:hint="cs"/>
          <w:rtl/>
        </w:rPr>
        <w:t>אישי</w:t>
      </w:r>
      <w:r>
        <w:rPr>
          <w:rFonts w:hint="cs"/>
        </w:rPr>
        <w:t xml:space="preserve"> </w:t>
      </w:r>
      <w:r>
        <w:rPr>
          <w:rFonts w:hint="cs"/>
          <w:rtl/>
        </w:rPr>
        <w:t xml:space="preserve">לנפגעים. (ראה: עניין </w:t>
      </w:r>
      <w:r>
        <w:rPr>
          <w:rFonts w:hint="cs"/>
          <w:b/>
          <w:bCs/>
          <w:rtl/>
        </w:rPr>
        <w:t xml:space="preserve">חסן </w:t>
      </w:r>
      <w:r>
        <w:rPr>
          <w:rFonts w:hint="cs"/>
          <w:rtl/>
        </w:rPr>
        <w:t>לעיל, בפסקה 9).</w:t>
      </w:r>
      <w:r>
        <w:rPr>
          <w:rFonts w:hint="cs"/>
        </w:rPr>
        <w:t xml:space="preserve"> </w:t>
      </w:r>
      <w:r>
        <w:rPr>
          <w:rFonts w:hint="cs"/>
          <w:rtl/>
        </w:rPr>
        <w:t>על הענישה לתת משקל לשימור</w:t>
      </w:r>
      <w:r>
        <w:rPr>
          <w:rFonts w:hint="cs"/>
        </w:rPr>
        <w:t xml:space="preserve"> </w:t>
      </w:r>
      <w:r>
        <w:rPr>
          <w:rFonts w:hint="cs"/>
          <w:rtl/>
        </w:rPr>
        <w:t>הערך</w:t>
      </w:r>
      <w:r>
        <w:rPr>
          <w:rFonts w:hint="cs"/>
        </w:rPr>
        <w:t xml:space="preserve"> </w:t>
      </w:r>
      <w:r>
        <w:rPr>
          <w:rFonts w:hint="cs"/>
          <w:rtl/>
        </w:rPr>
        <w:t>החברתי</w:t>
      </w:r>
      <w:r>
        <w:rPr>
          <w:rFonts w:hint="cs"/>
        </w:rPr>
        <w:t xml:space="preserve"> </w:t>
      </w:r>
      <w:r>
        <w:rPr>
          <w:rFonts w:hint="cs"/>
          <w:rtl/>
        </w:rPr>
        <w:t>של</w:t>
      </w:r>
      <w:r>
        <w:rPr>
          <w:rFonts w:hint="cs"/>
        </w:rPr>
        <w:t xml:space="preserve"> </w:t>
      </w:r>
      <w:r>
        <w:rPr>
          <w:rFonts w:hint="cs"/>
          <w:rtl/>
        </w:rPr>
        <w:t>הגנה</w:t>
      </w:r>
      <w:r>
        <w:rPr>
          <w:rFonts w:hint="cs"/>
        </w:rPr>
        <w:t xml:space="preserve"> </w:t>
      </w:r>
      <w:r>
        <w:rPr>
          <w:rFonts w:hint="cs"/>
          <w:rtl/>
        </w:rPr>
        <w:t>על</w:t>
      </w:r>
      <w:r>
        <w:rPr>
          <w:rFonts w:hint="cs"/>
        </w:rPr>
        <w:t xml:space="preserve"> </w:t>
      </w:r>
      <w:r>
        <w:rPr>
          <w:rFonts w:hint="cs"/>
          <w:rtl/>
        </w:rPr>
        <w:t>חיי האדם,</w:t>
      </w:r>
      <w:r>
        <w:rPr>
          <w:rFonts w:hint="cs"/>
        </w:rPr>
        <w:t xml:space="preserve"> </w:t>
      </w:r>
      <w:r>
        <w:rPr>
          <w:rFonts w:hint="cs"/>
          <w:rtl/>
        </w:rPr>
        <w:t>על גופו,</w:t>
      </w:r>
      <w:r>
        <w:rPr>
          <w:rFonts w:hint="cs"/>
        </w:rPr>
        <w:t xml:space="preserve"> </w:t>
      </w:r>
      <w:r>
        <w:rPr>
          <w:rFonts w:hint="cs"/>
          <w:rtl/>
        </w:rPr>
        <w:t>ולשמירה על הסדר הציבורי ובטחון הציבור.</w:t>
      </w:r>
    </w:p>
    <w:p w14:paraId="41ABA8D6" w14:textId="77777777" w:rsidR="00B413FB" w:rsidRDefault="00B413FB">
      <w:pPr>
        <w:spacing w:line="360" w:lineRule="auto"/>
        <w:jc w:val="both"/>
        <w:rPr>
          <w:rtl/>
        </w:rPr>
      </w:pPr>
    </w:p>
    <w:p w14:paraId="7178DFF3" w14:textId="77777777" w:rsidR="00B413FB" w:rsidRDefault="00C205DD">
      <w:pPr>
        <w:spacing w:line="360" w:lineRule="auto"/>
        <w:jc w:val="both"/>
        <w:rPr>
          <w:rtl/>
        </w:rPr>
      </w:pPr>
      <w:r>
        <w:rPr>
          <w:rFonts w:hint="cs"/>
          <w:rtl/>
        </w:rPr>
        <w:t>עם זאת, הנני סבור, ונראה כי המאשימה סבורה כך אף היא, כי מתחם הענישה שהציגה ב"כ המאשימה (שלוש וחצי עד שבע שנות מאסר), חורג במעט ממתחם העונש הנהוג בעבירה בנסיבות אלה, אשר חומרתה פחותה בהשוואה לנסיבותיהן של עבירות אלימות וירי רבות אחרות שנידונו בבתי המשפט ופסקי הדין אליהם הפנתה ניתנו בגין עבירות בנסיבות חמורות מהעבירה בה הורשע הנאשם. ב</w:t>
      </w:r>
      <w:hyperlink r:id="rId31" w:history="1">
        <w:r w:rsidR="009C240E" w:rsidRPr="009C240E">
          <w:rPr>
            <w:rStyle w:val="Hyperlink"/>
            <w:rtl/>
          </w:rPr>
          <w:t>ע"פ 8678/12</w:t>
        </w:r>
      </w:hyperlink>
      <w:r>
        <w:rPr>
          <w:rFonts w:hint="cs"/>
          <w:rtl/>
        </w:rPr>
        <w:t xml:space="preserve"> </w:t>
      </w:r>
      <w:r>
        <w:rPr>
          <w:rFonts w:hint="cs"/>
          <w:b/>
          <w:bCs/>
          <w:rtl/>
        </w:rPr>
        <w:t>סעד נ' מדינת ישראל</w:t>
      </w:r>
      <w:r>
        <w:rPr>
          <w:rFonts w:hint="cs"/>
          <w:rtl/>
        </w:rPr>
        <w:t xml:space="preserve"> (פורסם בנבו, 29.4.13) אליו הפנתה המאשימה הורשע נאשם בגרימת חבלה בכוונה מחמירה, כלפי מתלונן שחשד בו כי הוא מפיץ שמועות נגדו, זאת לאחר שהעלה את המתלונן על רכבו, הטיח בו האשמות במהלך הנסיעה, עצר את הרכב במגרש חניה, שלף אקדח וירה שלוש יריות שפגעו ברגלו של המתלונן והותירו אותו נכה. בית המשפט העמיד את עונשו של הנאשם על 5 שנות מאסר, לאחר שעמד בין היתר על התכנון המוקדם שקדם לעבירות; המאשימה הפנתה למקרה נוסף, </w:t>
      </w:r>
      <w:hyperlink r:id="rId32" w:history="1">
        <w:r w:rsidR="009C240E" w:rsidRPr="009C240E">
          <w:rPr>
            <w:rStyle w:val="Hyperlink"/>
            <w:rtl/>
          </w:rPr>
          <w:t>ת"פ 51546-06-11</w:t>
        </w:r>
      </w:hyperlink>
      <w:r>
        <w:rPr>
          <w:rFonts w:hint="cs"/>
          <w:rtl/>
        </w:rPr>
        <w:t xml:space="preserve"> </w:t>
      </w:r>
      <w:r>
        <w:rPr>
          <w:rFonts w:hint="cs"/>
          <w:b/>
          <w:bCs/>
          <w:rtl/>
        </w:rPr>
        <w:t>מ"י נ' חאלד</w:t>
      </w:r>
      <w:r>
        <w:rPr>
          <w:rFonts w:hint="cs"/>
          <w:rtl/>
        </w:rPr>
        <w:t xml:space="preserve"> (פורסם במאגרים, 28.5.12) שם דובר בנאשם שפגש במתלונן אשר היה מסוכסך עמו. הנאשם חסם את דרכו של המתלונן עם רכבו, ומשהחל המתלונן לנוס על נפשו, רדף אחריו הנאשם כאשר אקדח שלוף בידיו יחד עם אחר הנושא נשק קר כאשר הוא יורה לעברו באקדח תוך כדי ריצה במטרה לגרום לו חבלה חמורה. אחד הכדורים פגע ברגלו של המתלונן ופצע אותו. בית המשפט המחוזי בחיפה גזר על הנאשם שמונה שנות מאסר לריצוי בפועל, תוך שהוא עומד על עובדות כתב האישום בהן הודה הנאשם אשר ייחסו לו "</w:t>
      </w:r>
      <w:r>
        <w:rPr>
          <w:rFonts w:hint="cs"/>
          <w:b/>
          <w:bCs/>
          <w:rtl/>
        </w:rPr>
        <w:t xml:space="preserve">דמות של גברתן, בריון אלים, המחזיק בנשק חם, נוסע למקום המצאו של המתלונן </w:t>
      </w:r>
      <w:r>
        <w:rPr>
          <w:rFonts w:hint="cs"/>
          <w:b/>
          <w:bCs/>
          <w:u w:val="single"/>
          <w:rtl/>
        </w:rPr>
        <w:t>יחד עם אחר הנושא עמו נשק קר</w:t>
      </w:r>
      <w:r>
        <w:rPr>
          <w:rFonts w:hint="cs"/>
          <w:b/>
          <w:bCs/>
          <w:rtl/>
        </w:rPr>
        <w:t>, ומשתמש בנשק החם בקור רוח כדי לגרום למתלונן חבלה חמורה. רק בנס לא הסתיים האירוע בקטילתו של המתלונן</w:t>
      </w:r>
      <w:r>
        <w:rPr>
          <w:rFonts w:hint="cs"/>
          <w:rtl/>
        </w:rPr>
        <w:t xml:space="preserve">" שם, עמ' 14, לפסק הדין. ההדגשות במקור). יש לציין כי ערעור על פסק הדין עומד וטרם הוכרע בבית המשפט העליון. הנסיבות המתוארות במקרים אלו, חמורות מהנסיבות המתוארות בכתב האישום בו עסקינן, כאשר עיקר חומרתן נובעת מהתנהגות בריונית אלימה המתאפיינת בתכנון מוקדם ובשימוש בנשק חם בקור רוח תוך גרימת חבלה חמורה בפועל, בעוד הנאשם בענייננו נקלע למקום לאחר שהתפתחה כבר קטטה אלימה בה </w:t>
      </w:r>
      <w:r>
        <w:rPr>
          <w:rFonts w:hint="cs"/>
          <w:rtl/>
        </w:rPr>
        <w:lastRenderedPageBreak/>
        <w:t>היה מעורב בנו. מקרה דומה למקרה זה נידון ב</w:t>
      </w:r>
      <w:hyperlink r:id="rId33" w:history="1">
        <w:r w:rsidR="009C240E" w:rsidRPr="009C240E">
          <w:rPr>
            <w:rStyle w:val="Hyperlink"/>
            <w:rtl/>
          </w:rPr>
          <w:t>ת"פ (חי') 36897-11-09</w:t>
        </w:r>
      </w:hyperlink>
      <w:r>
        <w:rPr>
          <w:rFonts w:hint="cs"/>
          <w:rtl/>
        </w:rPr>
        <w:t xml:space="preserve"> </w:t>
      </w:r>
      <w:r>
        <w:rPr>
          <w:b/>
          <w:bCs/>
          <w:rtl/>
        </w:rPr>
        <w:t>מדינת ישראל נ' נזאר סח</w:t>
      </w:r>
      <w:r>
        <w:rPr>
          <w:rFonts w:hint="cs"/>
          <w:rtl/>
        </w:rPr>
        <w:t xml:space="preserve"> (פורסם במאגרים, 9.7.2010), שם גזר בית המשפט 24 חודשי מאסר על נאשם </w:t>
      </w:r>
      <w:r>
        <w:rPr>
          <w:rtl/>
        </w:rPr>
        <w:t xml:space="preserve">שהורשע בעבירות של ניסיון לחבלה חמורה בנסיבות מחמירות, נשיאה והובלה של נשק, חבלה במזיד ברכב, </w:t>
      </w:r>
      <w:r>
        <w:rPr>
          <w:rFonts w:hint="cs"/>
          <w:rtl/>
        </w:rPr>
        <w:t>ו</w:t>
      </w:r>
      <w:r>
        <w:rPr>
          <w:rtl/>
        </w:rPr>
        <w:t>יריות באזור מגורים במסגרת סכסוך בין משפחות</w:t>
      </w:r>
      <w:r>
        <w:rPr>
          <w:rFonts w:hint="cs"/>
          <w:rtl/>
        </w:rPr>
        <w:t xml:space="preserve">; במסגרת </w:t>
      </w:r>
      <w:hyperlink r:id="rId34" w:history="1">
        <w:r w:rsidR="00924D0A" w:rsidRPr="00924D0A">
          <w:rPr>
            <w:color w:val="0000FF"/>
            <w:u w:val="single"/>
            <w:rtl/>
          </w:rPr>
          <w:t xml:space="preserve">ת"פ 9144-07-10 </w:t>
        </w:r>
      </w:hyperlink>
      <w:r>
        <w:rPr>
          <w:rFonts w:hint="cs"/>
          <w:rtl/>
        </w:rPr>
        <w:t xml:space="preserve"> </w:t>
      </w:r>
      <w:r>
        <w:rPr>
          <w:rFonts w:hint="cs"/>
          <w:b/>
          <w:bCs/>
          <w:rtl/>
        </w:rPr>
        <w:t>מדינת ישראל נ' קעדאן ואח'</w:t>
      </w:r>
      <w:r>
        <w:rPr>
          <w:rFonts w:hint="cs"/>
          <w:rtl/>
        </w:rPr>
        <w:t xml:space="preserve"> (פורסם בנבו, 29.6.11), גזר בית המשפט 23-30 חודשי מאסר על 3  נאשמים אשר הורשעו בשורה של עבירות בנשק, עבירות אלימות ועבירות של היזק לרכוש על רקע סכסוך משפחות; ב</w:t>
      </w:r>
      <w:hyperlink r:id="rId35" w:history="1">
        <w:r w:rsidR="009C240E" w:rsidRPr="009C240E">
          <w:rPr>
            <w:rStyle w:val="Hyperlink"/>
            <w:rtl/>
          </w:rPr>
          <w:t>ת"פ 5144/06</w:t>
        </w:r>
      </w:hyperlink>
      <w:r>
        <w:rPr>
          <w:rFonts w:hint="cs"/>
          <w:rtl/>
        </w:rPr>
        <w:t xml:space="preserve"> </w:t>
      </w:r>
      <w:r>
        <w:rPr>
          <w:rFonts w:hint="cs"/>
          <w:b/>
          <w:bCs/>
          <w:rtl/>
        </w:rPr>
        <w:t>מ"י נ' אסדי</w:t>
      </w:r>
      <w:r>
        <w:rPr>
          <w:rFonts w:hint="cs"/>
          <w:rtl/>
        </w:rPr>
        <w:t xml:space="preserve"> (פורסם בנבו, 11.3.2008) הורשע נאשם בניסיון לחבלה חמורה ובעבירה של ירי באזור מגורים לאחר שירה לעבר מכוניתו של מתלונן, מחצר ביתו, כאשר ברקע סכסוך משפחות. בית המשפט גזר על הנאשם 14 חודשי מאסר בפועל; במקרה אחר, נגזרו 18 חודשי מאסר בפועל על נאשם שהורשע בעבירות של חבלה בכוונה חמורה, נשיאת נשק שלא כדין וירי באזור מגורים, בנסיבות בהן נקלע הנאשם לקטטה, נסע לביתו, הצטייד באקדח, שב למקום האירוע וירה יחד עם אחרים, מספר יריות באוויר ומספר יריות לכיוון המעורבים בקטטה. כתוצאה מהירי נהרג עובר אורח אך לא הוכח מי ירה בו (ראה: </w:t>
      </w:r>
      <w:hyperlink r:id="rId36" w:history="1">
        <w:r w:rsidR="009C240E" w:rsidRPr="009C240E">
          <w:rPr>
            <w:rStyle w:val="Hyperlink"/>
            <w:rtl/>
          </w:rPr>
          <w:t>ת"פ 318/04</w:t>
        </w:r>
      </w:hyperlink>
      <w:r>
        <w:rPr>
          <w:rFonts w:hint="cs"/>
          <w:rtl/>
        </w:rPr>
        <w:t xml:space="preserve"> </w:t>
      </w:r>
      <w:r>
        <w:rPr>
          <w:rFonts w:hint="cs"/>
          <w:b/>
          <w:bCs/>
          <w:rtl/>
        </w:rPr>
        <w:t>מ"י נ' חמידאן</w:t>
      </w:r>
      <w:r>
        <w:rPr>
          <w:rFonts w:hint="cs"/>
          <w:rtl/>
        </w:rPr>
        <w:t xml:space="preserve"> (פורסם בנבו, 6.1.05)); במקרה נוסף אשר עסק בעבירות זהות - ניסיון לחבלה בכוונה מחמירה, אחזקת נשק וירי באזור מגורים ובנסיבות של סכסוך משפחות, גזר בית המשפט על נאשם בעל עבר פלילי הכולל עבירות אלימות, 42 חודשי מאסר בפועל (ראה: </w:t>
      </w:r>
      <w:hyperlink r:id="rId37" w:history="1">
        <w:r w:rsidR="009C240E" w:rsidRPr="009C240E">
          <w:rPr>
            <w:rStyle w:val="Hyperlink"/>
            <w:rtl/>
          </w:rPr>
          <w:t>ת"פ (חי') 8594-06-09</w:t>
        </w:r>
      </w:hyperlink>
      <w:r>
        <w:rPr>
          <w:rtl/>
        </w:rPr>
        <w:t xml:space="preserve"> </w:t>
      </w:r>
      <w:r>
        <w:rPr>
          <w:b/>
          <w:bCs/>
          <w:rtl/>
        </w:rPr>
        <w:t>מדינת ישראל פמ"ח נ' מוחמד מחאג'נה</w:t>
      </w:r>
      <w:r>
        <w:rPr>
          <w:rFonts w:hint="cs"/>
          <w:rtl/>
        </w:rPr>
        <w:t xml:space="preserve"> (פורסם בנבו, 6.5.10); בפרשה נוספת שנידונה לאחרונה ב</w:t>
      </w:r>
      <w:hyperlink r:id="rId38" w:history="1">
        <w:r w:rsidR="009C240E" w:rsidRPr="009C240E">
          <w:rPr>
            <w:rStyle w:val="Hyperlink"/>
            <w:rtl/>
          </w:rPr>
          <w:t>ת"פ (חי') 5007-12</w:t>
        </w:r>
      </w:hyperlink>
      <w:r>
        <w:rPr>
          <w:rFonts w:hint="cs"/>
          <w:rtl/>
        </w:rPr>
        <w:t xml:space="preserve"> </w:t>
      </w:r>
      <w:r>
        <w:rPr>
          <w:b/>
          <w:bCs/>
          <w:rtl/>
        </w:rPr>
        <w:t>מדינת ישראל נ' עלי זבידאת</w:t>
      </w:r>
      <w:r>
        <w:rPr>
          <w:rFonts w:hint="cs"/>
          <w:rtl/>
        </w:rPr>
        <w:t xml:space="preserve"> (פורסם בנבו,17.6.13), גזר בית המשפט 42 חודשי מאסר בפועל על נאשם, בעל עבר פלילי בעבירות איומים, אשר הורשע בעבירות של </w:t>
      </w:r>
      <w:r>
        <w:rPr>
          <w:rtl/>
        </w:rPr>
        <w:t xml:space="preserve">נשיאת נשק </w:t>
      </w:r>
      <w:r>
        <w:rPr>
          <w:rFonts w:hint="cs"/>
          <w:rtl/>
        </w:rPr>
        <w:t xml:space="preserve">והובלתו, </w:t>
      </w:r>
      <w:r>
        <w:rPr>
          <w:rtl/>
        </w:rPr>
        <w:t>ירי באזור מגורים</w:t>
      </w:r>
      <w:r>
        <w:rPr>
          <w:rFonts w:hint="cs"/>
          <w:rtl/>
        </w:rPr>
        <w:t xml:space="preserve">, </w:t>
      </w:r>
      <w:r>
        <w:rPr>
          <w:rtl/>
        </w:rPr>
        <w:t xml:space="preserve">איומים </w:t>
      </w:r>
      <w:r>
        <w:rPr>
          <w:rFonts w:hint="cs"/>
          <w:rtl/>
        </w:rPr>
        <w:t>וקשירת</w:t>
      </w:r>
      <w:r>
        <w:rPr>
          <w:rtl/>
        </w:rPr>
        <w:t xml:space="preserve"> קשר ל</w:t>
      </w:r>
      <w:r>
        <w:rPr>
          <w:rFonts w:hint="cs"/>
          <w:rtl/>
        </w:rPr>
        <w:t xml:space="preserve">ביצוע </w:t>
      </w:r>
      <w:r>
        <w:rPr>
          <w:rtl/>
        </w:rPr>
        <w:t>פשע</w:t>
      </w:r>
      <w:r>
        <w:rPr>
          <w:rFonts w:hint="cs"/>
          <w:rtl/>
        </w:rPr>
        <w:t>.</w:t>
      </w:r>
      <w:r>
        <w:rPr>
          <w:rtl/>
        </w:rPr>
        <w:t xml:space="preserve"> </w:t>
      </w:r>
    </w:p>
    <w:p w14:paraId="45344EAF" w14:textId="77777777" w:rsidR="00B413FB" w:rsidRDefault="00B413FB">
      <w:pPr>
        <w:spacing w:line="360" w:lineRule="auto"/>
        <w:jc w:val="both"/>
        <w:rPr>
          <w:rtl/>
        </w:rPr>
      </w:pPr>
    </w:p>
    <w:p w14:paraId="02BB6E83" w14:textId="77777777" w:rsidR="00B413FB" w:rsidRDefault="00C205DD">
      <w:pPr>
        <w:spacing w:line="360" w:lineRule="auto"/>
        <w:jc w:val="both"/>
        <w:rPr>
          <w:rtl/>
        </w:rPr>
      </w:pPr>
      <w:r>
        <w:rPr>
          <w:rFonts w:hint="cs"/>
          <w:rtl/>
        </w:rPr>
        <w:t xml:space="preserve">המאשימה, אשר הייתה מודעת לטווח הענישה הנוהג, ביקשה לקבוע מתחם עונש גבוה יותר, אשר יהלום את נסיבות ביצוע העבירה. ב"כ המאשימה הסתמכה כאמור בטיעונה על דברי השופטת ארבל בע"פ </w:t>
      </w:r>
      <w:r>
        <w:rPr>
          <w:rFonts w:hint="cs"/>
          <w:b/>
          <w:bCs/>
          <w:rtl/>
        </w:rPr>
        <w:t>חסן</w:t>
      </w:r>
      <w:r>
        <w:rPr>
          <w:rFonts w:hint="cs"/>
          <w:rtl/>
        </w:rPr>
        <w:t xml:space="preserve"> לעיל. אכן, "כאשר קיים פער בין המדיניות הנוהגת לבין המדיניות הראויה, תועדף המדיניות הראויה" (</w:t>
      </w:r>
      <w:r>
        <w:rPr>
          <w:rFonts w:hint="cs"/>
          <w:b/>
          <w:bCs/>
          <w:rtl/>
        </w:rPr>
        <w:t xml:space="preserve">הצעת </w:t>
      </w:r>
      <w:hyperlink r:id="rId39" w:history="1">
        <w:r w:rsidR="009C240E" w:rsidRPr="009C240E">
          <w:rPr>
            <w:rStyle w:val="Hyperlink"/>
            <w:b/>
            <w:bCs/>
            <w:rtl/>
          </w:rPr>
          <w:t>חוק העונשין</w:t>
        </w:r>
      </w:hyperlink>
      <w:r>
        <w:rPr>
          <w:rFonts w:hint="cs"/>
          <w:rtl/>
        </w:rPr>
        <w:t xml:space="preserve"> (תיקון מס' 92) (הבניית שיקול הדעת בענישה), התשס"ו 2006, ה"ח הממשלה 241, 447); עניין </w:t>
      </w:r>
      <w:r>
        <w:rPr>
          <w:rFonts w:hint="cs"/>
          <w:b/>
          <w:bCs/>
          <w:rtl/>
        </w:rPr>
        <w:t>חסן</w:t>
      </w:r>
      <w:r>
        <w:rPr>
          <w:rFonts w:hint="cs"/>
          <w:rtl/>
        </w:rPr>
        <w:t xml:space="preserve"> לעיל, פסקה 9). ואולם, אין בכך בכדי לסטות מעיקרון העל לפיו יבחן כל מקרה לגופו, על פי נסיבותיו הקונקרטיות המשפיעות על מידת האשם. (עניין </w:t>
      </w:r>
      <w:r>
        <w:rPr>
          <w:rFonts w:hint="cs"/>
          <w:b/>
          <w:bCs/>
          <w:rtl/>
        </w:rPr>
        <w:t>חסן</w:t>
      </w:r>
      <w:r>
        <w:rPr>
          <w:rFonts w:hint="cs"/>
          <w:rtl/>
        </w:rPr>
        <w:t xml:space="preserve"> לעיל, פסקה 9; ראה גם חגית לרנו וישי שרון, "</w:t>
      </w:r>
      <w:r>
        <w:rPr>
          <w:rFonts w:hint="cs"/>
          <w:b/>
          <w:bCs/>
          <w:rtl/>
        </w:rPr>
        <w:t>שמונה הכרעות ערכיות בחקיקת חוק הבניית שיקול הדעת השיפוטי בענישה</w:t>
      </w:r>
      <w:r>
        <w:rPr>
          <w:rFonts w:hint="cs"/>
          <w:rtl/>
        </w:rPr>
        <w:t xml:space="preserve">" הסנגור 183 14, 17 (2012) המוזכר שם). בענייננו, מדובר באדם אשר החליט לקחת את החוק לידיו, ולעשות שימוש בנשק חם בכוונה לגרום חבלה חמורה. עם זאת, על אף שהנאשם בחר במעשיו חלף פניה למשטרה או ניסיון להרגיע את הרוחות בעצמו, מדובר באדם אשר נקלע לקטטה, שבעטיה היו מצויים בני משפחתו בסכנה, ואשר בחר בדרך אלימה ושגויה לפתרון המצב.    </w:t>
      </w:r>
    </w:p>
    <w:p w14:paraId="6B8B5062" w14:textId="77777777" w:rsidR="00B413FB" w:rsidRDefault="00B413FB">
      <w:pPr>
        <w:spacing w:line="360" w:lineRule="auto"/>
        <w:jc w:val="both"/>
        <w:rPr>
          <w:rtl/>
        </w:rPr>
      </w:pPr>
    </w:p>
    <w:p w14:paraId="5A97B3AB" w14:textId="77777777" w:rsidR="00B413FB" w:rsidRDefault="00C205DD">
      <w:pPr>
        <w:spacing w:line="360" w:lineRule="auto"/>
        <w:jc w:val="both"/>
        <w:rPr>
          <w:b/>
          <w:bCs/>
          <w:rtl/>
        </w:rPr>
      </w:pPr>
      <w:r>
        <w:rPr>
          <w:rFonts w:hint="cs"/>
          <w:b/>
          <w:bCs/>
          <w:rtl/>
        </w:rPr>
        <w:t>מתחם העונש ההולם</w:t>
      </w:r>
    </w:p>
    <w:p w14:paraId="08D47F77" w14:textId="77777777" w:rsidR="00B413FB" w:rsidRDefault="00B413FB">
      <w:pPr>
        <w:spacing w:line="360" w:lineRule="auto"/>
        <w:jc w:val="both"/>
        <w:rPr>
          <w:rtl/>
        </w:rPr>
      </w:pPr>
    </w:p>
    <w:p w14:paraId="5B2AB1A0" w14:textId="77777777" w:rsidR="00B413FB" w:rsidRDefault="00C205DD">
      <w:pPr>
        <w:spacing w:line="360" w:lineRule="auto"/>
        <w:jc w:val="both"/>
        <w:rPr>
          <w:rtl/>
        </w:rPr>
      </w:pPr>
      <w:r>
        <w:rPr>
          <w:rFonts w:hint="cs"/>
          <w:rtl/>
        </w:rPr>
        <w:t xml:space="preserve">לאחר שבחנתי את מכלול </w:t>
      </w:r>
      <w:r>
        <w:rPr>
          <w:rtl/>
        </w:rPr>
        <w:t>נסיבות העניין, בהתחשב בחומרתן הרבה של העבירות שביצע הנאשם</w:t>
      </w:r>
      <w:r>
        <w:rPr>
          <w:rFonts w:hint="cs"/>
          <w:rtl/>
        </w:rPr>
        <w:t xml:space="preserve">, </w:t>
      </w:r>
      <w:r>
        <w:rPr>
          <w:rtl/>
        </w:rPr>
        <w:t xml:space="preserve">הערכים החברתיים שנפגעו ופוטנציאל הסיכון הרב הטמון בביצוע העבירות, וכן מידת הענישה הראויה והנסיבות הקשורות בביצוע העבירות כמפורט לעיל, דעתי היא כי מתחם העונש ההולם הוא בטווח של בין </w:t>
      </w:r>
      <w:r>
        <w:rPr>
          <w:rFonts w:hint="cs"/>
          <w:rtl/>
        </w:rPr>
        <w:t>30</w:t>
      </w:r>
      <w:r>
        <w:rPr>
          <w:rtl/>
        </w:rPr>
        <w:t xml:space="preserve"> חודשי מאסר ל- </w:t>
      </w:r>
      <w:r>
        <w:rPr>
          <w:rFonts w:hint="cs"/>
          <w:rtl/>
        </w:rPr>
        <w:t xml:space="preserve">5 </w:t>
      </w:r>
      <w:r>
        <w:rPr>
          <w:rtl/>
        </w:rPr>
        <w:t xml:space="preserve">שנות מאסר בפועל. </w:t>
      </w:r>
    </w:p>
    <w:p w14:paraId="0FED2636" w14:textId="77777777" w:rsidR="00B413FB" w:rsidRDefault="00B413FB">
      <w:pPr>
        <w:spacing w:line="360" w:lineRule="auto"/>
        <w:jc w:val="both"/>
        <w:rPr>
          <w:rtl/>
        </w:rPr>
      </w:pPr>
    </w:p>
    <w:p w14:paraId="17DFAC5A" w14:textId="77777777" w:rsidR="00B413FB" w:rsidRDefault="00C205DD">
      <w:pPr>
        <w:spacing w:line="360" w:lineRule="auto"/>
        <w:jc w:val="both"/>
        <w:rPr>
          <w:b/>
          <w:bCs/>
          <w:rtl/>
        </w:rPr>
      </w:pPr>
      <w:r>
        <w:rPr>
          <w:rFonts w:hint="cs"/>
          <w:b/>
          <w:bCs/>
          <w:rtl/>
        </w:rPr>
        <w:t>גזירת העונש</w:t>
      </w:r>
    </w:p>
    <w:p w14:paraId="7AE3BE27" w14:textId="77777777" w:rsidR="00B413FB" w:rsidRDefault="00B413FB">
      <w:pPr>
        <w:spacing w:line="360" w:lineRule="auto"/>
        <w:jc w:val="both"/>
        <w:rPr>
          <w:rtl/>
        </w:rPr>
      </w:pPr>
    </w:p>
    <w:p w14:paraId="0E02C69F" w14:textId="77777777" w:rsidR="00B413FB" w:rsidRDefault="00C205DD">
      <w:pPr>
        <w:spacing w:line="360" w:lineRule="auto"/>
        <w:jc w:val="both"/>
        <w:rPr>
          <w:rtl/>
        </w:rPr>
      </w:pPr>
      <w:r>
        <w:rPr>
          <w:rFonts w:hint="cs"/>
          <w:rtl/>
        </w:rPr>
        <w:t xml:space="preserve">כאמור, </w:t>
      </w:r>
      <w:r>
        <w:rPr>
          <w:rtl/>
        </w:rPr>
        <w:t xml:space="preserve">הענישה היא לעולם אינדיבידואלית, ובית המשפט ישקול גם שיקולים הנוגעים לנסיבותיו האישיות של הנאשם, גילו, עברו, לקיחת אחריות על ידו, חרטתו, שיתוף הפעולה שלו עם רשויות אכיפת החוק, מאמציו לתיקון תוצאות העבירה ולפיצוי על הנזק שנגרם בשלה, חלוף הזמן מעת ביצוע העבירה, וכן השפעת הענישה עליו ועל משפחתו, שיקומו. (ראו </w:t>
      </w:r>
      <w:hyperlink r:id="rId40" w:history="1">
        <w:r w:rsidR="009C240E" w:rsidRPr="009C240E">
          <w:rPr>
            <w:rStyle w:val="Hyperlink"/>
            <w:rtl/>
          </w:rPr>
          <w:t>ע"פ 10444/06</w:t>
        </w:r>
      </w:hyperlink>
      <w:r>
        <w:rPr>
          <w:rtl/>
        </w:rPr>
        <w:t xml:space="preserve"> </w:t>
      </w:r>
      <w:r>
        <w:rPr>
          <w:b/>
          <w:bCs/>
          <w:rtl/>
        </w:rPr>
        <w:t>עייני נ' מ"י</w:t>
      </w:r>
      <w:r>
        <w:rPr>
          <w:rtl/>
        </w:rPr>
        <w:t xml:space="preserve"> (</w:t>
      </w:r>
      <w:r>
        <w:rPr>
          <w:rFonts w:hint="cs"/>
          <w:rtl/>
        </w:rPr>
        <w:t xml:space="preserve">פורסם בנבו, </w:t>
      </w:r>
      <w:r>
        <w:rPr>
          <w:rtl/>
        </w:rPr>
        <w:t xml:space="preserve">25/4/07); וכן </w:t>
      </w:r>
      <w:hyperlink r:id="rId41" w:history="1">
        <w:r w:rsidR="00924D0A" w:rsidRPr="00924D0A">
          <w:rPr>
            <w:color w:val="0000FF"/>
            <w:u w:val="single"/>
            <w:rtl/>
          </w:rPr>
          <w:t>סעיף 40יא</w:t>
        </w:r>
      </w:hyperlink>
      <w:r>
        <w:rPr>
          <w:rtl/>
        </w:rPr>
        <w:t xml:space="preserve"> ל</w:t>
      </w:r>
      <w:hyperlink r:id="rId42" w:history="1">
        <w:r w:rsidR="009C240E" w:rsidRPr="009C240E">
          <w:rPr>
            <w:rStyle w:val="Hyperlink"/>
            <w:rtl/>
          </w:rPr>
          <w:t>חוק העונשין</w:t>
        </w:r>
      </w:hyperlink>
      <w:r>
        <w:rPr>
          <w:rtl/>
        </w:rPr>
        <w:t>).</w:t>
      </w:r>
    </w:p>
    <w:p w14:paraId="1B8A7D55" w14:textId="77777777" w:rsidR="00B413FB" w:rsidRDefault="00B413FB">
      <w:pPr>
        <w:spacing w:line="360" w:lineRule="auto"/>
        <w:jc w:val="both"/>
        <w:rPr>
          <w:rtl/>
        </w:rPr>
      </w:pPr>
    </w:p>
    <w:p w14:paraId="2AF6E8DE" w14:textId="77777777" w:rsidR="00B413FB" w:rsidRDefault="00C205DD">
      <w:pPr>
        <w:spacing w:line="360" w:lineRule="auto"/>
        <w:jc w:val="both"/>
        <w:rPr>
          <w:rtl/>
        </w:rPr>
      </w:pPr>
      <w:r>
        <w:rPr>
          <w:rtl/>
        </w:rPr>
        <w:t xml:space="preserve">לקולא אני רואה לקחת בחשבון את </w:t>
      </w:r>
      <w:r>
        <w:rPr>
          <w:rFonts w:hint="cs"/>
          <w:rtl/>
        </w:rPr>
        <w:t xml:space="preserve">מצבו המשפחתי </w:t>
      </w:r>
      <w:r>
        <w:rPr>
          <w:rtl/>
        </w:rPr>
        <w:t xml:space="preserve">של הנאשם, </w:t>
      </w:r>
      <w:r>
        <w:rPr>
          <w:rFonts w:hint="cs"/>
          <w:rtl/>
        </w:rPr>
        <w:t xml:space="preserve">נשוי </w:t>
      </w:r>
      <w:r>
        <w:rPr>
          <w:rtl/>
        </w:rPr>
        <w:t>בן</w:t>
      </w:r>
      <w:r>
        <w:rPr>
          <w:rFonts w:hint="cs"/>
          <w:rtl/>
        </w:rPr>
        <w:t xml:space="preserve"> 48 ואב לחמישה ילדים</w:t>
      </w:r>
      <w:r>
        <w:rPr>
          <w:rtl/>
        </w:rPr>
        <w:t>, את נסיבותיו האישיות כפי שפורטו על ידי קצינת המבחן ומפי סנגורו</w:t>
      </w:r>
      <w:r>
        <w:rPr>
          <w:rFonts w:hint="cs"/>
          <w:rtl/>
        </w:rPr>
        <w:t>, את עברו הפלילי הנקי ואת העובדה כי הודה במסגרת הסדר הטיעון. אינני מוצא מקום לייחס לנאשם אשם בהתמשכות ההליכים ובניהול הליך ההוכחות, שכן רק לאחר שנשמעו מספר עדים תוקן כתב האישום כך שהובהר כי לא ניתן לייחס את הפגיעה במתלונן לנאשם</w:t>
      </w:r>
      <w:r>
        <w:rPr>
          <w:rtl/>
        </w:rPr>
        <w:t xml:space="preserve">. </w:t>
      </w:r>
      <w:r>
        <w:rPr>
          <w:rFonts w:hint="cs"/>
          <w:rtl/>
        </w:rPr>
        <w:t xml:space="preserve">המדובר באדם אשר הצליח לקיים עד כה אורח חיים נורמטיבי, ואשר זו מעידתו הראשונה </w:t>
      </w:r>
      <w:r>
        <w:rPr>
          <w:rtl/>
        </w:rPr>
        <w:t>למעט עבירת הבנייה</w:t>
      </w:r>
      <w:r>
        <w:rPr>
          <w:rFonts w:hint="cs"/>
          <w:rtl/>
        </w:rPr>
        <w:t xml:space="preserve"> ללא היתר בה הורשע בשנת 1999. </w:t>
      </w:r>
    </w:p>
    <w:p w14:paraId="5D504EF5" w14:textId="77777777" w:rsidR="00B413FB" w:rsidRDefault="00C205DD">
      <w:pPr>
        <w:spacing w:line="360" w:lineRule="auto"/>
        <w:jc w:val="both"/>
        <w:rPr>
          <w:rtl/>
        </w:rPr>
      </w:pPr>
      <w:r>
        <w:rPr>
          <w:rFonts w:hint="cs"/>
          <w:rtl/>
        </w:rPr>
        <w:t xml:space="preserve"> </w:t>
      </w:r>
      <w:r>
        <w:rPr>
          <w:rtl/>
        </w:rPr>
        <w:t xml:space="preserve"> </w:t>
      </w:r>
    </w:p>
    <w:p w14:paraId="6CF203B0" w14:textId="77777777" w:rsidR="00B413FB" w:rsidRDefault="00C205DD">
      <w:pPr>
        <w:spacing w:line="360" w:lineRule="auto"/>
        <w:jc w:val="both"/>
        <w:rPr>
          <w:rtl/>
        </w:rPr>
      </w:pPr>
      <w:r>
        <w:rPr>
          <w:rFonts w:hint="cs"/>
          <w:rtl/>
        </w:rPr>
        <w:t>לא מצאתי במקרה זה מקום לגזור על הנאשם פיצוי למתלונן, הואיל ועל פי כתב האישום העומד ביסוד ההודאה וההרשעה לא נפגע המתלונן מירי מצד הנאשם.</w:t>
      </w:r>
    </w:p>
    <w:p w14:paraId="1B846C5A" w14:textId="77777777" w:rsidR="00B413FB" w:rsidRDefault="00B413FB">
      <w:pPr>
        <w:spacing w:line="360" w:lineRule="auto"/>
        <w:jc w:val="both"/>
        <w:rPr>
          <w:rtl/>
        </w:rPr>
      </w:pPr>
    </w:p>
    <w:p w14:paraId="423D8473" w14:textId="77777777" w:rsidR="00B413FB" w:rsidRDefault="00B413FB">
      <w:pPr>
        <w:spacing w:line="360" w:lineRule="auto"/>
        <w:jc w:val="both"/>
        <w:rPr>
          <w:rtl/>
        </w:rPr>
      </w:pPr>
      <w:bookmarkStart w:id="8" w:name="_GoBack"/>
      <w:bookmarkEnd w:id="8"/>
    </w:p>
    <w:p w14:paraId="4D0EFBC1" w14:textId="77777777" w:rsidR="00B413FB" w:rsidRDefault="00B413FB">
      <w:pPr>
        <w:spacing w:line="360" w:lineRule="auto"/>
        <w:jc w:val="both"/>
        <w:rPr>
          <w:rtl/>
        </w:rPr>
      </w:pPr>
    </w:p>
    <w:p w14:paraId="52DCFBFF" w14:textId="77777777" w:rsidR="00B413FB" w:rsidRDefault="00C205DD">
      <w:pPr>
        <w:spacing w:line="360" w:lineRule="auto"/>
        <w:jc w:val="both"/>
        <w:rPr>
          <w:rtl/>
        </w:rPr>
      </w:pPr>
      <w:r>
        <w:rPr>
          <w:rFonts w:hint="eastAsia"/>
          <w:rtl/>
        </w:rPr>
        <w:t>סיכומו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לאחר</w:t>
      </w:r>
      <w:r>
        <w:rPr>
          <w:rtl/>
        </w:rPr>
        <w:t xml:space="preserve"> </w:t>
      </w:r>
      <w:r>
        <w:rPr>
          <w:rFonts w:hint="eastAsia"/>
          <w:rtl/>
        </w:rPr>
        <w:t>שלקחתי</w:t>
      </w:r>
      <w:r>
        <w:rPr>
          <w:rtl/>
        </w:rPr>
        <w:t xml:space="preserve"> </w:t>
      </w:r>
      <w:r>
        <w:rPr>
          <w:rFonts w:hint="eastAsia"/>
          <w:rtl/>
        </w:rPr>
        <w:t>בחשבון</w:t>
      </w:r>
      <w:r>
        <w:rPr>
          <w:rtl/>
        </w:rPr>
        <w:t xml:space="preserve"> </w:t>
      </w:r>
      <w:r>
        <w:rPr>
          <w:rFonts w:hint="eastAsia"/>
          <w:rtl/>
        </w:rPr>
        <w:t>את</w:t>
      </w:r>
      <w:r>
        <w:rPr>
          <w:rtl/>
        </w:rPr>
        <w:t xml:space="preserve"> </w:t>
      </w:r>
      <w:r>
        <w:rPr>
          <w:rFonts w:hint="cs"/>
          <w:rtl/>
        </w:rPr>
        <w:t xml:space="preserve">מכלול </w:t>
      </w:r>
      <w:r>
        <w:rPr>
          <w:rFonts w:hint="eastAsia"/>
          <w:rtl/>
        </w:rPr>
        <w:t>הנסיבות</w:t>
      </w:r>
      <w:r>
        <w:rPr>
          <w:rtl/>
        </w:rPr>
        <w:t xml:space="preserve"> </w:t>
      </w:r>
      <w:r>
        <w:rPr>
          <w:rFonts w:hint="eastAsia"/>
          <w:rtl/>
        </w:rPr>
        <w:t>כמפורט</w:t>
      </w:r>
      <w:r>
        <w:rPr>
          <w:rtl/>
        </w:rPr>
        <w:t xml:space="preserve"> </w:t>
      </w:r>
      <w:r>
        <w:rPr>
          <w:rFonts w:hint="eastAsia"/>
          <w:rtl/>
        </w:rPr>
        <w:t>לעיל</w:t>
      </w:r>
      <w:r>
        <w:rPr>
          <w:rtl/>
        </w:rPr>
        <w:t xml:space="preserve">, </w:t>
      </w:r>
      <w:r>
        <w:rPr>
          <w:rFonts w:hint="eastAsia"/>
          <w:rtl/>
        </w:rPr>
        <w:t>הנני</w:t>
      </w:r>
      <w:r>
        <w:rPr>
          <w:rtl/>
        </w:rPr>
        <w:t xml:space="preserve"> </w:t>
      </w:r>
      <w:r>
        <w:rPr>
          <w:rFonts w:hint="eastAsia"/>
          <w:rtl/>
        </w:rPr>
        <w:t>גוזר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עונשים</w:t>
      </w:r>
      <w:r>
        <w:rPr>
          <w:rtl/>
        </w:rPr>
        <w:t xml:space="preserve"> </w:t>
      </w:r>
      <w:r>
        <w:rPr>
          <w:rFonts w:hint="eastAsia"/>
          <w:rtl/>
        </w:rPr>
        <w:t>כדלקמן</w:t>
      </w:r>
      <w:r>
        <w:rPr>
          <w:rtl/>
        </w:rPr>
        <w:t xml:space="preserve">: </w:t>
      </w:r>
    </w:p>
    <w:p w14:paraId="02BC3A29" w14:textId="77777777" w:rsidR="00B413FB" w:rsidRDefault="00B413FB">
      <w:pPr>
        <w:spacing w:line="360" w:lineRule="auto"/>
        <w:jc w:val="both"/>
        <w:rPr>
          <w:rtl/>
        </w:rPr>
      </w:pPr>
    </w:p>
    <w:p w14:paraId="0A0FE62E" w14:textId="77777777" w:rsidR="00B413FB" w:rsidRDefault="00C205DD">
      <w:pPr>
        <w:spacing w:line="360" w:lineRule="auto"/>
        <w:rPr>
          <w:b/>
          <w:bCs/>
          <w:rtl/>
        </w:rPr>
      </w:pPr>
      <w:r>
        <w:rPr>
          <w:rFonts w:hint="eastAsia"/>
          <w:b/>
          <w:bCs/>
          <w:rtl/>
        </w:rPr>
        <w:t>א</w:t>
      </w:r>
      <w:r>
        <w:rPr>
          <w:b/>
          <w:bCs/>
          <w:rtl/>
        </w:rPr>
        <w:t xml:space="preserve">. </w:t>
      </w:r>
      <w:r>
        <w:rPr>
          <w:rFonts w:hint="cs"/>
          <w:b/>
          <w:bCs/>
          <w:rtl/>
        </w:rPr>
        <w:t>30</w:t>
      </w:r>
      <w:r>
        <w:rPr>
          <w:b/>
          <w:bCs/>
          <w:rtl/>
        </w:rPr>
        <w:t xml:space="preserve"> </w:t>
      </w:r>
      <w:r>
        <w:rPr>
          <w:rFonts w:hint="eastAsia"/>
          <w:b/>
          <w:bCs/>
          <w:rtl/>
        </w:rPr>
        <w:t>חודשי</w:t>
      </w:r>
      <w:r>
        <w:rPr>
          <w:b/>
          <w:bCs/>
          <w:rtl/>
        </w:rPr>
        <w:t xml:space="preserve"> </w:t>
      </w:r>
      <w:r>
        <w:rPr>
          <w:rFonts w:hint="eastAsia"/>
          <w:b/>
          <w:bCs/>
          <w:rtl/>
        </w:rPr>
        <w:t>מאסר</w:t>
      </w:r>
      <w:r>
        <w:rPr>
          <w:b/>
          <w:bCs/>
          <w:rtl/>
        </w:rPr>
        <w:t xml:space="preserve"> </w:t>
      </w:r>
      <w:r>
        <w:rPr>
          <w:rFonts w:hint="eastAsia"/>
          <w:b/>
          <w:bCs/>
          <w:rtl/>
        </w:rPr>
        <w:t>בפועל</w:t>
      </w:r>
      <w:r>
        <w:rPr>
          <w:b/>
          <w:bCs/>
          <w:rtl/>
        </w:rPr>
        <w:t xml:space="preserve">, </w:t>
      </w:r>
      <w:r>
        <w:rPr>
          <w:rFonts w:hint="eastAsia"/>
          <w:b/>
          <w:bCs/>
          <w:rtl/>
        </w:rPr>
        <w:t>בניכוי</w:t>
      </w:r>
      <w:r>
        <w:rPr>
          <w:b/>
          <w:bCs/>
          <w:rtl/>
        </w:rPr>
        <w:t xml:space="preserve"> </w:t>
      </w:r>
      <w:r>
        <w:rPr>
          <w:rFonts w:hint="eastAsia"/>
          <w:b/>
          <w:bCs/>
          <w:rtl/>
        </w:rPr>
        <w:t>תקופת</w:t>
      </w:r>
      <w:r>
        <w:rPr>
          <w:b/>
          <w:bCs/>
          <w:rtl/>
        </w:rPr>
        <w:t xml:space="preserve"> </w:t>
      </w:r>
      <w:r>
        <w:rPr>
          <w:rFonts w:hint="eastAsia"/>
          <w:b/>
          <w:bCs/>
          <w:rtl/>
        </w:rPr>
        <w:t>מעצרו</w:t>
      </w:r>
      <w:r>
        <w:rPr>
          <w:b/>
          <w:bCs/>
          <w:rtl/>
        </w:rPr>
        <w:t xml:space="preserve"> </w:t>
      </w:r>
      <w:r>
        <w:rPr>
          <w:rFonts w:hint="eastAsia"/>
          <w:b/>
          <w:bCs/>
          <w:rtl/>
        </w:rPr>
        <w:t>בתיק</w:t>
      </w:r>
      <w:r>
        <w:rPr>
          <w:b/>
          <w:bCs/>
          <w:rtl/>
        </w:rPr>
        <w:t xml:space="preserve"> </w:t>
      </w:r>
      <w:r>
        <w:rPr>
          <w:rFonts w:hint="eastAsia"/>
          <w:b/>
          <w:bCs/>
          <w:rtl/>
        </w:rPr>
        <w:t>זה</w:t>
      </w:r>
      <w:r>
        <w:rPr>
          <w:b/>
          <w:bCs/>
          <w:rtl/>
        </w:rPr>
        <w:t xml:space="preserve">; </w:t>
      </w:r>
    </w:p>
    <w:p w14:paraId="1EFE176E" w14:textId="77777777" w:rsidR="00B413FB" w:rsidRDefault="00B413FB">
      <w:pPr>
        <w:spacing w:line="360" w:lineRule="auto"/>
        <w:rPr>
          <w:b/>
          <w:bCs/>
          <w:rtl/>
        </w:rPr>
      </w:pPr>
    </w:p>
    <w:p w14:paraId="14D5A195" w14:textId="77777777" w:rsidR="00B413FB" w:rsidRDefault="00C205DD">
      <w:pPr>
        <w:spacing w:line="360" w:lineRule="auto"/>
        <w:rPr>
          <w:rtl/>
        </w:rPr>
      </w:pPr>
      <w:r>
        <w:rPr>
          <w:rFonts w:hint="eastAsia"/>
          <w:b/>
          <w:bCs/>
          <w:rtl/>
        </w:rPr>
        <w:t>ב</w:t>
      </w:r>
      <w:r>
        <w:rPr>
          <w:b/>
          <w:bCs/>
          <w:rtl/>
        </w:rPr>
        <w:t>.</w:t>
      </w:r>
      <w:r>
        <w:rPr>
          <w:rtl/>
        </w:rPr>
        <w:t xml:space="preserve"> </w:t>
      </w:r>
      <w:r>
        <w:rPr>
          <w:rFonts w:hint="eastAsia"/>
          <w:b/>
          <w:bCs/>
          <w:rtl/>
        </w:rPr>
        <w:t>מאסר</w:t>
      </w:r>
      <w:r>
        <w:rPr>
          <w:b/>
          <w:bCs/>
          <w:rtl/>
        </w:rPr>
        <w:t xml:space="preserve"> </w:t>
      </w:r>
      <w:r>
        <w:rPr>
          <w:rFonts w:hint="eastAsia"/>
          <w:b/>
          <w:bCs/>
          <w:rtl/>
        </w:rPr>
        <w:t>על</w:t>
      </w:r>
      <w:r>
        <w:rPr>
          <w:b/>
          <w:bCs/>
          <w:rtl/>
        </w:rPr>
        <w:t xml:space="preserve"> </w:t>
      </w:r>
      <w:r>
        <w:rPr>
          <w:rFonts w:hint="eastAsia"/>
          <w:b/>
          <w:bCs/>
          <w:rtl/>
        </w:rPr>
        <w:t>תנאי</w:t>
      </w:r>
      <w:r>
        <w:rPr>
          <w:b/>
          <w:bCs/>
          <w:rtl/>
        </w:rPr>
        <w:t xml:space="preserve"> </w:t>
      </w:r>
      <w:r>
        <w:rPr>
          <w:rFonts w:hint="eastAsia"/>
          <w:b/>
          <w:bCs/>
          <w:rtl/>
        </w:rPr>
        <w:t>למשך</w:t>
      </w:r>
      <w:r>
        <w:rPr>
          <w:b/>
          <w:bCs/>
          <w:rtl/>
        </w:rPr>
        <w:t xml:space="preserve"> </w:t>
      </w:r>
      <w:r>
        <w:rPr>
          <w:rFonts w:hint="cs"/>
          <w:b/>
          <w:bCs/>
          <w:rtl/>
        </w:rPr>
        <w:t>12</w:t>
      </w:r>
      <w:r>
        <w:rPr>
          <w:b/>
          <w:bCs/>
          <w:rtl/>
        </w:rPr>
        <w:t xml:space="preserve"> </w:t>
      </w:r>
      <w:r>
        <w:rPr>
          <w:rFonts w:hint="eastAsia"/>
          <w:b/>
          <w:bCs/>
          <w:rtl/>
        </w:rPr>
        <w:t>חודשים</w:t>
      </w:r>
      <w:r>
        <w:rPr>
          <w:b/>
          <w:bCs/>
          <w:rtl/>
        </w:rPr>
        <w:t xml:space="preserve">, </w:t>
      </w:r>
      <w:r>
        <w:rPr>
          <w:rFonts w:hint="eastAsia"/>
          <w:b/>
          <w:bCs/>
          <w:rtl/>
        </w:rPr>
        <w:t>שהנאשם</w:t>
      </w:r>
      <w:r>
        <w:rPr>
          <w:b/>
          <w:bCs/>
          <w:rtl/>
        </w:rPr>
        <w:t xml:space="preserve"> </w:t>
      </w:r>
      <w:r>
        <w:rPr>
          <w:rFonts w:hint="eastAsia"/>
          <w:b/>
          <w:bCs/>
          <w:rtl/>
        </w:rPr>
        <w:t>לא</w:t>
      </w:r>
      <w:r>
        <w:rPr>
          <w:b/>
          <w:bCs/>
          <w:rtl/>
        </w:rPr>
        <w:t xml:space="preserve"> </w:t>
      </w:r>
      <w:r>
        <w:rPr>
          <w:rFonts w:hint="eastAsia"/>
          <w:b/>
          <w:bCs/>
          <w:rtl/>
        </w:rPr>
        <w:t>יישא</w:t>
      </w:r>
      <w:r>
        <w:rPr>
          <w:b/>
          <w:bCs/>
          <w:rtl/>
        </w:rPr>
        <w:t xml:space="preserve"> </w:t>
      </w:r>
      <w:r>
        <w:rPr>
          <w:rFonts w:hint="eastAsia"/>
          <w:b/>
          <w:bCs/>
          <w:rtl/>
        </w:rPr>
        <w:t>בו</w:t>
      </w:r>
      <w:r>
        <w:rPr>
          <w:b/>
          <w:bCs/>
          <w:rtl/>
        </w:rPr>
        <w:t xml:space="preserve"> </w:t>
      </w:r>
      <w:r>
        <w:rPr>
          <w:rFonts w:hint="eastAsia"/>
          <w:b/>
          <w:bCs/>
          <w:rtl/>
        </w:rPr>
        <w:t>זולת</w:t>
      </w:r>
      <w:r>
        <w:rPr>
          <w:b/>
          <w:bCs/>
          <w:rtl/>
        </w:rPr>
        <w:t xml:space="preserve"> </w:t>
      </w:r>
      <w:r>
        <w:rPr>
          <w:rFonts w:hint="eastAsia"/>
          <w:b/>
          <w:bCs/>
          <w:rtl/>
        </w:rPr>
        <w:t>אם</w:t>
      </w:r>
      <w:r>
        <w:rPr>
          <w:b/>
          <w:bCs/>
          <w:rtl/>
        </w:rPr>
        <w:t xml:space="preserve"> </w:t>
      </w:r>
      <w:r>
        <w:rPr>
          <w:rFonts w:hint="eastAsia"/>
          <w:b/>
          <w:bCs/>
          <w:rtl/>
        </w:rPr>
        <w:t>יעבור</w:t>
      </w:r>
      <w:r>
        <w:rPr>
          <w:b/>
          <w:bCs/>
          <w:rtl/>
        </w:rPr>
        <w:t xml:space="preserve"> </w:t>
      </w:r>
      <w:r>
        <w:rPr>
          <w:rFonts w:hint="eastAsia"/>
          <w:b/>
          <w:bCs/>
          <w:rtl/>
        </w:rPr>
        <w:t>בתוך</w:t>
      </w:r>
      <w:r>
        <w:rPr>
          <w:b/>
          <w:bCs/>
          <w:rtl/>
        </w:rPr>
        <w:t xml:space="preserve"> 3 </w:t>
      </w:r>
      <w:r>
        <w:rPr>
          <w:rFonts w:hint="eastAsia"/>
          <w:b/>
          <w:bCs/>
          <w:rtl/>
        </w:rPr>
        <w:t>שנים</w:t>
      </w:r>
      <w:r>
        <w:rPr>
          <w:b/>
          <w:bCs/>
          <w:rtl/>
        </w:rPr>
        <w:t xml:space="preserve"> </w:t>
      </w:r>
      <w:r>
        <w:rPr>
          <w:rFonts w:hint="eastAsia"/>
          <w:b/>
          <w:bCs/>
          <w:rtl/>
        </w:rPr>
        <w:t>מיום</w:t>
      </w:r>
      <w:r>
        <w:rPr>
          <w:b/>
          <w:bCs/>
          <w:rtl/>
        </w:rPr>
        <w:t xml:space="preserve"> </w:t>
      </w:r>
      <w:r>
        <w:rPr>
          <w:rFonts w:hint="eastAsia"/>
          <w:b/>
          <w:bCs/>
          <w:rtl/>
        </w:rPr>
        <w:t>שחרורו</w:t>
      </w:r>
      <w:r>
        <w:rPr>
          <w:b/>
          <w:bCs/>
          <w:rtl/>
        </w:rPr>
        <w:t xml:space="preserve"> </w:t>
      </w:r>
      <w:r>
        <w:rPr>
          <w:rFonts w:hint="eastAsia"/>
          <w:b/>
          <w:bCs/>
          <w:rtl/>
        </w:rPr>
        <w:t>עביר</w:t>
      </w:r>
      <w:r>
        <w:rPr>
          <w:rFonts w:hint="cs"/>
          <w:b/>
          <w:bCs/>
          <w:rtl/>
        </w:rPr>
        <w:t>ה מן העבירות</w:t>
      </w:r>
      <w:r>
        <w:rPr>
          <w:b/>
          <w:bCs/>
          <w:rtl/>
        </w:rPr>
        <w:t xml:space="preserve"> </w:t>
      </w:r>
      <w:r>
        <w:rPr>
          <w:rFonts w:hint="eastAsia"/>
          <w:b/>
          <w:bCs/>
          <w:rtl/>
        </w:rPr>
        <w:t>בה</w:t>
      </w:r>
      <w:r>
        <w:rPr>
          <w:rFonts w:hint="cs"/>
          <w:b/>
          <w:bCs/>
          <w:rtl/>
        </w:rPr>
        <w:t>ן</w:t>
      </w:r>
      <w:r>
        <w:rPr>
          <w:b/>
          <w:bCs/>
          <w:rtl/>
        </w:rPr>
        <w:t xml:space="preserve"> </w:t>
      </w:r>
      <w:r>
        <w:rPr>
          <w:rFonts w:hint="eastAsia"/>
          <w:b/>
          <w:bCs/>
          <w:rtl/>
        </w:rPr>
        <w:t>הורשע</w:t>
      </w:r>
      <w:r>
        <w:rPr>
          <w:b/>
          <w:bCs/>
          <w:rtl/>
        </w:rPr>
        <w:t xml:space="preserve"> </w:t>
      </w:r>
      <w:r>
        <w:rPr>
          <w:rFonts w:hint="eastAsia"/>
          <w:b/>
          <w:bCs/>
          <w:rtl/>
        </w:rPr>
        <w:t>בתיק</w:t>
      </w:r>
      <w:r>
        <w:rPr>
          <w:b/>
          <w:bCs/>
          <w:rtl/>
        </w:rPr>
        <w:t xml:space="preserve"> </w:t>
      </w:r>
      <w:r>
        <w:rPr>
          <w:rFonts w:hint="eastAsia"/>
          <w:b/>
          <w:bCs/>
          <w:rtl/>
        </w:rPr>
        <w:t>זה</w:t>
      </w:r>
      <w:r>
        <w:rPr>
          <w:b/>
          <w:bCs/>
          <w:rtl/>
        </w:rPr>
        <w:t xml:space="preserve"> </w:t>
      </w:r>
      <w:r>
        <w:rPr>
          <w:rFonts w:hint="eastAsia"/>
          <w:b/>
          <w:bCs/>
          <w:rtl/>
        </w:rPr>
        <w:t>או</w:t>
      </w:r>
      <w:r>
        <w:rPr>
          <w:b/>
          <w:bCs/>
          <w:rtl/>
        </w:rPr>
        <w:t xml:space="preserve"> </w:t>
      </w:r>
      <w:r>
        <w:rPr>
          <w:rFonts w:hint="eastAsia"/>
          <w:b/>
          <w:bCs/>
          <w:rtl/>
        </w:rPr>
        <w:t>עבירת</w:t>
      </w:r>
      <w:r>
        <w:rPr>
          <w:b/>
          <w:bCs/>
          <w:rtl/>
        </w:rPr>
        <w:t xml:space="preserve"> </w:t>
      </w:r>
      <w:r>
        <w:rPr>
          <w:rFonts w:hint="cs"/>
          <w:b/>
          <w:bCs/>
          <w:rtl/>
        </w:rPr>
        <w:t>נשק</w:t>
      </w:r>
      <w:r>
        <w:rPr>
          <w:b/>
          <w:bCs/>
          <w:rtl/>
        </w:rPr>
        <w:t xml:space="preserve"> </w:t>
      </w:r>
      <w:r>
        <w:rPr>
          <w:rFonts w:hint="eastAsia"/>
          <w:b/>
          <w:bCs/>
          <w:rtl/>
        </w:rPr>
        <w:t>שהעונש</w:t>
      </w:r>
      <w:r>
        <w:rPr>
          <w:b/>
          <w:bCs/>
          <w:rtl/>
        </w:rPr>
        <w:t xml:space="preserve"> </w:t>
      </w:r>
      <w:r>
        <w:rPr>
          <w:rFonts w:hint="eastAsia"/>
          <w:b/>
          <w:bCs/>
          <w:rtl/>
        </w:rPr>
        <w:t>הקבוע</w:t>
      </w:r>
      <w:r>
        <w:rPr>
          <w:b/>
          <w:bCs/>
          <w:rtl/>
        </w:rPr>
        <w:t xml:space="preserve"> </w:t>
      </w:r>
      <w:r>
        <w:rPr>
          <w:rFonts w:hint="eastAsia"/>
          <w:b/>
          <w:bCs/>
          <w:rtl/>
        </w:rPr>
        <w:t>בציד</w:t>
      </w:r>
      <w:r>
        <w:rPr>
          <w:rFonts w:hint="cs"/>
          <w:b/>
          <w:bCs/>
          <w:rtl/>
        </w:rPr>
        <w:t>ה</w:t>
      </w:r>
      <w:r>
        <w:rPr>
          <w:b/>
          <w:bCs/>
          <w:rtl/>
        </w:rPr>
        <w:t xml:space="preserve"> </w:t>
      </w:r>
      <w:r>
        <w:rPr>
          <w:rFonts w:hint="eastAsia"/>
          <w:b/>
          <w:bCs/>
          <w:rtl/>
        </w:rPr>
        <w:t>הוא</w:t>
      </w:r>
      <w:r>
        <w:rPr>
          <w:b/>
          <w:bCs/>
          <w:rtl/>
        </w:rPr>
        <w:t xml:space="preserve"> 3 </w:t>
      </w:r>
      <w:r>
        <w:rPr>
          <w:rFonts w:hint="eastAsia"/>
          <w:b/>
          <w:bCs/>
          <w:rtl/>
        </w:rPr>
        <w:lastRenderedPageBreak/>
        <w:t>שנות</w:t>
      </w:r>
      <w:r>
        <w:rPr>
          <w:b/>
          <w:bCs/>
          <w:rtl/>
        </w:rPr>
        <w:t xml:space="preserve"> </w:t>
      </w:r>
      <w:r>
        <w:rPr>
          <w:rFonts w:hint="eastAsia"/>
          <w:b/>
          <w:bCs/>
          <w:rtl/>
        </w:rPr>
        <w:t>מאסר</w:t>
      </w:r>
      <w:r>
        <w:rPr>
          <w:b/>
          <w:bCs/>
          <w:rtl/>
        </w:rPr>
        <w:t xml:space="preserve"> </w:t>
      </w:r>
      <w:r>
        <w:rPr>
          <w:rFonts w:hint="eastAsia"/>
          <w:b/>
          <w:bCs/>
          <w:rtl/>
        </w:rPr>
        <w:t>ומעלה</w:t>
      </w:r>
      <w:r>
        <w:rPr>
          <w:rFonts w:hint="cs"/>
          <w:b/>
          <w:bCs/>
          <w:rtl/>
        </w:rPr>
        <w:t xml:space="preserve"> או עבירת אלימות שהעונש הקבוע בצידה הוא 3 שנות מאסר ומעלה</w:t>
      </w:r>
      <w:r>
        <w:rPr>
          <w:b/>
          <w:bCs/>
          <w:rtl/>
        </w:rPr>
        <w:t xml:space="preserve"> </w:t>
      </w:r>
      <w:r>
        <w:rPr>
          <w:rFonts w:hint="eastAsia"/>
          <w:b/>
          <w:bCs/>
          <w:rtl/>
        </w:rPr>
        <w:t>ויורשע</w:t>
      </w:r>
      <w:r>
        <w:rPr>
          <w:b/>
          <w:bCs/>
          <w:rtl/>
        </w:rPr>
        <w:t xml:space="preserve"> </w:t>
      </w:r>
      <w:r>
        <w:rPr>
          <w:rFonts w:hint="eastAsia"/>
          <w:b/>
          <w:bCs/>
          <w:rtl/>
        </w:rPr>
        <w:t>בה</w:t>
      </w:r>
      <w:r>
        <w:rPr>
          <w:b/>
          <w:bCs/>
          <w:rtl/>
        </w:rPr>
        <w:t>.</w:t>
      </w:r>
      <w:r>
        <w:rPr>
          <w:rFonts w:hint="cs"/>
          <w:rtl/>
        </w:rPr>
        <w:t xml:space="preserve"> </w:t>
      </w:r>
    </w:p>
    <w:p w14:paraId="62A4986C" w14:textId="77777777" w:rsidR="00B413FB" w:rsidRDefault="00C205DD">
      <w:pPr>
        <w:spacing w:line="360" w:lineRule="auto"/>
        <w:jc w:val="both"/>
        <w:rPr>
          <w:rtl/>
        </w:rPr>
      </w:pPr>
      <w:r>
        <w:rPr>
          <w:rFonts w:hint="cs"/>
          <w:rtl/>
        </w:rPr>
        <w:t xml:space="preserve"> </w:t>
      </w:r>
    </w:p>
    <w:p w14:paraId="5F784DC6" w14:textId="77777777" w:rsidR="00B413FB" w:rsidRDefault="00B413FB">
      <w:pPr>
        <w:rPr>
          <w:rtl/>
        </w:rPr>
      </w:pPr>
    </w:p>
    <w:p w14:paraId="254C81B1" w14:textId="77777777" w:rsidR="00B413FB" w:rsidRDefault="00B413FB">
      <w:pPr>
        <w:rPr>
          <w:rtl/>
        </w:rPr>
      </w:pPr>
    </w:p>
    <w:p w14:paraId="03183833" w14:textId="77777777" w:rsidR="00B413FB" w:rsidRDefault="00C205DD">
      <w:pPr>
        <w:rPr>
          <w:rFonts w:cs="FrankRuehl"/>
          <w:sz w:val="28"/>
          <w:szCs w:val="28"/>
          <w:rtl/>
        </w:rPr>
      </w:pPr>
      <w:r>
        <w:rPr>
          <w:rFonts w:ascii="Arial" w:hAnsi="Arial"/>
          <w:b/>
          <w:bCs/>
          <w:rtl/>
        </w:rPr>
        <w:t xml:space="preserve">ניתן היום,  ט"ז טבת תשע"ד, 19 דצמבר 2013, בהעדר הצדדים. </w:t>
      </w:r>
    </w:p>
    <w:p w14:paraId="5330A849" w14:textId="77777777" w:rsidR="00B413FB" w:rsidRPr="00C205DD" w:rsidRDefault="00C205DD">
      <w:pPr>
        <w:rPr>
          <w:color w:val="FFFFFF"/>
          <w:sz w:val="2"/>
          <w:szCs w:val="2"/>
        </w:rPr>
      </w:pPr>
      <w:r w:rsidRPr="00C205DD">
        <w:rPr>
          <w:color w:val="FFFFFF"/>
          <w:sz w:val="2"/>
          <w:szCs w:val="2"/>
          <w:rtl/>
        </w:rPr>
        <w:t>5129371</w:t>
      </w:r>
    </w:p>
    <w:tbl>
      <w:tblPr>
        <w:tblpPr w:leftFromText="180" w:rightFromText="180" w:vertAnchor="page" w:horzAnchor="margin" w:tblpY="7411"/>
        <w:bidiVisual/>
        <w:tblW w:w="0" w:type="auto"/>
        <w:tblLook w:val="01E0" w:firstRow="1" w:lastRow="1" w:firstColumn="1" w:lastColumn="1" w:noHBand="0" w:noVBand="0"/>
      </w:tblPr>
      <w:tblGrid>
        <w:gridCol w:w="2294"/>
      </w:tblGrid>
      <w:tr w:rsidR="00B413FB" w14:paraId="1069F6ED" w14:textId="77777777">
        <w:tc>
          <w:tcPr>
            <w:tcW w:w="2294" w:type="dxa"/>
            <w:tcBorders>
              <w:bottom w:val="single" w:sz="4" w:space="0" w:color="auto"/>
            </w:tcBorders>
          </w:tcPr>
          <w:p w14:paraId="0CB4D55D" w14:textId="77777777" w:rsidR="00B413FB" w:rsidRPr="00C205DD" w:rsidRDefault="00C205DD">
            <w:pPr>
              <w:jc w:val="center"/>
              <w:rPr>
                <w:color w:val="FFFFFF"/>
                <w:sz w:val="2"/>
                <w:szCs w:val="2"/>
                <w:rtl/>
              </w:rPr>
            </w:pPr>
            <w:r w:rsidRPr="00C205DD">
              <w:rPr>
                <w:color w:val="FFFFFF"/>
                <w:sz w:val="2"/>
                <w:szCs w:val="2"/>
                <w:rtl/>
              </w:rPr>
              <w:t>54678313</w:t>
            </w:r>
          </w:p>
        </w:tc>
      </w:tr>
      <w:tr w:rsidR="00B413FB" w14:paraId="4E3EBBF1" w14:textId="77777777">
        <w:tc>
          <w:tcPr>
            <w:tcW w:w="2294" w:type="dxa"/>
            <w:tcBorders>
              <w:top w:val="single" w:sz="4" w:space="0" w:color="auto"/>
            </w:tcBorders>
          </w:tcPr>
          <w:p w14:paraId="4C32A708" w14:textId="77777777" w:rsidR="00B413FB" w:rsidRDefault="00C205DD">
            <w:pPr>
              <w:tabs>
                <w:tab w:val="center" w:pos="1039"/>
              </w:tabs>
              <w:spacing w:before="120" w:after="120"/>
              <w:rPr>
                <w:b/>
                <w:bCs/>
                <w:rtl/>
              </w:rPr>
            </w:pPr>
            <w:r>
              <w:rPr>
                <w:b/>
                <w:bCs/>
                <w:rtl/>
              </w:rPr>
              <w:tab/>
            </w:r>
            <w:r>
              <w:rPr>
                <w:rFonts w:hint="cs"/>
                <w:b/>
                <w:bCs/>
                <w:rtl/>
              </w:rPr>
              <w:t>ראובן שמיע, שופט</w:t>
            </w:r>
          </w:p>
        </w:tc>
      </w:tr>
    </w:tbl>
    <w:p w14:paraId="57BCE4D1" w14:textId="77777777" w:rsidR="00B413FB" w:rsidRDefault="00B413FB">
      <w:pPr>
        <w:rPr>
          <w:rFonts w:cs="FrankRuehl"/>
          <w:sz w:val="28"/>
          <w:szCs w:val="28"/>
          <w:rtl/>
        </w:rPr>
      </w:pPr>
    </w:p>
    <w:p w14:paraId="04A2FEB8" w14:textId="77777777" w:rsidR="00B413FB" w:rsidRPr="00A578F8" w:rsidRDefault="00A578F8">
      <w:pPr>
        <w:pStyle w:val="a3"/>
        <w:jc w:val="center"/>
        <w:rPr>
          <w:color w:val="FFFFFF"/>
          <w:sz w:val="2"/>
          <w:szCs w:val="2"/>
          <w:rtl/>
        </w:rPr>
      </w:pPr>
      <w:r w:rsidRPr="00A578F8">
        <w:rPr>
          <w:color w:val="FFFFFF"/>
          <w:sz w:val="2"/>
          <w:szCs w:val="2"/>
          <w:rtl/>
        </w:rPr>
        <w:t>5129371</w:t>
      </w:r>
    </w:p>
    <w:p w14:paraId="7C1295AF" w14:textId="77777777" w:rsidR="00C205DD" w:rsidRPr="00A578F8" w:rsidRDefault="00A578F8" w:rsidP="00C205DD">
      <w:pPr>
        <w:keepNext/>
        <w:rPr>
          <w:rFonts w:ascii="David" w:hAnsi="David"/>
          <w:color w:val="FFFFFF"/>
          <w:sz w:val="2"/>
          <w:szCs w:val="2"/>
          <w:rtl/>
        </w:rPr>
      </w:pPr>
      <w:r w:rsidRPr="00A578F8">
        <w:rPr>
          <w:rFonts w:ascii="David" w:hAnsi="David"/>
          <w:color w:val="FFFFFF"/>
          <w:sz w:val="2"/>
          <w:szCs w:val="2"/>
          <w:rtl/>
        </w:rPr>
        <w:t>54678313</w:t>
      </w:r>
    </w:p>
    <w:p w14:paraId="7005474B" w14:textId="77777777" w:rsidR="00C205DD" w:rsidRDefault="00C205DD" w:rsidP="00C205DD">
      <w:pPr>
        <w:rPr>
          <w:rtl/>
        </w:rPr>
      </w:pPr>
    </w:p>
    <w:p w14:paraId="158CF7AB" w14:textId="77777777" w:rsidR="00C205DD" w:rsidRDefault="00C205DD" w:rsidP="00C205DD">
      <w:pPr>
        <w:jc w:val="center"/>
        <w:rPr>
          <w:color w:val="0000FF"/>
          <w:u w:val="single"/>
        </w:rPr>
      </w:pPr>
      <w:r w:rsidRPr="00520869">
        <w:rPr>
          <w:color w:val="000000"/>
          <w:rtl/>
        </w:rPr>
        <w:t>בעניין עריכה ושינויים במסמכי פסיקה, חקיקה ועוד באתר נבו – הקש כאן</w:t>
      </w:r>
    </w:p>
    <w:p w14:paraId="5C06127E" w14:textId="77777777" w:rsidR="00A578F8" w:rsidRPr="00A578F8" w:rsidRDefault="00A578F8" w:rsidP="00A578F8">
      <w:pPr>
        <w:keepNext/>
        <w:rPr>
          <w:rFonts w:ascii="David" w:hAnsi="David"/>
          <w:color w:val="000000"/>
          <w:sz w:val="22"/>
          <w:szCs w:val="22"/>
          <w:rtl/>
        </w:rPr>
      </w:pPr>
    </w:p>
    <w:p w14:paraId="70004E87" w14:textId="77777777" w:rsidR="00A578F8" w:rsidRPr="00A578F8" w:rsidRDefault="00A578F8" w:rsidP="00A578F8">
      <w:pPr>
        <w:keepNext/>
        <w:rPr>
          <w:rFonts w:ascii="David" w:hAnsi="David"/>
          <w:color w:val="000000"/>
          <w:sz w:val="22"/>
          <w:szCs w:val="22"/>
          <w:rtl/>
        </w:rPr>
      </w:pPr>
      <w:r w:rsidRPr="00A578F8">
        <w:rPr>
          <w:rFonts w:ascii="David" w:hAnsi="David"/>
          <w:color w:val="000000"/>
          <w:sz w:val="22"/>
          <w:szCs w:val="22"/>
          <w:rtl/>
        </w:rPr>
        <w:t>ראובן שמיע 54678313-/</w:t>
      </w:r>
    </w:p>
    <w:p w14:paraId="56D17A51" w14:textId="77777777" w:rsidR="00B413FB" w:rsidRPr="00C205DD" w:rsidRDefault="00A578F8" w:rsidP="00A578F8">
      <w:pPr>
        <w:rPr>
          <w:color w:val="0000FF"/>
          <w:u w:val="single"/>
        </w:rPr>
      </w:pPr>
      <w:r w:rsidRPr="00A578F8">
        <w:rPr>
          <w:color w:val="000000"/>
          <w:u w:val="single"/>
          <w:rtl/>
        </w:rPr>
        <w:t>נוסח מסמך זה כפוף לשינויי ניסוח ועריכה</w:t>
      </w:r>
    </w:p>
    <w:sectPr w:rsidR="00B413FB" w:rsidRPr="00C205DD" w:rsidSect="00A578F8">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8C741" w14:textId="77777777" w:rsidR="00E27662" w:rsidRPr="00631147" w:rsidRDefault="00E27662">
      <w:pPr>
        <w:rPr>
          <w:rFonts w:cs="Arial"/>
          <w:szCs w:val="20"/>
        </w:rPr>
      </w:pPr>
      <w:r>
        <w:separator/>
      </w:r>
    </w:p>
  </w:endnote>
  <w:endnote w:type="continuationSeparator" w:id="0">
    <w:p w14:paraId="1EEC32DC" w14:textId="77777777" w:rsidR="00E27662" w:rsidRPr="00631147" w:rsidRDefault="00E2766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134EC" w14:textId="77777777" w:rsidR="007830BD" w:rsidRDefault="007830BD" w:rsidP="00A578F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B80D42" w14:textId="77777777" w:rsidR="007830BD" w:rsidRPr="00A578F8" w:rsidRDefault="007830BD" w:rsidP="00A578F8">
    <w:pPr>
      <w:pStyle w:val="a4"/>
      <w:pBdr>
        <w:top w:val="single" w:sz="4" w:space="1" w:color="auto"/>
        <w:between w:val="single" w:sz="4" w:space="0" w:color="auto"/>
      </w:pBdr>
      <w:spacing w:after="60"/>
      <w:jc w:val="center"/>
      <w:rPr>
        <w:rFonts w:ascii="FrankRuehl" w:hAnsi="FrankRuehl" w:cs="FrankRuehl"/>
        <w:color w:val="000000"/>
      </w:rPr>
    </w:pPr>
    <w:r w:rsidRPr="00A578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1B941" w14:textId="77777777" w:rsidR="007830BD" w:rsidRDefault="007830BD" w:rsidP="00A578F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23B5">
      <w:rPr>
        <w:rFonts w:ascii="FrankRuehl" w:hAnsi="FrankRuehl" w:cs="FrankRuehl"/>
        <w:noProof/>
        <w:rtl/>
      </w:rPr>
      <w:t>1</w:t>
    </w:r>
    <w:r>
      <w:rPr>
        <w:rFonts w:ascii="FrankRuehl" w:hAnsi="FrankRuehl" w:cs="FrankRuehl"/>
        <w:rtl/>
      </w:rPr>
      <w:fldChar w:fldCharType="end"/>
    </w:r>
  </w:p>
  <w:p w14:paraId="028CA69F" w14:textId="77777777" w:rsidR="007830BD" w:rsidRPr="00A578F8" w:rsidRDefault="007830BD" w:rsidP="00A578F8">
    <w:pPr>
      <w:pStyle w:val="a4"/>
      <w:pBdr>
        <w:top w:val="single" w:sz="4" w:space="1" w:color="auto"/>
        <w:between w:val="single" w:sz="4" w:space="0" w:color="auto"/>
      </w:pBdr>
      <w:spacing w:after="60"/>
      <w:jc w:val="center"/>
      <w:rPr>
        <w:rFonts w:ascii="FrankRuehl" w:hAnsi="FrankRuehl" w:cs="FrankRuehl"/>
        <w:color w:val="000000"/>
      </w:rPr>
    </w:pPr>
    <w:r w:rsidRPr="00A578F8">
      <w:rPr>
        <w:rFonts w:ascii="FrankRuehl" w:hAnsi="FrankRuehl" w:cs="FrankRuehl"/>
        <w:color w:val="000000"/>
      </w:rPr>
      <w:pict w14:anchorId="132AB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467AC" w14:textId="77777777" w:rsidR="00E27662" w:rsidRPr="00631147" w:rsidRDefault="00E27662">
      <w:pPr>
        <w:rPr>
          <w:rFonts w:cs="Arial"/>
          <w:szCs w:val="20"/>
        </w:rPr>
      </w:pPr>
      <w:r>
        <w:separator/>
      </w:r>
    </w:p>
  </w:footnote>
  <w:footnote w:type="continuationSeparator" w:id="0">
    <w:p w14:paraId="19471D6D" w14:textId="77777777" w:rsidR="00E27662" w:rsidRPr="00631147" w:rsidRDefault="00E2766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80FF5" w14:textId="77777777" w:rsidR="007830BD" w:rsidRPr="00A578F8" w:rsidRDefault="007830BD" w:rsidP="00A578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1578-04-13</w:t>
    </w:r>
    <w:r>
      <w:rPr>
        <w:rFonts w:ascii="David" w:hAnsi="David"/>
        <w:color w:val="000000"/>
        <w:sz w:val="22"/>
        <w:szCs w:val="22"/>
        <w:rtl/>
      </w:rPr>
      <w:tab/>
      <w:t xml:space="preserve"> מדינת ישראל נ' נאצר סרחאן עווידה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E990B" w14:textId="77777777" w:rsidR="007830BD" w:rsidRPr="00A578F8" w:rsidRDefault="007830BD" w:rsidP="00A578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1578-04-13</w:t>
    </w:r>
    <w:r>
      <w:rPr>
        <w:rFonts w:ascii="David" w:hAnsi="David"/>
        <w:color w:val="000000"/>
        <w:sz w:val="22"/>
        <w:szCs w:val="22"/>
        <w:rtl/>
      </w:rPr>
      <w:tab/>
      <w:t xml:space="preserve"> מדינת ישראל נ' נאצר סרחאן עווידה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13FB"/>
    <w:rsid w:val="000162D9"/>
    <w:rsid w:val="00020580"/>
    <w:rsid w:val="001C5519"/>
    <w:rsid w:val="001D0099"/>
    <w:rsid w:val="00520869"/>
    <w:rsid w:val="005A788D"/>
    <w:rsid w:val="00620B3E"/>
    <w:rsid w:val="007830BD"/>
    <w:rsid w:val="007B23B5"/>
    <w:rsid w:val="007C62ED"/>
    <w:rsid w:val="007C75F7"/>
    <w:rsid w:val="007D01F1"/>
    <w:rsid w:val="00890D74"/>
    <w:rsid w:val="00924D0A"/>
    <w:rsid w:val="009C240E"/>
    <w:rsid w:val="009F1CA8"/>
    <w:rsid w:val="00A578F8"/>
    <w:rsid w:val="00B413FB"/>
    <w:rsid w:val="00BF1975"/>
    <w:rsid w:val="00C205DD"/>
    <w:rsid w:val="00D27FEB"/>
    <w:rsid w:val="00D51186"/>
    <w:rsid w:val="00E276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4BB35B"/>
  <w15:chartTrackingRefBased/>
  <w15:docId w15:val="{D528F016-9478-4FF0-85F8-BAC345C0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13F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413FB"/>
    <w:pPr>
      <w:tabs>
        <w:tab w:val="center" w:pos="4153"/>
        <w:tab w:val="right" w:pos="8306"/>
      </w:tabs>
    </w:pPr>
  </w:style>
  <w:style w:type="paragraph" w:styleId="a4">
    <w:name w:val="footer"/>
    <w:basedOn w:val="a"/>
    <w:rsid w:val="00B413FB"/>
    <w:pPr>
      <w:tabs>
        <w:tab w:val="center" w:pos="4153"/>
        <w:tab w:val="right" w:pos="8306"/>
      </w:tabs>
    </w:pPr>
  </w:style>
  <w:style w:type="character" w:styleId="a5">
    <w:name w:val="page number"/>
    <w:basedOn w:val="a0"/>
    <w:rsid w:val="00B413FB"/>
  </w:style>
  <w:style w:type="paragraph" w:customStyle="1" w:styleId="normal-p">
    <w:name w:val="normal-p"/>
    <w:basedOn w:val="a"/>
    <w:rsid w:val="00B413FB"/>
    <w:pPr>
      <w:bidi w:val="0"/>
      <w:spacing w:before="100" w:beforeAutospacing="1" w:after="100" w:afterAutospacing="1"/>
    </w:pPr>
    <w:rPr>
      <w:rFonts w:cs="Times New Roman"/>
    </w:rPr>
  </w:style>
  <w:style w:type="character" w:styleId="Hyperlink">
    <w:name w:val="Hyperlink"/>
    <w:basedOn w:val="a0"/>
    <w:rsid w:val="00C205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585240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40a" TargetMode="External"/><Relationship Id="rId34" Type="http://schemas.openxmlformats.org/officeDocument/2006/relationships/hyperlink" Target="http://www.nevo.co.il/case/4321353" TargetMode="External"/><Relationship Id="rId42" Type="http://schemas.openxmlformats.org/officeDocument/2006/relationships/hyperlink" Target="http://www.nevo.co.il/law/70301" TargetMode="External"/><Relationship Id="rId47" Type="http://schemas.openxmlformats.org/officeDocument/2006/relationships/fontTable" Target="fontTable.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335.a.1" TargetMode="External"/><Relationship Id="rId29" Type="http://schemas.openxmlformats.org/officeDocument/2006/relationships/hyperlink" Target="http://www.nevo.co.il/case/603066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5.a.1" TargetMode="External"/><Relationship Id="rId24" Type="http://schemas.openxmlformats.org/officeDocument/2006/relationships/hyperlink" Target="http://www.nevo.co.il/law/70301/40c" TargetMode="External"/><Relationship Id="rId32" Type="http://schemas.openxmlformats.org/officeDocument/2006/relationships/hyperlink" Target="http://www.nevo.co.il/case/5071995" TargetMode="External"/><Relationship Id="rId37" Type="http://schemas.openxmlformats.org/officeDocument/2006/relationships/hyperlink" Target="http://www.nevo.co.il/case/5152094" TargetMode="External"/><Relationship Id="rId40" Type="http://schemas.openxmlformats.org/officeDocument/2006/relationships/hyperlink" Target="http://www.nevo.co.il/case/6170256"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33"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5724364" TargetMode="External"/><Relationship Id="rId36" Type="http://schemas.openxmlformats.org/officeDocument/2006/relationships/hyperlink" Target="http://www.nevo.co.il/case/333529" TargetMode="External"/><Relationship Id="rId10" Type="http://schemas.openxmlformats.org/officeDocument/2006/relationships/hyperlink" Target="http://www.nevo.co.il/law/70301/333"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573418"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5071995" TargetMode="External"/><Relationship Id="rId27" Type="http://schemas.openxmlformats.org/officeDocument/2006/relationships/hyperlink" Target="http://www.nevo.co.il/case/6072945" TargetMode="External"/><Relationship Id="rId30" Type="http://schemas.openxmlformats.org/officeDocument/2006/relationships/hyperlink" Target="http://www.nevo.co.il/case/4956663" TargetMode="External"/><Relationship Id="rId35" Type="http://schemas.openxmlformats.org/officeDocument/2006/relationships/hyperlink" Target="http://www.nevo.co.il/case/50820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c" TargetMode="External"/><Relationship Id="rId3" Type="http://schemas.openxmlformats.org/officeDocument/2006/relationships/webSettings" Target="webSettings.xml"/><Relationship Id="rId12" Type="http://schemas.openxmlformats.org/officeDocument/2006/relationships/hyperlink" Target="http://www.nevo.co.il/law/70301/335.a.2" TargetMode="External"/><Relationship Id="rId17" Type="http://schemas.openxmlformats.org/officeDocument/2006/relationships/hyperlink" Target="http://www.nevo.co.il/law/70301/335.a.2"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4956663" TargetMode="External"/><Relationship Id="rId38" Type="http://schemas.openxmlformats.org/officeDocument/2006/relationships/hyperlink" Target="http://www.nevo.co.il/case/4284958" TargetMode="External"/><Relationship Id="rId46" Type="http://schemas.openxmlformats.org/officeDocument/2006/relationships/footer" Target="footer2.xml"/><Relationship Id="rId20" Type="http://schemas.openxmlformats.org/officeDocument/2006/relationships/hyperlink" Target="http://www.nevo.co.il/law/70301/144.b" TargetMode="External"/><Relationship Id="rId41"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2815</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16860</CharactersWithSpaces>
  <SharedDoc>false</SharedDoc>
  <HLinks>
    <vt:vector size="222" baseType="variant">
      <vt:variant>
        <vt:i4>7995492</vt:i4>
      </vt:variant>
      <vt:variant>
        <vt:i4>108</vt:i4>
      </vt:variant>
      <vt:variant>
        <vt:i4>0</vt:i4>
      </vt:variant>
      <vt:variant>
        <vt:i4>5</vt:i4>
      </vt:variant>
      <vt:variant>
        <vt:lpwstr>http://www.nevo.co.il/law/70301</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3473520</vt:i4>
      </vt:variant>
      <vt:variant>
        <vt:i4>102</vt:i4>
      </vt:variant>
      <vt:variant>
        <vt:i4>0</vt:i4>
      </vt:variant>
      <vt:variant>
        <vt:i4>5</vt:i4>
      </vt:variant>
      <vt:variant>
        <vt:lpwstr>http://www.nevo.co.il/case/6170256</vt:lpwstr>
      </vt:variant>
      <vt:variant>
        <vt:lpwstr/>
      </vt:variant>
      <vt:variant>
        <vt:i4>7995492</vt:i4>
      </vt:variant>
      <vt:variant>
        <vt:i4>99</vt:i4>
      </vt:variant>
      <vt:variant>
        <vt:i4>0</vt:i4>
      </vt:variant>
      <vt:variant>
        <vt:i4>5</vt:i4>
      </vt:variant>
      <vt:variant>
        <vt:lpwstr>http://www.nevo.co.il/law/70301</vt:lpwstr>
      </vt:variant>
      <vt:variant>
        <vt:lpwstr/>
      </vt:variant>
      <vt:variant>
        <vt:i4>3997815</vt:i4>
      </vt:variant>
      <vt:variant>
        <vt:i4>96</vt:i4>
      </vt:variant>
      <vt:variant>
        <vt:i4>0</vt:i4>
      </vt:variant>
      <vt:variant>
        <vt:i4>5</vt:i4>
      </vt:variant>
      <vt:variant>
        <vt:lpwstr>http://www.nevo.co.il/case/4284958</vt:lpwstr>
      </vt:variant>
      <vt:variant>
        <vt:lpwstr/>
      </vt:variant>
      <vt:variant>
        <vt:i4>3407998</vt:i4>
      </vt:variant>
      <vt:variant>
        <vt:i4>93</vt:i4>
      </vt:variant>
      <vt:variant>
        <vt:i4>0</vt:i4>
      </vt:variant>
      <vt:variant>
        <vt:i4>5</vt:i4>
      </vt:variant>
      <vt:variant>
        <vt:lpwstr>http://www.nevo.co.il/case/5152094</vt:lpwstr>
      </vt:variant>
      <vt:variant>
        <vt:lpwstr/>
      </vt:variant>
      <vt:variant>
        <vt:i4>131138</vt:i4>
      </vt:variant>
      <vt:variant>
        <vt:i4>90</vt:i4>
      </vt:variant>
      <vt:variant>
        <vt:i4>0</vt:i4>
      </vt:variant>
      <vt:variant>
        <vt:i4>5</vt:i4>
      </vt:variant>
      <vt:variant>
        <vt:lpwstr>http://www.nevo.co.il/case/333529</vt:lpwstr>
      </vt:variant>
      <vt:variant>
        <vt:lpwstr/>
      </vt:variant>
      <vt:variant>
        <vt:i4>852038</vt:i4>
      </vt:variant>
      <vt:variant>
        <vt:i4>87</vt:i4>
      </vt:variant>
      <vt:variant>
        <vt:i4>0</vt:i4>
      </vt:variant>
      <vt:variant>
        <vt:i4>5</vt:i4>
      </vt:variant>
      <vt:variant>
        <vt:lpwstr>http://www.nevo.co.il/case/508204</vt:lpwstr>
      </vt:variant>
      <vt:variant>
        <vt:lpwstr/>
      </vt:variant>
      <vt:variant>
        <vt:i4>3539059</vt:i4>
      </vt:variant>
      <vt:variant>
        <vt:i4>84</vt:i4>
      </vt:variant>
      <vt:variant>
        <vt:i4>0</vt:i4>
      </vt:variant>
      <vt:variant>
        <vt:i4>5</vt:i4>
      </vt:variant>
      <vt:variant>
        <vt:lpwstr>http://www.nevo.co.il/case/4321353</vt:lpwstr>
      </vt:variant>
      <vt:variant>
        <vt:lpwstr/>
      </vt:variant>
      <vt:variant>
        <vt:i4>3407997</vt:i4>
      </vt:variant>
      <vt:variant>
        <vt:i4>81</vt:i4>
      </vt:variant>
      <vt:variant>
        <vt:i4>0</vt:i4>
      </vt:variant>
      <vt:variant>
        <vt:i4>5</vt:i4>
      </vt:variant>
      <vt:variant>
        <vt:lpwstr>http://www.nevo.co.il/case/4956663</vt:lpwstr>
      </vt:variant>
      <vt:variant>
        <vt:lpwstr/>
      </vt:variant>
      <vt:variant>
        <vt:i4>4063356</vt:i4>
      </vt:variant>
      <vt:variant>
        <vt:i4>78</vt:i4>
      </vt:variant>
      <vt:variant>
        <vt:i4>0</vt:i4>
      </vt:variant>
      <vt:variant>
        <vt:i4>5</vt:i4>
      </vt:variant>
      <vt:variant>
        <vt:lpwstr>http://www.nevo.co.il/case/5071995</vt:lpwstr>
      </vt:variant>
      <vt:variant>
        <vt:lpwstr/>
      </vt:variant>
      <vt:variant>
        <vt:i4>4063347</vt:i4>
      </vt:variant>
      <vt:variant>
        <vt:i4>75</vt:i4>
      </vt:variant>
      <vt:variant>
        <vt:i4>0</vt:i4>
      </vt:variant>
      <vt:variant>
        <vt:i4>5</vt:i4>
      </vt:variant>
      <vt:variant>
        <vt:lpwstr>http://www.nevo.co.il/case/5573418</vt:lpwstr>
      </vt:variant>
      <vt:variant>
        <vt:lpwstr/>
      </vt:variant>
      <vt:variant>
        <vt:i4>3407997</vt:i4>
      </vt:variant>
      <vt:variant>
        <vt:i4>72</vt:i4>
      </vt:variant>
      <vt:variant>
        <vt:i4>0</vt:i4>
      </vt:variant>
      <vt:variant>
        <vt:i4>5</vt:i4>
      </vt:variant>
      <vt:variant>
        <vt:lpwstr>http://www.nevo.co.il/case/4956663</vt:lpwstr>
      </vt:variant>
      <vt:variant>
        <vt:lpwstr/>
      </vt:variant>
      <vt:variant>
        <vt:i4>3407986</vt:i4>
      </vt:variant>
      <vt:variant>
        <vt:i4>69</vt:i4>
      </vt:variant>
      <vt:variant>
        <vt:i4>0</vt:i4>
      </vt:variant>
      <vt:variant>
        <vt:i4>5</vt:i4>
      </vt:variant>
      <vt:variant>
        <vt:lpwstr>http://www.nevo.co.il/case/6030667</vt:lpwstr>
      </vt:variant>
      <vt:variant>
        <vt:lpwstr/>
      </vt:variant>
      <vt:variant>
        <vt:i4>3145841</vt:i4>
      </vt:variant>
      <vt:variant>
        <vt:i4>66</vt:i4>
      </vt:variant>
      <vt:variant>
        <vt:i4>0</vt:i4>
      </vt:variant>
      <vt:variant>
        <vt:i4>5</vt:i4>
      </vt:variant>
      <vt:variant>
        <vt:lpwstr>http://www.nevo.co.il/case/5724364</vt:lpwstr>
      </vt:variant>
      <vt:variant>
        <vt:lpwstr/>
      </vt:variant>
      <vt:variant>
        <vt:i4>3997810</vt:i4>
      </vt:variant>
      <vt:variant>
        <vt:i4>63</vt:i4>
      </vt:variant>
      <vt:variant>
        <vt:i4>0</vt:i4>
      </vt:variant>
      <vt:variant>
        <vt:i4>5</vt:i4>
      </vt:variant>
      <vt:variant>
        <vt:lpwstr>http://www.nevo.co.il/case/6072945</vt:lpwstr>
      </vt:variant>
      <vt:variant>
        <vt:lpwstr/>
      </vt:variant>
      <vt:variant>
        <vt:i4>3145854</vt:i4>
      </vt:variant>
      <vt:variant>
        <vt:i4>60</vt:i4>
      </vt:variant>
      <vt:variant>
        <vt:i4>0</vt:i4>
      </vt:variant>
      <vt:variant>
        <vt:i4>5</vt:i4>
      </vt:variant>
      <vt:variant>
        <vt:lpwstr>http://www.nevo.co.il/case/5852404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4063356</vt:i4>
      </vt:variant>
      <vt:variant>
        <vt:i4>48</vt:i4>
      </vt:variant>
      <vt:variant>
        <vt:i4>0</vt:i4>
      </vt:variant>
      <vt:variant>
        <vt:i4>5</vt:i4>
      </vt:variant>
      <vt:variant>
        <vt:lpwstr>http://www.nevo.co.il/case/5071995</vt:lpwstr>
      </vt:variant>
      <vt:variant>
        <vt:lpwstr/>
      </vt:variant>
      <vt:variant>
        <vt:i4>86</vt:i4>
      </vt:variant>
      <vt:variant>
        <vt:i4>45</vt:i4>
      </vt:variant>
      <vt:variant>
        <vt:i4>0</vt:i4>
      </vt:variant>
      <vt:variant>
        <vt:i4>5</vt:i4>
      </vt:variant>
      <vt:variant>
        <vt:lpwstr>http://www.nevo.co.il/law/70301/340a</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6684722</vt:i4>
      </vt:variant>
      <vt:variant>
        <vt:i4>33</vt:i4>
      </vt:variant>
      <vt:variant>
        <vt:i4>0</vt:i4>
      </vt:variant>
      <vt:variant>
        <vt:i4>5</vt:i4>
      </vt:variant>
      <vt:variant>
        <vt:lpwstr>http://www.nevo.co.il/law/70301/335.a.2</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86</vt:i4>
      </vt:variant>
      <vt:variant>
        <vt:i4>21</vt:i4>
      </vt:variant>
      <vt:variant>
        <vt:i4>0</vt:i4>
      </vt:variant>
      <vt:variant>
        <vt:i4>5</vt:i4>
      </vt:variant>
      <vt:variant>
        <vt:lpwstr>http://www.nevo.co.il/law/70301/340a</vt:lpwstr>
      </vt:variant>
      <vt:variant>
        <vt:lpwstr/>
      </vt:variant>
      <vt:variant>
        <vt:i4>6684722</vt:i4>
      </vt:variant>
      <vt:variant>
        <vt:i4>18</vt:i4>
      </vt:variant>
      <vt:variant>
        <vt:i4>0</vt:i4>
      </vt:variant>
      <vt:variant>
        <vt:i4>5</vt:i4>
      </vt:variant>
      <vt:variant>
        <vt:lpwstr>http://www.nevo.co.il/law/70301/335.a.2</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2025-02-24T13:25:00Z</dcterms:created>
  <dcterms:modified xsi:type="dcterms:W3CDTF">2025-02-24T13:25:00Z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1578</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נאצר סרחאן עווידה</vt:lpwstr>
  </property>
  <property fmtid="{D5CDD505-2E9C-101B-9397-08002B2CF9AE}" pid="10" name="LAWYER">
    <vt:lpwstr>דכוואר</vt:lpwstr>
  </property>
  <property fmtid="{D5CDD505-2E9C-101B-9397-08002B2CF9AE}" pid="11" name="JUDGE">
    <vt:lpwstr>ראובן שמיע</vt:lpwstr>
  </property>
  <property fmtid="{D5CDD505-2E9C-101B-9397-08002B2CF9AE}" pid="12" name="CITY">
    <vt:lpwstr>י-ם</vt:lpwstr>
  </property>
  <property fmtid="{D5CDD505-2E9C-101B-9397-08002B2CF9AE}" pid="13" name="DATE">
    <vt:lpwstr>20131219</vt:lpwstr>
  </property>
  <property fmtid="{D5CDD505-2E9C-101B-9397-08002B2CF9AE}" pid="14" name="TYPE_N_DATE">
    <vt:lpwstr>39020131219</vt:lpwstr>
  </property>
  <property fmtid="{D5CDD505-2E9C-101B-9397-08002B2CF9AE}" pid="15" name="WORDNUMPAGES">
    <vt:lpwstr>8</vt:lpwstr>
  </property>
  <property fmtid="{D5CDD505-2E9C-101B-9397-08002B2CF9AE}" pid="16" name="TYPE_ABS_DATE">
    <vt:lpwstr>390020131219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5071995:2;5852404;6072945;5724364;6030667;4956663:2;5573418;4321353;508204;333529;5152094;4284958;6170256</vt:lpwstr>
  </property>
  <property fmtid="{D5CDD505-2E9C-101B-9397-08002B2CF9AE}" pid="36" name="LAWLISTTMP1">
    <vt:lpwstr>70301/333;335.a.1;335.a.2;025;144.b;340a;040c;40ja</vt:lpwstr>
  </property>
</Properties>
</file>