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B0B57" w:rsidRPr="00736D23" w14:paraId="130B8715" w14:textId="77777777">
        <w:trPr>
          <w:trHeight w:hRule="exact" w:val="418"/>
          <w:jc w:val="center"/>
        </w:trPr>
        <w:tc>
          <w:tcPr>
            <w:tcW w:w="8721" w:type="dxa"/>
            <w:gridSpan w:val="2"/>
          </w:tcPr>
          <w:p w14:paraId="6F9A71C5" w14:textId="77777777" w:rsidR="00CB0B57" w:rsidRPr="00736D23" w:rsidRDefault="00736D23">
            <w:pPr>
              <w:pStyle w:val="a3"/>
              <w:jc w:val="center"/>
              <w:rPr>
                <w:rFonts w:ascii="Tahoma" w:hAnsi="Tahoma" w:cs="Tahoma"/>
                <w:color w:val="000080"/>
                <w:rtl/>
              </w:rPr>
            </w:pPr>
            <w:r w:rsidRPr="00736D23">
              <w:rPr>
                <w:rFonts w:ascii="Tahoma" w:hAnsi="Tahoma" w:cs="Tahoma"/>
                <w:b/>
                <w:bCs/>
                <w:color w:val="000080"/>
                <w:rtl/>
              </w:rPr>
              <w:t>בית המשפט המחוזי בחיפה</w:t>
            </w:r>
          </w:p>
        </w:tc>
      </w:tr>
      <w:tr w:rsidR="00CB0B57" w:rsidRPr="00736D23" w14:paraId="013D7740" w14:textId="77777777">
        <w:trPr>
          <w:trHeight w:val="337"/>
          <w:jc w:val="center"/>
        </w:trPr>
        <w:tc>
          <w:tcPr>
            <w:tcW w:w="5054" w:type="dxa"/>
          </w:tcPr>
          <w:p w14:paraId="3C49F57D" w14:textId="77777777" w:rsidR="00CB0B57" w:rsidRPr="00736D23" w:rsidRDefault="00736D23">
            <w:pPr>
              <w:rPr>
                <w:rFonts w:cs="FrankRuehl"/>
                <w:sz w:val="28"/>
                <w:szCs w:val="28"/>
                <w:rtl/>
              </w:rPr>
            </w:pPr>
            <w:r w:rsidRPr="00736D23">
              <w:rPr>
                <w:rFonts w:cs="FrankRuehl"/>
                <w:sz w:val="28"/>
                <w:szCs w:val="28"/>
                <w:rtl/>
              </w:rPr>
              <w:t>ת"פ</w:t>
            </w:r>
            <w:r w:rsidRPr="00736D23">
              <w:rPr>
                <w:rFonts w:cs="FrankRuehl" w:hint="cs"/>
                <w:sz w:val="28"/>
                <w:szCs w:val="28"/>
                <w:rtl/>
              </w:rPr>
              <w:t xml:space="preserve"> </w:t>
            </w:r>
            <w:r w:rsidRPr="00736D23">
              <w:rPr>
                <w:rFonts w:cs="FrankRuehl"/>
                <w:sz w:val="28"/>
                <w:szCs w:val="28"/>
                <w:rtl/>
              </w:rPr>
              <w:t>9162-06-13</w:t>
            </w:r>
            <w:r w:rsidRPr="00736D23">
              <w:rPr>
                <w:rFonts w:cs="FrankRuehl" w:hint="cs"/>
                <w:sz w:val="28"/>
                <w:szCs w:val="28"/>
                <w:rtl/>
              </w:rPr>
              <w:t xml:space="preserve"> </w:t>
            </w:r>
            <w:r w:rsidRPr="00736D23">
              <w:rPr>
                <w:rFonts w:cs="FrankRuehl"/>
                <w:sz w:val="28"/>
                <w:szCs w:val="28"/>
                <w:rtl/>
              </w:rPr>
              <w:t>מדינת ישראל נ' נגאר</w:t>
            </w:r>
          </w:p>
          <w:p w14:paraId="7C5B9379" w14:textId="77777777" w:rsidR="00CB0B57" w:rsidRPr="00736D23" w:rsidRDefault="00CB0B57">
            <w:pPr>
              <w:pStyle w:val="a3"/>
              <w:rPr>
                <w:rFonts w:cs="FrankRuehl"/>
                <w:sz w:val="28"/>
                <w:szCs w:val="28"/>
                <w:rtl/>
              </w:rPr>
            </w:pPr>
          </w:p>
        </w:tc>
        <w:tc>
          <w:tcPr>
            <w:tcW w:w="3667" w:type="dxa"/>
          </w:tcPr>
          <w:p w14:paraId="60358BB5" w14:textId="77777777" w:rsidR="00CB0B57" w:rsidRPr="00736D23" w:rsidRDefault="00CB0B57">
            <w:pPr>
              <w:pStyle w:val="a3"/>
              <w:jc w:val="right"/>
              <w:rPr>
                <w:rFonts w:cs="FrankRuehl"/>
                <w:sz w:val="28"/>
                <w:szCs w:val="28"/>
                <w:rtl/>
              </w:rPr>
            </w:pPr>
          </w:p>
        </w:tc>
      </w:tr>
    </w:tbl>
    <w:p w14:paraId="2E147338" w14:textId="77777777" w:rsidR="00CB0B57" w:rsidRPr="00736D23" w:rsidRDefault="00736D23" w:rsidP="00C30092">
      <w:pPr>
        <w:pStyle w:val="a3"/>
        <w:rPr>
          <w:rtl/>
        </w:rPr>
      </w:pPr>
      <w:r w:rsidRPr="00736D2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B0B57" w:rsidRPr="00736D23" w14:paraId="3F2A93B0" w14:textId="77777777">
        <w:trPr>
          <w:trHeight w:val="295"/>
          <w:jc w:val="center"/>
        </w:trPr>
        <w:tc>
          <w:tcPr>
            <w:tcW w:w="923" w:type="dxa"/>
            <w:tcBorders>
              <w:top w:val="nil"/>
              <w:left w:val="nil"/>
              <w:bottom w:val="nil"/>
              <w:right w:val="nil"/>
            </w:tcBorders>
          </w:tcPr>
          <w:p w14:paraId="6195022F" w14:textId="77777777" w:rsidR="00CB0B57" w:rsidRPr="00736D23" w:rsidRDefault="00736D23">
            <w:pPr>
              <w:spacing w:line="360" w:lineRule="auto"/>
              <w:jc w:val="both"/>
              <w:rPr>
                <w:rFonts w:ascii="Arial" w:hAnsi="Arial"/>
                <w:b/>
                <w:bCs/>
                <w:sz w:val="26"/>
                <w:szCs w:val="26"/>
              </w:rPr>
            </w:pPr>
            <w:r w:rsidRPr="00736D23">
              <w:rPr>
                <w:rFonts w:ascii="Arial" w:hAnsi="Arial" w:hint="cs"/>
                <w:b/>
                <w:bCs/>
                <w:sz w:val="26"/>
                <w:szCs w:val="26"/>
                <w:rtl/>
              </w:rPr>
              <w:t>ב</w:t>
            </w:r>
            <w:r w:rsidRPr="00736D23">
              <w:rPr>
                <w:rFonts w:ascii="Arial" w:hAnsi="Arial"/>
                <w:b/>
                <w:bCs/>
                <w:sz w:val="26"/>
                <w:szCs w:val="26"/>
                <w:rtl/>
              </w:rPr>
              <w:t xml:space="preserve">פני </w:t>
            </w:r>
          </w:p>
        </w:tc>
        <w:tc>
          <w:tcPr>
            <w:tcW w:w="7897" w:type="dxa"/>
            <w:gridSpan w:val="2"/>
            <w:tcBorders>
              <w:top w:val="nil"/>
              <w:left w:val="nil"/>
              <w:bottom w:val="nil"/>
              <w:right w:val="nil"/>
            </w:tcBorders>
          </w:tcPr>
          <w:p w14:paraId="2C81BE6C" w14:textId="77777777" w:rsidR="00CB0B57" w:rsidRPr="00736D23" w:rsidRDefault="00736D23">
            <w:pPr>
              <w:spacing w:line="360" w:lineRule="auto"/>
              <w:rPr>
                <w:rFonts w:ascii="Arial" w:hAnsi="Arial"/>
                <w:b/>
                <w:bCs/>
                <w:sz w:val="26"/>
                <w:szCs w:val="26"/>
                <w:rtl/>
              </w:rPr>
            </w:pPr>
            <w:r w:rsidRPr="00736D23">
              <w:rPr>
                <w:rFonts w:ascii="Arial" w:hAnsi="Arial" w:hint="cs"/>
                <w:b/>
                <w:bCs/>
                <w:sz w:val="26"/>
                <w:szCs w:val="26"/>
                <w:rtl/>
              </w:rPr>
              <w:t>כב' השופט יוסף אלרון, נשיא</w:t>
            </w:r>
          </w:p>
          <w:p w14:paraId="08730244" w14:textId="77777777" w:rsidR="00CB0B57" w:rsidRPr="00736D23" w:rsidRDefault="00CB0B57">
            <w:pPr>
              <w:spacing w:line="360" w:lineRule="auto"/>
              <w:rPr>
                <w:rFonts w:ascii="Arial" w:hAnsi="Arial"/>
                <w:b/>
                <w:bCs/>
                <w:sz w:val="26"/>
                <w:szCs w:val="26"/>
              </w:rPr>
            </w:pPr>
          </w:p>
        </w:tc>
      </w:tr>
      <w:tr w:rsidR="00CB0B57" w:rsidRPr="00736D23" w14:paraId="648E2C98" w14:textId="77777777">
        <w:trPr>
          <w:trHeight w:val="355"/>
          <w:jc w:val="center"/>
        </w:trPr>
        <w:tc>
          <w:tcPr>
            <w:tcW w:w="923" w:type="dxa"/>
            <w:tcBorders>
              <w:top w:val="nil"/>
              <w:left w:val="nil"/>
              <w:bottom w:val="nil"/>
              <w:right w:val="nil"/>
            </w:tcBorders>
          </w:tcPr>
          <w:p w14:paraId="5F70AE7D" w14:textId="77777777" w:rsidR="00CB0B57" w:rsidRPr="00736D23" w:rsidRDefault="00736D23">
            <w:pPr>
              <w:spacing w:line="360" w:lineRule="auto"/>
              <w:jc w:val="both"/>
              <w:rPr>
                <w:rFonts w:ascii="Arial" w:hAnsi="Arial"/>
                <w:b/>
                <w:bCs/>
                <w:sz w:val="26"/>
                <w:szCs w:val="26"/>
              </w:rPr>
            </w:pPr>
            <w:bookmarkStart w:id="0" w:name="FirstAppellant"/>
            <w:bookmarkStart w:id="1" w:name="LastJudge"/>
            <w:bookmarkEnd w:id="1"/>
            <w:r w:rsidRPr="00736D23">
              <w:rPr>
                <w:rFonts w:ascii="Arial" w:hAnsi="Arial" w:hint="cs"/>
                <w:b/>
                <w:bCs/>
                <w:sz w:val="26"/>
                <w:szCs w:val="26"/>
                <w:rtl/>
              </w:rPr>
              <w:t>בעניין:</w:t>
            </w:r>
          </w:p>
        </w:tc>
        <w:tc>
          <w:tcPr>
            <w:tcW w:w="4126" w:type="dxa"/>
            <w:tcBorders>
              <w:top w:val="nil"/>
              <w:left w:val="nil"/>
              <w:bottom w:val="nil"/>
              <w:right w:val="nil"/>
            </w:tcBorders>
          </w:tcPr>
          <w:p w14:paraId="00E2CC4D" w14:textId="77777777" w:rsidR="00CB0B57" w:rsidRPr="00736D23" w:rsidRDefault="00736D23">
            <w:pPr>
              <w:spacing w:line="360" w:lineRule="auto"/>
              <w:rPr>
                <w:b/>
                <w:bCs/>
                <w:sz w:val="26"/>
                <w:szCs w:val="26"/>
              </w:rPr>
            </w:pPr>
            <w:r w:rsidRPr="00736D23">
              <w:rPr>
                <w:rFonts w:hint="cs"/>
                <w:b/>
                <w:bCs/>
                <w:sz w:val="26"/>
                <w:szCs w:val="26"/>
                <w:rtl/>
              </w:rPr>
              <w:t>מדינת ישראל</w:t>
            </w:r>
          </w:p>
        </w:tc>
        <w:tc>
          <w:tcPr>
            <w:tcW w:w="3771" w:type="dxa"/>
            <w:tcBorders>
              <w:top w:val="nil"/>
              <w:left w:val="nil"/>
              <w:bottom w:val="nil"/>
              <w:right w:val="nil"/>
            </w:tcBorders>
          </w:tcPr>
          <w:p w14:paraId="17C4661D" w14:textId="77777777" w:rsidR="00CB0B57" w:rsidRPr="00736D23" w:rsidRDefault="00736D23">
            <w:pPr>
              <w:spacing w:line="360" w:lineRule="auto"/>
              <w:jc w:val="both"/>
              <w:rPr>
                <w:rFonts w:ascii="Arial" w:hAnsi="Arial"/>
                <w:b/>
                <w:bCs/>
                <w:sz w:val="26"/>
                <w:szCs w:val="26"/>
              </w:rPr>
            </w:pPr>
            <w:r w:rsidRPr="00736D23">
              <w:rPr>
                <w:rFonts w:ascii="Arial" w:hAnsi="Arial" w:hint="cs"/>
                <w:b/>
                <w:bCs/>
                <w:sz w:val="26"/>
                <w:szCs w:val="26"/>
                <w:rtl/>
              </w:rPr>
              <w:t>המאשימה</w:t>
            </w:r>
          </w:p>
        </w:tc>
      </w:tr>
      <w:bookmarkEnd w:id="0"/>
      <w:tr w:rsidR="00CB0B57" w:rsidRPr="00736D23" w14:paraId="5D9E45E9" w14:textId="77777777">
        <w:trPr>
          <w:trHeight w:val="355"/>
          <w:jc w:val="center"/>
        </w:trPr>
        <w:tc>
          <w:tcPr>
            <w:tcW w:w="923" w:type="dxa"/>
            <w:tcBorders>
              <w:top w:val="nil"/>
              <w:left w:val="nil"/>
              <w:bottom w:val="nil"/>
              <w:right w:val="nil"/>
            </w:tcBorders>
          </w:tcPr>
          <w:p w14:paraId="3D51A231" w14:textId="77777777" w:rsidR="00CB0B57" w:rsidRPr="00736D23" w:rsidRDefault="00CB0B57">
            <w:pPr>
              <w:spacing w:line="360" w:lineRule="auto"/>
              <w:jc w:val="both"/>
              <w:rPr>
                <w:rFonts w:ascii="Arial" w:hAnsi="Arial"/>
                <w:b/>
                <w:bCs/>
                <w:sz w:val="26"/>
                <w:szCs w:val="26"/>
                <w:rtl/>
              </w:rPr>
            </w:pPr>
          </w:p>
        </w:tc>
        <w:tc>
          <w:tcPr>
            <w:tcW w:w="4126" w:type="dxa"/>
            <w:tcBorders>
              <w:top w:val="nil"/>
              <w:left w:val="nil"/>
              <w:bottom w:val="nil"/>
              <w:right w:val="nil"/>
            </w:tcBorders>
          </w:tcPr>
          <w:p w14:paraId="7FC80139" w14:textId="77777777" w:rsidR="00CB0B57" w:rsidRPr="00736D23" w:rsidRDefault="00CB0B57">
            <w:pPr>
              <w:spacing w:line="360" w:lineRule="auto"/>
              <w:jc w:val="both"/>
              <w:rPr>
                <w:b/>
                <w:bCs/>
                <w:sz w:val="26"/>
                <w:szCs w:val="26"/>
                <w:rtl/>
              </w:rPr>
            </w:pPr>
          </w:p>
        </w:tc>
        <w:tc>
          <w:tcPr>
            <w:tcW w:w="3771" w:type="dxa"/>
            <w:tcBorders>
              <w:top w:val="nil"/>
              <w:left w:val="nil"/>
              <w:bottom w:val="nil"/>
              <w:right w:val="nil"/>
            </w:tcBorders>
          </w:tcPr>
          <w:p w14:paraId="36E3D63A" w14:textId="77777777" w:rsidR="00CB0B57" w:rsidRPr="00736D23" w:rsidRDefault="00CB0B57">
            <w:pPr>
              <w:spacing w:line="360" w:lineRule="auto"/>
              <w:jc w:val="right"/>
              <w:rPr>
                <w:rFonts w:ascii="Arial" w:hAnsi="Arial"/>
                <w:b/>
                <w:bCs/>
                <w:sz w:val="26"/>
                <w:szCs w:val="26"/>
                <w:rtl/>
              </w:rPr>
            </w:pPr>
          </w:p>
        </w:tc>
      </w:tr>
      <w:tr w:rsidR="00CB0B57" w:rsidRPr="00736D23" w14:paraId="2DD41C75" w14:textId="77777777">
        <w:trPr>
          <w:trHeight w:val="355"/>
          <w:jc w:val="center"/>
        </w:trPr>
        <w:tc>
          <w:tcPr>
            <w:tcW w:w="923" w:type="dxa"/>
            <w:tcBorders>
              <w:top w:val="nil"/>
              <w:left w:val="nil"/>
              <w:bottom w:val="nil"/>
              <w:right w:val="nil"/>
            </w:tcBorders>
          </w:tcPr>
          <w:p w14:paraId="1BECE97E" w14:textId="77777777" w:rsidR="00CB0B57" w:rsidRPr="00736D23" w:rsidRDefault="00CB0B57">
            <w:pPr>
              <w:spacing w:line="360" w:lineRule="auto"/>
              <w:jc w:val="both"/>
              <w:rPr>
                <w:rFonts w:ascii="Arial" w:hAnsi="Arial"/>
                <w:b/>
                <w:bCs/>
                <w:sz w:val="26"/>
                <w:szCs w:val="26"/>
                <w:rtl/>
              </w:rPr>
            </w:pPr>
          </w:p>
        </w:tc>
        <w:tc>
          <w:tcPr>
            <w:tcW w:w="7897" w:type="dxa"/>
            <w:gridSpan w:val="2"/>
            <w:tcBorders>
              <w:top w:val="nil"/>
              <w:left w:val="nil"/>
              <w:bottom w:val="nil"/>
              <w:right w:val="nil"/>
            </w:tcBorders>
          </w:tcPr>
          <w:p w14:paraId="6AC64530" w14:textId="77777777" w:rsidR="00CB0B57" w:rsidRPr="00736D23" w:rsidRDefault="00CB0B57">
            <w:pPr>
              <w:spacing w:line="360" w:lineRule="auto"/>
              <w:jc w:val="center"/>
              <w:rPr>
                <w:rFonts w:ascii="Arial" w:hAnsi="Arial"/>
                <w:b/>
                <w:bCs/>
                <w:sz w:val="26"/>
                <w:szCs w:val="26"/>
                <w:rtl/>
              </w:rPr>
            </w:pPr>
          </w:p>
          <w:p w14:paraId="5359280A" w14:textId="77777777" w:rsidR="00CB0B57" w:rsidRPr="00736D23" w:rsidRDefault="00736D23">
            <w:pPr>
              <w:spacing w:line="360" w:lineRule="auto"/>
              <w:jc w:val="center"/>
              <w:rPr>
                <w:rFonts w:ascii="Arial" w:hAnsi="Arial"/>
                <w:b/>
                <w:bCs/>
                <w:sz w:val="26"/>
                <w:szCs w:val="26"/>
                <w:rtl/>
              </w:rPr>
            </w:pPr>
            <w:r w:rsidRPr="00736D23">
              <w:rPr>
                <w:rFonts w:ascii="Arial" w:hAnsi="Arial"/>
                <w:b/>
                <w:bCs/>
                <w:sz w:val="26"/>
                <w:szCs w:val="26"/>
                <w:rtl/>
              </w:rPr>
              <w:t>נגד</w:t>
            </w:r>
          </w:p>
          <w:p w14:paraId="1E61ED2A" w14:textId="77777777" w:rsidR="00CB0B57" w:rsidRPr="00736D23" w:rsidRDefault="00CB0B57">
            <w:pPr>
              <w:spacing w:line="360" w:lineRule="auto"/>
              <w:jc w:val="both"/>
              <w:rPr>
                <w:rFonts w:ascii="Arial" w:hAnsi="Arial"/>
                <w:b/>
                <w:bCs/>
                <w:sz w:val="26"/>
                <w:szCs w:val="26"/>
              </w:rPr>
            </w:pPr>
          </w:p>
        </w:tc>
      </w:tr>
      <w:tr w:rsidR="00CB0B57" w:rsidRPr="00736D23" w14:paraId="771D5380" w14:textId="77777777">
        <w:trPr>
          <w:trHeight w:val="355"/>
          <w:jc w:val="center"/>
        </w:trPr>
        <w:tc>
          <w:tcPr>
            <w:tcW w:w="923" w:type="dxa"/>
            <w:tcBorders>
              <w:top w:val="nil"/>
              <w:left w:val="nil"/>
              <w:bottom w:val="nil"/>
              <w:right w:val="nil"/>
            </w:tcBorders>
          </w:tcPr>
          <w:p w14:paraId="3D5470D2" w14:textId="77777777" w:rsidR="00CB0B57" w:rsidRPr="00736D23" w:rsidRDefault="00CB0B57">
            <w:pPr>
              <w:spacing w:line="360" w:lineRule="auto"/>
              <w:rPr>
                <w:rFonts w:ascii="Arial" w:hAnsi="Arial"/>
                <w:b/>
                <w:bCs/>
                <w:sz w:val="26"/>
                <w:szCs w:val="26"/>
                <w:rtl/>
              </w:rPr>
            </w:pPr>
          </w:p>
        </w:tc>
        <w:tc>
          <w:tcPr>
            <w:tcW w:w="4126" w:type="dxa"/>
            <w:tcBorders>
              <w:top w:val="nil"/>
              <w:left w:val="nil"/>
              <w:bottom w:val="nil"/>
              <w:right w:val="nil"/>
            </w:tcBorders>
          </w:tcPr>
          <w:p w14:paraId="6B790A98" w14:textId="77777777" w:rsidR="00CB0B57" w:rsidRPr="00736D23" w:rsidRDefault="00736D23">
            <w:pPr>
              <w:spacing w:line="360" w:lineRule="auto"/>
              <w:rPr>
                <w:b/>
                <w:bCs/>
                <w:sz w:val="26"/>
                <w:szCs w:val="26"/>
                <w:rtl/>
              </w:rPr>
            </w:pPr>
            <w:r w:rsidRPr="00736D23">
              <w:rPr>
                <w:rFonts w:hint="cs"/>
                <w:b/>
                <w:bCs/>
                <w:sz w:val="26"/>
                <w:szCs w:val="26"/>
                <w:rtl/>
              </w:rPr>
              <w:t>ביאן נגאר</w:t>
            </w:r>
          </w:p>
        </w:tc>
        <w:tc>
          <w:tcPr>
            <w:tcW w:w="3771" w:type="dxa"/>
            <w:tcBorders>
              <w:top w:val="nil"/>
              <w:left w:val="nil"/>
              <w:bottom w:val="nil"/>
              <w:right w:val="nil"/>
            </w:tcBorders>
          </w:tcPr>
          <w:p w14:paraId="1D984F0C" w14:textId="77777777" w:rsidR="00CB0B57" w:rsidRPr="00736D23" w:rsidRDefault="00736D23">
            <w:pPr>
              <w:spacing w:line="360" w:lineRule="auto"/>
              <w:rPr>
                <w:rFonts w:ascii="Arial" w:hAnsi="Arial"/>
                <w:b/>
                <w:bCs/>
                <w:sz w:val="26"/>
                <w:szCs w:val="26"/>
              </w:rPr>
            </w:pPr>
            <w:r w:rsidRPr="00736D23">
              <w:rPr>
                <w:rFonts w:ascii="Arial" w:hAnsi="Arial" w:hint="cs"/>
                <w:b/>
                <w:bCs/>
                <w:sz w:val="26"/>
                <w:szCs w:val="26"/>
                <w:rtl/>
              </w:rPr>
              <w:t>הנאשם</w:t>
            </w:r>
          </w:p>
        </w:tc>
      </w:tr>
    </w:tbl>
    <w:p w14:paraId="3B195507" w14:textId="77777777" w:rsidR="005C2127" w:rsidRDefault="005C2127">
      <w:pPr>
        <w:spacing w:line="360" w:lineRule="auto"/>
        <w:rPr>
          <w:rFonts w:ascii="Arial" w:hAnsi="Arial"/>
          <w:rtl/>
        </w:rPr>
      </w:pPr>
      <w:bookmarkStart w:id="2" w:name="LawTable"/>
      <w:bookmarkEnd w:id="2"/>
    </w:p>
    <w:p w14:paraId="55DFCD60" w14:textId="77777777" w:rsidR="005C2127" w:rsidRPr="005C2127" w:rsidRDefault="005C2127" w:rsidP="005C2127">
      <w:pPr>
        <w:spacing w:after="120" w:line="240" w:lineRule="exact"/>
        <w:ind w:left="283" w:hanging="283"/>
        <w:jc w:val="both"/>
        <w:rPr>
          <w:rFonts w:ascii="FrankRuehl" w:hAnsi="FrankRuehl" w:cs="FrankRuehl"/>
          <w:rtl/>
        </w:rPr>
      </w:pPr>
    </w:p>
    <w:p w14:paraId="05D6C1EE" w14:textId="77777777" w:rsidR="005C2127" w:rsidRPr="005C2127" w:rsidRDefault="005C2127" w:rsidP="005C2127">
      <w:pPr>
        <w:spacing w:after="120" w:line="240" w:lineRule="exact"/>
        <w:ind w:left="283" w:hanging="283"/>
        <w:jc w:val="both"/>
        <w:rPr>
          <w:rFonts w:ascii="FrankRuehl" w:hAnsi="FrankRuehl" w:cs="FrankRuehl"/>
          <w:rtl/>
        </w:rPr>
      </w:pPr>
      <w:r w:rsidRPr="005C2127">
        <w:rPr>
          <w:rFonts w:ascii="FrankRuehl" w:hAnsi="FrankRuehl" w:cs="FrankRuehl"/>
          <w:rtl/>
        </w:rPr>
        <w:t xml:space="preserve">חקיקה שאוזכרה: </w:t>
      </w:r>
    </w:p>
    <w:p w14:paraId="1ADA8A13" w14:textId="77777777" w:rsidR="005C2127" w:rsidRPr="005C2127" w:rsidRDefault="005C2127" w:rsidP="005C2127">
      <w:pPr>
        <w:spacing w:after="120" w:line="240" w:lineRule="exact"/>
        <w:ind w:left="283" w:hanging="283"/>
        <w:jc w:val="both"/>
        <w:rPr>
          <w:rFonts w:ascii="FrankRuehl" w:hAnsi="FrankRuehl" w:cs="FrankRuehl"/>
          <w:rtl/>
        </w:rPr>
      </w:pPr>
      <w:hyperlink r:id="rId6" w:history="1">
        <w:r w:rsidRPr="005C2127">
          <w:rPr>
            <w:rFonts w:ascii="FrankRuehl" w:hAnsi="FrankRuehl" w:cs="FrankRuehl"/>
            <w:color w:val="0000FF"/>
            <w:u w:val="single"/>
            <w:rtl/>
          </w:rPr>
          <w:t>חוק העונשין, תשל"ז-1977</w:t>
        </w:r>
      </w:hyperlink>
      <w:r w:rsidRPr="005C2127">
        <w:rPr>
          <w:rFonts w:ascii="FrankRuehl" w:hAnsi="FrankRuehl" w:cs="FrankRuehl"/>
          <w:rtl/>
        </w:rPr>
        <w:t xml:space="preserve">: סע'  </w:t>
      </w:r>
      <w:hyperlink r:id="rId7" w:history="1">
        <w:r w:rsidRPr="005C2127">
          <w:rPr>
            <w:rFonts w:ascii="FrankRuehl" w:hAnsi="FrankRuehl" w:cs="FrankRuehl"/>
            <w:color w:val="0000FF"/>
            <w:u w:val="single"/>
            <w:rtl/>
          </w:rPr>
          <w:t>144(ב)</w:t>
        </w:r>
      </w:hyperlink>
    </w:p>
    <w:p w14:paraId="4CEFC0BC" w14:textId="77777777" w:rsidR="005C2127" w:rsidRPr="005C2127" w:rsidRDefault="005C2127" w:rsidP="005C2127">
      <w:pPr>
        <w:spacing w:after="120" w:line="240" w:lineRule="exact"/>
        <w:ind w:left="283" w:hanging="283"/>
        <w:jc w:val="both"/>
        <w:rPr>
          <w:rFonts w:ascii="FrankRuehl" w:hAnsi="FrankRuehl" w:cs="FrankRuehl"/>
          <w:rtl/>
        </w:rPr>
      </w:pPr>
    </w:p>
    <w:p w14:paraId="24C1D13A" w14:textId="77777777" w:rsidR="005C2127" w:rsidRPr="005C2127" w:rsidRDefault="005C2127">
      <w:pPr>
        <w:spacing w:line="360" w:lineRule="auto"/>
        <w:rPr>
          <w:rFonts w:ascii="Arial" w:hAnsi="Arial"/>
          <w:rtl/>
        </w:rPr>
      </w:pPr>
      <w:bookmarkStart w:id="3" w:name="LawTable_End"/>
      <w:bookmarkEnd w:id="3"/>
    </w:p>
    <w:p w14:paraId="3A846B3F" w14:textId="77777777" w:rsidR="004B6C56" w:rsidRPr="004B6C56" w:rsidRDefault="004B6C56">
      <w:pPr>
        <w:spacing w:line="360" w:lineRule="auto"/>
        <w:rPr>
          <w:rFonts w:ascii="Arial" w:hAnsi="Arial"/>
          <w:rtl/>
        </w:rPr>
      </w:pPr>
    </w:p>
    <w:p w14:paraId="05132D2D" w14:textId="77777777" w:rsidR="004B6C56" w:rsidRPr="004B6C56" w:rsidRDefault="004B6C56">
      <w:pPr>
        <w:spacing w:line="360" w:lineRule="auto"/>
        <w:rPr>
          <w:rFonts w:ascii="Arial" w:hAnsi="Arial"/>
          <w:rtl/>
        </w:rPr>
      </w:pPr>
    </w:p>
    <w:p w14:paraId="4BB8D04B" w14:textId="77777777" w:rsidR="00CB0B57" w:rsidRPr="004B6C56" w:rsidRDefault="00CB0B57">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0B57" w14:paraId="1C2AC590" w14:textId="77777777">
        <w:trPr>
          <w:trHeight w:val="355"/>
          <w:jc w:val="center"/>
        </w:trPr>
        <w:tc>
          <w:tcPr>
            <w:tcW w:w="8820" w:type="dxa"/>
            <w:tcBorders>
              <w:top w:val="nil"/>
              <w:left w:val="nil"/>
              <w:bottom w:val="nil"/>
              <w:right w:val="nil"/>
            </w:tcBorders>
          </w:tcPr>
          <w:p w14:paraId="0C1BA8E3" w14:textId="77777777" w:rsidR="00CB0B57" w:rsidRPr="00736D23" w:rsidRDefault="00736D23" w:rsidP="00736D23">
            <w:pPr>
              <w:spacing w:line="360" w:lineRule="auto"/>
              <w:jc w:val="center"/>
              <w:rPr>
                <w:rFonts w:ascii="Arial" w:hAnsi="Arial"/>
                <w:bCs/>
                <w:sz w:val="30"/>
                <w:szCs w:val="30"/>
                <w:u w:val="single"/>
                <w:rtl/>
              </w:rPr>
            </w:pPr>
            <w:bookmarkStart w:id="4" w:name="PsakDin" w:colFirst="0" w:colLast="0"/>
            <w:r w:rsidRPr="00736D23">
              <w:rPr>
                <w:rFonts w:ascii="Arial" w:hAnsi="Arial"/>
                <w:b/>
                <w:bCs/>
                <w:sz w:val="30"/>
                <w:szCs w:val="30"/>
                <w:u w:val="single"/>
                <w:rtl/>
              </w:rPr>
              <w:t>גזר דין</w:t>
            </w:r>
          </w:p>
        </w:tc>
      </w:tr>
      <w:bookmarkEnd w:id="4"/>
    </w:tbl>
    <w:p w14:paraId="2FE9E886" w14:textId="77777777" w:rsidR="00CB0B57" w:rsidRDefault="00CB0B57">
      <w:pPr>
        <w:spacing w:line="360" w:lineRule="auto"/>
        <w:rPr>
          <w:rFonts w:ascii="Arial" w:hAnsi="Arial"/>
          <w:rtl/>
        </w:rPr>
      </w:pPr>
    </w:p>
    <w:p w14:paraId="3B8A33E6" w14:textId="77777777" w:rsidR="00CB0B57" w:rsidRDefault="00736D23">
      <w:pPr>
        <w:ind w:left="720" w:hanging="720"/>
        <w:rPr>
          <w:rFonts w:ascii="Arial" w:hAnsi="Arial"/>
          <w:b/>
          <w:bCs/>
          <w:rtl/>
        </w:rPr>
      </w:pPr>
      <w:r>
        <w:rPr>
          <w:rFonts w:ascii="Arial" w:hAnsi="Arial" w:hint="cs"/>
          <w:b/>
          <w:bCs/>
          <w:rtl/>
        </w:rPr>
        <w:t>א.</w:t>
      </w:r>
      <w:r>
        <w:rPr>
          <w:rFonts w:ascii="Arial" w:hAnsi="Arial" w:hint="cs"/>
          <w:b/>
          <w:bCs/>
          <w:rtl/>
        </w:rPr>
        <w:tab/>
      </w:r>
      <w:r>
        <w:rPr>
          <w:rFonts w:ascii="Arial" w:hAnsi="Arial"/>
          <w:b/>
          <w:bCs/>
          <w:rtl/>
        </w:rPr>
        <w:t>פתח דבר</w:t>
      </w:r>
      <w:r>
        <w:rPr>
          <w:rFonts w:ascii="Arial" w:hAnsi="Arial" w:hint="cs"/>
          <w:b/>
          <w:bCs/>
          <w:rtl/>
        </w:rPr>
        <w:t>:</w:t>
      </w:r>
    </w:p>
    <w:p w14:paraId="3FF5C284" w14:textId="77777777" w:rsidR="00CB0B57" w:rsidRDefault="00CB0B57">
      <w:pPr>
        <w:tabs>
          <w:tab w:val="right" w:pos="7946"/>
        </w:tabs>
        <w:spacing w:line="360" w:lineRule="auto"/>
        <w:ind w:right="360"/>
        <w:jc w:val="both"/>
        <w:rPr>
          <w:rFonts w:ascii="Arial" w:hAnsi="Arial"/>
          <w:rtl/>
        </w:rPr>
      </w:pPr>
    </w:p>
    <w:p w14:paraId="52341220" w14:textId="77777777" w:rsidR="00CB0B57" w:rsidRDefault="00736D23">
      <w:pPr>
        <w:tabs>
          <w:tab w:val="right" w:pos="7946"/>
        </w:tabs>
        <w:spacing w:line="360" w:lineRule="auto"/>
        <w:ind w:right="360"/>
        <w:jc w:val="both"/>
        <w:rPr>
          <w:rFonts w:ascii="Arial" w:hAnsi="Arial"/>
          <w:rtl/>
        </w:rPr>
      </w:pPr>
      <w:bookmarkStart w:id="5" w:name="ABSTRACT_START"/>
      <w:bookmarkEnd w:id="5"/>
      <w:r>
        <w:rPr>
          <w:rFonts w:ascii="Arial" w:hAnsi="Arial"/>
          <w:rtl/>
        </w:rPr>
        <w:t xml:space="preserve">הנאשם הורשע על-פי הודאתו, במסגרת הסדר טיעון, בעובדות המפורטות בכתב האישום המתוקן בשנית (להלן: </w:t>
      </w:r>
      <w:r>
        <w:rPr>
          <w:rFonts w:ascii="Arial" w:hAnsi="Arial" w:cs="Miriam"/>
          <w:rtl/>
        </w:rPr>
        <w:t>"כתב האישום"</w:t>
      </w:r>
      <w:r>
        <w:rPr>
          <w:rFonts w:ascii="Arial" w:hAnsi="Arial"/>
          <w:rtl/>
        </w:rPr>
        <w:t xml:space="preserve">), בעבירה לפי </w:t>
      </w:r>
      <w:hyperlink r:id="rId8" w:history="1">
        <w:r w:rsidR="005C2127" w:rsidRPr="005C2127">
          <w:rPr>
            <w:rFonts w:ascii="Arial" w:hAnsi="Arial"/>
            <w:color w:val="0000FF"/>
            <w:u w:val="single"/>
            <w:rtl/>
          </w:rPr>
          <w:t>סעיף 144(ב)</w:t>
        </w:r>
      </w:hyperlink>
      <w:r>
        <w:rPr>
          <w:rFonts w:ascii="Arial" w:hAnsi="Arial"/>
          <w:rtl/>
        </w:rPr>
        <w:t xml:space="preserve"> רישא ל</w:t>
      </w:r>
      <w:hyperlink r:id="rId9" w:history="1">
        <w:r w:rsidR="004B6C56" w:rsidRPr="004B6C56">
          <w:rPr>
            <w:rStyle w:val="Hyperlink"/>
            <w:rFonts w:ascii="Arial" w:hAnsi="Arial"/>
            <w:rtl/>
          </w:rPr>
          <w:t>חוק העונשין</w:t>
        </w:r>
      </w:hyperlink>
      <w:r>
        <w:rPr>
          <w:rFonts w:ascii="Arial" w:hAnsi="Arial"/>
          <w:rtl/>
        </w:rPr>
        <w:t xml:space="preserve">, התשל"ז-1977 (להלן: </w:t>
      </w:r>
      <w:r>
        <w:rPr>
          <w:rFonts w:ascii="Arial" w:hAnsi="Arial" w:cs="Miriam"/>
          <w:rtl/>
        </w:rPr>
        <w:t>"החוק"</w:t>
      </w:r>
      <w:r>
        <w:rPr>
          <w:rFonts w:ascii="Arial" w:hAnsi="Arial"/>
          <w:rtl/>
        </w:rPr>
        <w:t xml:space="preserve">), דהיינו עבירה של נשיאת נשק והובלתו בלא רשות על-פי דין. </w:t>
      </w:r>
    </w:p>
    <w:p w14:paraId="32A83D1A" w14:textId="77777777" w:rsidR="00CB0B57" w:rsidRDefault="00CB0B57">
      <w:pPr>
        <w:tabs>
          <w:tab w:val="right" w:pos="7946"/>
        </w:tabs>
        <w:spacing w:line="360" w:lineRule="auto"/>
        <w:ind w:right="360"/>
        <w:jc w:val="both"/>
        <w:rPr>
          <w:rFonts w:ascii="Arial" w:hAnsi="Arial"/>
          <w:rtl/>
        </w:rPr>
      </w:pPr>
      <w:bookmarkStart w:id="6" w:name="ABSTRACT_END"/>
      <w:bookmarkEnd w:id="6"/>
    </w:p>
    <w:p w14:paraId="7B3CE25D" w14:textId="77777777" w:rsidR="00CB0B57" w:rsidRDefault="00736D23">
      <w:pPr>
        <w:tabs>
          <w:tab w:val="right" w:pos="7946"/>
        </w:tabs>
        <w:spacing w:line="360" w:lineRule="auto"/>
        <w:ind w:right="360"/>
        <w:jc w:val="both"/>
        <w:rPr>
          <w:rFonts w:ascii="Arial" w:hAnsi="Arial"/>
          <w:rtl/>
        </w:rPr>
      </w:pPr>
      <w:r>
        <w:rPr>
          <w:rFonts w:ascii="Arial" w:hAnsi="Arial"/>
          <w:rtl/>
        </w:rPr>
        <w:t xml:space="preserve">הסדר הטיעון לא כלל הסכמה לעניין העונש. </w:t>
      </w:r>
    </w:p>
    <w:p w14:paraId="69C4F468" w14:textId="77777777" w:rsidR="00CB0B57" w:rsidRDefault="00CB0B57">
      <w:pPr>
        <w:tabs>
          <w:tab w:val="right" w:pos="7946"/>
        </w:tabs>
        <w:spacing w:line="360" w:lineRule="auto"/>
        <w:ind w:right="360"/>
        <w:jc w:val="both"/>
        <w:rPr>
          <w:rFonts w:ascii="Arial" w:hAnsi="Arial"/>
          <w:rtl/>
        </w:rPr>
      </w:pPr>
    </w:p>
    <w:p w14:paraId="43E125E7" w14:textId="77777777" w:rsidR="00CB0B57" w:rsidRDefault="00736D23">
      <w:pPr>
        <w:spacing w:line="360" w:lineRule="auto"/>
        <w:ind w:left="720" w:right="360" w:hanging="720"/>
        <w:jc w:val="both"/>
        <w:rPr>
          <w:rFonts w:ascii="Arial" w:hAnsi="Arial"/>
          <w:b/>
          <w:bCs/>
          <w:rtl/>
        </w:rPr>
      </w:pPr>
      <w:r>
        <w:rPr>
          <w:rFonts w:ascii="Arial" w:hAnsi="Arial" w:hint="cs"/>
          <w:b/>
          <w:bCs/>
          <w:rtl/>
        </w:rPr>
        <w:t>ב.</w:t>
      </w:r>
      <w:r>
        <w:rPr>
          <w:rFonts w:ascii="Arial" w:hAnsi="Arial" w:hint="cs"/>
          <w:b/>
          <w:bCs/>
          <w:rtl/>
        </w:rPr>
        <w:tab/>
        <w:t>ע</w:t>
      </w:r>
      <w:r>
        <w:rPr>
          <w:rFonts w:ascii="Arial" w:hAnsi="Arial"/>
          <w:b/>
          <w:bCs/>
          <w:rtl/>
        </w:rPr>
        <w:t>ובדות כתב האישום</w:t>
      </w:r>
      <w:r>
        <w:rPr>
          <w:rFonts w:ascii="Arial" w:hAnsi="Arial" w:hint="cs"/>
          <w:b/>
          <w:bCs/>
          <w:rtl/>
        </w:rPr>
        <w:t>:</w:t>
      </w:r>
    </w:p>
    <w:p w14:paraId="2F77ECE1" w14:textId="77777777" w:rsidR="00CB0B57" w:rsidRDefault="00CB0B57">
      <w:pPr>
        <w:tabs>
          <w:tab w:val="right" w:pos="7946"/>
        </w:tabs>
        <w:ind w:right="360"/>
        <w:jc w:val="both"/>
        <w:rPr>
          <w:rFonts w:ascii="Arial" w:hAnsi="Arial"/>
          <w:rtl/>
        </w:rPr>
      </w:pPr>
    </w:p>
    <w:p w14:paraId="26C7450A" w14:textId="77777777" w:rsidR="00CB0B57" w:rsidRDefault="00736D23">
      <w:pPr>
        <w:tabs>
          <w:tab w:val="right" w:pos="7946"/>
        </w:tabs>
        <w:spacing w:line="360" w:lineRule="auto"/>
        <w:ind w:right="360"/>
        <w:jc w:val="both"/>
        <w:rPr>
          <w:rFonts w:ascii="Arial" w:hAnsi="Arial"/>
          <w:rtl/>
        </w:rPr>
      </w:pPr>
      <w:r>
        <w:rPr>
          <w:rFonts w:ascii="Arial" w:hAnsi="Arial"/>
          <w:rtl/>
        </w:rPr>
        <w:lastRenderedPageBreak/>
        <w:t xml:space="preserve">כרקע לעובדות כתב האישום צויין, כי בתאריך 04.01.2008, או בסמוך לכך, נגנב אקדח מסוג 'גלוק 17', שמספרו הסידורי </w:t>
      </w:r>
      <w:r>
        <w:rPr>
          <w:rFonts w:ascii="Arial" w:hAnsi="Arial"/>
        </w:rPr>
        <w:t>ye</w:t>
      </w:r>
      <w:r>
        <w:rPr>
          <w:rFonts w:ascii="Arial" w:hAnsi="Arial"/>
          <w:rtl/>
        </w:rPr>
        <w:t>327, (להלן:</w:t>
      </w:r>
      <w:r>
        <w:rPr>
          <w:rFonts w:ascii="Arial" w:hAnsi="Arial" w:cs="Miriam"/>
          <w:rtl/>
        </w:rPr>
        <w:t xml:space="preserve"> "האקדח"</w:t>
      </w:r>
      <w:r>
        <w:rPr>
          <w:rFonts w:ascii="Arial" w:hAnsi="Arial"/>
          <w:rtl/>
        </w:rPr>
        <w:t>) מתוך דירה ברחוב אשתורי פרחי 22 בתל-אביב.</w:t>
      </w:r>
    </w:p>
    <w:p w14:paraId="45B0472E" w14:textId="77777777" w:rsidR="00CB0B57" w:rsidRDefault="00CB0B57">
      <w:pPr>
        <w:tabs>
          <w:tab w:val="right" w:pos="7946"/>
        </w:tabs>
        <w:ind w:right="360"/>
        <w:jc w:val="both"/>
        <w:rPr>
          <w:rFonts w:ascii="Arial" w:hAnsi="Arial"/>
          <w:rtl/>
        </w:rPr>
      </w:pPr>
    </w:p>
    <w:p w14:paraId="16A7928B" w14:textId="77777777" w:rsidR="00CB0B57" w:rsidRDefault="00736D23">
      <w:pPr>
        <w:tabs>
          <w:tab w:val="right" w:pos="7946"/>
        </w:tabs>
        <w:spacing w:line="360" w:lineRule="auto"/>
        <w:ind w:right="360"/>
        <w:jc w:val="both"/>
        <w:rPr>
          <w:rFonts w:ascii="Arial" w:hAnsi="Arial"/>
          <w:rtl/>
        </w:rPr>
      </w:pPr>
      <w:r>
        <w:rPr>
          <w:rFonts w:ascii="Arial" w:hAnsi="Arial"/>
          <w:rtl/>
        </w:rPr>
        <w:t>בתאריך 02.06.2013 בסמוך לחצות, בכביש שליד "בית הקשיש" בכפר ג'סר א-זרקא, נשא הנאשם את האקדח כשהוא מוסתר בתוך מכנסיו. כמו כן, נשא הנאשם 34 קליעים בקוטר 9 מ"מ בשתי מחסניות: מחסנית אחת נשא הנאשם טעונה בתוך האקדח ומחסנית נוספת נשא בכיסו הקדמי השמאלי של מכנסיו. כל זאת תוך כדי שהנאשם נוסע מכיוון צפון לדרום ברכב בצבע לבן מסוג "פולקסוואגן פסאט", הנושא לוחית זיהוי שמספרה 9993473.</w:t>
      </w:r>
    </w:p>
    <w:p w14:paraId="35ADA860" w14:textId="77777777" w:rsidR="00CB0B57" w:rsidRDefault="00CB0B57">
      <w:pPr>
        <w:tabs>
          <w:tab w:val="right" w:pos="7946"/>
        </w:tabs>
        <w:spacing w:line="360" w:lineRule="auto"/>
        <w:ind w:right="360"/>
        <w:jc w:val="both"/>
        <w:rPr>
          <w:rFonts w:ascii="Arial" w:hAnsi="Arial"/>
          <w:rtl/>
        </w:rPr>
      </w:pPr>
    </w:p>
    <w:p w14:paraId="62214875" w14:textId="77777777" w:rsidR="00CB0B57" w:rsidRDefault="00736D23">
      <w:pPr>
        <w:tabs>
          <w:tab w:val="right" w:pos="7946"/>
        </w:tabs>
        <w:spacing w:line="360" w:lineRule="auto"/>
        <w:ind w:right="360"/>
        <w:jc w:val="both"/>
        <w:rPr>
          <w:rFonts w:ascii="Arial" w:hAnsi="Arial"/>
          <w:rtl/>
        </w:rPr>
      </w:pPr>
      <w:r>
        <w:rPr>
          <w:rFonts w:ascii="Arial" w:hAnsi="Arial"/>
          <w:rtl/>
        </w:rPr>
        <w:t xml:space="preserve">האקדח הוא כלי שסוגל לירות כדור שבכוחו להמית אדם; הקליעים שנשא הם תחמושת של האקדח, ובכוחם להמית אדם. </w:t>
      </w:r>
    </w:p>
    <w:p w14:paraId="31E5ABB0" w14:textId="77777777" w:rsidR="00CB0B57" w:rsidRDefault="00CB0B57">
      <w:pPr>
        <w:tabs>
          <w:tab w:val="right" w:pos="7946"/>
        </w:tabs>
        <w:spacing w:line="360" w:lineRule="auto"/>
        <w:ind w:right="360"/>
        <w:jc w:val="both"/>
        <w:rPr>
          <w:rFonts w:ascii="Arial" w:hAnsi="Arial"/>
          <w:rtl/>
        </w:rPr>
      </w:pPr>
    </w:p>
    <w:p w14:paraId="52F84A17" w14:textId="77777777" w:rsidR="00CB0B57" w:rsidRDefault="00736D23">
      <w:pPr>
        <w:spacing w:line="360" w:lineRule="auto"/>
        <w:ind w:left="720" w:right="360" w:hanging="720"/>
        <w:jc w:val="both"/>
        <w:rPr>
          <w:rFonts w:ascii="Arial" w:hAnsi="Arial"/>
          <w:b/>
          <w:bCs/>
        </w:rPr>
      </w:pPr>
      <w:r>
        <w:rPr>
          <w:rFonts w:ascii="Arial" w:hAnsi="Arial" w:hint="cs"/>
          <w:b/>
          <w:bCs/>
          <w:rtl/>
        </w:rPr>
        <w:t>ג.</w:t>
      </w:r>
      <w:r>
        <w:rPr>
          <w:rFonts w:ascii="Arial" w:hAnsi="Arial" w:hint="cs"/>
          <w:b/>
          <w:bCs/>
          <w:rtl/>
        </w:rPr>
        <w:tab/>
      </w:r>
      <w:r>
        <w:rPr>
          <w:rFonts w:ascii="Arial" w:hAnsi="Arial"/>
          <w:b/>
          <w:bCs/>
          <w:rtl/>
        </w:rPr>
        <w:t>תסקיר שירות המבחן</w:t>
      </w:r>
      <w:r>
        <w:rPr>
          <w:rFonts w:ascii="Arial" w:hAnsi="Arial" w:hint="cs"/>
          <w:b/>
          <w:bCs/>
          <w:rtl/>
        </w:rPr>
        <w:t>:</w:t>
      </w:r>
    </w:p>
    <w:p w14:paraId="1A3F3551" w14:textId="77777777" w:rsidR="00CB0B57" w:rsidRDefault="00CB0B57">
      <w:pPr>
        <w:tabs>
          <w:tab w:val="right" w:pos="7946"/>
        </w:tabs>
        <w:spacing w:line="360" w:lineRule="auto"/>
        <w:ind w:right="360"/>
        <w:jc w:val="both"/>
        <w:rPr>
          <w:rFonts w:ascii="Arial" w:hAnsi="Arial"/>
          <w:b/>
          <w:bCs/>
          <w:rtl/>
        </w:rPr>
      </w:pPr>
    </w:p>
    <w:p w14:paraId="05ED198E" w14:textId="77777777" w:rsidR="00CB0B57" w:rsidRDefault="00736D23">
      <w:pPr>
        <w:tabs>
          <w:tab w:val="right" w:pos="7946"/>
        </w:tabs>
        <w:spacing w:line="360" w:lineRule="auto"/>
        <w:ind w:right="360"/>
        <w:jc w:val="both"/>
        <w:rPr>
          <w:rFonts w:ascii="Arial" w:hAnsi="Arial"/>
          <w:rtl/>
        </w:rPr>
      </w:pPr>
      <w:r>
        <w:rPr>
          <w:rFonts w:ascii="Arial" w:hAnsi="Arial"/>
          <w:rtl/>
        </w:rPr>
        <w:t>בתסקיר מיום 16.10.2013, שהתבסס על אבחון שנערך לנאשם, כמו גם על מסמכים רלוונטיים נוספים, סקר קצין המבחן למבוגרים, מר כמאל אגבריה, את מכלול נסיבותיו האישיות והמשפחתיות של הנאשם.</w:t>
      </w:r>
    </w:p>
    <w:p w14:paraId="73FA07BE" w14:textId="77777777" w:rsidR="00CB0B57" w:rsidRDefault="00CB0B57">
      <w:pPr>
        <w:tabs>
          <w:tab w:val="right" w:pos="7946"/>
        </w:tabs>
        <w:spacing w:line="360" w:lineRule="auto"/>
        <w:ind w:right="360"/>
        <w:jc w:val="both"/>
        <w:rPr>
          <w:rFonts w:ascii="Arial" w:hAnsi="Arial"/>
          <w:rtl/>
        </w:rPr>
      </w:pPr>
    </w:p>
    <w:p w14:paraId="5A07F5D7" w14:textId="77777777" w:rsidR="00CB0B57" w:rsidRDefault="00736D23">
      <w:pPr>
        <w:tabs>
          <w:tab w:val="right" w:pos="7946"/>
        </w:tabs>
        <w:spacing w:line="360" w:lineRule="auto"/>
        <w:ind w:right="360"/>
        <w:jc w:val="both"/>
        <w:rPr>
          <w:rFonts w:ascii="Arial" w:hAnsi="Arial"/>
          <w:rtl/>
        </w:rPr>
      </w:pPr>
      <w:r>
        <w:rPr>
          <w:rFonts w:ascii="Arial" w:hAnsi="Arial"/>
          <w:rtl/>
        </w:rPr>
        <w:t xml:space="preserve">כעולה מהאמור בתסקיר, הנאשם כיום כבן 20, ומועסק כנהג בחברת ההסעות הפרטית של אביו ומתפקד בצורה תקינה, וכי זוהי מעורבותו הראשונה בפלילים. </w:t>
      </w:r>
    </w:p>
    <w:p w14:paraId="7E6F0FA5" w14:textId="77777777" w:rsidR="00CB0B57" w:rsidRDefault="00CB0B57">
      <w:pPr>
        <w:tabs>
          <w:tab w:val="right" w:pos="7946"/>
        </w:tabs>
        <w:spacing w:line="360" w:lineRule="auto"/>
        <w:ind w:right="360"/>
        <w:jc w:val="both"/>
        <w:rPr>
          <w:rFonts w:ascii="Arial" w:hAnsi="Arial"/>
          <w:rtl/>
        </w:rPr>
      </w:pPr>
    </w:p>
    <w:p w14:paraId="05B82548" w14:textId="77777777" w:rsidR="00CB0B57" w:rsidRDefault="00736D23">
      <w:pPr>
        <w:tabs>
          <w:tab w:val="right" w:pos="7946"/>
        </w:tabs>
        <w:spacing w:line="360" w:lineRule="auto"/>
        <w:ind w:right="360"/>
        <w:jc w:val="both"/>
        <w:rPr>
          <w:rFonts w:ascii="Arial" w:hAnsi="Arial"/>
          <w:rtl/>
        </w:rPr>
      </w:pPr>
      <w:r>
        <w:rPr>
          <w:rFonts w:ascii="Arial" w:hAnsi="Arial"/>
          <w:rtl/>
        </w:rPr>
        <w:t xml:space="preserve">עוד צוין, כי אמו של הנאשם נפגעה בראשה מקליע, במהלך חילופי ירי בכפרם, וכתוצאה מכך נחבלה קשות בראשה ותפקודה הכללי נפגם. </w:t>
      </w:r>
    </w:p>
    <w:p w14:paraId="047AE3D9" w14:textId="77777777" w:rsidR="00CB0B57" w:rsidRDefault="00CB0B57">
      <w:pPr>
        <w:tabs>
          <w:tab w:val="right" w:pos="7946"/>
        </w:tabs>
        <w:spacing w:line="360" w:lineRule="auto"/>
        <w:ind w:right="360"/>
        <w:jc w:val="both"/>
        <w:rPr>
          <w:rFonts w:ascii="Arial" w:hAnsi="Arial"/>
          <w:rtl/>
        </w:rPr>
      </w:pPr>
    </w:p>
    <w:p w14:paraId="7983A125" w14:textId="77777777" w:rsidR="00CB0B57" w:rsidRDefault="00736D23">
      <w:pPr>
        <w:tabs>
          <w:tab w:val="right" w:pos="7946"/>
        </w:tabs>
        <w:spacing w:line="360" w:lineRule="auto"/>
        <w:ind w:right="360"/>
        <w:jc w:val="both"/>
        <w:rPr>
          <w:rFonts w:ascii="Arial" w:hAnsi="Arial"/>
          <w:rtl/>
        </w:rPr>
      </w:pPr>
      <w:r>
        <w:rPr>
          <w:rFonts w:ascii="Arial" w:hAnsi="Arial"/>
          <w:rtl/>
        </w:rPr>
        <w:t xml:space="preserve">בפני קצין המבחן נטל הנאשם אחריות מלאה תוך שלגרסתו, מצא את הנשק והתחמושת באקראי, ובהעדר שיקול דעת לגבי תוצאות מעשיו והשלכותיהם נטל את הנשק והתחמושת מבלי לדווח לגורמי המשטרה. </w:t>
      </w:r>
    </w:p>
    <w:p w14:paraId="49C9F3D0" w14:textId="77777777" w:rsidR="00CB0B57" w:rsidRDefault="00CB0B57">
      <w:pPr>
        <w:tabs>
          <w:tab w:val="right" w:pos="7946"/>
        </w:tabs>
        <w:spacing w:line="360" w:lineRule="auto"/>
        <w:ind w:right="360"/>
        <w:jc w:val="both"/>
        <w:rPr>
          <w:rFonts w:ascii="Arial" w:hAnsi="Arial"/>
          <w:rtl/>
        </w:rPr>
      </w:pPr>
    </w:p>
    <w:p w14:paraId="639B57A4" w14:textId="77777777" w:rsidR="00CB0B57" w:rsidRDefault="00736D23">
      <w:pPr>
        <w:tabs>
          <w:tab w:val="right" w:pos="7946"/>
        </w:tabs>
        <w:spacing w:line="360" w:lineRule="auto"/>
        <w:ind w:right="360"/>
        <w:jc w:val="both"/>
        <w:rPr>
          <w:rFonts w:ascii="Arial" w:hAnsi="Arial"/>
          <w:rtl/>
        </w:rPr>
      </w:pPr>
      <w:r>
        <w:rPr>
          <w:rFonts w:ascii="Arial" w:hAnsi="Arial"/>
          <w:rtl/>
        </w:rPr>
        <w:t xml:space="preserve">הנאשם שלל כוונה להשתמש בנשק או להעבירו לאחר, וציין כי אינו מצוי בסכסוך כלשהו עם מי מבני כפרו. ובהתייחס לאירוע במהלכו נפגעה אימו, טען כי הינו </w:t>
      </w:r>
      <w:r>
        <w:rPr>
          <w:rFonts w:ascii="Arial" w:hAnsi="Arial" w:cs="Miriam"/>
          <w:rtl/>
        </w:rPr>
        <w:t>"מאחוריו"</w:t>
      </w:r>
      <w:r>
        <w:rPr>
          <w:rFonts w:ascii="Arial" w:hAnsi="Arial"/>
          <w:rtl/>
        </w:rPr>
        <w:t xml:space="preserve"> וכי </w:t>
      </w:r>
      <w:r>
        <w:rPr>
          <w:rFonts w:ascii="Arial" w:hAnsi="Arial" w:cs="Miriam"/>
          <w:rtl/>
        </w:rPr>
        <w:t>"הפוגע קיבל את עונשו"</w:t>
      </w:r>
      <w:r>
        <w:rPr>
          <w:rFonts w:ascii="Arial" w:hAnsi="Arial"/>
          <w:rtl/>
        </w:rPr>
        <w:t xml:space="preserve">, בהליך הפלילי שהתנהל בעניינו. </w:t>
      </w:r>
    </w:p>
    <w:p w14:paraId="597E09B1" w14:textId="77777777" w:rsidR="00CB0B57" w:rsidRDefault="00CB0B57">
      <w:pPr>
        <w:tabs>
          <w:tab w:val="right" w:pos="7946"/>
        </w:tabs>
        <w:spacing w:line="360" w:lineRule="auto"/>
        <w:ind w:right="360"/>
        <w:jc w:val="both"/>
        <w:rPr>
          <w:rFonts w:ascii="Arial" w:hAnsi="Arial"/>
          <w:rtl/>
        </w:rPr>
      </w:pPr>
    </w:p>
    <w:p w14:paraId="5346A058" w14:textId="77777777" w:rsidR="00CB0B57" w:rsidRDefault="00736D23">
      <w:pPr>
        <w:tabs>
          <w:tab w:val="right" w:pos="7946"/>
        </w:tabs>
        <w:spacing w:line="360" w:lineRule="auto"/>
        <w:ind w:right="360"/>
        <w:jc w:val="both"/>
        <w:rPr>
          <w:rFonts w:ascii="Arial" w:hAnsi="Arial"/>
          <w:rtl/>
        </w:rPr>
      </w:pPr>
      <w:r>
        <w:rPr>
          <w:rFonts w:ascii="Arial" w:hAnsi="Arial"/>
          <w:rtl/>
        </w:rPr>
        <w:t xml:space="preserve">הנאשם הוסיף, כי הפיק לקחים מהאירוע, ולכן אינו רואה צורך בטיפול שיקומי. </w:t>
      </w:r>
    </w:p>
    <w:p w14:paraId="57823007" w14:textId="77777777" w:rsidR="00CB0B57" w:rsidRDefault="00CB0B57">
      <w:pPr>
        <w:tabs>
          <w:tab w:val="right" w:pos="7946"/>
        </w:tabs>
        <w:spacing w:line="360" w:lineRule="auto"/>
        <w:ind w:right="360"/>
        <w:jc w:val="both"/>
        <w:rPr>
          <w:rFonts w:ascii="Arial" w:hAnsi="Arial"/>
          <w:rtl/>
        </w:rPr>
      </w:pPr>
    </w:p>
    <w:p w14:paraId="38795123" w14:textId="77777777" w:rsidR="00CB0B57" w:rsidRDefault="00736D23">
      <w:pPr>
        <w:tabs>
          <w:tab w:val="right" w:pos="7946"/>
        </w:tabs>
        <w:spacing w:line="360" w:lineRule="auto"/>
        <w:ind w:right="360"/>
        <w:jc w:val="both"/>
        <w:rPr>
          <w:rFonts w:ascii="Arial" w:hAnsi="Arial"/>
          <w:rtl/>
        </w:rPr>
      </w:pPr>
      <w:r>
        <w:rPr>
          <w:rFonts w:ascii="Arial" w:hAnsi="Arial"/>
          <w:rtl/>
        </w:rPr>
        <w:lastRenderedPageBreak/>
        <w:t xml:space="preserve">להתרשמות קצין המבחן ולנוכח קבלת האחריות לביצוע העבירה, הבנת חומרתה, הבעת החרטה, מעצרו ומשפטו, יש לראות בכל אלה כגורם מרתיע ו"מחדד" גבולות. </w:t>
      </w:r>
    </w:p>
    <w:p w14:paraId="212A8854" w14:textId="77777777" w:rsidR="00CB0B57" w:rsidRDefault="00CB0B57">
      <w:pPr>
        <w:tabs>
          <w:tab w:val="right" w:pos="7946"/>
        </w:tabs>
        <w:spacing w:line="360" w:lineRule="auto"/>
        <w:ind w:right="360"/>
        <w:jc w:val="both"/>
        <w:rPr>
          <w:rFonts w:ascii="Arial" w:hAnsi="Arial"/>
          <w:rtl/>
        </w:rPr>
      </w:pPr>
    </w:p>
    <w:p w14:paraId="77BCC578" w14:textId="77777777" w:rsidR="00CB0B57" w:rsidRDefault="00736D23">
      <w:pPr>
        <w:tabs>
          <w:tab w:val="right" w:pos="7946"/>
        </w:tabs>
        <w:spacing w:line="360" w:lineRule="auto"/>
        <w:ind w:right="360"/>
        <w:jc w:val="both"/>
        <w:rPr>
          <w:rFonts w:ascii="Arial" w:hAnsi="Arial" w:cs="Miriam"/>
          <w:rtl/>
        </w:rPr>
      </w:pPr>
      <w:r>
        <w:rPr>
          <w:rFonts w:ascii="Arial" w:hAnsi="Arial"/>
          <w:rtl/>
        </w:rPr>
        <w:t xml:space="preserve">עוד ציין קצין המבחן את דבר התרשמותו כי הנאשם נעדר ערכים אנטי-חברתיים, גם אם הינו פועל לעיתים באופן לא אחראי והוסיף כי המדובר בבחור בעל </w:t>
      </w:r>
      <w:r>
        <w:rPr>
          <w:rFonts w:ascii="Arial" w:hAnsi="Arial" w:cs="Miriam"/>
          <w:rtl/>
        </w:rPr>
        <w:t xml:space="preserve">"יכולות וכוחות להתנהגות תקינה, לוקח אחריות על מעשיו וההערכה שקיים סיכון נמוך להישנות". </w:t>
      </w:r>
    </w:p>
    <w:p w14:paraId="1FF08D53" w14:textId="77777777" w:rsidR="00CB0B57" w:rsidRDefault="00CB0B57">
      <w:pPr>
        <w:tabs>
          <w:tab w:val="right" w:pos="7946"/>
        </w:tabs>
        <w:spacing w:line="360" w:lineRule="auto"/>
        <w:ind w:right="360"/>
        <w:jc w:val="both"/>
        <w:rPr>
          <w:rFonts w:ascii="Arial" w:hAnsi="Arial"/>
          <w:rtl/>
        </w:rPr>
      </w:pPr>
    </w:p>
    <w:p w14:paraId="6A6A5F06" w14:textId="77777777" w:rsidR="00CB0B57" w:rsidRDefault="00736D23">
      <w:pPr>
        <w:tabs>
          <w:tab w:val="right" w:pos="7946"/>
        </w:tabs>
        <w:spacing w:line="360" w:lineRule="auto"/>
        <w:ind w:right="360"/>
        <w:jc w:val="both"/>
        <w:rPr>
          <w:rFonts w:ascii="Arial" w:hAnsi="Arial"/>
          <w:rtl/>
        </w:rPr>
      </w:pPr>
      <w:r>
        <w:rPr>
          <w:rFonts w:ascii="Arial" w:hAnsi="Arial"/>
          <w:rtl/>
        </w:rPr>
        <w:t xml:space="preserve">בסיכומו של דבר, המליץ קצין המבחן שלא למצות את הדין עם הנאשם, ותחת זאת להטיל עליו מאסר בפועל לריצוי במסגרת של עבודות שירות, מאסר מותנה וקנס. יוער, כי קצין המבחן לא המליץ על ענישה בעלת אופי שקומי שכן לדבריו לא מצא צרכים טיפוליים לשיקומו. </w:t>
      </w:r>
    </w:p>
    <w:p w14:paraId="0DCC5A06" w14:textId="77777777" w:rsidR="00CB0B57" w:rsidRDefault="00CB0B57">
      <w:pPr>
        <w:tabs>
          <w:tab w:val="right" w:pos="7946"/>
        </w:tabs>
        <w:spacing w:line="360" w:lineRule="auto"/>
        <w:ind w:right="360"/>
        <w:jc w:val="both"/>
        <w:rPr>
          <w:rFonts w:ascii="Arial" w:hAnsi="Arial"/>
          <w:b/>
          <w:bCs/>
        </w:rPr>
      </w:pPr>
    </w:p>
    <w:p w14:paraId="73A660C8" w14:textId="77777777" w:rsidR="00CB0B57" w:rsidRDefault="00736D23">
      <w:pPr>
        <w:spacing w:line="360" w:lineRule="auto"/>
        <w:ind w:left="720" w:right="360" w:hanging="720"/>
        <w:jc w:val="both"/>
        <w:rPr>
          <w:rFonts w:ascii="Arial" w:hAnsi="Arial"/>
          <w:b/>
          <w:bCs/>
        </w:rPr>
      </w:pPr>
      <w:r>
        <w:rPr>
          <w:rFonts w:ascii="Arial" w:hAnsi="Arial" w:hint="cs"/>
          <w:b/>
          <w:bCs/>
          <w:rtl/>
        </w:rPr>
        <w:t>ד.</w:t>
      </w:r>
      <w:r>
        <w:rPr>
          <w:rFonts w:ascii="Arial" w:hAnsi="Arial" w:hint="cs"/>
          <w:b/>
          <w:bCs/>
          <w:rtl/>
        </w:rPr>
        <w:tab/>
      </w:r>
      <w:r>
        <w:rPr>
          <w:rFonts w:ascii="Arial" w:hAnsi="Arial"/>
          <w:b/>
          <w:bCs/>
          <w:rtl/>
        </w:rPr>
        <w:t>טיעונים לעונש</w:t>
      </w:r>
      <w:r>
        <w:rPr>
          <w:rFonts w:ascii="Arial" w:hAnsi="Arial" w:hint="cs"/>
          <w:b/>
          <w:bCs/>
          <w:rtl/>
        </w:rPr>
        <w:t>:</w:t>
      </w:r>
    </w:p>
    <w:p w14:paraId="50DBD93C" w14:textId="77777777" w:rsidR="00CB0B57" w:rsidRDefault="00CB0B57">
      <w:pPr>
        <w:tabs>
          <w:tab w:val="right" w:pos="7946"/>
        </w:tabs>
        <w:spacing w:line="360" w:lineRule="auto"/>
        <w:ind w:right="360"/>
        <w:jc w:val="both"/>
        <w:rPr>
          <w:rFonts w:ascii="Arial" w:hAnsi="Arial"/>
          <w:b/>
          <w:bCs/>
          <w:rtl/>
        </w:rPr>
      </w:pPr>
    </w:p>
    <w:p w14:paraId="1D29A0F3" w14:textId="77777777" w:rsidR="00CB0B57" w:rsidRDefault="00736D23">
      <w:pPr>
        <w:tabs>
          <w:tab w:val="right" w:pos="7946"/>
        </w:tabs>
        <w:spacing w:line="360" w:lineRule="auto"/>
        <w:ind w:right="360"/>
        <w:jc w:val="both"/>
        <w:rPr>
          <w:rFonts w:ascii="Arial" w:hAnsi="Arial"/>
          <w:rtl/>
        </w:rPr>
      </w:pPr>
      <w:r>
        <w:rPr>
          <w:rFonts w:ascii="Arial" w:hAnsi="Arial"/>
          <w:rtl/>
        </w:rPr>
        <w:t>בא כוח המאשימה, בטיעוניו בכתב (ט/1) ובעל-פה, הפנה תחילה לנסיבות העבירה, והגדירה כחמורה, תוך שציין את העונש הקבוע לצידה, קרי, 10 שנות מאסר.</w:t>
      </w:r>
    </w:p>
    <w:p w14:paraId="61104F0F" w14:textId="77777777" w:rsidR="00CB0B57" w:rsidRDefault="00CB0B57">
      <w:pPr>
        <w:tabs>
          <w:tab w:val="right" w:pos="7946"/>
        </w:tabs>
        <w:spacing w:line="360" w:lineRule="auto"/>
        <w:ind w:right="360"/>
        <w:jc w:val="both"/>
        <w:rPr>
          <w:rFonts w:ascii="Arial" w:hAnsi="Arial"/>
          <w:rtl/>
        </w:rPr>
      </w:pPr>
    </w:p>
    <w:p w14:paraId="49B5E8E9" w14:textId="77777777" w:rsidR="00CB0B57" w:rsidRDefault="00736D23">
      <w:pPr>
        <w:tabs>
          <w:tab w:val="right" w:pos="7946"/>
        </w:tabs>
        <w:spacing w:line="360" w:lineRule="auto"/>
        <w:ind w:right="360"/>
        <w:jc w:val="both"/>
        <w:rPr>
          <w:rFonts w:ascii="Arial" w:hAnsi="Arial"/>
          <w:rtl/>
        </w:rPr>
      </w:pPr>
      <w:r>
        <w:rPr>
          <w:rFonts w:ascii="Arial" w:hAnsi="Arial"/>
          <w:rtl/>
        </w:rPr>
        <w:t>כתימוכין לאמור לעיל, הפנה לנסיבות הימצאו של הנאשם נושא אקדח גנוב  מוסתר במכנסיו, טעון במחסנית ובה קליעים, בצרוף מחסנית נוספת. הווה אומר, אקדח המוכן לשימוש מיידי.</w:t>
      </w:r>
    </w:p>
    <w:p w14:paraId="62B51326" w14:textId="77777777" w:rsidR="00CB0B57" w:rsidRDefault="00CB0B57">
      <w:pPr>
        <w:tabs>
          <w:tab w:val="right" w:pos="7946"/>
        </w:tabs>
        <w:spacing w:line="360" w:lineRule="auto"/>
        <w:ind w:right="360"/>
        <w:jc w:val="both"/>
        <w:rPr>
          <w:rFonts w:ascii="Arial" w:hAnsi="Arial"/>
          <w:rtl/>
        </w:rPr>
      </w:pPr>
    </w:p>
    <w:p w14:paraId="57AC9735" w14:textId="77777777" w:rsidR="00CB0B57" w:rsidRDefault="00736D23">
      <w:pPr>
        <w:tabs>
          <w:tab w:val="right" w:pos="7946"/>
        </w:tabs>
        <w:spacing w:line="360" w:lineRule="auto"/>
        <w:ind w:right="360"/>
        <w:jc w:val="both"/>
        <w:rPr>
          <w:rFonts w:ascii="Arial" w:hAnsi="Arial"/>
          <w:rtl/>
        </w:rPr>
      </w:pPr>
      <w:r>
        <w:rPr>
          <w:rFonts w:ascii="Arial" w:hAnsi="Arial"/>
          <w:rtl/>
        </w:rPr>
        <w:t>עוד ציין ב"כ המאשימה כי רק נסיבות מקריות הביאו לחשיפת האקדח על גופו של הנאשם מבלי שמומש הסיכון שבהחזקתו ונשיאתו. ומשכך, אין לזקוף זאת "</w:t>
      </w:r>
      <w:r>
        <w:rPr>
          <w:rFonts w:ascii="Arial" w:hAnsi="Arial" w:cs="Miriam"/>
          <w:rtl/>
        </w:rPr>
        <w:t>לזכות הנאשם</w:t>
      </w:r>
      <w:r>
        <w:rPr>
          <w:rFonts w:ascii="Arial" w:hAnsi="Arial"/>
          <w:rtl/>
        </w:rPr>
        <w:t xml:space="preserve">" כהגדרת הכתוב. </w:t>
      </w:r>
    </w:p>
    <w:p w14:paraId="1331B681" w14:textId="77777777" w:rsidR="00CB0B57" w:rsidRDefault="00CB0B57">
      <w:pPr>
        <w:tabs>
          <w:tab w:val="right" w:pos="7946"/>
        </w:tabs>
        <w:spacing w:line="360" w:lineRule="auto"/>
        <w:ind w:right="360"/>
        <w:jc w:val="both"/>
        <w:rPr>
          <w:rFonts w:ascii="Arial" w:hAnsi="Arial"/>
          <w:rtl/>
        </w:rPr>
      </w:pPr>
    </w:p>
    <w:p w14:paraId="75333C11" w14:textId="77777777" w:rsidR="00CB0B57" w:rsidRDefault="00736D23">
      <w:pPr>
        <w:tabs>
          <w:tab w:val="right" w:pos="7946"/>
        </w:tabs>
        <w:spacing w:line="360" w:lineRule="auto"/>
        <w:ind w:right="360"/>
        <w:jc w:val="both"/>
        <w:rPr>
          <w:rFonts w:ascii="Arial" w:hAnsi="Arial"/>
          <w:rtl/>
        </w:rPr>
      </w:pPr>
      <w:r>
        <w:rPr>
          <w:rFonts w:ascii="Arial" w:hAnsi="Arial"/>
          <w:rtl/>
        </w:rPr>
        <w:t xml:space="preserve">על כך הוסיף כי הניסיון מלמד כי לעיתים מגיע נשק שמוחזק שלא כדין לידיים עוינות ונעשה בו שימוש למטרות פליליות. </w:t>
      </w:r>
    </w:p>
    <w:p w14:paraId="499443C6" w14:textId="77777777" w:rsidR="00CB0B57" w:rsidRDefault="00CB0B57">
      <w:pPr>
        <w:tabs>
          <w:tab w:val="right" w:pos="7946"/>
        </w:tabs>
        <w:spacing w:line="360" w:lineRule="auto"/>
        <w:ind w:right="360"/>
        <w:jc w:val="both"/>
        <w:rPr>
          <w:rFonts w:ascii="Arial" w:hAnsi="Arial"/>
          <w:rtl/>
        </w:rPr>
      </w:pPr>
    </w:p>
    <w:p w14:paraId="57F8D679" w14:textId="77777777" w:rsidR="00CB0B57" w:rsidRDefault="00736D23">
      <w:pPr>
        <w:tabs>
          <w:tab w:val="right" w:pos="7946"/>
        </w:tabs>
        <w:spacing w:line="360" w:lineRule="auto"/>
        <w:ind w:right="360"/>
        <w:jc w:val="both"/>
        <w:rPr>
          <w:rFonts w:ascii="Arial" w:hAnsi="Arial"/>
          <w:rtl/>
        </w:rPr>
      </w:pPr>
      <w:r>
        <w:rPr>
          <w:rFonts w:ascii="Arial" w:hAnsi="Arial"/>
          <w:rtl/>
        </w:rPr>
        <w:t xml:space="preserve">ב"כ המאשימה לא התעלם מגילו הצעיר של הנאשם ומהעדר עבר פלילי, וביקש לגזור עליו עונש מאסר בפועל תוך שהפנה לאסופת פסיקה (ט/2). </w:t>
      </w:r>
    </w:p>
    <w:p w14:paraId="0048CE1B" w14:textId="77777777" w:rsidR="00CB0B57" w:rsidRDefault="00CB0B57">
      <w:pPr>
        <w:tabs>
          <w:tab w:val="right" w:pos="7946"/>
        </w:tabs>
        <w:spacing w:line="360" w:lineRule="auto"/>
        <w:ind w:right="360"/>
        <w:jc w:val="both"/>
        <w:rPr>
          <w:rFonts w:ascii="Arial" w:hAnsi="Arial"/>
          <w:rtl/>
        </w:rPr>
      </w:pPr>
    </w:p>
    <w:p w14:paraId="041795BD" w14:textId="77777777" w:rsidR="00CB0B57" w:rsidRDefault="00736D23">
      <w:pPr>
        <w:tabs>
          <w:tab w:val="right" w:pos="7946"/>
        </w:tabs>
        <w:spacing w:line="360" w:lineRule="auto"/>
        <w:ind w:right="360"/>
        <w:jc w:val="both"/>
        <w:rPr>
          <w:rFonts w:ascii="Arial" w:hAnsi="Arial"/>
          <w:rtl/>
        </w:rPr>
      </w:pPr>
      <w:r>
        <w:rPr>
          <w:rFonts w:ascii="Arial" w:hAnsi="Arial"/>
          <w:rtl/>
        </w:rPr>
        <w:t xml:space="preserve">לשיטת ב"כ המאשימה, הסתרת הנשק והחזקתו ברכב כאשר הוא טעון בצירוף מחסנית נוספת, יש בהן כדי ללמד על תכנון ומחשבה ניכרת ולא על </w:t>
      </w:r>
      <w:r>
        <w:rPr>
          <w:rFonts w:ascii="Arial" w:hAnsi="Arial" w:cs="Miriam"/>
          <w:rtl/>
        </w:rPr>
        <w:t>"היעדר שיקול דעת",</w:t>
      </w:r>
      <w:r>
        <w:rPr>
          <w:rFonts w:ascii="Arial" w:hAnsi="Arial"/>
          <w:rtl/>
        </w:rPr>
        <w:t xml:space="preserve"> כנטען על-ידי הנאשם, בפני קצין המבחן. בשל כך, מבקש בא כוח המאשימה לדחות את המלצות שירות המבחן להטיל עונש מאסר בפועל בדרך של עבודות שירות. </w:t>
      </w:r>
    </w:p>
    <w:p w14:paraId="17D8226B" w14:textId="77777777" w:rsidR="00CB0B57" w:rsidRDefault="00CB0B57">
      <w:pPr>
        <w:tabs>
          <w:tab w:val="right" w:pos="7946"/>
        </w:tabs>
        <w:spacing w:line="360" w:lineRule="auto"/>
        <w:ind w:right="360"/>
        <w:jc w:val="both"/>
        <w:rPr>
          <w:rFonts w:ascii="Arial" w:hAnsi="Arial"/>
          <w:rtl/>
        </w:rPr>
      </w:pPr>
    </w:p>
    <w:p w14:paraId="59AD31E8" w14:textId="77777777" w:rsidR="00CB0B57" w:rsidRDefault="00736D23">
      <w:pPr>
        <w:tabs>
          <w:tab w:val="right" w:pos="7946"/>
        </w:tabs>
        <w:spacing w:line="360" w:lineRule="auto"/>
        <w:ind w:right="360"/>
        <w:jc w:val="both"/>
        <w:rPr>
          <w:rFonts w:ascii="Arial" w:hAnsi="Arial"/>
          <w:rtl/>
        </w:rPr>
      </w:pPr>
      <w:r>
        <w:rPr>
          <w:rFonts w:ascii="Arial" w:hAnsi="Arial"/>
          <w:rtl/>
        </w:rPr>
        <w:t>עמדת המאשימה הינה כי, יש להחמיר בעונשו של הנאשם גם משיקולים של הרתעת הרבים.</w:t>
      </w:r>
    </w:p>
    <w:p w14:paraId="64606C6E" w14:textId="77777777" w:rsidR="00CB0B57" w:rsidRDefault="00CB0B57">
      <w:pPr>
        <w:tabs>
          <w:tab w:val="right" w:pos="7946"/>
        </w:tabs>
        <w:spacing w:line="360" w:lineRule="auto"/>
        <w:ind w:right="360"/>
        <w:jc w:val="both"/>
        <w:rPr>
          <w:rFonts w:ascii="Arial" w:hAnsi="Arial"/>
          <w:rtl/>
        </w:rPr>
      </w:pPr>
    </w:p>
    <w:p w14:paraId="622CA3B5" w14:textId="77777777" w:rsidR="00CB0B57" w:rsidRDefault="00736D23">
      <w:pPr>
        <w:tabs>
          <w:tab w:val="right" w:pos="7946"/>
        </w:tabs>
        <w:spacing w:line="360" w:lineRule="auto"/>
        <w:ind w:right="360"/>
        <w:jc w:val="both"/>
        <w:rPr>
          <w:rFonts w:ascii="Arial" w:hAnsi="Arial"/>
          <w:rtl/>
        </w:rPr>
      </w:pPr>
      <w:r>
        <w:rPr>
          <w:rFonts w:ascii="Arial" w:hAnsi="Arial"/>
          <w:rtl/>
        </w:rPr>
        <w:t xml:space="preserve">מתחם הענישה לו טען ב"כ המאשימה הינו בן 3-5 שנות מאסר, בהתחשב בנסיבותיו של הנאשם וחומרת העבירה וכי במקרה דנן, יש לגזור על הנאשם עונש המצוי במחצית מתחם הענישה האמור, וכן להטיל עליו מאסר על תנאי ממושך וקנס משמעותי. </w:t>
      </w:r>
    </w:p>
    <w:p w14:paraId="6591383C" w14:textId="77777777" w:rsidR="00CB0B57" w:rsidRDefault="00CB0B57">
      <w:pPr>
        <w:tabs>
          <w:tab w:val="right" w:pos="7946"/>
        </w:tabs>
        <w:spacing w:line="360" w:lineRule="auto"/>
        <w:ind w:right="360"/>
        <w:jc w:val="both"/>
        <w:rPr>
          <w:rFonts w:ascii="Arial" w:hAnsi="Arial"/>
          <w:rtl/>
        </w:rPr>
      </w:pPr>
    </w:p>
    <w:p w14:paraId="0F273BB4" w14:textId="77777777" w:rsidR="00CB0B57" w:rsidRDefault="00736D23">
      <w:pPr>
        <w:tabs>
          <w:tab w:val="right" w:pos="7946"/>
        </w:tabs>
        <w:spacing w:line="360" w:lineRule="auto"/>
        <w:ind w:right="360"/>
        <w:jc w:val="both"/>
        <w:rPr>
          <w:rFonts w:ascii="Arial" w:hAnsi="Arial"/>
          <w:rtl/>
        </w:rPr>
      </w:pPr>
      <w:r>
        <w:rPr>
          <w:rFonts w:ascii="Arial" w:hAnsi="Arial"/>
          <w:b/>
          <w:bCs/>
          <w:rtl/>
        </w:rPr>
        <w:t>מנגד</w:t>
      </w:r>
      <w:r>
        <w:rPr>
          <w:rFonts w:ascii="Arial" w:hAnsi="Arial"/>
          <w:rtl/>
        </w:rPr>
        <w:t xml:space="preserve">, ב"כ הנאשם טען כל אשר יכל דברי זכות למרשו, תוך שציין את גילו הצעיר, הדגיש את הודייתו בפתח משפטו, הבעת החרטה והדגשת תיקון כתב האישום. </w:t>
      </w:r>
    </w:p>
    <w:p w14:paraId="6F2A1D10" w14:textId="77777777" w:rsidR="00CB0B57" w:rsidRDefault="00CB0B57">
      <w:pPr>
        <w:tabs>
          <w:tab w:val="right" w:pos="7946"/>
        </w:tabs>
        <w:spacing w:line="360" w:lineRule="auto"/>
        <w:ind w:right="360"/>
        <w:jc w:val="both"/>
        <w:rPr>
          <w:rFonts w:ascii="Arial" w:hAnsi="Arial"/>
          <w:rtl/>
        </w:rPr>
      </w:pPr>
    </w:p>
    <w:p w14:paraId="3DA9E340" w14:textId="77777777" w:rsidR="00CB0B57" w:rsidRDefault="00736D23">
      <w:pPr>
        <w:tabs>
          <w:tab w:val="right" w:pos="7946"/>
        </w:tabs>
        <w:spacing w:line="360" w:lineRule="auto"/>
        <w:ind w:right="360"/>
        <w:jc w:val="both"/>
        <w:rPr>
          <w:rFonts w:ascii="Arial" w:hAnsi="Arial"/>
          <w:rtl/>
        </w:rPr>
      </w:pPr>
      <w:r>
        <w:rPr>
          <w:rFonts w:ascii="Arial" w:hAnsi="Arial"/>
          <w:rtl/>
        </w:rPr>
        <w:t xml:space="preserve">לדברי ב"כ הנאשם, זה האחרון הפנים את חומרת מעשיו, וכי המדובר באירוע חריג ויוצא דופן מאורח חייו הנורמטיביים, כל זאת, תוך הדגשת האמור בתסקיר שירות המבחן.  </w:t>
      </w:r>
    </w:p>
    <w:p w14:paraId="397FF294" w14:textId="77777777" w:rsidR="00CB0B57" w:rsidRDefault="00CB0B57">
      <w:pPr>
        <w:tabs>
          <w:tab w:val="right" w:pos="7946"/>
        </w:tabs>
        <w:spacing w:line="360" w:lineRule="auto"/>
        <w:ind w:right="360"/>
        <w:jc w:val="both"/>
        <w:rPr>
          <w:rFonts w:ascii="Arial" w:hAnsi="Arial"/>
          <w:rtl/>
        </w:rPr>
      </w:pPr>
    </w:p>
    <w:p w14:paraId="7C89F9EB" w14:textId="77777777" w:rsidR="00CB0B57" w:rsidRDefault="00736D23">
      <w:pPr>
        <w:tabs>
          <w:tab w:val="right" w:pos="7946"/>
        </w:tabs>
        <w:spacing w:line="360" w:lineRule="auto"/>
        <w:ind w:right="360"/>
        <w:jc w:val="both"/>
        <w:rPr>
          <w:rFonts w:ascii="Arial" w:hAnsi="Arial"/>
          <w:rtl/>
        </w:rPr>
      </w:pPr>
      <w:r>
        <w:rPr>
          <w:rFonts w:ascii="Arial" w:hAnsi="Arial"/>
          <w:rtl/>
        </w:rPr>
        <w:t>לשיטת ב"כ הנאשם, מתחם הענישה ההולם במקרה דנן עומד על עונש מאסר לריצוי בעבודות שירות עד למאסר של שנה בפועל בלבד.</w:t>
      </w:r>
    </w:p>
    <w:p w14:paraId="5445AAA0" w14:textId="77777777" w:rsidR="00CB0B57" w:rsidRDefault="00CB0B57">
      <w:pPr>
        <w:tabs>
          <w:tab w:val="right" w:pos="7946"/>
        </w:tabs>
        <w:spacing w:line="360" w:lineRule="auto"/>
        <w:ind w:right="360"/>
        <w:jc w:val="both"/>
        <w:rPr>
          <w:rFonts w:ascii="Arial" w:hAnsi="Arial"/>
          <w:rtl/>
        </w:rPr>
      </w:pPr>
    </w:p>
    <w:p w14:paraId="0FAF9884" w14:textId="77777777" w:rsidR="00CB0B57" w:rsidRDefault="00736D23">
      <w:pPr>
        <w:tabs>
          <w:tab w:val="right" w:pos="7946"/>
        </w:tabs>
        <w:spacing w:line="360" w:lineRule="auto"/>
        <w:ind w:right="360"/>
        <w:jc w:val="both"/>
        <w:rPr>
          <w:rFonts w:ascii="Arial" w:hAnsi="Arial"/>
          <w:rtl/>
        </w:rPr>
      </w:pPr>
      <w:r>
        <w:rPr>
          <w:rFonts w:ascii="Arial" w:hAnsi="Arial"/>
          <w:rtl/>
        </w:rPr>
        <w:t>לצורך כך, הפנה ב"כ הנאשם לאמור בתיקון מס' 113 ב</w:t>
      </w:r>
      <w:hyperlink r:id="rId10" w:history="1">
        <w:r w:rsidR="004B6C56" w:rsidRPr="004B6C56">
          <w:rPr>
            <w:rStyle w:val="Hyperlink"/>
            <w:rFonts w:ascii="Arial" w:hAnsi="Arial"/>
            <w:rtl/>
          </w:rPr>
          <w:t>חוק העונשין</w:t>
        </w:r>
      </w:hyperlink>
      <w:r>
        <w:rPr>
          <w:rFonts w:ascii="Arial" w:hAnsi="Arial"/>
          <w:rtl/>
        </w:rPr>
        <w:t xml:space="preserve"> בדבר שיקול הדעת הרחב בעת גזירת העונש, תוך התחשבות בהתקיימות נסיבות שאינן קשורות בביצוע עבירה, תוך שהפנה לפציעתה של אם הנאשם ומצבו הרפואי דהיום. </w:t>
      </w:r>
    </w:p>
    <w:p w14:paraId="5E7AB201" w14:textId="77777777" w:rsidR="00CB0B57" w:rsidRDefault="00CB0B57">
      <w:pPr>
        <w:tabs>
          <w:tab w:val="right" w:pos="7946"/>
        </w:tabs>
        <w:spacing w:line="360" w:lineRule="auto"/>
        <w:ind w:right="360"/>
        <w:jc w:val="both"/>
        <w:rPr>
          <w:rFonts w:ascii="Arial" w:hAnsi="Arial"/>
          <w:rtl/>
        </w:rPr>
      </w:pPr>
    </w:p>
    <w:p w14:paraId="240BB718" w14:textId="77777777" w:rsidR="00CB0B57" w:rsidRDefault="00736D23">
      <w:pPr>
        <w:tabs>
          <w:tab w:val="right" w:pos="7946"/>
        </w:tabs>
        <w:spacing w:line="360" w:lineRule="auto"/>
        <w:ind w:right="360"/>
        <w:jc w:val="both"/>
        <w:rPr>
          <w:rFonts w:ascii="Arial" w:hAnsi="Arial"/>
          <w:rtl/>
        </w:rPr>
      </w:pPr>
      <w:r>
        <w:rPr>
          <w:rFonts w:ascii="Arial" w:hAnsi="Arial"/>
          <w:rtl/>
        </w:rPr>
        <w:t xml:space="preserve">בנוסף לאמור לעיל, הפנה ב"כ הנאשם להשכלתם של הורי הנאשם ולמסמכים רפואיים באשר למצבה של האם. </w:t>
      </w:r>
    </w:p>
    <w:p w14:paraId="707BC851" w14:textId="77777777" w:rsidR="00CB0B57" w:rsidRDefault="00CB0B57">
      <w:pPr>
        <w:tabs>
          <w:tab w:val="right" w:pos="7946"/>
        </w:tabs>
        <w:spacing w:line="360" w:lineRule="auto"/>
        <w:ind w:right="360"/>
        <w:jc w:val="both"/>
        <w:rPr>
          <w:rFonts w:ascii="Arial" w:hAnsi="Arial"/>
          <w:rtl/>
        </w:rPr>
      </w:pPr>
    </w:p>
    <w:p w14:paraId="57C0B8E5" w14:textId="77777777" w:rsidR="00CB0B57" w:rsidRDefault="00736D23">
      <w:pPr>
        <w:tabs>
          <w:tab w:val="right" w:pos="7946"/>
        </w:tabs>
        <w:spacing w:line="360" w:lineRule="auto"/>
        <w:ind w:right="360"/>
        <w:jc w:val="both"/>
        <w:rPr>
          <w:rFonts w:ascii="Arial" w:hAnsi="Arial"/>
          <w:rtl/>
        </w:rPr>
      </w:pPr>
      <w:r>
        <w:rPr>
          <w:rFonts w:ascii="Arial" w:hAnsi="Arial"/>
          <w:rtl/>
        </w:rPr>
        <w:t>הנאשם, בפנותו לבית-המשפט, אמר:</w:t>
      </w:r>
    </w:p>
    <w:p w14:paraId="17821192" w14:textId="77777777" w:rsidR="00CB0B57" w:rsidRDefault="00CB0B57">
      <w:pPr>
        <w:tabs>
          <w:tab w:val="right" w:pos="7946"/>
        </w:tabs>
        <w:spacing w:line="360" w:lineRule="auto"/>
        <w:ind w:right="360"/>
        <w:jc w:val="both"/>
        <w:rPr>
          <w:rFonts w:ascii="Arial" w:hAnsi="Arial"/>
          <w:rtl/>
        </w:rPr>
      </w:pPr>
    </w:p>
    <w:p w14:paraId="73E8C27C" w14:textId="77777777" w:rsidR="00CB0B57" w:rsidRDefault="00736D23">
      <w:pPr>
        <w:tabs>
          <w:tab w:val="right" w:pos="7946"/>
        </w:tabs>
        <w:spacing w:line="360" w:lineRule="auto"/>
        <w:ind w:left="935" w:right="360"/>
        <w:jc w:val="both"/>
        <w:rPr>
          <w:rFonts w:ascii="Arial" w:hAnsi="Arial" w:cs="Miriam"/>
          <w:rtl/>
        </w:rPr>
      </w:pPr>
      <w:r>
        <w:rPr>
          <w:rFonts w:ascii="Arial" w:hAnsi="Arial" w:cs="Miriam"/>
          <w:rtl/>
        </w:rPr>
        <w:t xml:space="preserve">"אני מתחרט, הספקתי ללמוד בזמן המעצר, אני מבקש סליחה". </w:t>
      </w:r>
    </w:p>
    <w:p w14:paraId="437A14F2" w14:textId="77777777" w:rsidR="00CB0B57" w:rsidRDefault="00CB0B57">
      <w:pPr>
        <w:tabs>
          <w:tab w:val="right" w:pos="7946"/>
        </w:tabs>
        <w:spacing w:line="360" w:lineRule="auto"/>
        <w:ind w:right="360"/>
        <w:jc w:val="both"/>
        <w:rPr>
          <w:rFonts w:ascii="Arial" w:hAnsi="Arial"/>
        </w:rPr>
      </w:pPr>
    </w:p>
    <w:p w14:paraId="3D82522B" w14:textId="77777777" w:rsidR="00CB0B57" w:rsidRDefault="00736D23">
      <w:pPr>
        <w:spacing w:line="360" w:lineRule="auto"/>
        <w:ind w:left="720" w:right="360" w:hanging="720"/>
        <w:jc w:val="both"/>
        <w:rPr>
          <w:rFonts w:ascii="Arial" w:hAnsi="Arial"/>
          <w:b/>
          <w:bCs/>
        </w:rPr>
      </w:pPr>
      <w:r>
        <w:rPr>
          <w:rFonts w:ascii="Arial" w:hAnsi="Arial" w:hint="cs"/>
          <w:b/>
          <w:bCs/>
          <w:rtl/>
        </w:rPr>
        <w:t>ה.</w:t>
      </w:r>
      <w:r>
        <w:rPr>
          <w:rFonts w:ascii="Arial" w:hAnsi="Arial" w:hint="cs"/>
          <w:b/>
          <w:bCs/>
          <w:rtl/>
        </w:rPr>
        <w:tab/>
      </w:r>
      <w:r>
        <w:rPr>
          <w:rFonts w:ascii="Arial" w:hAnsi="Arial"/>
          <w:b/>
          <w:bCs/>
          <w:rtl/>
        </w:rPr>
        <w:t>דיון והכרעה</w:t>
      </w:r>
      <w:r>
        <w:rPr>
          <w:rFonts w:ascii="Arial" w:hAnsi="Arial" w:hint="cs"/>
          <w:b/>
          <w:bCs/>
          <w:rtl/>
        </w:rPr>
        <w:t>:</w:t>
      </w:r>
    </w:p>
    <w:p w14:paraId="4B9715AF" w14:textId="77777777" w:rsidR="00CB0B57" w:rsidRDefault="00CB0B57">
      <w:pPr>
        <w:tabs>
          <w:tab w:val="right" w:pos="7946"/>
        </w:tabs>
        <w:spacing w:line="360" w:lineRule="auto"/>
        <w:ind w:right="360"/>
        <w:jc w:val="both"/>
        <w:rPr>
          <w:rFonts w:ascii="Arial" w:hAnsi="Arial"/>
          <w:rtl/>
        </w:rPr>
      </w:pPr>
    </w:p>
    <w:p w14:paraId="7E27C126" w14:textId="77777777" w:rsidR="00CB0B57" w:rsidRDefault="00736D23">
      <w:pPr>
        <w:tabs>
          <w:tab w:val="right" w:pos="7946"/>
        </w:tabs>
        <w:spacing w:line="360" w:lineRule="auto"/>
        <w:ind w:right="360"/>
        <w:jc w:val="both"/>
        <w:rPr>
          <w:rFonts w:ascii="Arial" w:hAnsi="Arial"/>
          <w:rtl/>
        </w:rPr>
      </w:pPr>
      <w:r>
        <w:rPr>
          <w:rFonts w:ascii="Arial" w:hAnsi="Arial"/>
          <w:rtl/>
        </w:rPr>
        <w:t xml:space="preserve">בתי המשפט עמדו לא אחת על החומרה שיש לראות בנשיאת נשק שלא כדין ועל הסכנה הטמונה בהחזקת נשק שכזה והשימוש בו. </w:t>
      </w:r>
    </w:p>
    <w:p w14:paraId="5629C231" w14:textId="77777777" w:rsidR="00CB0B57" w:rsidRDefault="00CB0B57">
      <w:pPr>
        <w:tabs>
          <w:tab w:val="right" w:pos="7946"/>
        </w:tabs>
        <w:spacing w:line="360" w:lineRule="auto"/>
        <w:ind w:right="360"/>
        <w:jc w:val="both"/>
        <w:rPr>
          <w:rFonts w:ascii="Arial" w:hAnsi="Arial"/>
          <w:rtl/>
        </w:rPr>
      </w:pPr>
    </w:p>
    <w:p w14:paraId="1B0BC784" w14:textId="77777777" w:rsidR="00CB0B57" w:rsidRDefault="00736D23">
      <w:pPr>
        <w:tabs>
          <w:tab w:val="right" w:pos="7946"/>
        </w:tabs>
        <w:spacing w:line="360" w:lineRule="auto"/>
        <w:ind w:right="360"/>
        <w:jc w:val="both"/>
        <w:rPr>
          <w:rFonts w:ascii="Arial" w:hAnsi="Arial"/>
          <w:rtl/>
        </w:rPr>
      </w:pPr>
      <w:r>
        <w:rPr>
          <w:rFonts w:ascii="Arial" w:hAnsi="Arial"/>
          <w:rtl/>
        </w:rPr>
        <w:t xml:space="preserve">נראה כי מיותר להכביר מילים באשר לחומרה הטמונה בהחזקת נשק שלא כדין, והדברים באו לידי ביטוי בשורה ארוכה של פסקי דין ולצורך כך, אפנה לנאמר ב </w:t>
      </w:r>
      <w:hyperlink r:id="rId11" w:history="1">
        <w:r w:rsidR="004B6C56" w:rsidRPr="004B6C56">
          <w:rPr>
            <w:rStyle w:val="Hyperlink"/>
            <w:rFonts w:ascii="Arial" w:hAnsi="Arial"/>
            <w:rtl/>
          </w:rPr>
          <w:t>רע"פ 2718/04</w:t>
        </w:r>
      </w:hyperlink>
      <w:r>
        <w:rPr>
          <w:rFonts w:ascii="Arial" w:hAnsi="Arial"/>
          <w:rtl/>
        </w:rPr>
        <w:t>:</w:t>
      </w:r>
    </w:p>
    <w:p w14:paraId="2DF1D424" w14:textId="77777777" w:rsidR="00CB0B57" w:rsidRDefault="00CB0B57">
      <w:pPr>
        <w:tabs>
          <w:tab w:val="left" w:pos="7406"/>
        </w:tabs>
        <w:spacing w:line="360" w:lineRule="auto"/>
        <w:ind w:left="566" w:right="900"/>
        <w:jc w:val="both"/>
        <w:rPr>
          <w:rFonts w:ascii="Arial" w:hAnsi="Arial" w:cs="Miriam"/>
          <w:rtl/>
        </w:rPr>
      </w:pPr>
    </w:p>
    <w:p w14:paraId="316443F8" w14:textId="77777777" w:rsidR="00CB0B57" w:rsidRDefault="00736D23">
      <w:pPr>
        <w:tabs>
          <w:tab w:val="left" w:pos="7406"/>
        </w:tabs>
        <w:spacing w:line="360" w:lineRule="auto"/>
        <w:ind w:left="566" w:right="900"/>
        <w:jc w:val="both"/>
        <w:rPr>
          <w:rFonts w:ascii="Arial" w:hAnsi="Arial"/>
          <w:rtl/>
        </w:rPr>
      </w:pPr>
      <w:r>
        <w:rPr>
          <w:rFonts w:ascii="Arial" w:hAnsi="Arial" w:cs="Miriam"/>
          <w:rtl/>
        </w:rPr>
        <w:t>"הסכנה הטמונה בעבירה החמורה של החזקת נשק מצדיקה הטלת עונשי מאסר לריצוי בפועל גם על מי שזו עבירתו הראשונה. בבוא בית-המשפט לשקול את הענישה מסוג זה, עליו לתת משקל נכבד יותר לאינטרס הציבורי ולצורך להרתיע עבריינים בכוח מלבצע עבירות דומות"</w:t>
      </w:r>
      <w:r>
        <w:rPr>
          <w:rFonts w:ascii="Arial" w:hAnsi="Arial"/>
          <w:rtl/>
        </w:rPr>
        <w:t xml:space="preserve"> (</w:t>
      </w:r>
      <w:r>
        <w:rPr>
          <w:rFonts w:ascii="Arial" w:hAnsi="Arial"/>
          <w:b/>
          <w:bCs/>
          <w:rtl/>
        </w:rPr>
        <w:t>אבו דאחל נ' מדינת ישראל</w:t>
      </w:r>
      <w:r>
        <w:rPr>
          <w:rFonts w:ascii="Arial" w:hAnsi="Arial"/>
          <w:rtl/>
        </w:rPr>
        <w:t xml:space="preserve"> (29.03.2004)). </w:t>
      </w:r>
    </w:p>
    <w:p w14:paraId="6E90413B" w14:textId="77777777" w:rsidR="00CB0B57" w:rsidRDefault="00CB0B57">
      <w:pPr>
        <w:tabs>
          <w:tab w:val="right" w:pos="7946"/>
        </w:tabs>
        <w:spacing w:line="360" w:lineRule="auto"/>
        <w:ind w:right="360"/>
        <w:jc w:val="both"/>
        <w:rPr>
          <w:rFonts w:ascii="Arial" w:hAnsi="Arial"/>
          <w:rtl/>
        </w:rPr>
      </w:pPr>
    </w:p>
    <w:p w14:paraId="2F2360DB" w14:textId="77777777" w:rsidR="00CB0B57" w:rsidRDefault="00736D23">
      <w:pPr>
        <w:tabs>
          <w:tab w:val="right" w:pos="7946"/>
        </w:tabs>
        <w:spacing w:line="360" w:lineRule="auto"/>
        <w:ind w:right="360"/>
        <w:jc w:val="both"/>
        <w:rPr>
          <w:rFonts w:ascii="Arial" w:hAnsi="Arial"/>
          <w:rtl/>
        </w:rPr>
      </w:pPr>
      <w:r>
        <w:rPr>
          <w:rFonts w:ascii="Arial" w:hAnsi="Arial"/>
          <w:rtl/>
        </w:rPr>
        <w:t>וכן לדברי כב' השופטת ארבל:</w:t>
      </w:r>
    </w:p>
    <w:p w14:paraId="7B47851A" w14:textId="77777777" w:rsidR="00CB0B57" w:rsidRDefault="00CB0B57">
      <w:pPr>
        <w:tabs>
          <w:tab w:val="right" w:pos="7946"/>
        </w:tabs>
        <w:spacing w:line="360" w:lineRule="auto"/>
        <w:ind w:right="360"/>
        <w:jc w:val="both"/>
        <w:rPr>
          <w:rFonts w:ascii="Arial" w:hAnsi="Arial"/>
          <w:rtl/>
        </w:rPr>
      </w:pPr>
    </w:p>
    <w:p w14:paraId="01CA2498" w14:textId="77777777" w:rsidR="00CB0B57" w:rsidRDefault="00736D23">
      <w:pPr>
        <w:tabs>
          <w:tab w:val="right" w:pos="7406"/>
        </w:tabs>
        <w:spacing w:line="360" w:lineRule="auto"/>
        <w:ind w:left="566" w:right="900"/>
        <w:jc w:val="both"/>
        <w:rPr>
          <w:rFonts w:ascii="Arial" w:hAnsi="Arial"/>
          <w:rtl/>
        </w:rPr>
      </w:pPr>
      <w:r>
        <w:rPr>
          <w:rFonts w:cs="Miriam"/>
          <w:rtl/>
        </w:rPr>
        <w:t xml:space="preserve">"(נוכח) 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r>
        <w:rPr>
          <w:rtl/>
        </w:rPr>
        <w:t>(</w:t>
      </w:r>
      <w:hyperlink r:id="rId12" w:history="1">
        <w:r w:rsidR="004B6C56" w:rsidRPr="004B6C56">
          <w:rPr>
            <w:rStyle w:val="Hyperlink"/>
            <w:rFonts w:ascii="Arial" w:hAnsi="Arial"/>
            <w:rtl/>
          </w:rPr>
          <w:t>ע"פ 1323/13</w:t>
        </w:r>
      </w:hyperlink>
      <w:r>
        <w:rPr>
          <w:rFonts w:ascii="Arial" w:hAnsi="Arial"/>
          <w:rtl/>
        </w:rPr>
        <w:t xml:space="preserve"> </w:t>
      </w:r>
      <w:r w:rsidRPr="001B2212">
        <w:rPr>
          <w:rFonts w:ascii="Arial" w:hAnsi="Arial"/>
          <w:b/>
          <w:bCs/>
          <w:color w:val="000000"/>
          <w:rtl/>
        </w:rPr>
        <w:t>רך חסן</w:t>
      </w:r>
      <w:r>
        <w:rPr>
          <w:rFonts w:ascii="Arial" w:hAnsi="Arial"/>
          <w:b/>
          <w:bCs/>
          <w:rtl/>
        </w:rPr>
        <w:t xml:space="preserve"> נ' </w:t>
      </w:r>
      <w:r w:rsidRPr="001B2212">
        <w:rPr>
          <w:rFonts w:ascii="Arial" w:hAnsi="Arial"/>
          <w:b/>
          <w:bCs/>
          <w:color w:val="000000"/>
          <w:rtl/>
        </w:rPr>
        <w:t>מדינת ישראל</w:t>
      </w:r>
      <w:r>
        <w:rPr>
          <w:rFonts w:ascii="Arial" w:hAnsi="Arial"/>
          <w:b/>
          <w:bCs/>
          <w:rtl/>
        </w:rPr>
        <w:t xml:space="preserve"> </w:t>
      </w:r>
      <w:r>
        <w:rPr>
          <w:rFonts w:ascii="Arial" w:hAnsi="Arial"/>
          <w:rtl/>
        </w:rPr>
        <w:t xml:space="preserve">(פורסם בנבו, </w:t>
      </w:r>
      <w:r>
        <w:rPr>
          <w:rtl/>
        </w:rPr>
        <w:t>5.6.2013))</w:t>
      </w:r>
      <w:r>
        <w:rPr>
          <w:rFonts w:ascii="Arial" w:hAnsi="Arial"/>
          <w:rtl/>
        </w:rPr>
        <w:t>.</w:t>
      </w:r>
    </w:p>
    <w:p w14:paraId="42EA8F4B" w14:textId="77777777" w:rsidR="00CB0B57" w:rsidRDefault="00CB0B57">
      <w:pPr>
        <w:tabs>
          <w:tab w:val="right" w:pos="7946"/>
        </w:tabs>
        <w:spacing w:line="360" w:lineRule="auto"/>
        <w:ind w:right="360"/>
        <w:jc w:val="both"/>
        <w:rPr>
          <w:rFonts w:ascii="Arial" w:hAnsi="Arial"/>
          <w:rtl/>
        </w:rPr>
      </w:pPr>
    </w:p>
    <w:p w14:paraId="3B88134E" w14:textId="77777777" w:rsidR="00CB0B57" w:rsidRDefault="00736D23">
      <w:pPr>
        <w:tabs>
          <w:tab w:val="right" w:pos="7946"/>
        </w:tabs>
        <w:spacing w:line="360" w:lineRule="auto"/>
        <w:ind w:right="360"/>
        <w:jc w:val="both"/>
        <w:rPr>
          <w:rFonts w:ascii="Arial" w:hAnsi="Arial"/>
          <w:rtl/>
        </w:rPr>
      </w:pPr>
      <w:r>
        <w:rPr>
          <w:rFonts w:ascii="Arial" w:hAnsi="Arial"/>
          <w:rtl/>
        </w:rPr>
        <w:t>על הסכנה הגלומה שבנשיאת נשק שלא כדין ועל כך שאיננה תיאורטית בלבד למד הנאשם, למרבה הצער, מניסיון אישי, לאור הפגיעה הקשה שנפגעה אימו במהלך חילופי ירי ביישוב בו מתגוררים הנאשם ומשפחתו.</w:t>
      </w:r>
    </w:p>
    <w:p w14:paraId="6E5966C2" w14:textId="77777777" w:rsidR="00CB0B57" w:rsidRDefault="00CB0B57">
      <w:pPr>
        <w:tabs>
          <w:tab w:val="right" w:pos="7946"/>
        </w:tabs>
        <w:spacing w:line="360" w:lineRule="auto"/>
        <w:ind w:right="360"/>
        <w:jc w:val="both"/>
        <w:rPr>
          <w:rFonts w:ascii="Arial" w:hAnsi="Arial"/>
          <w:rtl/>
        </w:rPr>
      </w:pPr>
    </w:p>
    <w:p w14:paraId="76C80EFE" w14:textId="77777777" w:rsidR="00CB0B57" w:rsidRDefault="00736D23">
      <w:pPr>
        <w:tabs>
          <w:tab w:val="right" w:pos="7946"/>
        </w:tabs>
        <w:spacing w:line="360" w:lineRule="auto"/>
        <w:ind w:right="360"/>
        <w:jc w:val="both"/>
        <w:rPr>
          <w:rFonts w:ascii="Arial" w:hAnsi="Arial"/>
          <w:rtl/>
        </w:rPr>
      </w:pPr>
      <w:r>
        <w:rPr>
          <w:rFonts w:ascii="Arial" w:hAnsi="Arial"/>
          <w:rtl/>
        </w:rPr>
        <w:t>ניתן היה לצפות מהנאשם אשר לגרסתו, מצא את הנשק באקראי לדווח על כך ולהביאו לתחנת המשטרה, ולא לשאתו טעון בכיס מכנסיו.</w:t>
      </w:r>
    </w:p>
    <w:p w14:paraId="73F4237A" w14:textId="77777777" w:rsidR="00CB0B57" w:rsidRDefault="00CB0B57">
      <w:pPr>
        <w:tabs>
          <w:tab w:val="right" w:pos="7946"/>
        </w:tabs>
        <w:spacing w:line="360" w:lineRule="auto"/>
        <w:ind w:right="360"/>
        <w:jc w:val="both"/>
        <w:rPr>
          <w:rFonts w:ascii="Arial" w:hAnsi="Arial"/>
          <w:rtl/>
        </w:rPr>
      </w:pPr>
    </w:p>
    <w:p w14:paraId="7801ED3D" w14:textId="77777777" w:rsidR="00CB0B57" w:rsidRDefault="00736D23">
      <w:pPr>
        <w:tabs>
          <w:tab w:val="right" w:pos="7946"/>
        </w:tabs>
        <w:spacing w:line="360" w:lineRule="auto"/>
        <w:ind w:right="360"/>
        <w:jc w:val="both"/>
        <w:rPr>
          <w:rFonts w:ascii="Arial" w:hAnsi="Arial"/>
          <w:rtl/>
        </w:rPr>
      </w:pPr>
      <w:r>
        <w:rPr>
          <w:rFonts w:ascii="Arial" w:hAnsi="Arial"/>
          <w:rtl/>
        </w:rPr>
        <w:t xml:space="preserve">הסיכון הפוטנציאלי לשלום הציבור היה רב בנסיבות המקרה דנן, וזאת לנוכח אופן הימצאו של האקדח והמחסנית הנוספת שנמצאה אף היא ברשות הנאשם. </w:t>
      </w:r>
    </w:p>
    <w:p w14:paraId="7CF728FB" w14:textId="77777777" w:rsidR="00CB0B57" w:rsidRDefault="00CB0B57">
      <w:pPr>
        <w:tabs>
          <w:tab w:val="right" w:pos="7946"/>
        </w:tabs>
        <w:spacing w:line="360" w:lineRule="auto"/>
        <w:ind w:right="360"/>
        <w:jc w:val="both"/>
        <w:rPr>
          <w:rFonts w:ascii="Arial" w:hAnsi="Arial"/>
          <w:rtl/>
        </w:rPr>
      </w:pPr>
    </w:p>
    <w:p w14:paraId="30EC0DB6" w14:textId="77777777" w:rsidR="00CB0B57" w:rsidRDefault="00736D23">
      <w:pPr>
        <w:tabs>
          <w:tab w:val="right" w:pos="7946"/>
        </w:tabs>
        <w:spacing w:line="360" w:lineRule="auto"/>
        <w:ind w:right="360"/>
        <w:jc w:val="both"/>
        <w:rPr>
          <w:rFonts w:ascii="Arial" w:hAnsi="Arial"/>
          <w:rtl/>
        </w:rPr>
      </w:pPr>
      <w:r>
        <w:rPr>
          <w:rFonts w:ascii="Arial" w:hAnsi="Arial"/>
          <w:rtl/>
        </w:rPr>
        <w:t xml:space="preserve">מתחם העונש ההולם, בהתחשב בערך החברתי הנפגע מביצוע העבירה, במידת הפגיעה בו במדיניות הענישה הנהוגה ובנסיבות הקשורות בביצוע העבירה, הוא בין 12 חודשי מאסר בפועל לבין 30 חודשי מאסר בפועל.  </w:t>
      </w:r>
    </w:p>
    <w:p w14:paraId="6AD6C194" w14:textId="77777777" w:rsidR="00CB0B57" w:rsidRDefault="00CB0B57">
      <w:pPr>
        <w:tabs>
          <w:tab w:val="right" w:pos="7946"/>
        </w:tabs>
        <w:spacing w:line="360" w:lineRule="auto"/>
        <w:ind w:right="360"/>
        <w:jc w:val="both"/>
        <w:rPr>
          <w:rFonts w:ascii="Arial" w:hAnsi="Arial"/>
          <w:rtl/>
        </w:rPr>
      </w:pPr>
    </w:p>
    <w:p w14:paraId="4BCD2906" w14:textId="77777777" w:rsidR="00CB0B57" w:rsidRDefault="00736D23">
      <w:pPr>
        <w:tabs>
          <w:tab w:val="right" w:pos="7946"/>
        </w:tabs>
        <w:spacing w:line="360" w:lineRule="auto"/>
        <w:ind w:right="360"/>
        <w:jc w:val="both"/>
        <w:rPr>
          <w:rFonts w:ascii="Arial" w:hAnsi="Arial"/>
          <w:rtl/>
        </w:rPr>
      </w:pPr>
      <w:r>
        <w:rPr>
          <w:rFonts w:ascii="Arial" w:hAnsi="Arial"/>
          <w:rtl/>
        </w:rPr>
        <w:t xml:space="preserve">באשר לנאשם שבפניי, שקלתי את השיקולים לקולא בעניינו, לרבות גילו הצעיר, תמיכתו במשפחה בכל הנוגע לעזרה לטיפול באימו, היעדר עבר פלילי וכן הודייתו בתחילת ההליך השיפוטי והבעת החרטה ממעשיו, כפי שהדברים באו לידי ביטוי בפני קצין המבחן. </w:t>
      </w:r>
    </w:p>
    <w:p w14:paraId="18ABB881" w14:textId="77777777" w:rsidR="00CB0B57" w:rsidRDefault="00CB0B57">
      <w:pPr>
        <w:tabs>
          <w:tab w:val="right" w:pos="7946"/>
        </w:tabs>
        <w:spacing w:line="360" w:lineRule="auto"/>
        <w:ind w:right="360"/>
        <w:jc w:val="both"/>
        <w:rPr>
          <w:rFonts w:ascii="Arial" w:hAnsi="Arial"/>
          <w:rtl/>
        </w:rPr>
      </w:pPr>
    </w:p>
    <w:p w14:paraId="0ED1E0DE" w14:textId="77777777" w:rsidR="00CB0B57" w:rsidRDefault="00736D23">
      <w:pPr>
        <w:tabs>
          <w:tab w:val="right" w:pos="7946"/>
        </w:tabs>
        <w:spacing w:line="360" w:lineRule="auto"/>
        <w:ind w:right="360"/>
        <w:jc w:val="both"/>
        <w:rPr>
          <w:rFonts w:ascii="Arial" w:hAnsi="Arial"/>
          <w:rtl/>
        </w:rPr>
      </w:pPr>
      <w:r>
        <w:rPr>
          <w:rFonts w:ascii="Arial" w:hAnsi="Arial"/>
          <w:rtl/>
        </w:rPr>
        <w:t xml:space="preserve">לא נעלמה מעיני גם ההערכה החיובית שניתנה לנאשם על-ידי קצין המבחנים למבוגרים. </w:t>
      </w:r>
    </w:p>
    <w:p w14:paraId="24AC5A60" w14:textId="77777777" w:rsidR="00CB0B57" w:rsidRDefault="00CB0B57">
      <w:pPr>
        <w:tabs>
          <w:tab w:val="right" w:pos="7946"/>
        </w:tabs>
        <w:spacing w:line="360" w:lineRule="auto"/>
        <w:ind w:right="360"/>
        <w:jc w:val="both"/>
        <w:rPr>
          <w:rFonts w:ascii="Arial" w:hAnsi="Arial"/>
          <w:rtl/>
        </w:rPr>
      </w:pPr>
    </w:p>
    <w:p w14:paraId="0313D16C" w14:textId="77777777" w:rsidR="00CB0B57" w:rsidRDefault="00736D23">
      <w:pPr>
        <w:tabs>
          <w:tab w:val="right" w:pos="7946"/>
        </w:tabs>
        <w:spacing w:line="360" w:lineRule="auto"/>
        <w:ind w:right="360"/>
        <w:jc w:val="both"/>
        <w:rPr>
          <w:rFonts w:ascii="Arial" w:hAnsi="Arial"/>
          <w:rtl/>
        </w:rPr>
      </w:pPr>
      <w:r>
        <w:rPr>
          <w:rFonts w:ascii="Arial" w:hAnsi="Arial"/>
          <w:rtl/>
        </w:rPr>
        <w:t>יחד עם האמור לעיל, אני סבור כי בנסיבות העניין, לא ניתן לאמץ את המלצת שירות המבחן להטלת עונש מאסר לריצוי בעבודות שירות, מאחר וענישה שכזו, אין בה כדי להדגיש את אלמנט ההרתעה הנדרש הן כלפי הנאשם והן כלפי אחרים שכמותו.</w:t>
      </w:r>
    </w:p>
    <w:p w14:paraId="2A55C6B8" w14:textId="77777777" w:rsidR="00CB0B57" w:rsidRDefault="00CB0B57">
      <w:pPr>
        <w:tabs>
          <w:tab w:val="right" w:pos="7946"/>
        </w:tabs>
        <w:ind w:right="360"/>
        <w:jc w:val="both"/>
        <w:rPr>
          <w:rFonts w:ascii="Arial" w:hAnsi="Arial"/>
          <w:rtl/>
        </w:rPr>
      </w:pPr>
    </w:p>
    <w:p w14:paraId="37B55A50" w14:textId="77777777" w:rsidR="00CB0B57" w:rsidRDefault="00736D23">
      <w:pPr>
        <w:tabs>
          <w:tab w:val="right" w:pos="7946"/>
        </w:tabs>
        <w:spacing w:line="360" w:lineRule="auto"/>
        <w:ind w:right="360"/>
        <w:jc w:val="both"/>
        <w:rPr>
          <w:rFonts w:ascii="Arial" w:hAnsi="Arial"/>
          <w:rtl/>
        </w:rPr>
      </w:pPr>
      <w:r>
        <w:rPr>
          <w:rFonts w:ascii="Arial" w:hAnsi="Arial"/>
          <w:rtl/>
        </w:rPr>
        <w:t xml:space="preserve">יודגש כי, המלצת שירות המבחן הינה רק אחד הפרמטרים אשר על בית המשפט לשקול במכלול השיקולים שבגזירת הדין. </w:t>
      </w:r>
    </w:p>
    <w:p w14:paraId="435674E5" w14:textId="77777777" w:rsidR="00CB0B57" w:rsidRDefault="00CB0B57">
      <w:pPr>
        <w:tabs>
          <w:tab w:val="right" w:pos="7946"/>
        </w:tabs>
        <w:ind w:right="360"/>
        <w:jc w:val="both"/>
        <w:rPr>
          <w:rFonts w:ascii="Arial" w:hAnsi="Arial"/>
          <w:rtl/>
        </w:rPr>
      </w:pPr>
    </w:p>
    <w:p w14:paraId="66CF5A1E" w14:textId="77777777" w:rsidR="00CB0B57" w:rsidRDefault="00736D23">
      <w:pPr>
        <w:tabs>
          <w:tab w:val="right" w:pos="7946"/>
        </w:tabs>
        <w:spacing w:line="360" w:lineRule="auto"/>
        <w:ind w:right="360"/>
        <w:jc w:val="both"/>
        <w:rPr>
          <w:rFonts w:ascii="Arial" w:hAnsi="Arial"/>
          <w:rtl/>
        </w:rPr>
      </w:pPr>
      <w:r>
        <w:rPr>
          <w:rFonts w:ascii="Arial" w:hAnsi="Arial"/>
          <w:rtl/>
        </w:rPr>
        <w:t xml:space="preserve">כאמור, לא התעלמתי מהמובא בתסקיר שירות המבחן ומשאר היבטים לקולא בעניינו של הנאשם, אך איני מוצא לנכון לאמץ את המלצת שירות המבחן, אלא, ליתן ביטוי עונשי לנסיבות שפורטו בתסקיר. </w:t>
      </w:r>
    </w:p>
    <w:p w14:paraId="3BC12470" w14:textId="77777777" w:rsidR="00CB0B57" w:rsidRDefault="00CB0B57">
      <w:pPr>
        <w:tabs>
          <w:tab w:val="right" w:pos="7946"/>
        </w:tabs>
        <w:ind w:right="360"/>
        <w:jc w:val="both"/>
        <w:rPr>
          <w:rFonts w:ascii="Arial" w:hAnsi="Arial"/>
          <w:rtl/>
        </w:rPr>
      </w:pPr>
    </w:p>
    <w:p w14:paraId="7B9FB9F8" w14:textId="77777777" w:rsidR="00CB0B57" w:rsidRDefault="00736D23">
      <w:pPr>
        <w:spacing w:line="360" w:lineRule="auto"/>
        <w:ind w:right="360"/>
        <w:jc w:val="both"/>
        <w:rPr>
          <w:rFonts w:ascii="Arial" w:hAnsi="Arial"/>
          <w:rtl/>
        </w:rPr>
      </w:pPr>
      <w:r>
        <w:rPr>
          <w:rFonts w:ascii="Arial" w:hAnsi="Arial"/>
          <w:rtl/>
        </w:rPr>
        <w:t>לאחר ששקלתי את מכלול השיקולים הרלוונטיים הן לקולא והן לחומרה, אני מחליט לגזור על הנאשם את העונשים כדלקמן:</w:t>
      </w:r>
    </w:p>
    <w:p w14:paraId="39AE64C4" w14:textId="77777777" w:rsidR="00CB0B57" w:rsidRDefault="00CB0B57">
      <w:pPr>
        <w:spacing w:line="360" w:lineRule="auto"/>
        <w:ind w:right="360"/>
        <w:jc w:val="both"/>
        <w:rPr>
          <w:rFonts w:ascii="Arial" w:hAnsi="Arial"/>
          <w:rtl/>
        </w:rPr>
      </w:pPr>
    </w:p>
    <w:p w14:paraId="725C8ED6" w14:textId="77777777" w:rsidR="00CB0B57" w:rsidRDefault="00736D23">
      <w:pPr>
        <w:spacing w:line="360" w:lineRule="auto"/>
        <w:ind w:left="720" w:right="360" w:hanging="720"/>
        <w:jc w:val="both"/>
        <w:rPr>
          <w:rFonts w:ascii="Arial" w:hAnsi="Arial"/>
          <w:rtl/>
        </w:rPr>
      </w:pPr>
      <w:r>
        <w:rPr>
          <w:rFonts w:ascii="Arial" w:hAnsi="Arial" w:hint="cs"/>
          <w:rtl/>
        </w:rPr>
        <w:t>א.</w:t>
      </w:r>
      <w:r>
        <w:rPr>
          <w:rFonts w:ascii="Arial" w:hAnsi="Arial" w:hint="cs"/>
          <w:rtl/>
        </w:rPr>
        <w:tab/>
      </w:r>
      <w:r>
        <w:rPr>
          <w:rFonts w:ascii="Arial" w:hAnsi="Arial"/>
          <w:rtl/>
        </w:rPr>
        <w:t>12 חודשי מאסר בפועל.</w:t>
      </w:r>
    </w:p>
    <w:p w14:paraId="63E0AD90" w14:textId="77777777" w:rsidR="00CB0B57" w:rsidRDefault="00736D23">
      <w:pPr>
        <w:spacing w:line="360" w:lineRule="auto"/>
        <w:ind w:left="720" w:right="360" w:hanging="720"/>
        <w:jc w:val="both"/>
        <w:rPr>
          <w:rFonts w:ascii="Arial" w:hAnsi="Arial"/>
          <w:rtl/>
        </w:rPr>
      </w:pPr>
      <w:r>
        <w:rPr>
          <w:rFonts w:ascii="Arial" w:hAnsi="Arial" w:hint="cs"/>
          <w:rtl/>
        </w:rPr>
        <w:t>ב.</w:t>
      </w:r>
      <w:r>
        <w:rPr>
          <w:rFonts w:ascii="Arial" w:hAnsi="Arial" w:hint="cs"/>
          <w:rtl/>
        </w:rPr>
        <w:tab/>
      </w:r>
      <w:r>
        <w:rPr>
          <w:rFonts w:ascii="Arial" w:hAnsi="Arial"/>
          <w:rtl/>
        </w:rPr>
        <w:t xml:space="preserve">12 חודשי מאסר על תנאי למשך 3 שנים לבל יעבור עבירות בנשק מסוג פשע. </w:t>
      </w:r>
    </w:p>
    <w:p w14:paraId="3D6F5709" w14:textId="77777777" w:rsidR="00CB0B57" w:rsidRDefault="00CB0B57">
      <w:pPr>
        <w:spacing w:line="360" w:lineRule="auto"/>
        <w:ind w:left="720" w:right="360" w:hanging="720"/>
        <w:jc w:val="both"/>
        <w:rPr>
          <w:rFonts w:ascii="Arial" w:hAnsi="Arial"/>
          <w:rtl/>
        </w:rPr>
      </w:pPr>
    </w:p>
    <w:p w14:paraId="736AD96B" w14:textId="77777777" w:rsidR="00CB0B57" w:rsidRDefault="00736D23">
      <w:pPr>
        <w:spacing w:line="360" w:lineRule="auto"/>
        <w:ind w:left="720" w:right="360" w:hanging="720"/>
        <w:jc w:val="both"/>
        <w:rPr>
          <w:rFonts w:ascii="Arial" w:hAnsi="Arial"/>
        </w:rPr>
      </w:pPr>
      <w:r>
        <w:rPr>
          <w:rFonts w:ascii="Arial" w:hAnsi="Arial"/>
          <w:rtl/>
        </w:rPr>
        <w:t xml:space="preserve">בנסיבות העניין, אני מחליט להימנע מלהשית על הנאשם קנס כספי. </w:t>
      </w:r>
    </w:p>
    <w:p w14:paraId="6523E650" w14:textId="77777777" w:rsidR="00CB0B57" w:rsidRDefault="00CB0B57">
      <w:pPr>
        <w:tabs>
          <w:tab w:val="right" w:pos="7946"/>
        </w:tabs>
        <w:ind w:right="360"/>
        <w:jc w:val="both"/>
        <w:rPr>
          <w:rFonts w:ascii="Arial" w:hAnsi="Arial"/>
          <w:rtl/>
        </w:rPr>
      </w:pPr>
    </w:p>
    <w:p w14:paraId="2D47826D" w14:textId="77777777" w:rsidR="00CB0B57" w:rsidRDefault="00736D23">
      <w:pPr>
        <w:tabs>
          <w:tab w:val="right" w:pos="7946"/>
        </w:tabs>
        <w:ind w:right="360"/>
        <w:jc w:val="both"/>
        <w:rPr>
          <w:rFonts w:ascii="Arial" w:hAnsi="Arial"/>
          <w:rtl/>
        </w:rPr>
      </w:pPr>
      <w:r>
        <w:rPr>
          <w:rFonts w:ascii="Arial" w:hAnsi="Arial"/>
          <w:rtl/>
        </w:rPr>
        <w:t xml:space="preserve">לצורך מניין תקופת המאסר, תימנה תקופת שהייתו במעצר </w:t>
      </w:r>
      <w:r>
        <w:rPr>
          <w:rFonts w:ascii="Arial" w:hAnsi="Arial"/>
          <w:u w:val="single"/>
          <w:rtl/>
        </w:rPr>
        <w:t>מיום 02/06/13 ועד 10/06/13.</w:t>
      </w:r>
    </w:p>
    <w:p w14:paraId="2B6350A3" w14:textId="77777777" w:rsidR="00CB0B57" w:rsidRDefault="00CB0B57">
      <w:pPr>
        <w:tabs>
          <w:tab w:val="right" w:pos="7946"/>
        </w:tabs>
        <w:spacing w:line="360" w:lineRule="auto"/>
        <w:ind w:right="360"/>
        <w:jc w:val="both"/>
        <w:rPr>
          <w:rFonts w:ascii="Arial" w:hAnsi="Arial"/>
          <w:rtl/>
        </w:rPr>
      </w:pPr>
    </w:p>
    <w:p w14:paraId="1C194A2B" w14:textId="77777777" w:rsidR="00CB0B57" w:rsidRDefault="00736D23">
      <w:pPr>
        <w:tabs>
          <w:tab w:val="right" w:pos="7946"/>
        </w:tabs>
        <w:spacing w:line="360" w:lineRule="auto"/>
        <w:ind w:right="360"/>
        <w:jc w:val="both"/>
        <w:rPr>
          <w:rFonts w:ascii="Arial" w:hAnsi="Arial"/>
          <w:b/>
          <w:bCs/>
          <w:rtl/>
        </w:rPr>
      </w:pPr>
      <w:r>
        <w:rPr>
          <w:rFonts w:ascii="Arial" w:hAnsi="Arial"/>
          <w:b/>
          <w:bCs/>
          <w:rtl/>
        </w:rPr>
        <w:t>זכות ערער לבית-המשפט העליון תוך 45 יום.</w:t>
      </w:r>
    </w:p>
    <w:p w14:paraId="113F1C01" w14:textId="77777777" w:rsidR="00CB0B57" w:rsidRDefault="00CB0B57">
      <w:pPr>
        <w:spacing w:line="360" w:lineRule="auto"/>
        <w:rPr>
          <w:rtl/>
        </w:rPr>
      </w:pPr>
    </w:p>
    <w:p w14:paraId="3D2217AC" w14:textId="77777777" w:rsidR="00CB0B57" w:rsidRDefault="00736D23">
      <w:pPr>
        <w:spacing w:line="360" w:lineRule="auto"/>
        <w:jc w:val="both"/>
        <w:rPr>
          <w:rFonts w:ascii="Arial" w:hAnsi="Arial"/>
          <w:rtl/>
        </w:rPr>
      </w:pPr>
      <w:r w:rsidRPr="00736D23">
        <w:rPr>
          <w:rFonts w:ascii="Arial" w:hAnsi="Arial"/>
          <w:color w:val="FFFFFF"/>
          <w:sz w:val="2"/>
          <w:szCs w:val="2"/>
          <w:rtl/>
        </w:rPr>
        <w:t>5129371</w:t>
      </w:r>
      <w:r>
        <w:rPr>
          <w:rFonts w:ascii="Arial" w:hAnsi="Arial"/>
          <w:rtl/>
        </w:rPr>
        <w:t xml:space="preserve">ניתן היום,  כ"ד חשון תשע"ד, 28 אוקטובר 2013, במעמד באי כח הצדדים והנאשם.  </w:t>
      </w:r>
    </w:p>
    <w:tbl>
      <w:tblPr>
        <w:bidiVisual/>
        <w:tblW w:w="0" w:type="auto"/>
        <w:jc w:val="right"/>
        <w:tblLook w:val="01E0" w:firstRow="1" w:lastRow="1" w:firstColumn="1" w:lastColumn="1" w:noHBand="0" w:noVBand="0"/>
      </w:tblPr>
      <w:tblGrid>
        <w:gridCol w:w="2474"/>
      </w:tblGrid>
      <w:tr w:rsidR="00CB0B57" w14:paraId="07BA4FAA" w14:textId="77777777">
        <w:trPr>
          <w:jc w:val="right"/>
        </w:trPr>
        <w:tc>
          <w:tcPr>
            <w:tcW w:w="2474" w:type="dxa"/>
            <w:tcBorders>
              <w:top w:val="nil"/>
              <w:left w:val="nil"/>
              <w:bottom w:val="single" w:sz="4" w:space="0" w:color="auto"/>
              <w:right w:val="nil"/>
            </w:tcBorders>
            <w:vAlign w:val="center"/>
          </w:tcPr>
          <w:p w14:paraId="5FF2FBFF" w14:textId="77777777" w:rsidR="00CB0B57" w:rsidRPr="00736D23" w:rsidRDefault="00736D23">
            <w:pPr>
              <w:spacing w:line="360" w:lineRule="auto"/>
              <w:jc w:val="center"/>
              <w:rPr>
                <w:rFonts w:ascii="Courier New" w:hAnsi="Courier New"/>
                <w:b/>
                <w:bCs/>
                <w:color w:val="FFFFFF"/>
                <w:sz w:val="2"/>
                <w:szCs w:val="2"/>
                <w:lang w:eastAsia="he-IL"/>
              </w:rPr>
            </w:pPr>
            <w:r w:rsidRPr="00736D23">
              <w:rPr>
                <w:rFonts w:ascii="Courier New" w:hAnsi="Courier New"/>
                <w:b/>
                <w:bCs/>
                <w:color w:val="FFFFFF"/>
                <w:sz w:val="2"/>
                <w:szCs w:val="2"/>
                <w:rtl/>
                <w:lang w:eastAsia="he-IL"/>
              </w:rPr>
              <w:t>54678313</w:t>
            </w:r>
          </w:p>
        </w:tc>
      </w:tr>
      <w:tr w:rsidR="00CB0B57" w14:paraId="505974C8" w14:textId="77777777">
        <w:trPr>
          <w:jc w:val="right"/>
        </w:trPr>
        <w:tc>
          <w:tcPr>
            <w:tcW w:w="2474" w:type="dxa"/>
            <w:tcBorders>
              <w:top w:val="single" w:sz="4" w:space="0" w:color="auto"/>
              <w:left w:val="nil"/>
              <w:bottom w:val="nil"/>
              <w:right w:val="nil"/>
            </w:tcBorders>
          </w:tcPr>
          <w:p w14:paraId="118EE110" w14:textId="77777777" w:rsidR="00CB0B57" w:rsidRDefault="00736D23">
            <w:pPr>
              <w:spacing w:line="360" w:lineRule="auto"/>
              <w:jc w:val="center"/>
              <w:rPr>
                <w:b/>
                <w:bCs/>
                <w:noProof/>
                <w:sz w:val="28"/>
                <w:rtl/>
                <w:lang w:eastAsia="he-IL"/>
              </w:rPr>
            </w:pPr>
            <w:r>
              <w:rPr>
                <w:rFonts w:hint="cs"/>
                <w:b/>
                <w:bCs/>
                <w:sz w:val="28"/>
                <w:rtl/>
              </w:rPr>
              <w:t>יוסף אלרון שופט</w:t>
            </w:r>
            <w:r>
              <w:rPr>
                <w:rFonts w:hint="cs"/>
                <w:b/>
                <w:bCs/>
                <w:noProof/>
                <w:sz w:val="28"/>
                <w:rtl/>
                <w:lang w:eastAsia="he-IL"/>
              </w:rPr>
              <w:t>,</w:t>
            </w:r>
          </w:p>
          <w:p w14:paraId="315CCE0C" w14:textId="77777777" w:rsidR="00CB0B57" w:rsidRDefault="00736D23">
            <w:pPr>
              <w:spacing w:line="360" w:lineRule="auto"/>
              <w:jc w:val="center"/>
              <w:rPr>
                <w:b/>
                <w:bCs/>
                <w:noProof/>
                <w:sz w:val="28"/>
              </w:rPr>
            </w:pPr>
            <w:r>
              <w:rPr>
                <w:rFonts w:hint="cs"/>
                <w:b/>
                <w:bCs/>
                <w:noProof/>
                <w:sz w:val="28"/>
                <w:rtl/>
              </w:rPr>
              <w:t xml:space="preserve">נשיא </w:t>
            </w:r>
          </w:p>
        </w:tc>
      </w:tr>
    </w:tbl>
    <w:p w14:paraId="12E1EF01" w14:textId="77777777" w:rsidR="00CB0B57" w:rsidRDefault="00736D23">
      <w:pPr>
        <w:pStyle w:val="a3"/>
        <w:rPr>
          <w:rtl/>
        </w:rPr>
      </w:pPr>
      <w:r>
        <w:rPr>
          <w:rFonts w:hint="cs"/>
          <w:rtl/>
        </w:rPr>
        <w:t>אתי עטיאס</w:t>
      </w:r>
      <w:bookmarkStart w:id="7" w:name="_GoBack"/>
      <w:bookmarkEnd w:id="7"/>
    </w:p>
    <w:p w14:paraId="009AC4BF" w14:textId="77777777" w:rsidR="00736D23" w:rsidRPr="00736D23" w:rsidRDefault="00736D23" w:rsidP="00736D23">
      <w:pPr>
        <w:keepNext/>
        <w:rPr>
          <w:rFonts w:ascii="David" w:hAnsi="David"/>
          <w:color w:val="000000"/>
          <w:sz w:val="22"/>
          <w:szCs w:val="22"/>
          <w:rtl/>
        </w:rPr>
      </w:pPr>
    </w:p>
    <w:p w14:paraId="4C7A7C86" w14:textId="77777777" w:rsidR="00736D23" w:rsidRPr="00736D23" w:rsidRDefault="00736D23" w:rsidP="00736D23">
      <w:pPr>
        <w:keepNext/>
        <w:rPr>
          <w:rFonts w:ascii="David" w:hAnsi="David"/>
          <w:color w:val="000000"/>
          <w:sz w:val="22"/>
          <w:szCs w:val="22"/>
          <w:rtl/>
        </w:rPr>
      </w:pPr>
      <w:r w:rsidRPr="00736D23">
        <w:rPr>
          <w:rFonts w:ascii="David" w:hAnsi="David"/>
          <w:color w:val="000000"/>
          <w:sz w:val="22"/>
          <w:szCs w:val="22"/>
          <w:rtl/>
        </w:rPr>
        <w:t>יוסף אלרון 54678313</w:t>
      </w:r>
    </w:p>
    <w:p w14:paraId="1207EFCF" w14:textId="77777777" w:rsidR="00736D23" w:rsidRDefault="00736D23" w:rsidP="00736D23">
      <w:r w:rsidRPr="00736D23">
        <w:rPr>
          <w:color w:val="000000"/>
          <w:rtl/>
        </w:rPr>
        <w:t>נוסח מסמך זה כפוף לשינויי ניסוח ועריכה</w:t>
      </w:r>
    </w:p>
    <w:p w14:paraId="55878FF2" w14:textId="77777777" w:rsidR="00736D23" w:rsidRDefault="00736D23" w:rsidP="00736D23">
      <w:pPr>
        <w:rPr>
          <w:rtl/>
        </w:rPr>
      </w:pPr>
    </w:p>
    <w:p w14:paraId="4CAA1626" w14:textId="77777777" w:rsidR="00736D23" w:rsidRDefault="00736D23" w:rsidP="00736D23">
      <w:pPr>
        <w:jc w:val="center"/>
        <w:rPr>
          <w:color w:val="0000FF"/>
          <w:u w:val="single"/>
        </w:rPr>
      </w:pPr>
      <w:r w:rsidRPr="001B2212">
        <w:rPr>
          <w:color w:val="000000"/>
          <w:rtl/>
        </w:rPr>
        <w:t>בעניין עריכה ושינויים במסמכי פסיקה, חקיקה ועוד באתר נבו – הקש כאן</w:t>
      </w:r>
    </w:p>
    <w:p w14:paraId="3420847A" w14:textId="77777777" w:rsidR="00CB0B57" w:rsidRPr="00736D23" w:rsidRDefault="00CB0B57" w:rsidP="00736D23">
      <w:pPr>
        <w:jc w:val="center"/>
        <w:rPr>
          <w:color w:val="0000FF"/>
          <w:u w:val="single"/>
        </w:rPr>
      </w:pPr>
    </w:p>
    <w:sectPr w:rsidR="00CB0B57" w:rsidRPr="00736D23" w:rsidSect="00736D23">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E28BD" w14:textId="77777777" w:rsidR="0021678A" w:rsidRPr="00126E88" w:rsidRDefault="0021678A">
      <w:pPr>
        <w:rPr>
          <w:rFonts w:cs="Arial"/>
          <w:szCs w:val="20"/>
        </w:rPr>
      </w:pPr>
      <w:r>
        <w:separator/>
      </w:r>
    </w:p>
  </w:endnote>
  <w:endnote w:type="continuationSeparator" w:id="0">
    <w:p w14:paraId="5228283D" w14:textId="77777777" w:rsidR="0021678A" w:rsidRPr="00126E88" w:rsidRDefault="0021678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1A861" w14:textId="77777777" w:rsidR="00E53C2E" w:rsidRDefault="00E53C2E" w:rsidP="00736D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85780B" w14:textId="77777777" w:rsidR="00E53C2E" w:rsidRPr="00736D23" w:rsidRDefault="00E53C2E" w:rsidP="00736D23">
    <w:pPr>
      <w:pStyle w:val="a4"/>
      <w:pBdr>
        <w:top w:val="single" w:sz="4" w:space="1" w:color="auto"/>
        <w:between w:val="single" w:sz="4" w:space="0" w:color="auto"/>
      </w:pBdr>
      <w:spacing w:after="60"/>
      <w:jc w:val="center"/>
      <w:rPr>
        <w:rFonts w:ascii="FrankRuehl" w:hAnsi="FrankRuehl" w:cs="FrankRuehl"/>
        <w:color w:val="000000"/>
      </w:rPr>
    </w:pPr>
    <w:r w:rsidRPr="00736D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4F2A9" w14:textId="77777777" w:rsidR="00E53C2E" w:rsidRDefault="00E53C2E" w:rsidP="00736D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618B">
      <w:rPr>
        <w:rFonts w:ascii="FrankRuehl" w:hAnsi="FrankRuehl" w:cs="FrankRuehl"/>
        <w:noProof/>
        <w:rtl/>
      </w:rPr>
      <w:t>1</w:t>
    </w:r>
    <w:r>
      <w:rPr>
        <w:rFonts w:ascii="FrankRuehl" w:hAnsi="FrankRuehl" w:cs="FrankRuehl"/>
        <w:rtl/>
      </w:rPr>
      <w:fldChar w:fldCharType="end"/>
    </w:r>
  </w:p>
  <w:p w14:paraId="557E2612" w14:textId="77777777" w:rsidR="00E53C2E" w:rsidRPr="00736D23" w:rsidRDefault="00E53C2E" w:rsidP="00736D23">
    <w:pPr>
      <w:pStyle w:val="a4"/>
      <w:pBdr>
        <w:top w:val="single" w:sz="4" w:space="1" w:color="auto"/>
        <w:between w:val="single" w:sz="4" w:space="0" w:color="auto"/>
      </w:pBdr>
      <w:spacing w:after="60"/>
      <w:jc w:val="center"/>
      <w:rPr>
        <w:rFonts w:ascii="FrankRuehl" w:hAnsi="FrankRuehl" w:cs="FrankRuehl"/>
        <w:color w:val="000000"/>
      </w:rPr>
    </w:pPr>
    <w:r w:rsidRPr="00736D23">
      <w:rPr>
        <w:rFonts w:ascii="FrankRuehl" w:hAnsi="FrankRuehl" w:cs="FrankRuehl"/>
        <w:color w:val="000000"/>
      </w:rPr>
      <w:pict w14:anchorId="07449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FE5F7" w14:textId="77777777" w:rsidR="0021678A" w:rsidRPr="00126E88" w:rsidRDefault="0021678A">
      <w:pPr>
        <w:rPr>
          <w:rFonts w:cs="Arial"/>
          <w:szCs w:val="20"/>
        </w:rPr>
      </w:pPr>
      <w:r>
        <w:separator/>
      </w:r>
    </w:p>
  </w:footnote>
  <w:footnote w:type="continuationSeparator" w:id="0">
    <w:p w14:paraId="7C0C0504" w14:textId="77777777" w:rsidR="0021678A" w:rsidRPr="00126E88" w:rsidRDefault="0021678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8A13" w14:textId="77777777" w:rsidR="00E53C2E" w:rsidRPr="00736D23" w:rsidRDefault="00E53C2E" w:rsidP="00736D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9162-06-13</w:t>
    </w:r>
    <w:r>
      <w:rPr>
        <w:rFonts w:ascii="David" w:hAnsi="David"/>
        <w:color w:val="000000"/>
        <w:sz w:val="22"/>
        <w:szCs w:val="22"/>
        <w:rtl/>
      </w:rPr>
      <w:tab/>
      <w:t xml:space="preserve"> מדינת ישראל נ' ביאן נגאר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42B76" w14:textId="77777777" w:rsidR="00E53C2E" w:rsidRPr="00736D23" w:rsidRDefault="00E53C2E" w:rsidP="00736D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9162-06-13</w:t>
    </w:r>
    <w:r>
      <w:rPr>
        <w:rFonts w:ascii="David" w:hAnsi="David"/>
        <w:color w:val="000000"/>
        <w:sz w:val="22"/>
        <w:szCs w:val="22"/>
        <w:rtl/>
      </w:rPr>
      <w:tab/>
      <w:t xml:space="preserve"> מדינת ישראל נ' ביאן נגאר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0B57"/>
    <w:rsid w:val="00164438"/>
    <w:rsid w:val="001B2212"/>
    <w:rsid w:val="0021678A"/>
    <w:rsid w:val="00474B19"/>
    <w:rsid w:val="004B6C56"/>
    <w:rsid w:val="004C618B"/>
    <w:rsid w:val="005C2127"/>
    <w:rsid w:val="006C62E9"/>
    <w:rsid w:val="00736D23"/>
    <w:rsid w:val="00B778DD"/>
    <w:rsid w:val="00C30092"/>
    <w:rsid w:val="00CB0B57"/>
    <w:rsid w:val="00DD0E85"/>
    <w:rsid w:val="00E53C2E"/>
    <w:rsid w:val="00EF3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074707"/>
  <w15:chartTrackingRefBased/>
  <w15:docId w15:val="{DF7748E4-F0FF-4453-A2EC-8DB3748A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0B5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B0B57"/>
    <w:pPr>
      <w:tabs>
        <w:tab w:val="center" w:pos="4153"/>
        <w:tab w:val="right" w:pos="8306"/>
      </w:tabs>
    </w:pPr>
  </w:style>
  <w:style w:type="paragraph" w:styleId="a4">
    <w:name w:val="footer"/>
    <w:basedOn w:val="a"/>
    <w:rsid w:val="00CB0B57"/>
    <w:pPr>
      <w:tabs>
        <w:tab w:val="center" w:pos="4153"/>
        <w:tab w:val="right" w:pos="8306"/>
      </w:tabs>
    </w:pPr>
  </w:style>
  <w:style w:type="character" w:styleId="a5">
    <w:name w:val="page number"/>
    <w:basedOn w:val="a0"/>
    <w:rsid w:val="00CB0B57"/>
  </w:style>
  <w:style w:type="character" w:styleId="Hyperlink">
    <w:name w:val="Hyperlink"/>
    <w:rsid w:val="00CB0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144.b" TargetMode="External"/><Relationship Id="rId12" Type="http://schemas.openxmlformats.org/officeDocument/2006/relationships/hyperlink" Target="http://www.nevo.co.il/case/647303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52404"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7043</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8435</CharactersWithSpaces>
  <SharedDoc>false</SharedDoc>
  <HLinks>
    <vt:vector size="42" baseType="variant">
      <vt:variant>
        <vt:i4>3539056</vt:i4>
      </vt:variant>
      <vt:variant>
        <vt:i4>18</vt:i4>
      </vt:variant>
      <vt:variant>
        <vt:i4>0</vt:i4>
      </vt:variant>
      <vt:variant>
        <vt:i4>5</vt:i4>
      </vt:variant>
      <vt:variant>
        <vt:lpwstr>http://www.nevo.co.il/case/6473037</vt:lpwstr>
      </vt:variant>
      <vt:variant>
        <vt:lpwstr/>
      </vt:variant>
      <vt:variant>
        <vt:i4>3145854</vt:i4>
      </vt:variant>
      <vt:variant>
        <vt:i4>15</vt:i4>
      </vt:variant>
      <vt:variant>
        <vt:i4>0</vt:i4>
      </vt:variant>
      <vt:variant>
        <vt:i4>5</vt:i4>
      </vt:variant>
      <vt:variant>
        <vt:lpwstr>http://www.nevo.co.il/case/5852404</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9162</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ביאן נגאר</vt:lpwstr>
  </property>
  <property fmtid="{D5CDD505-2E9C-101B-9397-08002B2CF9AE}" pid="10" name="JUDGE">
    <vt:lpwstr>יוסף אלרון</vt:lpwstr>
  </property>
  <property fmtid="{D5CDD505-2E9C-101B-9397-08002B2CF9AE}" pid="11" name="CITY">
    <vt:lpwstr>חי'</vt:lpwstr>
  </property>
  <property fmtid="{D5CDD505-2E9C-101B-9397-08002B2CF9AE}" pid="12" name="DATE">
    <vt:lpwstr>20131028</vt:lpwstr>
  </property>
  <property fmtid="{D5CDD505-2E9C-101B-9397-08002B2CF9AE}" pid="13" name="TYPE_N_DATE">
    <vt:lpwstr>39020131028</vt:lpwstr>
  </property>
  <property fmtid="{D5CDD505-2E9C-101B-9397-08002B2CF9AE}" pid="14" name="WORDNUMPAGES">
    <vt:lpwstr>6</vt:lpwstr>
  </property>
  <property fmtid="{D5CDD505-2E9C-101B-9397-08002B2CF9AE}" pid="15" name="TYPE_ABS_DATE">
    <vt:lpwstr>390020131028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5852404;6473037</vt:lpwstr>
  </property>
  <property fmtid="{D5CDD505-2E9C-101B-9397-08002B2CF9AE}" pid="36" name="LAWLISTTMP1">
    <vt:lpwstr>70301/144.b</vt:lpwstr>
  </property>
</Properties>
</file>