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329"/>
        <w:gridCol w:w="392"/>
      </w:tblGrid>
      <w:tr w:rsidR="00F41B59" w:rsidRPr="005C66F6" w14:paraId="7534939C" w14:textId="77777777">
        <w:trPr>
          <w:trHeight w:hRule="exact" w:val="704"/>
          <w:jc w:val="center"/>
        </w:trPr>
        <w:tc>
          <w:tcPr>
            <w:tcW w:w="8721" w:type="dxa"/>
            <w:gridSpan w:val="2"/>
          </w:tcPr>
          <w:p w14:paraId="19334191" w14:textId="77777777" w:rsidR="00F41B59" w:rsidRPr="005C66F6" w:rsidRDefault="005C66F6">
            <w:pPr>
              <w:pStyle w:val="a3"/>
              <w:jc w:val="center"/>
              <w:rPr>
                <w:rFonts w:ascii="Tahoma" w:hAnsi="Tahoma" w:cs="FrankRuehl"/>
                <w:b/>
                <w:bCs/>
                <w:noProof w:val="0"/>
                <w:color w:val="000080"/>
                <w:sz w:val="32"/>
                <w:szCs w:val="32"/>
                <w:rtl/>
              </w:rPr>
            </w:pPr>
            <w:bookmarkStart w:id="0" w:name="LastJudge"/>
            <w:r w:rsidRPr="005C66F6">
              <w:rPr>
                <w:rFonts w:ascii="Tahoma" w:hAnsi="Tahoma" w:cs="FrankRuehl"/>
                <w:b/>
                <w:bCs/>
                <w:noProof w:val="0"/>
                <w:color w:val="000080"/>
                <w:sz w:val="32"/>
                <w:szCs w:val="32"/>
                <w:rtl/>
              </w:rPr>
              <w:t>בית המשפט המחוזי בירושלים</w:t>
            </w:r>
          </w:p>
          <w:p w14:paraId="5E671E42" w14:textId="77777777" w:rsidR="00F41B59" w:rsidRPr="005C66F6" w:rsidRDefault="005C66F6">
            <w:pPr>
              <w:pStyle w:val="a3"/>
              <w:jc w:val="center"/>
              <w:rPr>
                <w:rFonts w:ascii="Tahoma" w:hAnsi="Tahoma" w:cs="FrankRuehl"/>
                <w:b/>
                <w:bCs/>
                <w:noProof w:val="0"/>
                <w:color w:val="000080"/>
                <w:sz w:val="32"/>
                <w:szCs w:val="32"/>
                <w:rtl/>
              </w:rPr>
            </w:pPr>
            <w:r w:rsidRPr="005C66F6">
              <w:rPr>
                <w:rFonts w:ascii="Tahoma" w:hAnsi="Tahoma" w:cs="FrankRuehl" w:hint="cs"/>
                <w:b/>
                <w:bCs/>
                <w:noProof w:val="0"/>
                <w:color w:val="000080"/>
                <w:sz w:val="32"/>
                <w:szCs w:val="32"/>
                <w:rtl/>
              </w:rPr>
              <w:t>לפני כב' השופט י' נועם</w:t>
            </w:r>
          </w:p>
          <w:p w14:paraId="3500A7DD" w14:textId="77777777" w:rsidR="00F41B59" w:rsidRPr="005C66F6" w:rsidRDefault="00F41B59">
            <w:pPr>
              <w:pStyle w:val="a3"/>
              <w:jc w:val="center"/>
              <w:rPr>
                <w:rFonts w:ascii="Tahoma" w:hAnsi="Tahoma" w:cs="Tahoma"/>
                <w:noProof w:val="0"/>
                <w:color w:val="000080"/>
                <w:rtl/>
              </w:rPr>
            </w:pPr>
          </w:p>
        </w:tc>
      </w:tr>
      <w:tr w:rsidR="00F41B59" w:rsidRPr="005C66F6" w14:paraId="08537134" w14:textId="77777777">
        <w:trPr>
          <w:trHeight w:val="337"/>
          <w:jc w:val="center"/>
        </w:trPr>
        <w:tc>
          <w:tcPr>
            <w:tcW w:w="8329" w:type="dxa"/>
          </w:tcPr>
          <w:p w14:paraId="7D0FCF10" w14:textId="77777777" w:rsidR="00F41B59" w:rsidRPr="005C66F6" w:rsidRDefault="005C66F6">
            <w:pPr>
              <w:spacing w:line="360" w:lineRule="auto"/>
              <w:rPr>
                <w:rtl/>
              </w:rPr>
            </w:pPr>
            <w:r w:rsidRPr="005C66F6">
              <w:rPr>
                <w:rFonts w:cs="FrankRuehl"/>
                <w:b/>
                <w:bCs/>
                <w:noProof w:val="0"/>
                <w:sz w:val="28"/>
                <w:szCs w:val="28"/>
                <w:rtl/>
              </w:rPr>
              <w:t xml:space="preserve">ת"פ 11775-07-13 מדינת ישראל נ' </w:t>
            </w:r>
            <w:r w:rsidRPr="005C66F6">
              <w:rPr>
                <w:rFonts w:cs="FrankRuehl" w:hint="cs"/>
                <w:b/>
                <w:bCs/>
                <w:noProof w:val="0"/>
                <w:sz w:val="28"/>
                <w:szCs w:val="28"/>
                <w:rtl/>
              </w:rPr>
              <w:t>רגאאי והבה</w:t>
            </w:r>
          </w:p>
        </w:tc>
        <w:tc>
          <w:tcPr>
            <w:tcW w:w="392" w:type="dxa"/>
          </w:tcPr>
          <w:p w14:paraId="6287A1B4" w14:textId="77777777" w:rsidR="00F41B59" w:rsidRPr="005C66F6" w:rsidRDefault="00F41B59">
            <w:pPr>
              <w:pStyle w:val="a3"/>
              <w:spacing w:line="360" w:lineRule="auto"/>
              <w:rPr>
                <w:rFonts w:cs="FrankRuehl"/>
                <w:b/>
                <w:bCs/>
                <w:noProof w:val="0"/>
                <w:sz w:val="28"/>
                <w:szCs w:val="28"/>
                <w:rtl/>
              </w:rPr>
            </w:pPr>
          </w:p>
        </w:tc>
      </w:tr>
    </w:tbl>
    <w:p w14:paraId="042A8035" w14:textId="77777777" w:rsidR="00F41B59" w:rsidRPr="005C66F6" w:rsidRDefault="005C66F6">
      <w:pPr>
        <w:pStyle w:val="a3"/>
        <w:rPr>
          <w:noProof w:val="0"/>
          <w:rtl/>
        </w:rPr>
      </w:pPr>
      <w:r w:rsidRPr="005C66F6">
        <w:rPr>
          <w:noProof w:val="0"/>
          <w:rtl/>
        </w:rPr>
        <w:t xml:space="preserve"> </w:t>
      </w:r>
    </w:p>
    <w:p w14:paraId="6D851A16" w14:textId="77777777" w:rsidR="00F41B59" w:rsidRPr="005C66F6" w:rsidRDefault="00F41B59">
      <w:pPr>
        <w:pStyle w:val="a3"/>
        <w:rPr>
          <w:noProof w:val="0"/>
          <w:rtl/>
        </w:rPr>
      </w:pPr>
    </w:p>
    <w:p w14:paraId="2646BDF9" w14:textId="77777777" w:rsidR="00F41B59" w:rsidRPr="005C66F6" w:rsidRDefault="00F41B59">
      <w:pPr>
        <w:rPr>
          <w:rFonts w:cs="FrankRuehl"/>
          <w:sz w:val="28"/>
          <w:szCs w:val="28"/>
          <w:rtl/>
        </w:rPr>
      </w:pPr>
    </w:p>
    <w:tbl>
      <w:tblPr>
        <w:bidiVisual/>
        <w:tblW w:w="8820" w:type="dxa"/>
        <w:jc w:val="center"/>
        <w:tblLook w:val="01E0" w:firstRow="1" w:lastRow="1" w:firstColumn="1" w:lastColumn="1" w:noHBand="0" w:noVBand="0"/>
      </w:tblPr>
      <w:tblGrid>
        <w:gridCol w:w="3249"/>
        <w:gridCol w:w="5571"/>
      </w:tblGrid>
      <w:tr w:rsidR="00F41B59" w:rsidRPr="005C66F6" w14:paraId="51F9446A" w14:textId="77777777">
        <w:trPr>
          <w:jc w:val="center"/>
        </w:trPr>
        <w:tc>
          <w:tcPr>
            <w:tcW w:w="3249" w:type="dxa"/>
          </w:tcPr>
          <w:p w14:paraId="02F2B63A" w14:textId="77777777" w:rsidR="00F41B59" w:rsidRPr="005C66F6" w:rsidRDefault="005C66F6">
            <w:pPr>
              <w:spacing w:line="360" w:lineRule="auto"/>
              <w:rPr>
                <w:rFonts w:ascii="Arial" w:hAnsi="Arial" w:cs="FrankRuehl"/>
                <w:b/>
                <w:bCs/>
                <w:noProof w:val="0"/>
                <w:sz w:val="28"/>
                <w:szCs w:val="28"/>
              </w:rPr>
            </w:pPr>
            <w:bookmarkStart w:id="1" w:name="_GoBack"/>
            <w:bookmarkStart w:id="2" w:name="FirstAppellant"/>
            <w:bookmarkEnd w:id="1"/>
            <w:r w:rsidRPr="005C66F6">
              <w:rPr>
                <w:rFonts w:ascii="Arial" w:hAnsi="Arial" w:cs="FrankRuehl" w:hint="cs"/>
                <w:b/>
                <w:bCs/>
                <w:noProof w:val="0"/>
                <w:sz w:val="28"/>
                <w:szCs w:val="28"/>
                <w:rtl/>
              </w:rPr>
              <w:t>ה</w:t>
            </w:r>
            <w:r w:rsidRPr="005C66F6">
              <w:rPr>
                <w:rFonts w:hint="cs"/>
                <w:rtl/>
              </w:rPr>
              <w:t>מאשימה</w:t>
            </w:r>
          </w:p>
        </w:tc>
        <w:tc>
          <w:tcPr>
            <w:tcW w:w="5571" w:type="dxa"/>
          </w:tcPr>
          <w:p w14:paraId="34458E76" w14:textId="77777777" w:rsidR="00F41B59" w:rsidRPr="005C66F6" w:rsidRDefault="005C66F6">
            <w:pPr>
              <w:spacing w:line="360" w:lineRule="auto"/>
              <w:rPr>
                <w:rtl/>
              </w:rPr>
            </w:pPr>
            <w:r w:rsidRPr="005C66F6">
              <w:rPr>
                <w:rFonts w:hint="cs"/>
                <w:rtl/>
              </w:rPr>
              <w:t>מדינת ישראל</w:t>
            </w:r>
          </w:p>
          <w:p w14:paraId="6B7711F8" w14:textId="77777777" w:rsidR="00F41B59" w:rsidRPr="005C66F6" w:rsidRDefault="005C66F6">
            <w:pPr>
              <w:spacing w:line="360" w:lineRule="auto"/>
              <w:rPr>
                <w:rFonts w:cs="FrankRuehl"/>
                <w:noProof w:val="0"/>
                <w:sz w:val="28"/>
                <w:szCs w:val="28"/>
              </w:rPr>
            </w:pPr>
            <w:r w:rsidRPr="005C66F6">
              <w:rPr>
                <w:rFonts w:ascii="Arial" w:hAnsi="Arial" w:cs="FrankRuehl" w:hint="cs"/>
                <w:noProof w:val="0"/>
                <w:sz w:val="28"/>
                <w:szCs w:val="28"/>
                <w:rtl/>
              </w:rPr>
              <w:t>באמצעות פרקליטות מחוז ירושלים</w:t>
            </w:r>
          </w:p>
        </w:tc>
      </w:tr>
      <w:bookmarkEnd w:id="2"/>
      <w:tr w:rsidR="00F41B59" w:rsidRPr="005C66F6" w14:paraId="0B7C76F7" w14:textId="77777777">
        <w:trPr>
          <w:jc w:val="center"/>
        </w:trPr>
        <w:tc>
          <w:tcPr>
            <w:tcW w:w="8820" w:type="dxa"/>
            <w:gridSpan w:val="2"/>
          </w:tcPr>
          <w:p w14:paraId="62C270F2" w14:textId="77777777" w:rsidR="00F41B59" w:rsidRPr="005C66F6" w:rsidRDefault="00F41B59">
            <w:pPr>
              <w:spacing w:line="360" w:lineRule="auto"/>
              <w:rPr>
                <w:rFonts w:ascii="Arial" w:hAnsi="Arial" w:cs="FrankRuehl"/>
                <w:b/>
                <w:bCs/>
                <w:noProof w:val="0"/>
                <w:sz w:val="28"/>
                <w:szCs w:val="28"/>
                <w:rtl/>
              </w:rPr>
            </w:pPr>
          </w:p>
          <w:p w14:paraId="5873D6F8" w14:textId="77777777" w:rsidR="00F41B59" w:rsidRPr="005C66F6" w:rsidRDefault="005C66F6">
            <w:pPr>
              <w:spacing w:line="360" w:lineRule="auto"/>
              <w:jc w:val="center"/>
              <w:rPr>
                <w:rFonts w:ascii="Arial" w:hAnsi="Arial" w:cs="FrankRuehl"/>
                <w:b/>
                <w:bCs/>
                <w:noProof w:val="0"/>
                <w:sz w:val="28"/>
                <w:szCs w:val="28"/>
                <w:rtl/>
              </w:rPr>
            </w:pPr>
            <w:r w:rsidRPr="005C66F6">
              <w:rPr>
                <w:rFonts w:ascii="Arial" w:hAnsi="Arial" w:cs="FrankRuehl" w:hint="cs"/>
                <w:b/>
                <w:bCs/>
                <w:noProof w:val="0"/>
                <w:sz w:val="28"/>
                <w:szCs w:val="28"/>
                <w:rtl/>
              </w:rPr>
              <w:t>נגד</w:t>
            </w:r>
          </w:p>
          <w:p w14:paraId="6F0AC6E0" w14:textId="77777777" w:rsidR="00F41B59" w:rsidRPr="005C66F6" w:rsidRDefault="00F41B59">
            <w:pPr>
              <w:spacing w:line="360" w:lineRule="auto"/>
              <w:rPr>
                <w:rFonts w:ascii="Arial" w:hAnsi="Arial" w:cs="FrankRuehl"/>
                <w:b/>
                <w:bCs/>
                <w:noProof w:val="0"/>
                <w:sz w:val="28"/>
                <w:szCs w:val="28"/>
              </w:rPr>
            </w:pPr>
          </w:p>
        </w:tc>
      </w:tr>
      <w:tr w:rsidR="00F41B59" w:rsidRPr="005C66F6" w14:paraId="31F6B2C8" w14:textId="77777777">
        <w:trPr>
          <w:jc w:val="center"/>
        </w:trPr>
        <w:tc>
          <w:tcPr>
            <w:tcW w:w="3249" w:type="dxa"/>
          </w:tcPr>
          <w:p w14:paraId="40EC914F" w14:textId="77777777" w:rsidR="00F41B59" w:rsidRPr="005C66F6" w:rsidRDefault="005C66F6">
            <w:pPr>
              <w:spacing w:line="360" w:lineRule="auto"/>
              <w:rPr>
                <w:rFonts w:ascii="Arial" w:hAnsi="Arial" w:cs="FrankRuehl"/>
                <w:b/>
                <w:bCs/>
                <w:noProof w:val="0"/>
                <w:sz w:val="28"/>
                <w:szCs w:val="28"/>
              </w:rPr>
            </w:pPr>
            <w:bookmarkStart w:id="3" w:name="FirstLawyer"/>
            <w:r w:rsidRPr="005C66F6">
              <w:rPr>
                <w:rFonts w:ascii="Arial" w:hAnsi="Arial" w:cs="FrankRuehl" w:hint="cs"/>
                <w:b/>
                <w:bCs/>
                <w:noProof w:val="0"/>
                <w:sz w:val="28"/>
                <w:szCs w:val="28"/>
                <w:rtl/>
              </w:rPr>
              <w:t>ה</w:t>
            </w:r>
            <w:r w:rsidRPr="005C66F6">
              <w:rPr>
                <w:rFonts w:hint="cs"/>
                <w:rtl/>
              </w:rPr>
              <w:t>נאשמים</w:t>
            </w:r>
          </w:p>
        </w:tc>
        <w:tc>
          <w:tcPr>
            <w:tcW w:w="5571" w:type="dxa"/>
          </w:tcPr>
          <w:p w14:paraId="4E8F6AA6" w14:textId="77777777" w:rsidR="00F41B59" w:rsidRPr="005C66F6" w:rsidRDefault="005C66F6">
            <w:pPr>
              <w:spacing w:line="360" w:lineRule="auto"/>
              <w:rPr>
                <w:rFonts w:cs="FrankRuehl"/>
                <w:b/>
                <w:bCs/>
                <w:noProof w:val="0"/>
                <w:sz w:val="28"/>
                <w:szCs w:val="28"/>
              </w:rPr>
            </w:pPr>
            <w:r w:rsidRPr="005C66F6">
              <w:rPr>
                <w:rFonts w:hint="cs"/>
                <w:rtl/>
              </w:rPr>
              <w:t>1</w:t>
            </w:r>
            <w:r w:rsidRPr="005C66F6">
              <w:rPr>
                <w:rFonts w:ascii="Arial" w:hAnsi="Arial" w:cs="FrankRuehl" w:hint="cs"/>
                <w:b/>
                <w:bCs/>
                <w:noProof w:val="0"/>
                <w:sz w:val="28"/>
                <w:szCs w:val="28"/>
                <w:rtl/>
              </w:rPr>
              <w:t>.</w:t>
            </w:r>
            <w:r w:rsidRPr="005C66F6">
              <w:rPr>
                <w:rFonts w:hint="cs"/>
                <w:rtl/>
              </w:rPr>
              <w:t xml:space="preserve"> </w:t>
            </w:r>
            <w:r w:rsidRPr="005C66F6">
              <w:rPr>
                <w:rFonts w:cs="FrankRuehl" w:hint="cs"/>
                <w:rtl/>
              </w:rPr>
              <w:t>עודיי סונקורט – משפטו הסתיים</w:t>
            </w:r>
          </w:p>
          <w:p w14:paraId="6EFB522C" w14:textId="77777777" w:rsidR="00F41B59" w:rsidRPr="005C66F6" w:rsidRDefault="005C66F6">
            <w:pPr>
              <w:spacing w:line="360" w:lineRule="auto"/>
              <w:rPr>
                <w:rtl/>
              </w:rPr>
            </w:pPr>
            <w:r w:rsidRPr="005C66F6">
              <w:rPr>
                <w:rFonts w:hint="cs"/>
                <w:rtl/>
              </w:rPr>
              <w:t>2</w:t>
            </w:r>
            <w:r w:rsidRPr="005C66F6">
              <w:rPr>
                <w:rFonts w:ascii="Arial" w:hAnsi="Arial" w:cs="FrankRuehl" w:hint="cs"/>
                <w:b/>
                <w:bCs/>
                <w:noProof w:val="0"/>
                <w:sz w:val="28"/>
                <w:szCs w:val="28"/>
                <w:rtl/>
              </w:rPr>
              <w:t>.</w:t>
            </w:r>
            <w:r w:rsidRPr="005C66F6">
              <w:rPr>
                <w:rFonts w:hint="cs"/>
                <w:rtl/>
              </w:rPr>
              <w:t xml:space="preserve"> רגאאי והבה</w:t>
            </w:r>
          </w:p>
          <w:p w14:paraId="3A8C4318" w14:textId="77777777" w:rsidR="00F41B59" w:rsidRPr="005C66F6" w:rsidRDefault="005C66F6">
            <w:pPr>
              <w:spacing w:line="360" w:lineRule="auto"/>
              <w:rPr>
                <w:rFonts w:cs="FrankRuehl"/>
                <w:noProof w:val="0"/>
                <w:sz w:val="28"/>
                <w:szCs w:val="28"/>
              </w:rPr>
            </w:pPr>
            <w:r w:rsidRPr="005C66F6">
              <w:rPr>
                <w:rFonts w:ascii="Arial" w:hAnsi="Arial" w:cs="FrankRuehl" w:hint="cs"/>
                <w:noProof w:val="0"/>
                <w:sz w:val="28"/>
                <w:szCs w:val="28"/>
                <w:rtl/>
              </w:rPr>
              <w:t>ע"י ב"כ עו"ד אנדרה רוזנטל</w:t>
            </w:r>
          </w:p>
        </w:tc>
      </w:tr>
      <w:bookmarkEnd w:id="3"/>
    </w:tbl>
    <w:p w14:paraId="60356BEF" w14:textId="77777777" w:rsidR="00F41B59" w:rsidRPr="005C66F6" w:rsidRDefault="00F41B59">
      <w:pPr>
        <w:rPr>
          <w:rFonts w:cs="FrankRuehl"/>
          <w:sz w:val="28"/>
          <w:szCs w:val="28"/>
        </w:rPr>
      </w:pPr>
    </w:p>
    <w:p w14:paraId="7C7AA263" w14:textId="77777777" w:rsidR="00104B97" w:rsidRPr="00104B97" w:rsidRDefault="00104B97" w:rsidP="00104B97">
      <w:pPr>
        <w:spacing w:after="120" w:line="240" w:lineRule="exact"/>
        <w:ind w:left="283" w:hanging="283"/>
        <w:jc w:val="both"/>
        <w:rPr>
          <w:rFonts w:ascii="FrankRuehl" w:hAnsi="FrankRuehl" w:cs="FrankRuehl"/>
          <w:rtl/>
        </w:rPr>
      </w:pPr>
      <w:r w:rsidRPr="00104B97">
        <w:rPr>
          <w:rFonts w:ascii="FrankRuehl" w:hAnsi="FrankRuehl" w:cs="FrankRuehl" w:hint="eastAsia"/>
          <w:rtl/>
        </w:rPr>
        <w:t>חקיקה</w:t>
      </w:r>
      <w:r w:rsidRPr="00104B97">
        <w:rPr>
          <w:rFonts w:ascii="FrankRuehl" w:hAnsi="FrankRuehl" w:cs="FrankRuehl"/>
          <w:rtl/>
        </w:rPr>
        <w:t xml:space="preserve"> </w:t>
      </w:r>
      <w:r w:rsidRPr="00104B97">
        <w:rPr>
          <w:rFonts w:ascii="FrankRuehl" w:hAnsi="FrankRuehl" w:cs="FrankRuehl" w:hint="eastAsia"/>
          <w:rtl/>
        </w:rPr>
        <w:t>שאוזכרה</w:t>
      </w:r>
      <w:r w:rsidRPr="00104B97">
        <w:rPr>
          <w:rFonts w:ascii="FrankRuehl" w:hAnsi="FrankRuehl" w:cs="FrankRuehl"/>
          <w:rtl/>
        </w:rPr>
        <w:t xml:space="preserve">: </w:t>
      </w:r>
    </w:p>
    <w:p w14:paraId="07B4A5C2" w14:textId="77777777" w:rsidR="00F41B59" w:rsidRPr="005C66F6" w:rsidRDefault="00104B97" w:rsidP="00104B97">
      <w:pPr>
        <w:rPr>
          <w:rFonts w:cs="FrankRuehl"/>
          <w:sz w:val="28"/>
          <w:szCs w:val="28"/>
        </w:rPr>
      </w:pPr>
      <w:hyperlink r:id="rId6" w:history="1">
        <w:r w:rsidRPr="00104B97">
          <w:rPr>
            <w:rFonts w:ascii="FrankRuehl" w:hAnsi="FrankRuehl" w:cs="FrankRuehl" w:hint="eastAsia"/>
            <w:color w:val="0000FF"/>
            <w:u w:val="single"/>
            <w:rtl/>
          </w:rPr>
          <w:t>חוק</w:t>
        </w:r>
        <w:r w:rsidRPr="00104B97">
          <w:rPr>
            <w:rFonts w:ascii="FrankRuehl" w:hAnsi="FrankRuehl" w:cs="FrankRuehl"/>
            <w:color w:val="0000FF"/>
            <w:u w:val="single"/>
            <w:rtl/>
          </w:rPr>
          <w:t xml:space="preserve"> </w:t>
        </w:r>
        <w:r w:rsidRPr="00104B97">
          <w:rPr>
            <w:rFonts w:ascii="FrankRuehl" w:hAnsi="FrankRuehl" w:cs="FrankRuehl" w:hint="eastAsia"/>
            <w:color w:val="0000FF"/>
            <w:u w:val="single"/>
            <w:rtl/>
          </w:rPr>
          <w:t>העונשין</w:t>
        </w:r>
        <w:r w:rsidRPr="00104B97">
          <w:rPr>
            <w:rFonts w:ascii="FrankRuehl" w:hAnsi="FrankRuehl" w:cs="FrankRuehl"/>
            <w:color w:val="0000FF"/>
            <w:u w:val="single"/>
            <w:rtl/>
          </w:rPr>
          <w:t xml:space="preserve">, </w:t>
        </w:r>
        <w:r w:rsidRPr="00104B97">
          <w:rPr>
            <w:rFonts w:ascii="FrankRuehl" w:hAnsi="FrankRuehl" w:cs="FrankRuehl" w:hint="eastAsia"/>
            <w:color w:val="0000FF"/>
            <w:u w:val="single"/>
            <w:rtl/>
          </w:rPr>
          <w:t>תשל</w:t>
        </w:r>
        <w:r w:rsidRPr="00104B97">
          <w:rPr>
            <w:rFonts w:ascii="FrankRuehl" w:hAnsi="FrankRuehl" w:cs="FrankRuehl"/>
            <w:color w:val="0000FF"/>
            <w:u w:val="single"/>
            <w:rtl/>
          </w:rPr>
          <w:t>"</w:t>
        </w:r>
        <w:r w:rsidRPr="00104B97">
          <w:rPr>
            <w:rFonts w:ascii="FrankRuehl" w:hAnsi="FrankRuehl" w:cs="FrankRuehl" w:hint="eastAsia"/>
            <w:color w:val="0000FF"/>
            <w:u w:val="single"/>
            <w:rtl/>
          </w:rPr>
          <w:t>ז</w:t>
        </w:r>
        <w:r w:rsidRPr="00104B97">
          <w:rPr>
            <w:rFonts w:ascii="FrankRuehl" w:hAnsi="FrankRuehl" w:cs="FrankRuehl"/>
            <w:color w:val="0000FF"/>
            <w:u w:val="single"/>
            <w:rtl/>
          </w:rPr>
          <w:t>-1977</w:t>
        </w:r>
      </w:hyperlink>
      <w:r w:rsidRPr="00104B97">
        <w:rPr>
          <w:rFonts w:ascii="FrankRuehl" w:hAnsi="FrankRuehl" w:cs="FrankRuehl"/>
          <w:rtl/>
        </w:rPr>
        <w:t xml:space="preserve">: </w:t>
      </w:r>
      <w:r w:rsidRPr="00104B97">
        <w:rPr>
          <w:rFonts w:ascii="FrankRuehl" w:hAnsi="FrankRuehl" w:cs="FrankRuehl" w:hint="eastAsia"/>
          <w:rtl/>
        </w:rPr>
        <w:t>סע</w:t>
      </w:r>
      <w:r w:rsidRPr="00104B97">
        <w:rPr>
          <w:rFonts w:ascii="FrankRuehl" w:hAnsi="FrankRuehl" w:cs="FrankRuehl"/>
          <w:rtl/>
        </w:rPr>
        <w:t xml:space="preserve">'  </w:t>
      </w:r>
      <w:hyperlink r:id="rId7" w:history="1">
        <w:r w:rsidRPr="00104B97">
          <w:rPr>
            <w:rFonts w:ascii="FrankRuehl" w:hAnsi="FrankRuehl" w:cs="FrankRuehl"/>
            <w:color w:val="0000FF"/>
            <w:u w:val="single"/>
            <w:rtl/>
          </w:rPr>
          <w:t>31</w:t>
        </w:r>
      </w:hyperlink>
      <w:r w:rsidRPr="00104B97">
        <w:rPr>
          <w:rFonts w:ascii="FrankRuehl" w:hAnsi="FrankRuehl" w:cs="FrankRuehl"/>
          <w:rtl/>
        </w:rPr>
        <w:t xml:space="preserve">, </w:t>
      </w:r>
      <w:hyperlink r:id="rId8" w:history="1">
        <w:r w:rsidRPr="00104B97">
          <w:rPr>
            <w:rFonts w:ascii="FrankRuehl" w:hAnsi="FrankRuehl" w:cs="FrankRuehl"/>
            <w:color w:val="0000FF"/>
            <w:u w:val="single"/>
            <w:rtl/>
          </w:rPr>
          <w:t>144(</w:t>
        </w:r>
        <w:r w:rsidRPr="00104B97">
          <w:rPr>
            <w:rFonts w:ascii="FrankRuehl" w:hAnsi="FrankRuehl" w:cs="FrankRuehl" w:hint="eastAsia"/>
            <w:color w:val="0000FF"/>
            <w:u w:val="single"/>
            <w:rtl/>
          </w:rPr>
          <w:t>א</w:t>
        </w:r>
        <w:r w:rsidRPr="00104B97">
          <w:rPr>
            <w:rFonts w:ascii="FrankRuehl" w:hAnsi="FrankRuehl" w:cs="FrankRuehl"/>
            <w:color w:val="0000FF"/>
            <w:u w:val="single"/>
            <w:rtl/>
          </w:rPr>
          <w:t>)</w:t>
        </w:r>
      </w:hyperlink>
    </w:p>
    <w:p w14:paraId="3847A545" w14:textId="77777777" w:rsidR="00F41B59" w:rsidRPr="005C66F6" w:rsidRDefault="00F41B59">
      <w:pPr>
        <w:spacing w:line="480" w:lineRule="auto"/>
        <w:jc w:val="both"/>
        <w:rPr>
          <w:rFonts w:cs="FrankRuehl"/>
          <w:sz w:val="28"/>
          <w:szCs w:val="28"/>
          <w:rtl/>
        </w:rPr>
      </w:pPr>
    </w:p>
    <w:tbl>
      <w:tblPr>
        <w:bidiVisual/>
        <w:tblW w:w="8820" w:type="dxa"/>
        <w:jc w:val="center"/>
        <w:tblLook w:val="01E0" w:firstRow="1" w:lastRow="1" w:firstColumn="1" w:lastColumn="1" w:noHBand="0" w:noVBand="0"/>
      </w:tblPr>
      <w:tblGrid>
        <w:gridCol w:w="8820"/>
      </w:tblGrid>
      <w:tr w:rsidR="00F41B59" w:rsidRPr="005C66F6" w14:paraId="1357B842" w14:textId="77777777">
        <w:trPr>
          <w:jc w:val="center"/>
        </w:trPr>
        <w:tc>
          <w:tcPr>
            <w:tcW w:w="8820" w:type="dxa"/>
          </w:tcPr>
          <w:p w14:paraId="2F9C1ED6" w14:textId="77777777" w:rsidR="00F41B59" w:rsidRPr="005C66F6" w:rsidRDefault="005C66F6">
            <w:pPr>
              <w:bidi w:val="0"/>
              <w:jc w:val="center"/>
              <w:rPr>
                <w:rFonts w:ascii="Arial" w:hAnsi="Arial" w:cs="FrankRuehl"/>
                <w:b/>
                <w:bCs/>
                <w:noProof w:val="0"/>
                <w:sz w:val="28"/>
                <w:szCs w:val="28"/>
              </w:rPr>
            </w:pPr>
            <w:bookmarkStart w:id="4" w:name="PsakDin"/>
            <w:r w:rsidRPr="005C66F6">
              <w:rPr>
                <w:rFonts w:ascii="Arial" w:hAnsi="Arial" w:cs="FrankRuehl" w:hint="cs"/>
                <w:b/>
                <w:bCs/>
                <w:noProof w:val="0"/>
                <w:sz w:val="28"/>
                <w:szCs w:val="28"/>
                <w:rtl/>
              </w:rPr>
              <w:t xml:space="preserve">גזר-דין </w:t>
            </w:r>
            <w:bookmarkEnd w:id="4"/>
            <w:r w:rsidRPr="005C66F6">
              <w:rPr>
                <w:rFonts w:ascii="Arial" w:hAnsi="Arial" w:cs="FrankRuehl"/>
                <w:b/>
                <w:bCs/>
                <w:noProof w:val="0"/>
                <w:sz w:val="28"/>
                <w:szCs w:val="28"/>
                <w:rtl/>
              </w:rPr>
              <w:t>–</w:t>
            </w:r>
            <w:r w:rsidRPr="005C66F6">
              <w:rPr>
                <w:rFonts w:ascii="Arial" w:hAnsi="Arial" w:cs="FrankRuehl" w:hint="cs"/>
                <w:b/>
                <w:bCs/>
                <w:noProof w:val="0"/>
                <w:sz w:val="28"/>
                <w:szCs w:val="28"/>
                <w:rtl/>
              </w:rPr>
              <w:t xml:space="preserve"> בעניינו של נאשם 2</w:t>
            </w:r>
          </w:p>
        </w:tc>
      </w:tr>
    </w:tbl>
    <w:p w14:paraId="27447E84" w14:textId="77777777" w:rsidR="00F41B59" w:rsidRPr="005C66F6" w:rsidRDefault="00F41B59">
      <w:pPr>
        <w:spacing w:line="480" w:lineRule="auto"/>
        <w:jc w:val="both"/>
        <w:rPr>
          <w:rFonts w:cs="FrankRuehl"/>
          <w:sz w:val="28"/>
          <w:szCs w:val="28"/>
          <w:rtl/>
        </w:rPr>
      </w:pPr>
    </w:p>
    <w:p w14:paraId="09B64CD2" w14:textId="77777777" w:rsidR="00F41B59" w:rsidRPr="005C66F6" w:rsidRDefault="005C66F6">
      <w:pPr>
        <w:spacing w:line="480" w:lineRule="auto"/>
        <w:jc w:val="both"/>
        <w:rPr>
          <w:rFonts w:cs="FrankRuehl"/>
          <w:sz w:val="28"/>
          <w:szCs w:val="28"/>
          <w:rtl/>
        </w:rPr>
      </w:pPr>
      <w:r w:rsidRPr="005C66F6">
        <w:rPr>
          <w:rFonts w:cs="FrankRuehl"/>
          <w:sz w:val="28"/>
          <w:szCs w:val="28"/>
          <w:rtl/>
        </w:rPr>
        <w:t>1.</w:t>
      </w:r>
      <w:r w:rsidRPr="005C66F6">
        <w:rPr>
          <w:rFonts w:cs="FrankRuehl"/>
          <w:sz w:val="28"/>
          <w:szCs w:val="28"/>
          <w:rtl/>
        </w:rPr>
        <w:tab/>
      </w:r>
      <w:bookmarkStart w:id="5" w:name="ABSTRACT_START"/>
      <w:bookmarkEnd w:id="5"/>
      <w:r w:rsidRPr="005C66F6">
        <w:rPr>
          <w:rFonts w:cs="FrankRuehl"/>
          <w:sz w:val="28"/>
          <w:szCs w:val="28"/>
          <w:rtl/>
        </w:rPr>
        <w:t xml:space="preserve">נאשם 2 (להלן – גם </w:t>
      </w:r>
      <w:r w:rsidRPr="005C66F6">
        <w:rPr>
          <w:rFonts w:cs="Miriam"/>
          <w:rtl/>
        </w:rPr>
        <w:t>הנאשם</w:t>
      </w:r>
      <w:r w:rsidRPr="005C66F6">
        <w:rPr>
          <w:rFonts w:cs="FrankRuehl"/>
          <w:sz w:val="28"/>
          <w:szCs w:val="28"/>
          <w:rtl/>
        </w:rPr>
        <w:t xml:space="preserve">) הורשע, על-פי הודאתו, בעבירה של סיוע לרכישת נשק – לפי </w:t>
      </w:r>
      <w:hyperlink r:id="rId9" w:history="1">
        <w:r w:rsidR="00104B97" w:rsidRPr="00104B97">
          <w:rPr>
            <w:rFonts w:cs="FrankRuehl"/>
            <w:color w:val="0000FF"/>
            <w:sz w:val="28"/>
            <w:szCs w:val="28"/>
            <w:u w:val="single"/>
            <w:rtl/>
          </w:rPr>
          <w:t>סעיף 144(א)</w:t>
        </w:r>
      </w:hyperlink>
      <w:r w:rsidRPr="005C66F6">
        <w:rPr>
          <w:rFonts w:cs="FrankRuehl"/>
          <w:sz w:val="28"/>
          <w:szCs w:val="28"/>
          <w:rtl/>
        </w:rPr>
        <w:t xml:space="preserve"> רישא בשילוב עם </w:t>
      </w:r>
      <w:hyperlink r:id="rId10" w:history="1">
        <w:r w:rsidR="00104B97" w:rsidRPr="00104B97">
          <w:rPr>
            <w:rFonts w:cs="FrankRuehl"/>
            <w:color w:val="0000FF"/>
            <w:sz w:val="28"/>
            <w:szCs w:val="28"/>
            <w:u w:val="single"/>
            <w:rtl/>
          </w:rPr>
          <w:t>סעיף 31</w:t>
        </w:r>
      </w:hyperlink>
      <w:r w:rsidRPr="005C66F6">
        <w:rPr>
          <w:rFonts w:cs="FrankRuehl"/>
          <w:sz w:val="28"/>
          <w:szCs w:val="28"/>
          <w:rtl/>
        </w:rPr>
        <w:t xml:space="preserve"> ל</w:t>
      </w:r>
      <w:hyperlink r:id="rId11" w:history="1">
        <w:r w:rsidRPr="005C66F6">
          <w:rPr>
            <w:rFonts w:cs="FrankRuehl"/>
            <w:color w:val="0000FF"/>
            <w:sz w:val="28"/>
            <w:szCs w:val="28"/>
            <w:u w:val="single"/>
            <w:rtl/>
          </w:rPr>
          <w:t>חוק העונשין</w:t>
        </w:r>
      </w:hyperlink>
      <w:r w:rsidRPr="005C66F6">
        <w:rPr>
          <w:rFonts w:cs="FrankRuehl"/>
          <w:sz w:val="28"/>
          <w:szCs w:val="28"/>
          <w:rtl/>
        </w:rPr>
        <w:t xml:space="preserve">, התשל"ז-1977 (להלן – </w:t>
      </w:r>
      <w:r w:rsidRPr="005C66F6">
        <w:rPr>
          <w:rFonts w:cs="Miriam"/>
          <w:rtl/>
        </w:rPr>
        <w:t>החוק</w:t>
      </w:r>
      <w:r w:rsidRPr="005C66F6">
        <w:rPr>
          <w:rFonts w:cs="FrankRuehl"/>
          <w:sz w:val="28"/>
          <w:szCs w:val="28"/>
          <w:rtl/>
        </w:rPr>
        <w:t xml:space="preserve">). </w:t>
      </w:r>
      <w:bookmarkStart w:id="6" w:name="ABSTRACT_END"/>
      <w:bookmarkEnd w:id="6"/>
      <w:r w:rsidRPr="005C66F6">
        <w:rPr>
          <w:rFonts w:cs="FrankRuehl"/>
          <w:sz w:val="28"/>
          <w:szCs w:val="28"/>
          <w:rtl/>
        </w:rPr>
        <w:t xml:space="preserve">הודאתו של הנאשם ניתנה בגדרו של הסדר-טיעון שהגיעה אליו המאשימה עם שני הנאשמים. במסגרת הסדר-הטיעון הוטל על נאשם 1 עונש מוסכם של 11 חודשי מאסר בפועל. בגדרו של ההסדר בעניינו של נאשם 2 – אשר לא חל על העונש –  הוזמן תסקיר משירות המבחן. </w:t>
      </w:r>
    </w:p>
    <w:p w14:paraId="31ADD6FA" w14:textId="77777777" w:rsidR="00F41B59" w:rsidRPr="005C66F6" w:rsidRDefault="00F41B59">
      <w:pPr>
        <w:spacing w:line="480" w:lineRule="auto"/>
        <w:jc w:val="both"/>
        <w:rPr>
          <w:rFonts w:cs="FrankRuehl"/>
          <w:sz w:val="28"/>
          <w:szCs w:val="28"/>
          <w:rtl/>
        </w:rPr>
      </w:pPr>
    </w:p>
    <w:p w14:paraId="751D019E" w14:textId="77777777" w:rsidR="00F41B59" w:rsidRPr="005C66F6" w:rsidRDefault="005C66F6">
      <w:pPr>
        <w:spacing w:line="480" w:lineRule="auto"/>
        <w:jc w:val="both"/>
        <w:rPr>
          <w:rFonts w:cs="FrankRuehl"/>
          <w:sz w:val="28"/>
          <w:szCs w:val="28"/>
          <w:rtl/>
        </w:rPr>
      </w:pPr>
      <w:r w:rsidRPr="005C66F6">
        <w:rPr>
          <w:rFonts w:cs="FrankRuehl"/>
          <w:sz w:val="28"/>
          <w:szCs w:val="28"/>
          <w:rtl/>
        </w:rPr>
        <w:t>2.</w:t>
      </w:r>
      <w:r w:rsidRPr="005C66F6">
        <w:rPr>
          <w:rFonts w:cs="FrankRuehl"/>
          <w:sz w:val="28"/>
          <w:szCs w:val="28"/>
          <w:rtl/>
        </w:rPr>
        <w:tab/>
        <w:t xml:space="preserve">להלן עובדות כתב-האישום המתוקן, העומדות ביסוד הודאתו והרשעתו של נאשם 2. בתחילת חודש יוני 2013 החליט נאשם 1 לרכוש נשק, ולתכלית זו פנה לאדם שזהותו אינה ידועה למאשימה (להלן – </w:t>
      </w:r>
      <w:r w:rsidRPr="005C66F6">
        <w:rPr>
          <w:rFonts w:cs="Miriam"/>
          <w:rtl/>
        </w:rPr>
        <w:t>המוכר</w:t>
      </w:r>
      <w:r w:rsidRPr="005C66F6">
        <w:rPr>
          <w:rFonts w:cs="FrankRuehl"/>
          <w:sz w:val="28"/>
          <w:szCs w:val="28"/>
          <w:rtl/>
        </w:rPr>
        <w:t>), שהיה מוּכר לו כסוחר נשק מאבו-דיס. ביום 1.6.13 הודיע המוכר לנאשם 1 כי יוכל לספק לו אקדח תמורת 14,000 ₪, והשניים נדברו להיפגש באותו הערב בסמוך לאוניברסיטת אבו-דיס לצורך ביצוע העסקה. נאשם 1 פנה לנאשם 2 בבקשה שיסיעו ברכבו לאבו-</w:t>
      </w:r>
      <w:r w:rsidRPr="005C66F6">
        <w:rPr>
          <w:rFonts w:cs="FrankRuehl"/>
          <w:sz w:val="28"/>
          <w:szCs w:val="28"/>
          <w:rtl/>
        </w:rPr>
        <w:lastRenderedPageBreak/>
        <w:t xml:space="preserve">דיס, ונאשם 2 הסכים לכך. במהלך הנסיעה סיפר נאשם 1 לנאשם 2, כי בכוונתו לרכוש נשק באבו דיס, ואף אמר לו כי הוא נושא עמו את הכסף לביצוע הרכישה. לאחר שהגיעו לאבו-דיס, ירד נאשם 1 מרכבו של נאשם 2 ועלה לרכבו של המוכר, אשר חיכה לו במקום. המוכר הוביל את נאשם 1 לשטח פתוח, שם הראה לו את האקדח. נאשם 1 ירה באקדח חמישה כדורים באוויר ואמר למוכר כי בכוונתו לרכוש את האקדח. הוא ביקש שהמוכר יביא עמו את האקדח ביום שלמחרת בשעה 09:00 לשער אוניברסיטת אבו-דיס. לאחר מכן, חזר נאשם 1 לרכבו של נאשם 2 והשניים נסעו לבתיהם. ביום שלמחרת נפגש נאשם 1 עם המוכר בשער אוניברסיטת אבו-דיס, ולאחר ששילם לו את הסכום של 14,000 ₪, קיבל לידיו את האקדח. בגין המעשים האמורים הורשע נאשם 1 בעבירת רכישת נשק, ואילו נאשם 2 הורשע, כאמור, בעבירת סיוע לרכישת נשק. </w:t>
      </w:r>
    </w:p>
    <w:p w14:paraId="74D41191" w14:textId="77777777" w:rsidR="00F41B59" w:rsidRPr="005C66F6" w:rsidRDefault="00F41B59">
      <w:pPr>
        <w:spacing w:line="480" w:lineRule="auto"/>
        <w:jc w:val="both"/>
        <w:rPr>
          <w:rFonts w:cs="FrankRuehl"/>
          <w:sz w:val="28"/>
          <w:szCs w:val="28"/>
          <w:rtl/>
        </w:rPr>
      </w:pPr>
    </w:p>
    <w:p w14:paraId="06B2DB98" w14:textId="77777777" w:rsidR="00F41B59" w:rsidRPr="005C66F6" w:rsidRDefault="005C66F6">
      <w:pPr>
        <w:spacing w:line="480" w:lineRule="auto"/>
        <w:jc w:val="both"/>
        <w:rPr>
          <w:rFonts w:cs="FrankRuehl"/>
          <w:sz w:val="28"/>
          <w:szCs w:val="28"/>
          <w:rtl/>
        </w:rPr>
      </w:pPr>
      <w:r w:rsidRPr="005C66F6">
        <w:rPr>
          <w:rFonts w:cs="FrankRuehl"/>
          <w:sz w:val="28"/>
          <w:szCs w:val="28"/>
          <w:rtl/>
        </w:rPr>
        <w:t>3.</w:t>
      </w:r>
      <w:r w:rsidRPr="005C66F6">
        <w:rPr>
          <w:rFonts w:cs="FrankRuehl"/>
          <w:sz w:val="28"/>
          <w:szCs w:val="28"/>
          <w:rtl/>
        </w:rPr>
        <w:tab/>
        <w:t xml:space="preserve">נאשם 2 הִנו רווק יליד 1990, בן למשפחה המונה זוג הורים ושבעה ילדים. הוא סיים תשע שנות לימוד בבית-ספר עיוני, למד שנתיים בבית-ספר מקצועי במגמת מזכירות, ונשר ממסגרת הלימודים בגיל 17 לצורך סיוע בפרנסת משפחתו. הוא השתלב בעבודות שונות, בין-השאר בעבודות בניין ובמסעדות, ובתקופה האחרונה הוא עובד כשכיר במסגרייה. אין לחובתו הרשעות קודמות וזו הסתבכותו הראשונה עם החוק. שירות המבחן התרשם מבחור צעיר בעל רמת אינטליגנציה תקינה ומערכת ערכים נורמטיביים בבסיסה, המגלה מוטיבציה ושאיפות לניהול אורח חיים תקין. עם זאת, העריך שירות המבחן כי הנאשם מתקשה לממש את המוטיבציה והשאיפות שלו בצורה מלאה, וכן מתקשה בשמירה על יציבות תפקודית לאורך זמן; זאת, בין-השאר, על-רקע דימוי עצמי נמוך וחוסר בשלות רגשית. עוד התרשם שירות המבחן, כי בסיטואציות חברתיות מסוימות, שבמהלכן מופעל לחץ חברתי, מתקשה הנאשם להיות אסרטיבי ולעמוד על דעתו, ונוטה להיגרר אחר אחרים, כפי שהדבר בא לידי ביטוי באירועים הנדונים. בשיחתו עם קצין המבחן, קיבל הנאשם אחריות מלאה על מעשיו וביטא תחושות של צער וחרטה. הוא הדגיש, כי לא ידע מראש מה הייתה מטרת הנסיעה לאבו-דיס, כי כאשר שמע על מטרת הנסיעה היה נבוך ומבולבל, וכי טעה בשיקול הדעת בהמשך התנהלותו. שירות המבחן העריך, כי </w:t>
      </w:r>
      <w:r w:rsidRPr="005C66F6">
        <w:rPr>
          <w:rFonts w:cs="FrankRuehl"/>
          <w:sz w:val="28"/>
          <w:szCs w:val="28"/>
          <w:rtl/>
        </w:rPr>
        <w:lastRenderedPageBreak/>
        <w:t xml:space="preserve">למעצרו של הנאשם למשך כשלושה שבועות ולניהול ההליכים המשפטיים עד כה, היה אפקט הרתעתי שיש בו כדי למנוע התנהגות דומה בעתיד. על-רקע האמור, ולאור ההתרשמות כי מדובר בצעיר בעל מערכת ערכים נורמטיבית בבסיסה, המליץ שירות המבחן להימנע מהטלת מאסר בפועל ממש, ולהסתפק בהטלת מאסר בעבודות שירות לתקופה קצרה, זאת בצד צו מבחן שבמסגרתו ימשיך הלה להשתתף בקבוצה טיפולית המיועדת לצעירים  שזו להם הרשעתם הראשונה. </w:t>
      </w:r>
    </w:p>
    <w:p w14:paraId="169F09B3" w14:textId="77777777" w:rsidR="00F41B59" w:rsidRPr="005C66F6" w:rsidRDefault="00F41B59">
      <w:pPr>
        <w:spacing w:line="480" w:lineRule="auto"/>
        <w:jc w:val="both"/>
        <w:rPr>
          <w:rFonts w:cs="FrankRuehl"/>
          <w:sz w:val="28"/>
          <w:szCs w:val="28"/>
          <w:rtl/>
        </w:rPr>
      </w:pPr>
    </w:p>
    <w:p w14:paraId="6E43C355" w14:textId="77777777" w:rsidR="00F41B59" w:rsidRPr="005C66F6" w:rsidRDefault="005C66F6">
      <w:pPr>
        <w:spacing w:line="480" w:lineRule="auto"/>
        <w:jc w:val="both"/>
        <w:rPr>
          <w:rFonts w:cs="FrankRuehl"/>
          <w:sz w:val="28"/>
          <w:szCs w:val="28"/>
          <w:rtl/>
        </w:rPr>
      </w:pPr>
      <w:r w:rsidRPr="005C66F6">
        <w:rPr>
          <w:rFonts w:cs="FrankRuehl"/>
          <w:sz w:val="28"/>
          <w:szCs w:val="28"/>
          <w:rtl/>
        </w:rPr>
        <w:t>4.</w:t>
      </w:r>
      <w:r w:rsidRPr="005C66F6">
        <w:rPr>
          <w:rFonts w:cs="FrankRuehl"/>
          <w:sz w:val="28"/>
          <w:szCs w:val="28"/>
          <w:rtl/>
        </w:rPr>
        <w:tab/>
        <w:t xml:space="preserve">ב"כ המאשימה הדגישה בטיעוניה לעונש את חומרת העבירה ונסיבות ביצועה. לדבריה, הנאשם אמנם ידע לראשונה רק במהלך הנסיעה על כוונתו של נאשם 1 לרכוש נשק, אך בהחלטתו להמשיך בנסיעה סייע לשותפו בעסקת רכישת הנשק. לשיטתה, לנוכח מהות העבירה ונסיבות ביצועה, ועל-רקע העונש המֵרבי שנקצב בגינה – מאסר למשך שלוש שנים וחצי, מתחם העונש ההולם הוא מאסר בפועל הנע בין שישה חודשים לשנתיים. בכל הנוגע לעונש המתאים, סברה באת-כוח המאשימה כי נוכח גילו הצעיר של הנאשם, הודאתו והעדר עבר פלילי, העונש המתאים הוא מאסר בפועל לתקופה של שישה חודשים, בניכוי תקופת המעצר.  </w:t>
      </w:r>
    </w:p>
    <w:p w14:paraId="38A993A2" w14:textId="77777777" w:rsidR="00F41B59" w:rsidRPr="005C66F6" w:rsidRDefault="00F41B59">
      <w:pPr>
        <w:spacing w:line="480" w:lineRule="auto"/>
        <w:jc w:val="both"/>
        <w:rPr>
          <w:rFonts w:cs="FrankRuehl"/>
          <w:sz w:val="28"/>
          <w:szCs w:val="28"/>
          <w:rtl/>
        </w:rPr>
      </w:pPr>
    </w:p>
    <w:p w14:paraId="5C917C26" w14:textId="77777777" w:rsidR="00F41B59" w:rsidRPr="005C66F6" w:rsidRDefault="005C66F6">
      <w:pPr>
        <w:spacing w:line="480" w:lineRule="auto"/>
        <w:jc w:val="both"/>
        <w:rPr>
          <w:rFonts w:cs="FrankRuehl"/>
          <w:sz w:val="28"/>
          <w:szCs w:val="28"/>
          <w:rtl/>
        </w:rPr>
      </w:pPr>
      <w:r w:rsidRPr="005C66F6">
        <w:rPr>
          <w:rFonts w:cs="FrankRuehl"/>
          <w:sz w:val="28"/>
          <w:szCs w:val="28"/>
          <w:rtl/>
        </w:rPr>
        <w:t>5.</w:t>
      </w:r>
      <w:r w:rsidRPr="005C66F6">
        <w:rPr>
          <w:rFonts w:cs="FrankRuehl"/>
          <w:sz w:val="28"/>
          <w:szCs w:val="28"/>
          <w:rtl/>
        </w:rPr>
        <w:tab/>
        <w:t>הסנגור גרס, כי נסיבות ביצוע העבירה אינן מצדיקות הטלת מאסר בפועל; ולחלופין –כי העונש ההולם אינו עולה על מאסר בעבודות שירות לתקופה קצרה. בהקשר זה הדגיש הסנגור, כי הנאשם לא ידע מראש על מטרת נסיעתו של נאשם 1, ונגרר לביצוע העבירה, בכך שהמשיך להסיע את חברו למפגש לקראת רכישת הנשק, בשל "אופיו החלש". הוא ביקש להתחשב בהודאתו של הנאשם, בגילו הצעיר, בנסיבותיו האישיות שתוארו בתסקיר שירות המבחן, בכך שמדובר בכישלון פלילי ראשון ובעובדה שהוא עומד להינשא בקרוב.</w:t>
      </w:r>
    </w:p>
    <w:p w14:paraId="5454B6E3" w14:textId="77777777" w:rsidR="00F41B59" w:rsidRPr="005C66F6" w:rsidRDefault="00F41B59">
      <w:pPr>
        <w:spacing w:line="480" w:lineRule="auto"/>
        <w:jc w:val="both"/>
        <w:rPr>
          <w:rFonts w:cs="FrankRuehl"/>
          <w:sz w:val="28"/>
          <w:szCs w:val="28"/>
          <w:rtl/>
        </w:rPr>
      </w:pPr>
    </w:p>
    <w:p w14:paraId="50F910AF" w14:textId="77777777" w:rsidR="00F41B59" w:rsidRPr="005C66F6" w:rsidRDefault="005C66F6">
      <w:pPr>
        <w:spacing w:line="480" w:lineRule="auto"/>
        <w:jc w:val="both"/>
        <w:rPr>
          <w:rFonts w:ascii="Franklin Gothic Medium" w:hAnsi="Franklin Gothic Medium" w:cs="FrankRuehl"/>
          <w:sz w:val="28"/>
          <w:szCs w:val="28"/>
          <w:rtl/>
        </w:rPr>
      </w:pPr>
      <w:r w:rsidRPr="005C66F6">
        <w:rPr>
          <w:rFonts w:ascii="Franklin Gothic Medium" w:hAnsi="Franklin Gothic Medium" w:cs="FrankRuehl"/>
          <w:sz w:val="28"/>
          <w:szCs w:val="28"/>
          <w:rtl/>
        </w:rPr>
        <w:t>6.</w:t>
      </w:r>
      <w:r w:rsidRPr="005C66F6">
        <w:rPr>
          <w:rFonts w:ascii="Franklin Gothic Medium" w:hAnsi="Franklin Gothic Medium" w:cs="FrankRuehl"/>
          <w:sz w:val="28"/>
          <w:szCs w:val="28"/>
          <w:rtl/>
        </w:rPr>
        <w:tab/>
      </w:r>
      <w:r w:rsidRPr="005C66F6">
        <w:rPr>
          <w:rFonts w:ascii="Franklin Gothic Medium" w:hAnsi="Franklin Gothic Medium" w:cs="FrankRuehl" w:hint="eastAsia"/>
          <w:sz w:val="28"/>
          <w:szCs w:val="28"/>
          <w:rtl/>
        </w:rPr>
        <w:t>אין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צורך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להכביר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מילים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חומרתן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והסיכון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מהן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לביטחון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כמו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החזקתו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הובלתו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ועשיית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עסקה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לרבות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ניסיון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סיוע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לביצוע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אלו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חמורות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מעצם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טיבן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ומהותן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זאת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נוכח</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הסיכון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הממשי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מהן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לחיי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אדם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ולביטחון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הסיכונים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הרבים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הנשקפים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עמד</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בית</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המשפט</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העליון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בהרחבה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w:t>
      </w:r>
      <w:hyperlink r:id="rId12"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2251/11</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ג</w:t>
      </w:r>
      <w:r w:rsidRPr="005C66F6">
        <w:rPr>
          <w:rFonts w:ascii="Franklin Gothic Medium" w:hAnsi="Franklin Gothic Medium" w:cs="Miriam"/>
          <w:rtl/>
        </w:rPr>
        <w:t>'</w:t>
      </w:r>
      <w:r w:rsidRPr="005C66F6">
        <w:rPr>
          <w:rFonts w:ascii="Franklin Gothic Medium" w:hAnsi="Franklin Gothic Medium" w:cs="Miriam" w:hint="eastAsia"/>
          <w:rtl/>
        </w:rPr>
        <w:t>מאל</w:t>
      </w:r>
      <w:r w:rsidRPr="005C66F6">
        <w:rPr>
          <w:rFonts w:ascii="Franklin Gothic Medium" w:hAnsi="Franklin Gothic Medium" w:cs="Miriam"/>
          <w:rtl/>
        </w:rPr>
        <w:t xml:space="preserve"> </w:t>
      </w:r>
      <w:r w:rsidRPr="005C66F6">
        <w:rPr>
          <w:rFonts w:ascii="Franklin Gothic Medium" w:hAnsi="Franklin Gothic Medium" w:cs="Miriam" w:hint="eastAsia"/>
          <w:rtl/>
        </w:rPr>
        <w:t>נפאע</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(4.12.11). </w:t>
      </w:r>
      <w:r w:rsidRPr="005C66F6">
        <w:rPr>
          <w:rFonts w:ascii="Franklin Gothic Medium" w:hAnsi="Franklin Gothic Medium" w:cs="FrankRuehl" w:hint="eastAsia"/>
          <w:sz w:val="28"/>
          <w:szCs w:val="28"/>
          <w:rtl/>
        </w:rPr>
        <w:t>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שהוא</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כלי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קטלני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מטבע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ברייתו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עלול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לעבור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מיד</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ליד</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ולהגיע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לידי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גורמים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שיבצעו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באמצעותו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פליליות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חמורות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ואף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לידי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ארגוני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טרור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שיעשו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שימוש</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בפיגועים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כן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פוטנציאל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הסיכון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מהעבירות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האמורות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מחייב</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הטלת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ענישה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מחמירה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ומרתיעה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מבצעי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העבירות</w:t>
      </w:r>
      <w:r w:rsidRPr="005C66F6">
        <w:rPr>
          <w:rFonts w:ascii="Franklin Gothic Medium" w:hAnsi="Franklin Gothic Medium" w:cs="FrankRuehl"/>
          <w:sz w:val="28"/>
          <w:szCs w:val="28"/>
          <w:rtl/>
        </w:rPr>
        <w:t xml:space="preserve"> – </w:t>
      </w:r>
      <w:r w:rsidRPr="005C66F6">
        <w:rPr>
          <w:rFonts w:ascii="Franklin Gothic Medium" w:hAnsi="Franklin Gothic Medium" w:cs="FrankRuehl" w:hint="eastAsia"/>
          <w:sz w:val="28"/>
          <w:szCs w:val="28"/>
          <w:rtl/>
        </w:rPr>
        <w:t>בחוליות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השונות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בשרשרת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העברת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w:t>
      </w:r>
      <w:r w:rsidRPr="005C66F6">
        <w:rPr>
          <w:rFonts w:ascii="Franklin Gothic Medium" w:hAnsi="Franklin Gothic Medium" w:cs="FrankRuehl"/>
          <w:sz w:val="28"/>
          <w:szCs w:val="28"/>
          <w:rtl/>
        </w:rPr>
        <w:t xml:space="preserve"> – </w:t>
      </w:r>
      <w:r w:rsidRPr="005C66F6">
        <w:rPr>
          <w:rFonts w:ascii="Franklin Gothic Medium" w:hAnsi="Franklin Gothic Medium" w:cs="FrankRuehl" w:hint="eastAsia"/>
          <w:sz w:val="28"/>
          <w:szCs w:val="28"/>
          <w:rtl/>
        </w:rPr>
        <w:t>אינם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מודעים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לתכלית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השימוש</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ראו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והשוו</w:t>
      </w:r>
      <w:r w:rsidRPr="005C66F6">
        <w:rPr>
          <w:rFonts w:ascii="Franklin Gothic Medium" w:hAnsi="Franklin Gothic Medium" w:cs="FrankRuehl"/>
          <w:sz w:val="28"/>
          <w:szCs w:val="28"/>
          <w:rtl/>
        </w:rPr>
        <w:t xml:space="preserve">: </w:t>
      </w:r>
      <w:hyperlink r:id="rId13"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4609/98</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טאהא</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(1.7.99); </w:t>
      </w:r>
      <w:hyperlink r:id="rId14"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11448/03</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גרבאן</w:t>
      </w:r>
      <w:r w:rsidRPr="005C66F6">
        <w:rPr>
          <w:rFonts w:ascii="Franklin Gothic Medium" w:hAnsi="Franklin Gothic Medium" w:cs="FrankRuehl"/>
          <w:sz w:val="28"/>
          <w:szCs w:val="28"/>
          <w:rtl/>
        </w:rPr>
        <w:t xml:space="preserve"> (29.3.04); </w:t>
      </w:r>
      <w:hyperlink r:id="rId15"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4526/04</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זעתרי</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(8.11.04); </w:t>
      </w:r>
      <w:hyperlink r:id="rId16"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5220/09</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עוואודה</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(30.12.09); </w:t>
      </w:r>
      <w:r w:rsidRPr="005C66F6">
        <w:rPr>
          <w:rFonts w:ascii="Franklin Gothic Medium" w:hAnsi="Franklin Gothic Medium" w:cs="FrankRuehl" w:hint="eastAsia"/>
          <w:sz w:val="28"/>
          <w:szCs w:val="28"/>
          <w:rtl/>
        </w:rPr>
        <w:t>ו</w:t>
      </w:r>
      <w:hyperlink r:id="rId17"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9543/09</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רחאל</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Miriam"/>
          <w:rtl/>
        </w:rPr>
        <w:t xml:space="preserve"> </w:t>
      </w:r>
      <w:r w:rsidRPr="005C66F6">
        <w:rPr>
          <w:rFonts w:ascii="Franklin Gothic Medium" w:hAnsi="Franklin Gothic Medium" w:cs="FrankRuehl"/>
          <w:sz w:val="28"/>
          <w:szCs w:val="28"/>
          <w:rtl/>
        </w:rPr>
        <w:t xml:space="preserve">(19.1.10)). </w:t>
      </w:r>
      <w:r w:rsidRPr="005C66F6">
        <w:rPr>
          <w:rFonts w:ascii="Franklin Gothic Medium" w:hAnsi="Franklin Gothic Medium" w:cs="FrankRuehl" w:hint="eastAsia"/>
          <w:sz w:val="28"/>
          <w:szCs w:val="28"/>
          <w:rtl/>
        </w:rPr>
        <w:t>לנוכח</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הסיכון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הממשי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מהעבירות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הנדונות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לביטחון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מורה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הפסיקה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במסגרת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שיקולי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הענישה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יינתן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בדרך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כלל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משקל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נכבד</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יותר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לאינטרס</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פני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נסיבותיו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האישיות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הנאשם</w:t>
      </w:r>
      <w:r w:rsidRPr="005C66F6">
        <w:rPr>
          <w:rFonts w:ascii="Franklin Gothic Medium" w:hAnsi="Franklin Gothic Medium" w:cs="FrankRuehl"/>
          <w:sz w:val="28"/>
          <w:szCs w:val="28"/>
          <w:rtl/>
        </w:rPr>
        <w:t xml:space="preserve"> (</w:t>
      </w:r>
      <w:hyperlink r:id="rId18"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10499/02</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אלמוג</w:t>
      </w:r>
      <w:r w:rsidRPr="005C66F6">
        <w:rPr>
          <w:rFonts w:ascii="Franklin Gothic Medium" w:hAnsi="Franklin Gothic Medium" w:cs="Miriam"/>
          <w:rtl/>
        </w:rPr>
        <w:t xml:space="preserve"> </w:t>
      </w:r>
      <w:r w:rsidRPr="005C66F6">
        <w:rPr>
          <w:rFonts w:ascii="Franklin Gothic Medium" w:hAnsi="Franklin Gothic Medium" w:cs="Miriam" w:hint="eastAsia"/>
          <w:rtl/>
        </w:rPr>
        <w:t>מיארה</w:t>
      </w:r>
      <w:r w:rsidRPr="005C66F6">
        <w:rPr>
          <w:rFonts w:ascii="Franklin Gothic Medium" w:hAnsi="Franklin Gothic Medium" w:cs="Miriam"/>
          <w:rtl/>
        </w:rPr>
        <w:t xml:space="preserve"> </w:t>
      </w:r>
      <w:r w:rsidRPr="005C66F6">
        <w:rPr>
          <w:rFonts w:ascii="Franklin Gothic Medium" w:hAnsi="Franklin Gothic Medium" w:cs="FrankRuehl"/>
          <w:sz w:val="28"/>
          <w:szCs w:val="28"/>
          <w:rtl/>
        </w:rPr>
        <w:t xml:space="preserve">(27.5.03)). </w:t>
      </w:r>
      <w:r w:rsidRPr="005C66F6">
        <w:rPr>
          <w:rFonts w:ascii="Franklin Gothic Medium" w:hAnsi="Franklin Gothic Medium" w:cs="FrankRuehl" w:hint="eastAsia"/>
          <w:sz w:val="28"/>
          <w:szCs w:val="28"/>
          <w:rtl/>
        </w:rPr>
        <w:t>עוד</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נקבע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בפסיקה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שיקולי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ההגנה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ביטחון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ושיקולים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הרתעה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אפקטיבית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מפני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נפוצות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התופעה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העבריינית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החזקת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נשיאתו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עשיית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עסקה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ובכלל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זה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ניסיון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סיוע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לבצע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האמורות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מחייבים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העלאת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רף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הענישה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דנן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ראו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והשוו</w:t>
      </w:r>
      <w:r w:rsidRPr="005C66F6">
        <w:rPr>
          <w:rFonts w:ascii="Franklin Gothic Medium" w:hAnsi="Franklin Gothic Medium" w:cs="FrankRuehl"/>
          <w:sz w:val="28"/>
          <w:szCs w:val="28"/>
          <w:rtl/>
        </w:rPr>
        <w:t xml:space="preserve">: </w:t>
      </w:r>
      <w:hyperlink r:id="rId19"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4831/03</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אבו</w:t>
      </w:r>
      <w:r w:rsidRPr="005C66F6">
        <w:rPr>
          <w:rFonts w:ascii="Franklin Gothic Medium" w:hAnsi="Franklin Gothic Medium" w:cs="Miriam"/>
          <w:rtl/>
        </w:rPr>
        <w:t xml:space="preserve"> </w:t>
      </w:r>
      <w:r w:rsidRPr="005C66F6">
        <w:rPr>
          <w:rFonts w:ascii="Franklin Gothic Medium" w:hAnsi="Franklin Gothic Medium" w:cs="Miriam" w:hint="eastAsia"/>
          <w:rtl/>
        </w:rPr>
        <w:t>בכר</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(23.5.04); </w:t>
      </w:r>
      <w:hyperlink r:id="rId20"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8012/04</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מתאני</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FrankRuehl"/>
          <w:sz w:val="28"/>
          <w:szCs w:val="28"/>
          <w:rtl/>
        </w:rPr>
        <w:t xml:space="preserve"> (16.11.05); </w:t>
      </w:r>
      <w:hyperlink r:id="rId21"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4460/11</w:t>
        </w:r>
      </w:hyperlink>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מדינת</w:t>
      </w:r>
      <w:r w:rsidRPr="005C66F6">
        <w:rPr>
          <w:rFonts w:ascii="Franklin Gothic Medium" w:hAnsi="Franklin Gothic Medium" w:cs="Miriam"/>
          <w:rtl/>
        </w:rPr>
        <w:t xml:space="preserve"> </w:t>
      </w:r>
      <w:r w:rsidRPr="005C66F6">
        <w:rPr>
          <w:rFonts w:ascii="Franklin Gothic Medium" w:hAnsi="Franklin Gothic Medium" w:cs="Miriam" w:hint="eastAsia"/>
          <w:rtl/>
        </w:rPr>
        <w:t>ישראל</w:t>
      </w:r>
      <w:r w:rsidRPr="005C66F6">
        <w:rPr>
          <w:rFonts w:ascii="Franklin Gothic Medium" w:hAnsi="Franklin Gothic Medium" w:cs="Miriam"/>
          <w:rtl/>
        </w:rPr>
        <w:t xml:space="preserve"> </w:t>
      </w:r>
      <w:r w:rsidRPr="005C66F6">
        <w:rPr>
          <w:rFonts w:ascii="Franklin Gothic Medium" w:hAnsi="Franklin Gothic Medium" w:cs="Miriam" w:hint="eastAsia"/>
          <w:rtl/>
        </w:rPr>
        <w:t>נ</w:t>
      </w:r>
      <w:r w:rsidRPr="005C66F6">
        <w:rPr>
          <w:rFonts w:ascii="Franklin Gothic Medium" w:hAnsi="Franklin Gothic Medium" w:cs="Miriam"/>
          <w:rtl/>
        </w:rPr>
        <w:t xml:space="preserve">' </w:t>
      </w:r>
      <w:r w:rsidRPr="005C66F6">
        <w:rPr>
          <w:rFonts w:ascii="Franklin Gothic Medium" w:hAnsi="Franklin Gothic Medium" w:cs="Miriam" w:hint="eastAsia"/>
          <w:rtl/>
        </w:rPr>
        <w:t>פאיד</w:t>
      </w:r>
      <w:r w:rsidRPr="005C66F6">
        <w:rPr>
          <w:rFonts w:ascii="Franklin Gothic Medium" w:hAnsi="Franklin Gothic Medium" w:cs="FrankRuehl"/>
          <w:sz w:val="28"/>
          <w:szCs w:val="28"/>
          <w:rtl/>
        </w:rPr>
        <w:t xml:space="preserve"> (28.11.11); </w:t>
      </w:r>
      <w:r w:rsidRPr="005C66F6">
        <w:rPr>
          <w:rFonts w:ascii="Franklin Gothic Medium" w:hAnsi="Franklin Gothic Medium" w:cs="FrankRuehl" w:hint="eastAsia"/>
          <w:sz w:val="28"/>
          <w:szCs w:val="28"/>
          <w:rtl/>
        </w:rPr>
        <w:t>ו</w:t>
      </w:r>
      <w:hyperlink r:id="rId22" w:history="1">
        <w:r w:rsidRPr="005C66F6">
          <w:rPr>
            <w:rFonts w:ascii="Franklin Gothic Medium" w:hAnsi="Franklin Gothic Medium" w:cs="FrankRuehl" w:hint="eastAsia"/>
            <w:color w:val="0000FF"/>
            <w:sz w:val="28"/>
            <w:szCs w:val="28"/>
            <w:u w:val="single"/>
            <w:rtl/>
          </w:rPr>
          <w:t>ע</w:t>
        </w:r>
        <w:r w:rsidRPr="005C66F6">
          <w:rPr>
            <w:rFonts w:ascii="Franklin Gothic Medium" w:hAnsi="Franklin Gothic Medium" w:cs="FrankRuehl"/>
            <w:color w:val="0000FF"/>
            <w:sz w:val="28"/>
            <w:szCs w:val="28"/>
            <w:u w:val="single"/>
            <w:rtl/>
          </w:rPr>
          <w:t>"</w:t>
        </w:r>
        <w:r w:rsidRPr="005C66F6">
          <w:rPr>
            <w:rFonts w:ascii="Franklin Gothic Medium" w:hAnsi="Franklin Gothic Medium" w:cs="FrankRuehl" w:hint="eastAsia"/>
            <w:color w:val="0000FF"/>
            <w:sz w:val="28"/>
            <w:szCs w:val="28"/>
            <w:u w:val="single"/>
            <w:rtl/>
          </w:rPr>
          <w:t>פ</w:t>
        </w:r>
        <w:r w:rsidRPr="005C66F6">
          <w:rPr>
            <w:rFonts w:ascii="Franklin Gothic Medium" w:hAnsi="Franklin Gothic Medium" w:cs="FrankRuehl"/>
            <w:color w:val="0000FF"/>
            <w:sz w:val="28"/>
            <w:szCs w:val="28"/>
            <w:u w:val="single"/>
            <w:rtl/>
          </w:rPr>
          <w:t xml:space="preserve"> 2251/11</w:t>
        </w:r>
      </w:hyperlink>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בעניין</w:t>
      </w:r>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נפאע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לעיל</w:t>
      </w:r>
      <w:r w:rsidRPr="005C66F6">
        <w:rPr>
          <w:rFonts w:ascii="Franklin Gothic Medium" w:hAnsi="Franklin Gothic Medium" w:cs="FrankRuehl"/>
          <w:sz w:val="28"/>
          <w:szCs w:val="28"/>
          <w:rtl/>
        </w:rPr>
        <w:t>).</w:t>
      </w:r>
    </w:p>
    <w:p w14:paraId="7E01EAD4" w14:textId="77777777" w:rsidR="00F41B59" w:rsidRPr="005C66F6" w:rsidRDefault="00F41B59">
      <w:pPr>
        <w:spacing w:line="480" w:lineRule="auto"/>
        <w:jc w:val="both"/>
        <w:rPr>
          <w:rFonts w:ascii="Franklin Gothic Medium" w:hAnsi="Franklin Gothic Medium" w:cs="FrankRuehl"/>
          <w:sz w:val="28"/>
          <w:szCs w:val="28"/>
          <w:rtl/>
        </w:rPr>
      </w:pPr>
    </w:p>
    <w:p w14:paraId="2A9ABE61" w14:textId="77777777" w:rsidR="00F41B59" w:rsidRPr="005C66F6" w:rsidRDefault="005C66F6">
      <w:pPr>
        <w:spacing w:line="480" w:lineRule="auto"/>
        <w:jc w:val="both"/>
        <w:rPr>
          <w:rFonts w:ascii="Franklin Gothic Medium" w:hAnsi="Franklin Gothic Medium" w:cs="FrankRuehl"/>
          <w:sz w:val="28"/>
          <w:szCs w:val="28"/>
          <w:rtl/>
        </w:rPr>
      </w:pPr>
      <w:r w:rsidRPr="005C66F6">
        <w:rPr>
          <w:rFonts w:ascii="Franklin Gothic Medium" w:hAnsi="Franklin Gothic Medium" w:cs="FrankRuehl"/>
          <w:sz w:val="28"/>
          <w:szCs w:val="28"/>
          <w:rtl/>
        </w:rPr>
        <w:t>7.</w:t>
      </w:r>
      <w:r w:rsidRPr="005C66F6">
        <w:rPr>
          <w:rFonts w:ascii="Franklin Gothic Medium" w:hAnsi="Franklin Gothic Medium" w:cs="FrankRuehl"/>
          <w:sz w:val="28"/>
          <w:szCs w:val="28"/>
          <w:rtl/>
        </w:rPr>
        <w:tab/>
      </w:r>
      <w:r w:rsidRPr="005C66F6">
        <w:rPr>
          <w:rFonts w:ascii="Franklin Gothic Medium" w:hAnsi="Franklin Gothic Medium" w:cs="FrankRuehl" w:hint="eastAsia"/>
          <w:sz w:val="28"/>
          <w:szCs w:val="28"/>
          <w:rtl/>
        </w:rPr>
        <w:t>בהתאם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לתיקון</w:t>
      </w:r>
      <w:r w:rsidRPr="005C66F6">
        <w:rPr>
          <w:rFonts w:ascii="Franklin Gothic Medium" w:hAnsi="Franklin Gothic Medium" w:cs="FrankRuehl"/>
          <w:sz w:val="28"/>
          <w:szCs w:val="28"/>
          <w:rtl/>
        </w:rPr>
        <w:t xml:space="preserve"> 113 </w:t>
      </w:r>
      <w:r w:rsidRPr="005C66F6">
        <w:rPr>
          <w:rFonts w:ascii="Franklin Gothic Medium" w:hAnsi="Franklin Gothic Medium" w:cs="FrankRuehl" w:hint="eastAsia"/>
          <w:sz w:val="28"/>
          <w:szCs w:val="28"/>
          <w:rtl/>
        </w:rPr>
        <w:t>לחוק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בית</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המשפט</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לקבוע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בגזר</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הדין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מתחם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העונש</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ההולם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זאת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בהתאם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לעיקרון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המנחה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והנסיבות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הקשורות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בביצוע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ובהמשך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לגזור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העונש</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המתאים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לנאשם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בתוך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מתחם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הענישה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ההולם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תוך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התייחסות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לנסיבות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שאינן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קשורות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לביצוע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אגב</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אפשרות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לסטות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מהמתחם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בנסיבות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חריגות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שצוינו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בחוק</w:t>
      </w:r>
      <w:r w:rsidRPr="005C66F6">
        <w:rPr>
          <w:rFonts w:ascii="Franklin Gothic Medium" w:hAnsi="Franklin Gothic Medium" w:cs="FrankRuehl"/>
          <w:sz w:val="28"/>
          <w:szCs w:val="28"/>
          <w:rtl/>
        </w:rPr>
        <w:t xml:space="preserve">. </w:t>
      </w:r>
    </w:p>
    <w:p w14:paraId="0D86505B" w14:textId="77777777" w:rsidR="00F41B59" w:rsidRPr="005C66F6" w:rsidRDefault="00F41B59">
      <w:pPr>
        <w:spacing w:line="480" w:lineRule="auto"/>
        <w:jc w:val="both"/>
        <w:rPr>
          <w:rFonts w:ascii="Franklin Gothic Medium" w:hAnsi="Franklin Gothic Medium" w:cs="FrankRuehl"/>
          <w:sz w:val="28"/>
          <w:szCs w:val="28"/>
          <w:rtl/>
        </w:rPr>
      </w:pPr>
    </w:p>
    <w:p w14:paraId="74C5609D" w14:textId="77777777" w:rsidR="005C66F6" w:rsidRPr="005C66F6" w:rsidRDefault="005C66F6" w:rsidP="00104B97">
      <w:pPr>
        <w:spacing w:line="480" w:lineRule="auto"/>
        <w:ind w:firstLine="720"/>
        <w:jc w:val="both"/>
        <w:rPr>
          <w:rFonts w:ascii="Franklin Gothic Medium" w:hAnsi="Franklin Gothic Medium" w:cs="FrankRuehl"/>
          <w:bCs/>
          <w:sz w:val="28"/>
          <w:szCs w:val="28"/>
          <w:rtl/>
        </w:rPr>
      </w:pPr>
      <w:r w:rsidRPr="005C66F6">
        <w:rPr>
          <w:rFonts w:ascii="Franklin Gothic Medium" w:hAnsi="Franklin Gothic Medium" w:cs="FrankRuehl" w:hint="eastAsia"/>
          <w:sz w:val="28"/>
          <w:szCs w:val="28"/>
          <w:rtl/>
        </w:rPr>
        <w:t>בבוא</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בית</w:t>
      </w:r>
      <w:r w:rsidRPr="005C66F6">
        <w:rPr>
          <w:rFonts w:ascii="Franklin Gothic Medium" w:hAnsi="Franklin Gothic Medium" w:cs="FrankRuehl"/>
          <w:sz w:val="28"/>
          <w:szCs w:val="28"/>
          <w:rtl/>
        </w:rPr>
        <w:t>-</w:t>
      </w:r>
      <w:r w:rsidRPr="005C66F6">
        <w:rPr>
          <w:rFonts w:ascii="Franklin Gothic Medium" w:hAnsi="Franklin Gothic Medium" w:cs="FrankRuehl" w:hint="eastAsia"/>
          <w:sz w:val="28"/>
          <w:szCs w:val="28"/>
          <w:rtl/>
        </w:rPr>
        <w:t>המשפט</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לקבוע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Miriam" w:hint="eastAsia"/>
          <w:rtl/>
        </w:rPr>
        <w:t>מתחם</w:t>
      </w:r>
      <w:r w:rsidRPr="005C66F6">
        <w:rPr>
          <w:rFonts w:ascii="Franklin Gothic Medium" w:hAnsi="Franklin Gothic Medium" w:cs="Miriam"/>
          <w:rtl/>
        </w:rPr>
        <w:t xml:space="preserve"> </w:t>
      </w:r>
      <w:r w:rsidRPr="005C66F6">
        <w:rPr>
          <w:rFonts w:ascii="Franklin Gothic Medium" w:hAnsi="Franklin Gothic Medium" w:cs="Miriam" w:hint="eastAsia"/>
          <w:rtl/>
        </w:rPr>
        <w:t>העונש</w:t>
      </w:r>
      <w:r w:rsidRPr="005C66F6">
        <w:rPr>
          <w:rFonts w:ascii="Franklin Gothic Medium" w:hAnsi="Franklin Gothic Medium" w:cs="Miriam"/>
          <w:rtl/>
        </w:rPr>
        <w:t xml:space="preserve"> </w:t>
      </w:r>
      <w:r w:rsidRPr="005C66F6">
        <w:rPr>
          <w:rFonts w:ascii="Franklin Gothic Medium" w:hAnsi="Franklin Gothic Medium" w:cs="Miriam" w:hint="eastAsia"/>
          <w:rtl/>
        </w:rPr>
        <w:t>ההולם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בגין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שבה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הורשע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הנאשם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עליו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להתחשב</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בערכים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החברתיים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שנפגעו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מביצוע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העבירה</w:t>
      </w:r>
      <w:r w:rsidRPr="005C66F6">
        <w:rPr>
          <w:rFonts w:ascii="Franklin Gothic Medium" w:hAnsi="Franklin Gothic Medium" w:cs="FrankRuehl"/>
          <w:sz w:val="28"/>
          <w:szCs w:val="28"/>
          <w:rtl/>
        </w:rPr>
        <w:t xml:space="preserve"> – </w:t>
      </w:r>
      <w:r w:rsidRPr="005C66F6">
        <w:rPr>
          <w:rFonts w:ascii="Franklin Gothic Medium" w:hAnsi="Franklin Gothic Medium" w:cs="FrankRuehl" w:hint="eastAsia"/>
          <w:sz w:val="28"/>
          <w:szCs w:val="28"/>
          <w:rtl/>
        </w:rPr>
        <w:t>שמירת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החיים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ושלמות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הגוף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כמו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גם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ההגנה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שלום</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וביטחונו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עליו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להביא</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בחשבון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הסיכון</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הנשקף</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לציבור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מעבירות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הנשק</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והצורך</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בהחמרה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בענישה</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בעבירות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אלו</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כפי</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שתואר</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בסקירת</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הרקע</w:t>
      </w:r>
      <w:r w:rsidRPr="005C66F6">
        <w:rPr>
          <w:rFonts w:ascii="Franklin Gothic Medium" w:hAnsi="Franklin Gothic Medium" w:cs="FrankRuehl"/>
          <w:sz w:val="28"/>
          <w:szCs w:val="28"/>
          <w:rtl/>
        </w:rPr>
        <w:t xml:space="preserve"> </w:t>
      </w:r>
      <w:r w:rsidRPr="005C66F6">
        <w:rPr>
          <w:rFonts w:ascii="Franklin Gothic Medium" w:hAnsi="Franklin Gothic Medium" w:cs="FrankRuehl" w:hint="eastAsia"/>
          <w:sz w:val="28"/>
          <w:szCs w:val="28"/>
          <w:rtl/>
        </w:rPr>
        <w:t>המשפטי</w:t>
      </w:r>
      <w:bookmarkStart w:id="7" w:name="LawTable"/>
      <w:bookmarkEnd w:id="7"/>
      <w:r w:rsidR="00104B97">
        <w:rPr>
          <w:rFonts w:ascii="Franklin Gothic Medium" w:hAnsi="Franklin Gothic Medium" w:cs="FrankRuehl" w:hint="cs"/>
          <w:sz w:val="28"/>
          <w:szCs w:val="28"/>
          <w:rtl/>
        </w:rPr>
        <w:t xml:space="preserve"> </w:t>
      </w:r>
      <w:bookmarkStart w:id="8" w:name="LawTable_End"/>
      <w:bookmarkEnd w:id="0"/>
      <w:bookmarkEnd w:id="8"/>
      <w:r w:rsidRPr="005C66F6">
        <w:rPr>
          <w:rFonts w:ascii="Franklin Gothic Medium" w:hAnsi="Franklin Gothic Medium" w:cs="FrankRuehl" w:hint="eastAsia"/>
          <w:bCs/>
          <w:sz w:val="28"/>
          <w:szCs w:val="28"/>
          <w:rtl/>
        </w:rPr>
        <w:t>לעיל</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בנוסף</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יש</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להתחשב</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בנסיבות</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הקשורות</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בביצוע</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העבירה</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כאמור</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העונש</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המֵרבי</w:t>
      </w:r>
      <w:r w:rsidRPr="005C66F6">
        <w:rPr>
          <w:rFonts w:ascii="Franklin Gothic Medium" w:hAnsi="Franklin Gothic Medium" w:cs="FrankRuehl"/>
          <w:bCs/>
          <w:sz w:val="28"/>
          <w:szCs w:val="28"/>
          <w:rtl/>
        </w:rPr>
        <w:t xml:space="preserve"> </w:t>
      </w:r>
      <w:r w:rsidRPr="005C66F6">
        <w:rPr>
          <w:rFonts w:ascii="Franklin Gothic Medium" w:hAnsi="Franklin Gothic Medium" w:cs="FrankRuehl" w:hint="eastAsia"/>
          <w:bCs/>
          <w:sz w:val="28"/>
          <w:szCs w:val="28"/>
          <w:rtl/>
        </w:rPr>
        <w:t>שנקצב</w:t>
      </w:r>
    </w:p>
    <w:p w14:paraId="531851A8" w14:textId="77777777" w:rsidR="00F41B59" w:rsidRDefault="005C66F6">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בצד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סיוע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לרכישת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הוא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לתקופה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וחצי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בכל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הנוגע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הרי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שהסיוע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שנתן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2 </w:t>
      </w:r>
      <w:r>
        <w:rPr>
          <w:rFonts w:ascii="Franklin Gothic Medium" w:hAnsi="Franklin Gothic Medium" w:cs="FrankRuehl" w:hint="eastAsia"/>
          <w:sz w:val="28"/>
          <w:szCs w:val="28"/>
          <w:rtl/>
        </w:rPr>
        <w:t>לנאשם</w:t>
      </w:r>
      <w:r>
        <w:rPr>
          <w:rFonts w:ascii="Franklin Gothic Medium" w:hAnsi="Franklin Gothic Medium" w:cs="FrankRuehl"/>
          <w:sz w:val="28"/>
          <w:szCs w:val="28"/>
          <w:rtl/>
        </w:rPr>
        <w:t xml:space="preserve"> 1 </w:t>
      </w:r>
      <w:r>
        <w:rPr>
          <w:rFonts w:ascii="Franklin Gothic Medium" w:hAnsi="Franklin Gothic Medium" w:cs="FrankRuehl" w:hint="eastAsia"/>
          <w:sz w:val="28"/>
          <w:szCs w:val="28"/>
          <w:rtl/>
        </w:rPr>
        <w:t>ברכישת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לידי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ביטוי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בהסעתו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למפגש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מוכר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כאשר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2 </w:t>
      </w:r>
      <w:r>
        <w:rPr>
          <w:rFonts w:ascii="Franklin Gothic Medium" w:hAnsi="Franklin Gothic Medium" w:cs="FrankRuehl" w:hint="eastAsia"/>
          <w:sz w:val="28"/>
          <w:szCs w:val="28"/>
          <w:rtl/>
        </w:rPr>
        <w:t>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ידע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מבעוד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מועד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תכלית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הנסיעה</w:t>
      </w:r>
      <w:r>
        <w:rPr>
          <w:rFonts w:ascii="Franklin Gothic Medium" w:hAnsi="Franklin Gothic Medium" w:cs="FrankRuehl"/>
          <w:sz w:val="28"/>
          <w:szCs w:val="28"/>
          <w:rtl/>
        </w:rPr>
        <w:t xml:space="preserve">. </w:t>
      </w:r>
    </w:p>
    <w:p w14:paraId="67018627" w14:textId="77777777" w:rsidR="00F41B59" w:rsidRDefault="00F41B59">
      <w:pPr>
        <w:spacing w:line="480" w:lineRule="auto"/>
        <w:jc w:val="both"/>
        <w:rPr>
          <w:rFonts w:ascii="Franklin Gothic Medium" w:hAnsi="Franklin Gothic Medium" w:cs="FrankRuehl"/>
          <w:sz w:val="28"/>
          <w:szCs w:val="28"/>
          <w:rtl/>
        </w:rPr>
      </w:pPr>
    </w:p>
    <w:p w14:paraId="40846421" w14:textId="77777777" w:rsidR="00F41B59" w:rsidRDefault="005C66F6">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בעקרון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ההלימה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בפגיעה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בערכים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המוגנים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ברמת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הנהוגה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המוסכם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שהושת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1 </w:t>
      </w:r>
      <w:r>
        <w:rPr>
          <w:rFonts w:ascii="Franklin Gothic Medium" w:hAnsi="Franklin Gothic Medium" w:cs="FrankRuehl" w:hint="eastAsia"/>
          <w:sz w:val="28"/>
          <w:szCs w:val="28"/>
          <w:rtl/>
        </w:rPr>
        <w:t>במסגרת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הסדר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הטיעון</w:t>
      </w:r>
      <w:r>
        <w:rPr>
          <w:rFonts w:ascii="Franklin Gothic Medium" w:hAnsi="Franklin Gothic Medium" w:cs="FrankRuehl"/>
          <w:sz w:val="28"/>
          <w:szCs w:val="28"/>
          <w:rtl/>
        </w:rPr>
        <w:t xml:space="preserve"> – </w:t>
      </w:r>
      <w:r>
        <w:rPr>
          <w:rFonts w:ascii="Franklin Gothic Medium" w:hAnsi="Franklin Gothic Medium" w:cs="FrankRuehl" w:hint="eastAsia"/>
          <w:sz w:val="28"/>
          <w:szCs w:val="28"/>
          <w:rtl/>
        </w:rPr>
        <w:t>סבורני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הענישה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הנדונה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סיוע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לרכישת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ביצועה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מספר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לריצוי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לבין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מספר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בכליאה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ממש</w:t>
      </w:r>
      <w:r>
        <w:rPr>
          <w:rFonts w:ascii="Franklin Gothic Medium" w:hAnsi="Franklin Gothic Medium" w:cs="FrankRuehl"/>
          <w:sz w:val="28"/>
          <w:szCs w:val="28"/>
          <w:rtl/>
        </w:rPr>
        <w:t>.</w:t>
      </w:r>
    </w:p>
    <w:p w14:paraId="32021749" w14:textId="77777777" w:rsidR="00F41B59" w:rsidRDefault="00F41B59">
      <w:pPr>
        <w:spacing w:line="480" w:lineRule="auto"/>
        <w:jc w:val="both"/>
        <w:rPr>
          <w:rFonts w:ascii="Franklin Gothic Medium" w:hAnsi="Franklin Gothic Medium" w:cs="FrankRuehl"/>
          <w:sz w:val="28"/>
          <w:szCs w:val="28"/>
          <w:rtl/>
        </w:rPr>
      </w:pPr>
    </w:p>
    <w:p w14:paraId="1544286F" w14:textId="77777777" w:rsidR="00F41B59" w:rsidRDefault="005C66F6">
      <w:pPr>
        <w:spacing w:line="480" w:lineRule="auto"/>
        <w:jc w:val="both"/>
        <w:rPr>
          <w:rFonts w:ascii="Franklin Gothic Medium" w:hAnsi="Franklin Gothic Medium" w:cs="FrankRuehl"/>
          <w:sz w:val="28"/>
          <w:szCs w:val="28"/>
          <w:rtl/>
        </w:rPr>
      </w:pPr>
      <w:r>
        <w:rPr>
          <w:rFonts w:ascii="Franklin Gothic Medium" w:hAnsi="Franklin Gothic Medium" w:cs="FrankRuehl"/>
          <w:sz w:val="28"/>
          <w:szCs w:val="28"/>
          <w:rtl/>
        </w:rPr>
        <w:tab/>
      </w:r>
      <w:r>
        <w:rPr>
          <w:rFonts w:ascii="Franklin Gothic Medium" w:hAnsi="Franklin Gothic Medium" w:cs="FrankRuehl" w:hint="eastAsia"/>
          <w:sz w:val="28"/>
          <w:szCs w:val="28"/>
          <w:rtl/>
        </w:rPr>
        <w:t>באשר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לגזירת</w:t>
      </w:r>
      <w:r>
        <w:rPr>
          <w:rFonts w:ascii="Franklin Gothic Medium" w:hAnsi="Franklin Gothic Medium" w:cs="FrankRuehl"/>
          <w:sz w:val="28"/>
          <w:szCs w:val="28"/>
          <w:rtl/>
        </w:rPr>
        <w:t xml:space="preserve"> </w:t>
      </w:r>
      <w:r>
        <w:rPr>
          <w:rFonts w:ascii="Franklin Gothic Medium" w:hAnsi="Franklin Gothic Medium" w:cs="Miriam" w:hint="eastAsia"/>
          <w:rtl/>
        </w:rPr>
        <w:t>העונש</w:t>
      </w:r>
      <w:r>
        <w:rPr>
          <w:rFonts w:ascii="Franklin Gothic Medium" w:hAnsi="Franklin Gothic Medium" w:cs="Miriam"/>
          <w:rtl/>
        </w:rPr>
        <w:t xml:space="preserve"> </w:t>
      </w:r>
      <w:r>
        <w:rPr>
          <w:rFonts w:ascii="Franklin Gothic Medium" w:hAnsi="Franklin Gothic Medium" w:cs="Miriam" w:hint="eastAsia"/>
          <w:rtl/>
        </w:rPr>
        <w:t>המתאים</w:t>
      </w:r>
      <w:r>
        <w:rPr>
          <w:rFonts w:ascii="Franklin Gothic Medium" w:hAnsi="Franklin Gothic Medium" w:cs="Miriam"/>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מתחם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העונש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ההולם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גם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שאינן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קשורות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בביצוע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העבירה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בענייננו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בהודאתו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שחסכה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זמן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שיפוטי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בחרטה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שהביע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מעשיו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בגילו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הצעיר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בכך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שמדובר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במעידה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ראשונה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ויחידה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שניהל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אורח</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חיים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נורמטיבי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בדרך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בנסיבותיו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האישיות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שתוארו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בתסקיר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המבחן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וכן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בעובדה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שהיה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נתון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במעצר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לתקופה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20 </w:t>
      </w:r>
      <w:r>
        <w:rPr>
          <w:rFonts w:ascii="Franklin Gothic Medium" w:hAnsi="Franklin Gothic Medium" w:cs="FrankRuehl" w:hint="eastAsia"/>
          <w:sz w:val="28"/>
          <w:szCs w:val="28"/>
          <w:rtl/>
        </w:rPr>
        <w:t>יום</w:t>
      </w:r>
      <w:r>
        <w:rPr>
          <w:rFonts w:ascii="Franklin Gothic Medium" w:hAnsi="Franklin Gothic Medium" w:cs="FrankRuehl"/>
          <w:sz w:val="28"/>
          <w:szCs w:val="28"/>
          <w:rtl/>
        </w:rPr>
        <w:t xml:space="preserve">. </w:t>
      </w:r>
    </w:p>
    <w:p w14:paraId="72CFE6CA" w14:textId="77777777" w:rsidR="00F41B59" w:rsidRDefault="00F41B59">
      <w:pPr>
        <w:spacing w:line="480" w:lineRule="auto"/>
        <w:jc w:val="both"/>
        <w:rPr>
          <w:rFonts w:ascii="Franklin Gothic Medium" w:hAnsi="Franklin Gothic Medium" w:cs="FrankRuehl"/>
          <w:sz w:val="28"/>
          <w:szCs w:val="28"/>
          <w:rtl/>
        </w:rPr>
      </w:pPr>
    </w:p>
    <w:p w14:paraId="2CD5C3A0" w14:textId="77777777" w:rsidR="00F41B59" w:rsidRDefault="00F41B59">
      <w:pPr>
        <w:spacing w:line="480" w:lineRule="auto"/>
        <w:jc w:val="both"/>
        <w:rPr>
          <w:rFonts w:ascii="Franklin Gothic Medium" w:hAnsi="Franklin Gothic Medium" w:cs="FrankRuehl"/>
          <w:sz w:val="28"/>
          <w:szCs w:val="28"/>
          <w:rtl/>
        </w:rPr>
      </w:pPr>
    </w:p>
    <w:p w14:paraId="1FBEAEDD" w14:textId="77777777" w:rsidR="00F41B59" w:rsidRDefault="005C66F6">
      <w:pPr>
        <w:spacing w:line="480" w:lineRule="auto"/>
        <w:jc w:val="both"/>
        <w:rPr>
          <w:rFonts w:ascii="Franklin Gothic Medium" w:hAnsi="Franklin Gothic Medium" w:cs="FrankRuehl"/>
          <w:sz w:val="28"/>
          <w:szCs w:val="28"/>
          <w:rtl/>
        </w:rPr>
      </w:pPr>
      <w:r>
        <w:rPr>
          <w:rFonts w:ascii="Franklin Gothic Medium" w:hAnsi="Franklin Gothic Medium" w:cs="FrankRuehl"/>
          <w:sz w:val="28"/>
          <w:szCs w:val="28"/>
          <w:rtl/>
        </w:rPr>
        <w:t>8.</w:t>
      </w:r>
      <w:r>
        <w:rPr>
          <w:rFonts w:ascii="Franklin Gothic Medium" w:hAnsi="Franklin Gothic Medium" w:cs="FrankRuehl"/>
          <w:sz w:val="28"/>
          <w:szCs w:val="28"/>
          <w:rtl/>
        </w:rPr>
        <w:tab/>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יסוד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האמור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לעיל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ובהתחשב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במכלול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טיעוני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הצדדים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לחומרה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ולקולא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אני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נאשם</w:t>
      </w:r>
      <w:r>
        <w:rPr>
          <w:rFonts w:ascii="Franklin Gothic Medium" w:hAnsi="Franklin Gothic Medium" w:cs="FrankRuehl"/>
          <w:sz w:val="28"/>
          <w:szCs w:val="28"/>
          <w:rtl/>
        </w:rPr>
        <w:t xml:space="preserve"> 2 </w:t>
      </w:r>
      <w:r>
        <w:rPr>
          <w:rFonts w:ascii="Franklin Gothic Medium" w:hAnsi="Franklin Gothic Medium" w:cs="FrankRuehl" w:hint="eastAsia"/>
          <w:sz w:val="28"/>
          <w:szCs w:val="28"/>
          <w:rtl/>
        </w:rPr>
        <w:t>כדלהלן</w:t>
      </w:r>
      <w:r>
        <w:rPr>
          <w:rFonts w:ascii="Franklin Gothic Medium" w:hAnsi="Franklin Gothic Medium" w:cs="FrankRuehl"/>
          <w:sz w:val="28"/>
          <w:szCs w:val="28"/>
          <w:rtl/>
        </w:rPr>
        <w:t xml:space="preserve">: </w:t>
      </w:r>
    </w:p>
    <w:p w14:paraId="714710AD" w14:textId="77777777" w:rsidR="00F41B59" w:rsidRDefault="005C66F6">
      <w:p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א</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לחמישה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בפועל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אשר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ירוצו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p>
    <w:p w14:paraId="4E57A61F" w14:textId="77777777" w:rsidR="00F41B59" w:rsidRDefault="005C66F6">
      <w:pPr>
        <w:spacing w:line="480" w:lineRule="auto"/>
        <w:ind w:left="720" w:hanging="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ב</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לארבעה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חודשי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מאסר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w:t>
      </w:r>
      <w:r>
        <w:rPr>
          <w:rFonts w:ascii="Franklin Gothic Medium" w:hAnsi="Franklin Gothic Medium" w:cs="FrankRuehl" w:hint="eastAsia"/>
          <w:sz w:val="28"/>
          <w:szCs w:val="28"/>
          <w:rtl/>
        </w:rPr>
        <w:t>תנאי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יעבור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שלוש</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עבירת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נשק</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כלשהי</w:t>
      </w:r>
      <w:r>
        <w:rPr>
          <w:rFonts w:ascii="Franklin Gothic Medium" w:hAnsi="Franklin Gothic Medium" w:cs="FrankRuehl"/>
          <w:sz w:val="28"/>
          <w:szCs w:val="28"/>
          <w:rtl/>
        </w:rPr>
        <w:t>.</w:t>
      </w:r>
    </w:p>
    <w:p w14:paraId="138CD50C" w14:textId="77777777" w:rsidR="00F41B59" w:rsidRDefault="005C66F6">
      <w:pPr>
        <w:spacing w:line="480" w:lineRule="auto"/>
        <w:jc w:val="both"/>
        <w:rPr>
          <w:rFonts w:ascii="Franklin Gothic Medium" w:hAnsi="Franklin Gothic Medium" w:cs="FrankRuehl"/>
          <w:sz w:val="28"/>
          <w:szCs w:val="28"/>
          <w:rtl/>
        </w:rPr>
      </w:pPr>
      <w:r>
        <w:rPr>
          <w:rFonts w:ascii="Franklin Gothic Medium" w:hAnsi="Franklin Gothic Medium" w:cs="FrankRuehl" w:hint="eastAsia"/>
          <w:sz w:val="28"/>
          <w:szCs w:val="28"/>
          <w:rtl/>
        </w:rPr>
        <w:t>ג</w:t>
      </w:r>
      <w:r>
        <w:rPr>
          <w:rFonts w:ascii="Franklin Gothic Medium" w:hAnsi="Franklin Gothic Medium" w:cs="FrankRuehl"/>
          <w:sz w:val="28"/>
          <w:szCs w:val="28"/>
          <w:rtl/>
        </w:rPr>
        <w:t>.</w:t>
      </w:r>
      <w:r>
        <w:rPr>
          <w:rFonts w:ascii="Franklin Gothic Medium" w:hAnsi="Franklin Gothic Medium" w:cs="FrankRuehl"/>
          <w:sz w:val="28"/>
          <w:szCs w:val="28"/>
          <w:rtl/>
        </w:rPr>
        <w:tab/>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יהיה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נתון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בפיקוח</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המבחן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לתקופה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מהיום</w:t>
      </w:r>
      <w:r>
        <w:rPr>
          <w:rFonts w:ascii="Franklin Gothic Medium" w:hAnsi="Franklin Gothic Medium" w:cs="FrankRuehl"/>
          <w:sz w:val="28"/>
          <w:szCs w:val="28"/>
          <w:rtl/>
        </w:rPr>
        <w:t>.</w:t>
      </w:r>
    </w:p>
    <w:p w14:paraId="1CD5E269" w14:textId="77777777" w:rsidR="00F41B59" w:rsidRDefault="00F41B59">
      <w:pPr>
        <w:spacing w:line="480" w:lineRule="auto"/>
        <w:jc w:val="both"/>
        <w:rPr>
          <w:rFonts w:ascii="Franklin Gothic Medium" w:hAnsi="Franklin Gothic Medium" w:cs="FrankRuehl"/>
          <w:sz w:val="28"/>
          <w:szCs w:val="28"/>
          <w:rtl/>
        </w:rPr>
      </w:pPr>
    </w:p>
    <w:p w14:paraId="545BA0B3" w14:textId="77777777" w:rsidR="00F41B59" w:rsidRDefault="005C66F6">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יבוצעו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בבית</w:t>
      </w:r>
      <w:r>
        <w:rPr>
          <w:rFonts w:ascii="Franklin Gothic Medium" w:hAnsi="Franklin Gothic Medium" w:cs="FrankRuehl"/>
          <w:sz w:val="28"/>
          <w:szCs w:val="28"/>
          <w:rtl/>
        </w:rPr>
        <w:t>-</w:t>
      </w:r>
      <w:r>
        <w:rPr>
          <w:rFonts w:ascii="Franklin Gothic Medium" w:hAnsi="Franklin Gothic Medium" w:cs="FrankRuehl" w:hint="eastAsia"/>
          <w:sz w:val="28"/>
          <w:szCs w:val="28"/>
          <w:rtl/>
        </w:rPr>
        <w:t>החולים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הדסה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הצופים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בירושלים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כמפורט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בחוות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דעתו</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הנאשם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יחל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לבצע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את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ביום</w:t>
      </w:r>
      <w:r>
        <w:rPr>
          <w:rFonts w:ascii="Franklin Gothic Medium" w:hAnsi="Franklin Gothic Medium" w:cs="FrankRuehl"/>
          <w:sz w:val="28"/>
          <w:szCs w:val="28"/>
          <w:rtl/>
        </w:rPr>
        <w:t xml:space="preserve"> </w:t>
      </w:r>
      <w:r>
        <w:rPr>
          <w:rFonts w:ascii="Franklin Gothic Medium" w:hAnsi="Franklin Gothic Medium" w:cs="FrankRuehl" w:hint="cs"/>
          <w:sz w:val="28"/>
          <w:szCs w:val="28"/>
          <w:rtl/>
        </w:rPr>
        <w:t>1.12.14</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ובמועד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זה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יתייצב</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בשעה</w:t>
      </w:r>
      <w:r>
        <w:rPr>
          <w:rFonts w:ascii="Franklin Gothic Medium" w:hAnsi="Franklin Gothic Medium" w:cs="FrankRuehl"/>
          <w:sz w:val="28"/>
          <w:szCs w:val="28"/>
          <w:rtl/>
        </w:rPr>
        <w:t xml:space="preserve"> 9:30 </w:t>
      </w:r>
      <w:r>
        <w:rPr>
          <w:rFonts w:ascii="Franklin Gothic Medium" w:hAnsi="Franklin Gothic Medium" w:cs="FrankRuehl" w:hint="eastAsia"/>
          <w:sz w:val="28"/>
          <w:szCs w:val="28"/>
          <w:rtl/>
        </w:rPr>
        <w:t>במשרדי</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שליד</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כלא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באר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שבע</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לצורך</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קליטה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והצבה</w:t>
      </w:r>
      <w:r>
        <w:rPr>
          <w:rFonts w:ascii="Franklin Gothic Medium" w:hAnsi="Franklin Gothic Medium" w:cs="FrankRuehl"/>
          <w:sz w:val="28"/>
          <w:szCs w:val="28"/>
          <w:rtl/>
        </w:rPr>
        <w:t>.</w:t>
      </w:r>
    </w:p>
    <w:p w14:paraId="5A30C29A" w14:textId="77777777" w:rsidR="00F41B59" w:rsidRDefault="00F41B59">
      <w:pPr>
        <w:spacing w:line="480" w:lineRule="auto"/>
        <w:ind w:firstLine="720"/>
        <w:jc w:val="both"/>
        <w:rPr>
          <w:rFonts w:ascii="Franklin Gothic Medium" w:hAnsi="Franklin Gothic Medium" w:cs="FrankRuehl"/>
          <w:sz w:val="28"/>
          <w:szCs w:val="28"/>
          <w:rtl/>
        </w:rPr>
      </w:pPr>
    </w:p>
    <w:p w14:paraId="1BA6640A" w14:textId="77777777" w:rsidR="00F41B59" w:rsidRDefault="005C66F6">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זכות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ערעור</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לבית</w:t>
      </w:r>
      <w:r>
        <w:rPr>
          <w:rFonts w:ascii="Franklin Gothic Medium" w:hAnsi="Franklin Gothic Medium" w:cs="FrankRuehl"/>
          <w:sz w:val="28"/>
          <w:szCs w:val="28"/>
          <w:rtl/>
        </w:rPr>
        <w:t>-</w:t>
      </w:r>
      <w:r>
        <w:rPr>
          <w:rFonts w:ascii="Franklin Gothic Medium" w:hAnsi="Franklin Gothic Medium" w:cs="FrankRuehl" w:hint="eastAsia"/>
          <w:sz w:val="28"/>
          <w:szCs w:val="28"/>
          <w:rtl/>
        </w:rPr>
        <w:t>המשפט</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העליון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בתוך</w:t>
      </w:r>
      <w:r>
        <w:rPr>
          <w:rFonts w:ascii="Franklin Gothic Medium" w:hAnsi="Franklin Gothic Medium" w:cs="FrankRuehl"/>
          <w:sz w:val="28"/>
          <w:szCs w:val="28"/>
          <w:rtl/>
        </w:rPr>
        <w:t xml:space="preserve"> 45 </w:t>
      </w:r>
      <w:r>
        <w:rPr>
          <w:rFonts w:ascii="Franklin Gothic Medium" w:hAnsi="Franklin Gothic Medium" w:cs="FrankRuehl" w:hint="eastAsia"/>
          <w:sz w:val="28"/>
          <w:szCs w:val="28"/>
          <w:rtl/>
        </w:rPr>
        <w:t>יום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מהיום</w:t>
      </w:r>
      <w:r>
        <w:rPr>
          <w:rFonts w:ascii="Franklin Gothic Medium" w:hAnsi="Franklin Gothic Medium" w:cs="FrankRuehl"/>
          <w:sz w:val="28"/>
          <w:szCs w:val="28"/>
          <w:rtl/>
        </w:rPr>
        <w:t xml:space="preserve">. </w:t>
      </w:r>
    </w:p>
    <w:p w14:paraId="5958A228" w14:textId="77777777" w:rsidR="00F41B59" w:rsidRDefault="00F41B59">
      <w:pPr>
        <w:spacing w:line="480" w:lineRule="auto"/>
        <w:ind w:firstLine="720"/>
        <w:jc w:val="both"/>
        <w:rPr>
          <w:rFonts w:ascii="Franklin Gothic Medium" w:hAnsi="Franklin Gothic Medium" w:cs="FrankRuehl"/>
          <w:sz w:val="28"/>
          <w:szCs w:val="28"/>
          <w:rtl/>
        </w:rPr>
      </w:pPr>
    </w:p>
    <w:p w14:paraId="3851C028" w14:textId="77777777" w:rsidR="00F41B59" w:rsidRDefault="005C66F6">
      <w:pPr>
        <w:spacing w:line="480" w:lineRule="auto"/>
        <w:ind w:firstLine="720"/>
        <w:jc w:val="both"/>
        <w:rPr>
          <w:rFonts w:ascii="Franklin Gothic Medium" w:hAnsi="Franklin Gothic Medium" w:cs="FrankRuehl"/>
          <w:sz w:val="28"/>
          <w:szCs w:val="28"/>
          <w:rtl/>
        </w:rPr>
      </w:pPr>
      <w:r>
        <w:rPr>
          <w:rFonts w:ascii="Franklin Gothic Medium" w:hAnsi="Franklin Gothic Medium" w:cs="FrankRuehl" w:hint="eastAsia"/>
          <w:sz w:val="28"/>
          <w:szCs w:val="28"/>
          <w:rtl/>
        </w:rPr>
        <w:t>המזכירות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תמציא</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עותקים</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מגזר</w:t>
      </w:r>
      <w:r>
        <w:rPr>
          <w:rFonts w:ascii="Franklin Gothic Medium" w:hAnsi="Franklin Gothic Medium" w:cs="FrankRuehl"/>
          <w:sz w:val="28"/>
          <w:szCs w:val="28"/>
          <w:rtl/>
        </w:rPr>
        <w:t>-</w:t>
      </w:r>
      <w:r>
        <w:rPr>
          <w:rFonts w:ascii="Franklin Gothic Medium" w:hAnsi="Franklin Gothic Medium" w:cs="FrankRuehl" w:hint="eastAsia"/>
          <w:sz w:val="28"/>
          <w:szCs w:val="28"/>
          <w:rtl/>
        </w:rPr>
        <w:t>הדין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לשירות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המבחן</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ולממונה</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על</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עבודות</w:t>
      </w:r>
      <w:r>
        <w:rPr>
          <w:rFonts w:ascii="Franklin Gothic Medium" w:hAnsi="Franklin Gothic Medium" w:cs="FrankRuehl"/>
          <w:sz w:val="28"/>
          <w:szCs w:val="28"/>
          <w:rtl/>
        </w:rPr>
        <w:t xml:space="preserve"> </w:t>
      </w:r>
      <w:r>
        <w:rPr>
          <w:rFonts w:ascii="Franklin Gothic Medium" w:hAnsi="Franklin Gothic Medium" w:cs="FrankRuehl" w:hint="eastAsia"/>
          <w:sz w:val="28"/>
          <w:szCs w:val="28"/>
          <w:rtl/>
        </w:rPr>
        <w:t>השירות</w:t>
      </w:r>
      <w:r>
        <w:rPr>
          <w:rFonts w:ascii="Franklin Gothic Medium" w:hAnsi="Franklin Gothic Medium" w:cs="FrankRuehl"/>
          <w:sz w:val="28"/>
          <w:szCs w:val="28"/>
          <w:rtl/>
        </w:rPr>
        <w:t>.</w:t>
      </w:r>
    </w:p>
    <w:p w14:paraId="3345A064" w14:textId="77777777" w:rsidR="00F41B59" w:rsidRDefault="00F41B59">
      <w:pPr>
        <w:spacing w:line="360" w:lineRule="auto"/>
        <w:jc w:val="both"/>
        <w:rPr>
          <w:rFonts w:ascii="Arial" w:hAnsi="Arial" w:cs="FrankRuehl"/>
          <w:sz w:val="28"/>
          <w:szCs w:val="28"/>
          <w:rtl/>
        </w:rPr>
      </w:pPr>
    </w:p>
    <w:p w14:paraId="1126D859" w14:textId="77777777" w:rsidR="00F41B59" w:rsidRDefault="005C66F6">
      <w:pPr>
        <w:spacing w:line="480" w:lineRule="auto"/>
        <w:ind w:firstLine="720"/>
        <w:jc w:val="both"/>
        <w:rPr>
          <w:rFonts w:ascii="Arial" w:hAnsi="Arial" w:cs="FrankRuehl"/>
          <w:noProof w:val="0"/>
          <w:sz w:val="28"/>
          <w:szCs w:val="28"/>
          <w:rtl/>
        </w:rPr>
      </w:pPr>
      <w:r>
        <w:rPr>
          <w:rFonts w:ascii="Franklin Gothic Medium" w:hAnsi="Franklin Gothic Medium" w:cs="FrankRuehl" w:hint="eastAsia"/>
          <w:b/>
          <w:bCs/>
          <w:sz w:val="28"/>
          <w:szCs w:val="28"/>
          <w:rtl/>
        </w:rPr>
        <w:t>ניתן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היום</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ט</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ז</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בתמוז</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תשע</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ד</w:t>
      </w:r>
      <w:r>
        <w:rPr>
          <w:rFonts w:ascii="Franklin Gothic Medium" w:hAnsi="Franklin Gothic Medium" w:cs="FrankRuehl"/>
          <w:b/>
          <w:bCs/>
          <w:sz w:val="28"/>
          <w:szCs w:val="28"/>
          <w:rtl/>
        </w:rPr>
        <w:t xml:space="preserve">, 14 </w:t>
      </w:r>
      <w:r>
        <w:rPr>
          <w:rFonts w:ascii="Franklin Gothic Medium" w:hAnsi="Franklin Gothic Medium" w:cs="FrankRuehl" w:hint="eastAsia"/>
          <w:b/>
          <w:bCs/>
          <w:sz w:val="28"/>
          <w:szCs w:val="28"/>
          <w:rtl/>
        </w:rPr>
        <w:t>ביולי</w:t>
      </w:r>
      <w:r>
        <w:rPr>
          <w:rFonts w:ascii="Franklin Gothic Medium" w:hAnsi="Franklin Gothic Medium" w:cs="FrankRuehl"/>
          <w:b/>
          <w:bCs/>
          <w:sz w:val="28"/>
          <w:szCs w:val="28"/>
          <w:rtl/>
        </w:rPr>
        <w:t xml:space="preserve"> 2014, </w:t>
      </w:r>
      <w:r>
        <w:rPr>
          <w:rFonts w:ascii="Franklin Gothic Medium" w:hAnsi="Franklin Gothic Medium" w:cs="FrankRuehl" w:hint="eastAsia"/>
          <w:b/>
          <w:bCs/>
          <w:sz w:val="28"/>
          <w:szCs w:val="28"/>
          <w:rtl/>
        </w:rPr>
        <w:t>בנוכחות</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כ</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המאשימה</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הסנגור</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נאשם</w:t>
      </w:r>
      <w:r>
        <w:rPr>
          <w:rFonts w:ascii="Franklin Gothic Medium" w:hAnsi="Franklin Gothic Medium" w:cs="FrankRuehl"/>
          <w:b/>
          <w:bCs/>
          <w:sz w:val="28"/>
          <w:szCs w:val="28"/>
          <w:rtl/>
        </w:rPr>
        <w:t xml:space="preserve"> 2 </w:t>
      </w:r>
      <w:r>
        <w:rPr>
          <w:rFonts w:ascii="Franklin Gothic Medium" w:hAnsi="Franklin Gothic Medium" w:cs="FrankRuehl" w:hint="eastAsia"/>
          <w:b/>
          <w:bCs/>
          <w:sz w:val="28"/>
          <w:szCs w:val="28"/>
          <w:rtl/>
        </w:rPr>
        <w:t>ומתורגמן</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בית</w:t>
      </w:r>
      <w:r>
        <w:rPr>
          <w:rFonts w:ascii="Franklin Gothic Medium" w:hAnsi="Franklin Gothic Medium" w:cs="FrankRuehl"/>
          <w:b/>
          <w:bCs/>
          <w:sz w:val="28"/>
          <w:szCs w:val="28"/>
          <w:rtl/>
        </w:rPr>
        <w:t>-</w:t>
      </w:r>
      <w:r>
        <w:rPr>
          <w:rFonts w:ascii="Franklin Gothic Medium" w:hAnsi="Franklin Gothic Medium" w:cs="FrankRuehl" w:hint="eastAsia"/>
          <w:b/>
          <w:bCs/>
          <w:sz w:val="28"/>
          <w:szCs w:val="28"/>
          <w:rtl/>
        </w:rPr>
        <w:t>המשפט</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לשפה</w:t>
      </w:r>
      <w:r>
        <w:rPr>
          <w:rFonts w:ascii="Franklin Gothic Medium" w:hAnsi="Franklin Gothic Medium" w:cs="FrankRuehl"/>
          <w:b/>
          <w:bCs/>
          <w:sz w:val="28"/>
          <w:szCs w:val="28"/>
          <w:rtl/>
        </w:rPr>
        <w:t xml:space="preserve"> </w:t>
      </w:r>
      <w:r>
        <w:rPr>
          <w:rFonts w:ascii="Franklin Gothic Medium" w:hAnsi="Franklin Gothic Medium" w:cs="FrankRuehl" w:hint="eastAsia"/>
          <w:b/>
          <w:bCs/>
          <w:sz w:val="28"/>
          <w:szCs w:val="28"/>
          <w:rtl/>
        </w:rPr>
        <w:t>הערבית</w:t>
      </w:r>
      <w:r>
        <w:rPr>
          <w:rFonts w:ascii="Franklin Gothic Medium" w:hAnsi="Franklin Gothic Medium" w:cs="FrankRuehl"/>
          <w:b/>
          <w:bCs/>
          <w:sz w:val="28"/>
          <w:szCs w:val="28"/>
          <w:rtl/>
        </w:rPr>
        <w:t>.</w:t>
      </w:r>
    </w:p>
    <w:p w14:paraId="1A4694C4" w14:textId="77777777" w:rsidR="00F41B59" w:rsidRPr="005C66F6" w:rsidRDefault="005C66F6">
      <w:pPr>
        <w:spacing w:line="480" w:lineRule="auto"/>
        <w:ind w:firstLine="720"/>
        <w:jc w:val="both"/>
        <w:rPr>
          <w:rFonts w:ascii="Arial" w:hAnsi="Arial" w:cs="FrankRuehl"/>
          <w:noProof w:val="0"/>
          <w:color w:val="FFFFFF"/>
          <w:sz w:val="2"/>
          <w:szCs w:val="2"/>
          <w:rtl/>
        </w:rPr>
      </w:pPr>
      <w:r w:rsidRPr="005C66F6">
        <w:rPr>
          <w:rFonts w:ascii="Arial" w:hAnsi="Arial" w:cs="FrankRuehl"/>
          <w:noProof w:val="0"/>
          <w:color w:val="FFFFFF"/>
          <w:sz w:val="2"/>
          <w:szCs w:val="2"/>
          <w:rtl/>
        </w:rPr>
        <w:t>5129371</w:t>
      </w:r>
    </w:p>
    <w:tbl>
      <w:tblPr>
        <w:bidiVisual/>
        <w:tblW w:w="0" w:type="auto"/>
        <w:tblInd w:w="5999" w:type="dxa"/>
        <w:tblLook w:val="01E0" w:firstRow="1" w:lastRow="1" w:firstColumn="1" w:lastColumn="1" w:noHBand="0" w:noVBand="0"/>
      </w:tblPr>
      <w:tblGrid>
        <w:gridCol w:w="2520"/>
      </w:tblGrid>
      <w:tr w:rsidR="00F41B59" w14:paraId="650DF1BD" w14:textId="77777777">
        <w:trPr>
          <w:trHeight w:val="1438"/>
        </w:trPr>
        <w:tc>
          <w:tcPr>
            <w:tcW w:w="2520" w:type="dxa"/>
            <w:tcBorders>
              <w:top w:val="nil"/>
              <w:left w:val="nil"/>
              <w:bottom w:val="single" w:sz="4" w:space="0" w:color="auto"/>
              <w:right w:val="nil"/>
            </w:tcBorders>
            <w:vAlign w:val="center"/>
          </w:tcPr>
          <w:p w14:paraId="20C5F327" w14:textId="77777777" w:rsidR="00F41B59" w:rsidRPr="005C66F6" w:rsidRDefault="005C66F6">
            <w:pPr>
              <w:jc w:val="center"/>
              <w:rPr>
                <w:rFonts w:ascii="Courier New" w:hAnsi="Courier New"/>
                <w:b/>
                <w:bCs/>
                <w:color w:val="FFFFFF"/>
                <w:sz w:val="2"/>
                <w:szCs w:val="2"/>
              </w:rPr>
            </w:pPr>
            <w:r w:rsidRPr="005C66F6">
              <w:rPr>
                <w:rFonts w:ascii="Courier New" w:hAnsi="Courier New"/>
                <w:b/>
                <w:bCs/>
                <w:color w:val="FFFFFF"/>
                <w:sz w:val="2"/>
                <w:szCs w:val="2"/>
                <w:rtl/>
              </w:rPr>
              <w:t>54678313</w:t>
            </w:r>
          </w:p>
        </w:tc>
      </w:tr>
      <w:tr w:rsidR="00F41B59" w14:paraId="08736A0E" w14:textId="77777777">
        <w:trPr>
          <w:trHeight w:val="527"/>
        </w:trPr>
        <w:tc>
          <w:tcPr>
            <w:tcW w:w="2520" w:type="dxa"/>
            <w:tcBorders>
              <w:top w:val="single" w:sz="4" w:space="0" w:color="auto"/>
              <w:left w:val="nil"/>
              <w:bottom w:val="nil"/>
              <w:right w:val="nil"/>
            </w:tcBorders>
          </w:tcPr>
          <w:p w14:paraId="62FFBFF1" w14:textId="77777777" w:rsidR="00F41B59" w:rsidRDefault="005C66F6">
            <w:pPr>
              <w:jc w:val="center"/>
              <w:rPr>
                <w:rFonts w:cs="FrankRuehl"/>
                <w:b/>
                <w:bCs/>
                <w:sz w:val="28"/>
                <w:szCs w:val="28"/>
              </w:rPr>
            </w:pPr>
            <w:r>
              <w:rPr>
                <w:rFonts w:cs="FrankRuehl" w:hint="cs"/>
                <w:b/>
                <w:bCs/>
                <w:sz w:val="28"/>
                <w:szCs w:val="28"/>
                <w:rtl/>
              </w:rPr>
              <w:t>יורם נועם, שופט</w:t>
            </w:r>
          </w:p>
        </w:tc>
      </w:tr>
    </w:tbl>
    <w:p w14:paraId="4EB844F8" w14:textId="77777777" w:rsidR="00F41B59" w:rsidRDefault="00F41B59">
      <w:pPr>
        <w:jc w:val="center"/>
        <w:rPr>
          <w:rtl/>
        </w:rPr>
      </w:pPr>
    </w:p>
    <w:p w14:paraId="0E3ACC8B" w14:textId="77777777" w:rsidR="00F41B59" w:rsidRPr="00104B97" w:rsidRDefault="00104B97">
      <w:pPr>
        <w:spacing w:line="360" w:lineRule="auto"/>
        <w:jc w:val="both"/>
        <w:rPr>
          <w:rFonts w:ascii="Arial" w:hAnsi="Arial"/>
          <w:noProof w:val="0"/>
          <w:color w:val="FFFFFF"/>
          <w:sz w:val="2"/>
          <w:szCs w:val="2"/>
          <w:rtl/>
        </w:rPr>
      </w:pPr>
      <w:r w:rsidRPr="00104B97">
        <w:rPr>
          <w:rFonts w:ascii="Arial" w:hAnsi="Arial"/>
          <w:noProof w:val="0"/>
          <w:color w:val="FFFFFF"/>
          <w:sz w:val="2"/>
          <w:szCs w:val="2"/>
          <w:rtl/>
        </w:rPr>
        <w:t>5129371</w:t>
      </w:r>
    </w:p>
    <w:p w14:paraId="00C599F0" w14:textId="77777777" w:rsidR="00104B97" w:rsidRPr="00104B97" w:rsidRDefault="00104B97" w:rsidP="00104B97">
      <w:pPr>
        <w:keepNext/>
        <w:rPr>
          <w:rFonts w:ascii="David" w:hAnsi="David"/>
          <w:color w:val="000000"/>
          <w:sz w:val="22"/>
          <w:szCs w:val="22"/>
          <w:rtl/>
        </w:rPr>
      </w:pPr>
      <w:r w:rsidRPr="00104B97">
        <w:rPr>
          <w:rFonts w:ascii="David" w:hAnsi="David"/>
          <w:color w:val="FFFFFF"/>
          <w:sz w:val="2"/>
          <w:szCs w:val="2"/>
          <w:rtl/>
        </w:rPr>
        <w:t>54678313</w:t>
      </w:r>
      <w:r w:rsidRPr="00104B97">
        <w:rPr>
          <w:rFonts w:ascii="David" w:hAnsi="David"/>
          <w:color w:val="000000"/>
          <w:sz w:val="22"/>
          <w:szCs w:val="22"/>
          <w:rtl/>
        </w:rPr>
        <w:t xml:space="preserve"> </w:t>
      </w:r>
    </w:p>
    <w:p w14:paraId="37AF2A76" w14:textId="77777777" w:rsidR="00104B97" w:rsidRDefault="00104B97" w:rsidP="00104B97">
      <w:pPr>
        <w:keepNext/>
        <w:rPr>
          <w:rFonts w:ascii="David" w:hAnsi="David" w:hint="cs"/>
          <w:color w:val="000000"/>
          <w:sz w:val="22"/>
          <w:szCs w:val="22"/>
          <w:rtl/>
        </w:rPr>
      </w:pPr>
    </w:p>
    <w:p w14:paraId="55FCB307" w14:textId="77777777" w:rsidR="00104B97" w:rsidRDefault="00104B97" w:rsidP="00104B97">
      <w:pPr>
        <w:keepNext/>
        <w:rPr>
          <w:rFonts w:ascii="David" w:hAnsi="David" w:hint="cs"/>
          <w:color w:val="000000"/>
          <w:sz w:val="22"/>
          <w:szCs w:val="22"/>
          <w:rtl/>
        </w:rPr>
      </w:pPr>
    </w:p>
    <w:p w14:paraId="5A6D07C1" w14:textId="77777777" w:rsidR="00104B97" w:rsidRPr="00104B97" w:rsidRDefault="00104B97" w:rsidP="00104B97">
      <w:pPr>
        <w:keepNext/>
        <w:rPr>
          <w:rFonts w:ascii="David" w:hAnsi="David"/>
          <w:color w:val="000000"/>
          <w:sz w:val="22"/>
          <w:szCs w:val="22"/>
          <w:rtl/>
        </w:rPr>
      </w:pPr>
      <w:r w:rsidRPr="00104B97">
        <w:rPr>
          <w:rFonts w:ascii="David" w:hAnsi="David"/>
          <w:color w:val="000000"/>
          <w:sz w:val="22"/>
          <w:szCs w:val="22"/>
          <w:rtl/>
        </w:rPr>
        <w:t>י' נועם 54678313-/</w:t>
      </w:r>
    </w:p>
    <w:p w14:paraId="23CF6CC1" w14:textId="77777777" w:rsidR="00104B97" w:rsidRPr="005C66F6" w:rsidRDefault="00104B97" w:rsidP="00104B97">
      <w:pPr>
        <w:rPr>
          <w:color w:val="0000FF"/>
          <w:u w:val="single"/>
        </w:rPr>
      </w:pPr>
      <w:r w:rsidRPr="00104B97">
        <w:rPr>
          <w:color w:val="000000"/>
          <w:u w:val="single"/>
          <w:rtl/>
        </w:rPr>
        <w:t>נוסח מסמך זה כפוף לשינויי ניסוח ועריכה</w:t>
      </w:r>
    </w:p>
    <w:p w14:paraId="678BE255" w14:textId="77777777" w:rsidR="005C66F6" w:rsidRPr="00104B97" w:rsidRDefault="005C66F6" w:rsidP="005C66F6"/>
    <w:p w14:paraId="7C76B5E2" w14:textId="77777777" w:rsidR="005C66F6" w:rsidRDefault="005C66F6" w:rsidP="005C66F6">
      <w:pPr>
        <w:rPr>
          <w:rtl/>
        </w:rPr>
      </w:pPr>
    </w:p>
    <w:p w14:paraId="712CAB97" w14:textId="77777777" w:rsidR="005C66F6" w:rsidRDefault="005C66F6" w:rsidP="005C66F6">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sectPr w:rsidR="005C66F6" w:rsidSect="00104B97">
      <w:headerReference w:type="even" r:id="rId24"/>
      <w:headerReference w:type="default" r:id="rId25"/>
      <w:footerReference w:type="even" r:id="rId26"/>
      <w:footerReference w:type="default" r:id="rId2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62A79" w14:textId="77777777" w:rsidR="000F196E" w:rsidRPr="00164AA3" w:rsidRDefault="000F196E">
      <w:pPr>
        <w:rPr>
          <w:rFonts w:cs="Arial"/>
          <w:szCs w:val="20"/>
        </w:rPr>
      </w:pPr>
      <w:r>
        <w:separator/>
      </w:r>
    </w:p>
  </w:endnote>
  <w:endnote w:type="continuationSeparator" w:id="0">
    <w:p w14:paraId="774A6866" w14:textId="77777777" w:rsidR="000F196E" w:rsidRPr="00164AA3" w:rsidRDefault="000F196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134C8" w14:textId="77777777" w:rsidR="00104B97" w:rsidRDefault="00104B97" w:rsidP="00104B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052E494" w14:textId="77777777" w:rsidR="00F41B59" w:rsidRPr="00104B97" w:rsidRDefault="00104B97" w:rsidP="00104B97">
    <w:pPr>
      <w:pStyle w:val="a4"/>
      <w:pBdr>
        <w:top w:val="single" w:sz="4" w:space="1" w:color="auto"/>
        <w:between w:val="single" w:sz="4" w:space="0" w:color="auto"/>
      </w:pBdr>
      <w:spacing w:after="60"/>
      <w:jc w:val="center"/>
      <w:rPr>
        <w:rFonts w:ascii="FrankRuehl" w:hAnsi="FrankRuehl" w:cs="FrankRuehl"/>
        <w:color w:val="000000"/>
      </w:rPr>
    </w:pPr>
    <w:r w:rsidRPr="00104B9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BC16" w14:textId="77777777" w:rsidR="00104B97" w:rsidRDefault="00104B97" w:rsidP="00104B9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3ADC">
      <w:rPr>
        <w:rFonts w:ascii="FrankRuehl" w:hAnsi="FrankRuehl" w:cs="FrankRuehl"/>
        <w:rtl/>
      </w:rPr>
      <w:t>1</w:t>
    </w:r>
    <w:r>
      <w:rPr>
        <w:rFonts w:ascii="FrankRuehl" w:hAnsi="FrankRuehl" w:cs="FrankRuehl"/>
        <w:rtl/>
      </w:rPr>
      <w:fldChar w:fldCharType="end"/>
    </w:r>
  </w:p>
  <w:p w14:paraId="6DEC8490" w14:textId="77777777" w:rsidR="00F41B59" w:rsidRPr="00104B97" w:rsidRDefault="00104B97" w:rsidP="00104B97">
    <w:pPr>
      <w:pStyle w:val="a4"/>
      <w:pBdr>
        <w:top w:val="single" w:sz="4" w:space="1" w:color="auto"/>
        <w:between w:val="single" w:sz="4" w:space="0" w:color="auto"/>
      </w:pBdr>
      <w:spacing w:after="60"/>
      <w:jc w:val="center"/>
      <w:rPr>
        <w:rFonts w:ascii="FrankRuehl" w:hAnsi="FrankRuehl" w:cs="FrankRuehl"/>
        <w:color w:val="000000"/>
      </w:rPr>
    </w:pPr>
    <w:r w:rsidRPr="00104B97">
      <w:rPr>
        <w:rFonts w:ascii="FrankRuehl" w:hAnsi="FrankRuehl" w:cs="FrankRuehl"/>
        <w:color w:val="000000"/>
      </w:rPr>
      <w:pict w14:anchorId="3BCF2F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AED22" w14:textId="77777777" w:rsidR="000F196E" w:rsidRPr="00164AA3" w:rsidRDefault="000F196E">
      <w:pPr>
        <w:rPr>
          <w:rFonts w:cs="Arial"/>
          <w:szCs w:val="20"/>
        </w:rPr>
      </w:pPr>
      <w:r>
        <w:separator/>
      </w:r>
    </w:p>
  </w:footnote>
  <w:footnote w:type="continuationSeparator" w:id="0">
    <w:p w14:paraId="0B3771FD" w14:textId="77777777" w:rsidR="000F196E" w:rsidRPr="00164AA3" w:rsidRDefault="000F196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5631C" w14:textId="77777777" w:rsidR="005C66F6" w:rsidRPr="00104B97" w:rsidRDefault="00104B97" w:rsidP="00104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11775-07-13</w:t>
    </w:r>
    <w:r>
      <w:rPr>
        <w:rFonts w:ascii="David" w:hAnsi="David"/>
        <w:color w:val="000000"/>
        <w:sz w:val="22"/>
        <w:szCs w:val="22"/>
        <w:rtl/>
      </w:rPr>
      <w:tab/>
      <w:t xml:space="preserve"> מדינת ישראל נ' עודיי סונקורט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5EDF" w14:textId="77777777" w:rsidR="005C66F6" w:rsidRPr="00104B97" w:rsidRDefault="00104B97" w:rsidP="00104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11775-07-13</w:t>
    </w:r>
    <w:r>
      <w:rPr>
        <w:rFonts w:ascii="David" w:hAnsi="David"/>
        <w:color w:val="000000"/>
        <w:sz w:val="22"/>
        <w:szCs w:val="22"/>
        <w:rtl/>
      </w:rPr>
      <w:tab/>
      <w:t xml:space="preserve"> מדינת ישראל נ' עודיי סונקורט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1B59"/>
    <w:rsid w:val="000F196E"/>
    <w:rsid w:val="00104B97"/>
    <w:rsid w:val="005C66F6"/>
    <w:rsid w:val="00993ADC"/>
    <w:rsid w:val="00EB5FA5"/>
    <w:rsid w:val="00F41B59"/>
    <w:rsid w:val="00F90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82D98C"/>
  <w15:chartTrackingRefBased/>
  <w15:docId w15:val="{E57E3D59-F3BE-4762-874D-6A2CA814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1B59"/>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41B59"/>
    <w:pPr>
      <w:tabs>
        <w:tab w:val="center" w:pos="4153"/>
        <w:tab w:val="right" w:pos="8306"/>
      </w:tabs>
    </w:pPr>
  </w:style>
  <w:style w:type="paragraph" w:styleId="a4">
    <w:name w:val="footer"/>
    <w:basedOn w:val="a"/>
    <w:rsid w:val="00F41B59"/>
    <w:pPr>
      <w:tabs>
        <w:tab w:val="center" w:pos="4153"/>
        <w:tab w:val="right" w:pos="8306"/>
      </w:tabs>
    </w:pPr>
  </w:style>
  <w:style w:type="character" w:styleId="a5">
    <w:name w:val="page number"/>
    <w:basedOn w:val="a0"/>
    <w:rsid w:val="00F41B59"/>
  </w:style>
  <w:style w:type="character" w:styleId="Hyperlink">
    <w:name w:val="Hyperlink"/>
    <w:basedOn w:val="a0"/>
    <w:rsid w:val="005C6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707014" TargetMode="External"/><Relationship Id="rId18" Type="http://schemas.openxmlformats.org/officeDocument/2006/relationships/hyperlink" Target="http://www.nevo.co.il/case/6171019"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958231" TargetMode="External"/><Relationship Id="rId7" Type="http://schemas.openxmlformats.org/officeDocument/2006/relationships/hyperlink" Target="http://www.nevo.co.il/law/70301/31" TargetMode="External"/><Relationship Id="rId12" Type="http://schemas.openxmlformats.org/officeDocument/2006/relationships/hyperlink" Target="http://www.nevo.co.il/case/5821327" TargetMode="External"/><Relationship Id="rId17" Type="http://schemas.openxmlformats.org/officeDocument/2006/relationships/hyperlink" Target="http://www.nevo.co.il/case/5764932"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000182" TargetMode="External"/><Relationship Id="rId20" Type="http://schemas.openxmlformats.org/officeDocument/2006/relationships/hyperlink" Target="http://www.nevo.co.il/case/611859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596228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31" TargetMode="External"/><Relationship Id="rId19" Type="http://schemas.openxmlformats.org/officeDocument/2006/relationships/hyperlink" Target="http://www.nevo.co.il/case/5697078"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6180713" TargetMode="External"/><Relationship Id="rId22" Type="http://schemas.openxmlformats.org/officeDocument/2006/relationships/hyperlink" Target="http://www.nevo.co.il/case/5821327"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1564</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9369</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3342454</vt:i4>
      </vt:variant>
      <vt:variant>
        <vt:i4>45</vt:i4>
      </vt:variant>
      <vt:variant>
        <vt:i4>0</vt:i4>
      </vt:variant>
      <vt:variant>
        <vt:i4>5</vt:i4>
      </vt:variant>
      <vt:variant>
        <vt:lpwstr>http://www.nevo.co.il/case/5958231</vt:lpwstr>
      </vt:variant>
      <vt:variant>
        <vt:lpwstr/>
      </vt:variant>
      <vt:variant>
        <vt:i4>3604596</vt:i4>
      </vt:variant>
      <vt:variant>
        <vt:i4>42</vt:i4>
      </vt:variant>
      <vt:variant>
        <vt:i4>0</vt:i4>
      </vt:variant>
      <vt:variant>
        <vt:i4>5</vt:i4>
      </vt:variant>
      <vt:variant>
        <vt:lpwstr>http://www.nevo.co.il/case/6118595</vt:lpwstr>
      </vt:variant>
      <vt:variant>
        <vt:lpwstr/>
      </vt:variant>
      <vt:variant>
        <vt:i4>3407986</vt:i4>
      </vt:variant>
      <vt:variant>
        <vt:i4>39</vt:i4>
      </vt:variant>
      <vt:variant>
        <vt:i4>0</vt:i4>
      </vt:variant>
      <vt:variant>
        <vt:i4>5</vt:i4>
      </vt:variant>
      <vt:variant>
        <vt:lpwstr>http://www.nevo.co.il/case/5697078</vt:lpwstr>
      </vt:variant>
      <vt:variant>
        <vt:lpwstr/>
      </vt:variant>
      <vt:variant>
        <vt:i4>3670133</vt:i4>
      </vt:variant>
      <vt:variant>
        <vt:i4>36</vt:i4>
      </vt:variant>
      <vt:variant>
        <vt:i4>0</vt:i4>
      </vt:variant>
      <vt:variant>
        <vt:i4>5</vt:i4>
      </vt:variant>
      <vt:variant>
        <vt:lpwstr>http://www.nevo.co.il/case/6171019</vt:lpwstr>
      </vt:variant>
      <vt:variant>
        <vt:lpwstr/>
      </vt:variant>
      <vt:variant>
        <vt:i4>3670132</vt:i4>
      </vt:variant>
      <vt:variant>
        <vt:i4>33</vt:i4>
      </vt:variant>
      <vt:variant>
        <vt:i4>0</vt:i4>
      </vt:variant>
      <vt:variant>
        <vt:i4>5</vt:i4>
      </vt:variant>
      <vt:variant>
        <vt:lpwstr>http://www.nevo.co.il/case/5764932</vt:lpwstr>
      </vt:variant>
      <vt:variant>
        <vt:lpwstr/>
      </vt:variant>
      <vt:variant>
        <vt:i4>3473532</vt:i4>
      </vt:variant>
      <vt:variant>
        <vt:i4>30</vt:i4>
      </vt:variant>
      <vt:variant>
        <vt:i4>0</vt:i4>
      </vt:variant>
      <vt:variant>
        <vt:i4>5</vt:i4>
      </vt:variant>
      <vt:variant>
        <vt:lpwstr>http://www.nevo.co.il/case/6000182</vt:lpwstr>
      </vt:variant>
      <vt:variant>
        <vt:lpwstr/>
      </vt:variant>
      <vt:variant>
        <vt:i4>3276919</vt:i4>
      </vt:variant>
      <vt:variant>
        <vt:i4>27</vt:i4>
      </vt:variant>
      <vt:variant>
        <vt:i4>0</vt:i4>
      </vt:variant>
      <vt:variant>
        <vt:i4>5</vt:i4>
      </vt:variant>
      <vt:variant>
        <vt:lpwstr>http://www.nevo.co.il/case/5962283</vt:lpwstr>
      </vt:variant>
      <vt:variant>
        <vt:lpwstr/>
      </vt:variant>
      <vt:variant>
        <vt:i4>3801204</vt:i4>
      </vt:variant>
      <vt:variant>
        <vt:i4>24</vt:i4>
      </vt:variant>
      <vt:variant>
        <vt:i4>0</vt:i4>
      </vt:variant>
      <vt:variant>
        <vt:i4>5</vt:i4>
      </vt:variant>
      <vt:variant>
        <vt:lpwstr>http://www.nevo.co.il/case/6180713</vt:lpwstr>
      </vt:variant>
      <vt:variant>
        <vt:lpwstr/>
      </vt:variant>
      <vt:variant>
        <vt:i4>3211381</vt:i4>
      </vt:variant>
      <vt:variant>
        <vt:i4>21</vt:i4>
      </vt:variant>
      <vt:variant>
        <vt:i4>0</vt:i4>
      </vt:variant>
      <vt:variant>
        <vt:i4>5</vt:i4>
      </vt:variant>
      <vt:variant>
        <vt:lpwstr>http://www.nevo.co.il/case/5707014</vt:lpwstr>
      </vt:variant>
      <vt:variant>
        <vt:lpwstr/>
      </vt:variant>
      <vt:variant>
        <vt:i4>3342463</vt:i4>
      </vt:variant>
      <vt:variant>
        <vt:i4>18</vt:i4>
      </vt:variant>
      <vt:variant>
        <vt:i4>0</vt:i4>
      </vt:variant>
      <vt:variant>
        <vt:i4>5</vt:i4>
      </vt:variant>
      <vt:variant>
        <vt:lpwstr>http://www.nevo.co.il/case/5821327</vt:lpwstr>
      </vt:variant>
      <vt:variant>
        <vt:lpwstr/>
      </vt:variant>
      <vt:variant>
        <vt:i4>7995492</vt:i4>
      </vt:variant>
      <vt:variant>
        <vt:i4>15</vt:i4>
      </vt:variant>
      <vt:variant>
        <vt:i4>0</vt:i4>
      </vt:variant>
      <vt:variant>
        <vt:i4>5</vt:i4>
      </vt:variant>
      <vt:variant>
        <vt:lpwstr>http://www.nevo.co.il/law/70301</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2025-04-25T10:30:00Z</dcterms:created>
  <dcterms:modified xsi:type="dcterms:W3CDTF">2025-04-25T10:30:00Z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11775</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עודיי סונקורט;רגאאי והבה</vt:lpwstr>
  </property>
  <property fmtid="{D5CDD505-2E9C-101B-9397-08002B2CF9AE}" pid="10" name="LAWYER">
    <vt:lpwstr>אנדרה רוזנטל</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20140714</vt:lpwstr>
  </property>
  <property fmtid="{D5CDD505-2E9C-101B-9397-08002B2CF9AE}" pid="14" name="TYPE_N_DATE">
    <vt:lpwstr>39020140714</vt:lpwstr>
  </property>
  <property fmtid="{D5CDD505-2E9C-101B-9397-08002B2CF9AE}" pid="15" name="CASESLISTTMP1">
    <vt:lpwstr>5821327:2;5707014;6180713;5962283;6000182;5764932;6171019;5697078;6118595;5958231</vt:lpwstr>
  </property>
  <property fmtid="{D5CDD505-2E9C-101B-9397-08002B2CF9AE}" pid="16" name="WORDNUMPAGES">
    <vt:lpwstr>6</vt:lpwstr>
  </property>
  <property fmtid="{D5CDD505-2E9C-101B-9397-08002B2CF9AE}" pid="17" name="TYPE_ABS_DATE">
    <vt:lpwstr>390020140714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70301/144.a:2;031:2</vt:lpwstr>
  </property>
  <property fmtid="{D5CDD505-2E9C-101B-9397-08002B2CF9AE}" pid="36" name="ISABSTRACT">
    <vt:lpwstr>Y</vt:lpwstr>
  </property>
</Properties>
</file>