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614B91" w:rsidRPr="00A27393" w14:paraId="34CA7BD2" w14:textId="77777777">
        <w:trPr>
          <w:trHeight w:hRule="exact" w:val="418"/>
          <w:jc w:val="center"/>
        </w:trPr>
        <w:tc>
          <w:tcPr>
            <w:tcW w:w="8721" w:type="dxa"/>
            <w:gridSpan w:val="2"/>
          </w:tcPr>
          <w:p w14:paraId="6A5AB479" w14:textId="77777777" w:rsidR="00614B91" w:rsidRPr="00A27393" w:rsidRDefault="00A27393">
            <w:pPr>
              <w:pStyle w:val="a3"/>
              <w:jc w:val="center"/>
              <w:rPr>
                <w:rFonts w:ascii="Tahoma" w:hAnsi="Tahoma" w:cs="Tahoma"/>
                <w:color w:val="000080"/>
                <w:rtl/>
              </w:rPr>
            </w:pPr>
            <w:bookmarkStart w:id="0" w:name="LastJudge"/>
            <w:r w:rsidRPr="00A27393">
              <w:rPr>
                <w:rFonts w:ascii="Tahoma" w:hAnsi="Tahoma" w:cs="Tahoma"/>
                <w:b/>
                <w:bCs/>
                <w:color w:val="000080"/>
                <w:rtl/>
              </w:rPr>
              <w:t>בית המשפט המחוזי בחיפה</w:t>
            </w:r>
          </w:p>
        </w:tc>
      </w:tr>
      <w:tr w:rsidR="00614B91" w:rsidRPr="00A27393" w14:paraId="54923C40" w14:textId="77777777">
        <w:trPr>
          <w:trHeight w:val="337"/>
          <w:jc w:val="center"/>
        </w:trPr>
        <w:tc>
          <w:tcPr>
            <w:tcW w:w="5051" w:type="dxa"/>
          </w:tcPr>
          <w:p w14:paraId="56FCF66A" w14:textId="77777777" w:rsidR="00614B91" w:rsidRPr="00A27393" w:rsidRDefault="00A27393">
            <w:pPr>
              <w:rPr>
                <w:rFonts w:cs="FrankRuehl"/>
                <w:sz w:val="28"/>
                <w:szCs w:val="28"/>
                <w:rtl/>
              </w:rPr>
            </w:pPr>
            <w:r w:rsidRPr="00A27393">
              <w:rPr>
                <w:rFonts w:cs="FrankRuehl"/>
                <w:sz w:val="28"/>
                <w:szCs w:val="28"/>
                <w:rtl/>
              </w:rPr>
              <w:t>ת"פ</w:t>
            </w:r>
            <w:r w:rsidRPr="00A27393">
              <w:rPr>
                <w:rFonts w:cs="FrankRuehl" w:hint="cs"/>
                <w:sz w:val="28"/>
                <w:szCs w:val="28"/>
                <w:rtl/>
              </w:rPr>
              <w:t xml:space="preserve"> </w:t>
            </w:r>
            <w:r w:rsidRPr="00A27393">
              <w:rPr>
                <w:rFonts w:cs="FrankRuehl"/>
                <w:sz w:val="28"/>
                <w:szCs w:val="28"/>
                <w:rtl/>
              </w:rPr>
              <w:t>26088-07-13</w:t>
            </w:r>
            <w:r w:rsidRPr="00A27393">
              <w:rPr>
                <w:rFonts w:cs="FrankRuehl" w:hint="cs"/>
                <w:sz w:val="28"/>
                <w:szCs w:val="28"/>
                <w:rtl/>
              </w:rPr>
              <w:t xml:space="preserve"> </w:t>
            </w:r>
            <w:r w:rsidRPr="00A27393">
              <w:rPr>
                <w:rFonts w:cs="FrankRuehl"/>
                <w:sz w:val="28"/>
                <w:szCs w:val="28"/>
                <w:rtl/>
              </w:rPr>
              <w:t>מדינת ישראל נ' חוג'יראת</w:t>
            </w:r>
          </w:p>
          <w:p w14:paraId="41861327" w14:textId="77777777" w:rsidR="00614B91" w:rsidRPr="00A27393" w:rsidRDefault="00614B91">
            <w:pPr>
              <w:pStyle w:val="a3"/>
              <w:rPr>
                <w:rFonts w:cs="FrankRuehl"/>
                <w:sz w:val="28"/>
                <w:szCs w:val="28"/>
                <w:rtl/>
              </w:rPr>
            </w:pPr>
          </w:p>
        </w:tc>
        <w:tc>
          <w:tcPr>
            <w:tcW w:w="3670" w:type="dxa"/>
          </w:tcPr>
          <w:p w14:paraId="4F99A66B" w14:textId="77777777" w:rsidR="00614B91" w:rsidRPr="00A27393" w:rsidRDefault="00A27393">
            <w:pPr>
              <w:pStyle w:val="a3"/>
              <w:jc w:val="right"/>
              <w:rPr>
                <w:rFonts w:cs="FrankRuehl"/>
                <w:sz w:val="28"/>
                <w:szCs w:val="28"/>
                <w:rtl/>
              </w:rPr>
            </w:pPr>
            <w:r w:rsidRPr="00A27393">
              <w:rPr>
                <w:rFonts w:cs="FrankRuehl" w:hint="cs"/>
                <w:sz w:val="28"/>
                <w:szCs w:val="28"/>
                <w:rtl/>
              </w:rPr>
              <w:t>24 ביוני 2014</w:t>
            </w:r>
          </w:p>
        </w:tc>
      </w:tr>
    </w:tbl>
    <w:p w14:paraId="091E33E0" w14:textId="77777777" w:rsidR="00614B91" w:rsidRPr="00A27393" w:rsidRDefault="00A27393">
      <w:pPr>
        <w:pStyle w:val="a3"/>
        <w:rPr>
          <w:rtl/>
        </w:rPr>
      </w:pPr>
      <w:r w:rsidRPr="00A27393">
        <w:rPr>
          <w:rFonts w:hint="cs"/>
          <w:rtl/>
        </w:rPr>
        <w:t xml:space="preserve"> </w:t>
      </w:r>
    </w:p>
    <w:p w14:paraId="66B8DCEF" w14:textId="77777777" w:rsidR="00614B91" w:rsidRPr="00A27393" w:rsidRDefault="00614B91">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614B91" w:rsidRPr="00A27393" w14:paraId="7BC8DC1B" w14:textId="77777777">
        <w:trPr>
          <w:gridAfter w:val="1"/>
          <w:wAfter w:w="55" w:type="dxa"/>
        </w:trPr>
        <w:tc>
          <w:tcPr>
            <w:tcW w:w="8719" w:type="dxa"/>
            <w:gridSpan w:val="2"/>
          </w:tcPr>
          <w:p w14:paraId="5D009E61" w14:textId="77777777" w:rsidR="00614B91" w:rsidRPr="00A27393" w:rsidRDefault="00A27393">
            <w:pPr>
              <w:spacing w:line="360" w:lineRule="auto"/>
              <w:rPr>
                <w:b/>
                <w:bCs/>
                <w:sz w:val="26"/>
                <w:szCs w:val="26"/>
              </w:rPr>
            </w:pPr>
            <w:bookmarkStart w:id="1" w:name="_GoBack"/>
            <w:bookmarkEnd w:id="1"/>
            <w:r w:rsidRPr="00A27393">
              <w:rPr>
                <w:rFonts w:hint="cs"/>
                <w:b/>
                <w:bCs/>
                <w:sz w:val="26"/>
                <w:szCs w:val="26"/>
                <w:rtl/>
              </w:rPr>
              <w:t>בפני כב' ה</w:t>
            </w:r>
            <w:r w:rsidRPr="00A27393">
              <w:rPr>
                <w:rFonts w:hint="cs"/>
                <w:rtl/>
              </w:rPr>
              <w:t>שופטת חני הורוביץ</w:t>
            </w:r>
            <w:r w:rsidRPr="00A27393">
              <w:rPr>
                <w:rStyle w:val="TimesNewRomanTimesNewRoman"/>
                <w:rFonts w:hint="cs"/>
                <w:rtl/>
              </w:rPr>
              <w:t xml:space="preserve"> </w:t>
            </w:r>
          </w:p>
        </w:tc>
      </w:tr>
      <w:tr w:rsidR="00614B91" w:rsidRPr="00A27393" w14:paraId="0F645C7F" w14:textId="77777777">
        <w:tc>
          <w:tcPr>
            <w:tcW w:w="2880" w:type="dxa"/>
          </w:tcPr>
          <w:p w14:paraId="63B0F516" w14:textId="77777777" w:rsidR="00614B91" w:rsidRPr="00A27393" w:rsidRDefault="00A27393">
            <w:pPr>
              <w:ind w:left="26"/>
              <w:rPr>
                <w:b/>
                <w:bCs/>
                <w:sz w:val="26"/>
                <w:szCs w:val="26"/>
              </w:rPr>
            </w:pPr>
            <w:bookmarkStart w:id="2" w:name="FirstAppellant"/>
            <w:r w:rsidRPr="00A27393">
              <w:rPr>
                <w:rFonts w:hint="cs"/>
                <w:b/>
                <w:bCs/>
                <w:sz w:val="26"/>
                <w:szCs w:val="26"/>
                <w:rtl/>
              </w:rPr>
              <w:t>ה</w:t>
            </w:r>
            <w:r w:rsidRPr="00A27393">
              <w:rPr>
                <w:rFonts w:hint="cs"/>
                <w:rtl/>
              </w:rPr>
              <w:t>מאשימה</w:t>
            </w:r>
          </w:p>
        </w:tc>
        <w:tc>
          <w:tcPr>
            <w:tcW w:w="5922" w:type="dxa"/>
            <w:gridSpan w:val="2"/>
          </w:tcPr>
          <w:p w14:paraId="16B741CF" w14:textId="77777777" w:rsidR="00614B91" w:rsidRPr="00A27393" w:rsidRDefault="00A27393">
            <w:pPr>
              <w:rPr>
                <w:b/>
                <w:bCs/>
                <w:sz w:val="26"/>
                <w:szCs w:val="26"/>
              </w:rPr>
            </w:pPr>
            <w:r w:rsidRPr="00A27393">
              <w:rPr>
                <w:rFonts w:hint="cs"/>
                <w:rtl/>
              </w:rPr>
              <w:t>מדינת ישראל</w:t>
            </w:r>
          </w:p>
        </w:tc>
      </w:tr>
      <w:bookmarkEnd w:id="2"/>
      <w:tr w:rsidR="00614B91" w:rsidRPr="00A27393" w14:paraId="2F036A97" w14:textId="77777777">
        <w:tc>
          <w:tcPr>
            <w:tcW w:w="8802" w:type="dxa"/>
            <w:gridSpan w:val="3"/>
          </w:tcPr>
          <w:p w14:paraId="183D33C1" w14:textId="77777777" w:rsidR="00614B91" w:rsidRPr="00A27393" w:rsidRDefault="00614B91">
            <w:pPr>
              <w:jc w:val="both"/>
              <w:rPr>
                <w:rFonts w:ascii="Arial" w:hAnsi="Arial"/>
                <w:b/>
                <w:bCs/>
                <w:sz w:val="26"/>
                <w:szCs w:val="26"/>
                <w:rtl/>
              </w:rPr>
            </w:pPr>
          </w:p>
          <w:p w14:paraId="7EF72EC1" w14:textId="77777777" w:rsidR="00614B91" w:rsidRPr="00A27393" w:rsidRDefault="00A27393">
            <w:pPr>
              <w:jc w:val="center"/>
              <w:rPr>
                <w:rFonts w:ascii="Arial" w:hAnsi="Arial"/>
                <w:b/>
                <w:bCs/>
                <w:sz w:val="26"/>
                <w:szCs w:val="26"/>
                <w:rtl/>
              </w:rPr>
            </w:pPr>
            <w:r w:rsidRPr="00A27393">
              <w:rPr>
                <w:rFonts w:ascii="Arial" w:hAnsi="Arial" w:hint="cs"/>
                <w:b/>
                <w:bCs/>
                <w:sz w:val="26"/>
                <w:szCs w:val="26"/>
                <w:rtl/>
              </w:rPr>
              <w:t>נגד</w:t>
            </w:r>
          </w:p>
          <w:p w14:paraId="6BC9926E" w14:textId="77777777" w:rsidR="00614B91" w:rsidRPr="00A27393" w:rsidRDefault="00614B91">
            <w:pPr>
              <w:jc w:val="center"/>
              <w:rPr>
                <w:rFonts w:ascii="Arial" w:hAnsi="Arial"/>
                <w:b/>
                <w:bCs/>
                <w:sz w:val="26"/>
                <w:szCs w:val="26"/>
              </w:rPr>
            </w:pPr>
          </w:p>
        </w:tc>
      </w:tr>
      <w:tr w:rsidR="00614B91" w:rsidRPr="00A27393" w14:paraId="3F40C9B2" w14:textId="77777777">
        <w:tc>
          <w:tcPr>
            <w:tcW w:w="2880" w:type="dxa"/>
          </w:tcPr>
          <w:p w14:paraId="311CFA99" w14:textId="77777777" w:rsidR="00614B91" w:rsidRPr="00A27393" w:rsidRDefault="00A27393">
            <w:pPr>
              <w:ind w:left="26"/>
              <w:rPr>
                <w:b/>
                <w:bCs/>
                <w:sz w:val="26"/>
                <w:szCs w:val="26"/>
              </w:rPr>
            </w:pPr>
            <w:r w:rsidRPr="00A27393">
              <w:rPr>
                <w:rFonts w:hint="cs"/>
                <w:b/>
                <w:bCs/>
                <w:sz w:val="26"/>
                <w:szCs w:val="26"/>
                <w:rtl/>
              </w:rPr>
              <w:t>ה</w:t>
            </w:r>
            <w:r w:rsidRPr="00A27393">
              <w:rPr>
                <w:rFonts w:hint="cs"/>
                <w:rtl/>
              </w:rPr>
              <w:t>נאשם</w:t>
            </w:r>
          </w:p>
        </w:tc>
        <w:tc>
          <w:tcPr>
            <w:tcW w:w="5922" w:type="dxa"/>
            <w:gridSpan w:val="2"/>
          </w:tcPr>
          <w:p w14:paraId="3FC68DF5" w14:textId="77777777" w:rsidR="00614B91" w:rsidRPr="00A27393" w:rsidRDefault="00A27393">
            <w:pPr>
              <w:rPr>
                <w:b/>
                <w:bCs/>
                <w:sz w:val="26"/>
                <w:szCs w:val="26"/>
              </w:rPr>
            </w:pPr>
            <w:r w:rsidRPr="00A27393">
              <w:rPr>
                <w:rFonts w:hint="cs"/>
                <w:rtl/>
              </w:rPr>
              <w:t>חוסיין חוג'יראת (עציר) ת"ז 200809838</w:t>
            </w:r>
          </w:p>
        </w:tc>
      </w:tr>
    </w:tbl>
    <w:p w14:paraId="33867566" w14:textId="77777777" w:rsidR="00812603" w:rsidRDefault="00812603">
      <w:pPr>
        <w:spacing w:line="360" w:lineRule="auto"/>
        <w:jc w:val="both"/>
        <w:rPr>
          <w:rFonts w:ascii="David" w:hAnsi="David"/>
          <w:rtl/>
        </w:rPr>
      </w:pPr>
      <w:bookmarkStart w:id="3" w:name="LawTable"/>
      <w:bookmarkEnd w:id="3"/>
    </w:p>
    <w:p w14:paraId="4852ABB0" w14:textId="77777777" w:rsidR="00812603" w:rsidRPr="00812603" w:rsidRDefault="00812603" w:rsidP="00812603">
      <w:pPr>
        <w:spacing w:after="120" w:line="240" w:lineRule="exact"/>
        <w:ind w:left="283" w:hanging="283"/>
        <w:jc w:val="both"/>
        <w:rPr>
          <w:rFonts w:ascii="FrankRuehl" w:hAnsi="FrankRuehl" w:cs="FrankRuehl"/>
          <w:rtl/>
        </w:rPr>
      </w:pPr>
      <w:r w:rsidRPr="00812603">
        <w:rPr>
          <w:rFonts w:ascii="FrankRuehl" w:hAnsi="FrankRuehl" w:cs="FrankRuehl"/>
          <w:rtl/>
        </w:rPr>
        <w:t xml:space="preserve">חקיקה שאוזכרה: </w:t>
      </w:r>
    </w:p>
    <w:p w14:paraId="26914C6A" w14:textId="77777777" w:rsidR="00812603" w:rsidRPr="00812603" w:rsidRDefault="00812603" w:rsidP="00812603">
      <w:pPr>
        <w:spacing w:after="120" w:line="240" w:lineRule="exact"/>
        <w:ind w:left="283" w:hanging="283"/>
        <w:jc w:val="both"/>
        <w:rPr>
          <w:rFonts w:ascii="FrankRuehl" w:hAnsi="FrankRuehl" w:cs="FrankRuehl"/>
          <w:color w:val="0000FF"/>
          <w:u w:val="single"/>
          <w:rtl/>
        </w:rPr>
      </w:pPr>
      <w:hyperlink r:id="rId6" w:history="1">
        <w:r w:rsidRPr="00812603">
          <w:rPr>
            <w:rStyle w:val="Hyperlink"/>
            <w:rFonts w:ascii="FrankRuehl" w:hAnsi="FrankRuehl" w:cs="FrankRuehl"/>
            <w:rtl/>
          </w:rPr>
          <w:t>חוק העונשין, תשל"ז-1977</w:t>
        </w:r>
      </w:hyperlink>
      <w:r w:rsidRPr="00812603">
        <w:rPr>
          <w:rFonts w:ascii="FrankRuehl" w:hAnsi="FrankRuehl" w:cs="FrankRuehl"/>
          <w:color w:val="0000FF"/>
          <w:u w:val="single"/>
          <w:rtl/>
        </w:rPr>
        <w:t xml:space="preserve">: סע'  </w:t>
      </w:r>
      <w:hyperlink r:id="rId7" w:history="1">
        <w:r w:rsidRPr="00812603">
          <w:rPr>
            <w:rStyle w:val="Hyperlink"/>
            <w:rFonts w:ascii="FrankRuehl" w:hAnsi="FrankRuehl" w:cs="FrankRuehl"/>
          </w:rPr>
          <w:t>144 (</w:t>
        </w:r>
        <w:r w:rsidRPr="00812603">
          <w:rPr>
            <w:rStyle w:val="Hyperlink"/>
            <w:rFonts w:ascii="FrankRuehl" w:hAnsi="FrankRuehl" w:cs="FrankRuehl"/>
            <w:rtl/>
          </w:rPr>
          <w:t>א</w:t>
        </w:r>
        <w:r w:rsidRPr="00812603">
          <w:rPr>
            <w:rStyle w:val="Hyperlink"/>
            <w:rFonts w:ascii="FrankRuehl" w:hAnsi="FrankRuehl" w:cs="FrankRuehl"/>
          </w:rPr>
          <w:t>)</w:t>
        </w:r>
      </w:hyperlink>
      <w:r w:rsidRPr="00812603">
        <w:rPr>
          <w:rFonts w:ascii="FrankRuehl" w:hAnsi="FrankRuehl" w:cs="FrankRuehl"/>
          <w:color w:val="0000FF"/>
          <w:u w:val="single"/>
          <w:rtl/>
        </w:rPr>
        <w:t xml:space="preserve">, </w:t>
      </w:r>
      <w:hyperlink r:id="rId8" w:history="1">
        <w:r w:rsidRPr="00812603">
          <w:rPr>
            <w:rStyle w:val="Hyperlink"/>
            <w:rFonts w:ascii="FrankRuehl" w:hAnsi="FrankRuehl" w:cs="FrankRuehl"/>
          </w:rPr>
          <w:t>192</w:t>
        </w:r>
      </w:hyperlink>
      <w:r w:rsidRPr="00812603">
        <w:rPr>
          <w:rFonts w:ascii="FrankRuehl" w:hAnsi="FrankRuehl" w:cs="FrankRuehl"/>
          <w:color w:val="0000FF"/>
          <w:u w:val="single"/>
          <w:rtl/>
        </w:rPr>
        <w:t xml:space="preserve">, </w:t>
      </w:r>
      <w:hyperlink r:id="rId9" w:history="1">
        <w:r w:rsidRPr="00812603">
          <w:rPr>
            <w:rStyle w:val="Hyperlink"/>
            <w:rFonts w:ascii="FrankRuehl" w:hAnsi="FrankRuehl" w:cs="FrankRuehl"/>
          </w:rPr>
          <w:t>329</w:t>
        </w:r>
      </w:hyperlink>
      <w:r w:rsidRPr="00812603">
        <w:rPr>
          <w:rFonts w:ascii="FrankRuehl" w:hAnsi="FrankRuehl" w:cs="FrankRuehl"/>
          <w:color w:val="0000FF"/>
          <w:u w:val="single"/>
          <w:rtl/>
        </w:rPr>
        <w:t xml:space="preserve">, </w:t>
      </w:r>
      <w:hyperlink r:id="rId10" w:history="1">
        <w:r w:rsidRPr="00812603">
          <w:rPr>
            <w:rStyle w:val="Hyperlink"/>
            <w:rFonts w:ascii="FrankRuehl" w:hAnsi="FrankRuehl" w:cs="FrankRuehl"/>
          </w:rPr>
          <w:t>333</w:t>
        </w:r>
      </w:hyperlink>
      <w:r w:rsidRPr="00812603">
        <w:rPr>
          <w:rFonts w:ascii="FrankRuehl" w:hAnsi="FrankRuehl" w:cs="FrankRuehl"/>
          <w:color w:val="0000FF"/>
          <w:u w:val="single"/>
          <w:rtl/>
        </w:rPr>
        <w:t xml:space="preserve">, </w:t>
      </w:r>
      <w:hyperlink r:id="rId11" w:history="1">
        <w:r w:rsidRPr="00812603">
          <w:rPr>
            <w:rStyle w:val="Hyperlink"/>
            <w:rFonts w:ascii="FrankRuehl" w:hAnsi="FrankRuehl" w:cs="FrankRuehl"/>
          </w:rPr>
          <w:t>335 (</w:t>
        </w:r>
        <w:r w:rsidRPr="00812603">
          <w:rPr>
            <w:rStyle w:val="Hyperlink"/>
            <w:rFonts w:ascii="FrankRuehl" w:hAnsi="FrankRuehl" w:cs="FrankRuehl"/>
            <w:rtl/>
          </w:rPr>
          <w:t>א)(1</w:t>
        </w:r>
        <w:r w:rsidRPr="00812603">
          <w:rPr>
            <w:rStyle w:val="Hyperlink"/>
            <w:rFonts w:ascii="FrankRuehl" w:hAnsi="FrankRuehl" w:cs="FrankRuehl"/>
          </w:rPr>
          <w:t>)</w:t>
        </w:r>
      </w:hyperlink>
      <w:r w:rsidRPr="00812603">
        <w:rPr>
          <w:rFonts w:ascii="FrankRuehl" w:hAnsi="FrankRuehl" w:cs="FrankRuehl"/>
          <w:color w:val="0000FF"/>
          <w:u w:val="single"/>
          <w:rtl/>
        </w:rPr>
        <w:t xml:space="preserve">, </w:t>
      </w:r>
      <w:hyperlink r:id="rId12" w:history="1">
        <w:r w:rsidRPr="00812603">
          <w:rPr>
            <w:rStyle w:val="Hyperlink"/>
            <w:rFonts w:ascii="FrankRuehl" w:hAnsi="FrankRuehl" w:cs="FrankRuehl"/>
          </w:rPr>
          <w:t xml:space="preserve">340. </w:t>
        </w:r>
        <w:r w:rsidRPr="00812603">
          <w:rPr>
            <w:rStyle w:val="Hyperlink"/>
            <w:rFonts w:ascii="FrankRuehl" w:hAnsi="FrankRuehl" w:cs="FrankRuehl"/>
            <w:rtl/>
          </w:rPr>
          <w:t>א</w:t>
        </w:r>
      </w:hyperlink>
    </w:p>
    <w:p w14:paraId="2F2D514E" w14:textId="77777777" w:rsidR="00812603" w:rsidRPr="00812603" w:rsidRDefault="00812603" w:rsidP="0081260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4B91" w14:paraId="766B0A5A" w14:textId="77777777">
        <w:trPr>
          <w:trHeight w:val="355"/>
          <w:jc w:val="center"/>
        </w:trPr>
        <w:tc>
          <w:tcPr>
            <w:tcW w:w="8820" w:type="dxa"/>
            <w:tcBorders>
              <w:top w:val="nil"/>
              <w:left w:val="nil"/>
              <w:bottom w:val="nil"/>
              <w:right w:val="nil"/>
            </w:tcBorders>
          </w:tcPr>
          <w:p w14:paraId="7894EC28" w14:textId="77777777" w:rsidR="00A27393" w:rsidRPr="00A27393" w:rsidRDefault="00A27393" w:rsidP="00A27393">
            <w:pPr>
              <w:jc w:val="center"/>
              <w:rPr>
                <w:rFonts w:ascii="Arial" w:hAnsi="Arial" w:cs="FrankRuehl"/>
                <w:b/>
                <w:bCs/>
                <w:sz w:val="32"/>
                <w:szCs w:val="32"/>
                <w:u w:val="single"/>
                <w:rtl/>
              </w:rPr>
            </w:pPr>
            <w:bookmarkStart w:id="4" w:name="LawTable_End"/>
            <w:bookmarkStart w:id="5" w:name="PsakDin" w:colFirst="0" w:colLast="0"/>
            <w:bookmarkEnd w:id="0"/>
            <w:bookmarkEnd w:id="4"/>
            <w:r w:rsidRPr="00A27393">
              <w:rPr>
                <w:rFonts w:ascii="Arial" w:hAnsi="Arial" w:cs="FrankRuehl"/>
                <w:b/>
                <w:bCs/>
                <w:sz w:val="32"/>
                <w:szCs w:val="32"/>
                <w:u w:val="single"/>
                <w:rtl/>
              </w:rPr>
              <w:t>גזר דין</w:t>
            </w:r>
          </w:p>
          <w:p w14:paraId="0434BE09" w14:textId="77777777" w:rsidR="00614B91" w:rsidRPr="00A27393" w:rsidRDefault="00614B91" w:rsidP="00A27393">
            <w:pPr>
              <w:jc w:val="center"/>
              <w:rPr>
                <w:rFonts w:ascii="Arial" w:hAnsi="Arial" w:cs="FrankRuehl"/>
                <w:bCs/>
                <w:sz w:val="32"/>
                <w:szCs w:val="32"/>
                <w:u w:val="single"/>
                <w:rtl/>
              </w:rPr>
            </w:pPr>
          </w:p>
        </w:tc>
      </w:tr>
      <w:bookmarkEnd w:id="5"/>
    </w:tbl>
    <w:p w14:paraId="0379098C" w14:textId="77777777" w:rsidR="00614B91" w:rsidRDefault="00614B91">
      <w:pPr>
        <w:rPr>
          <w:rFonts w:ascii="Arial" w:hAnsi="Arial"/>
          <w:rtl/>
        </w:rPr>
      </w:pPr>
    </w:p>
    <w:p w14:paraId="556FF43C" w14:textId="77777777" w:rsidR="00614B91" w:rsidRDefault="00A27393">
      <w:pPr>
        <w:spacing w:line="360" w:lineRule="auto"/>
        <w:rPr>
          <w:b/>
          <w:bCs/>
          <w:u w:val="single"/>
          <w:rtl/>
        </w:rPr>
      </w:pPr>
      <w:r>
        <w:rPr>
          <w:rFonts w:hint="cs"/>
          <w:b/>
          <w:bCs/>
          <w:u w:val="single"/>
          <w:rtl/>
        </w:rPr>
        <w:t xml:space="preserve">מבוא </w:t>
      </w:r>
    </w:p>
    <w:p w14:paraId="42F97A5D" w14:textId="77777777" w:rsidR="00614B91" w:rsidRDefault="00A27393">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בתום שמיעת הראיות בביצוע העבירות הבאות: באישום הראשון - </w:t>
      </w:r>
      <w:r>
        <w:rPr>
          <w:rFonts w:hint="cs"/>
          <w:b/>
          <w:bCs/>
          <w:rtl/>
        </w:rPr>
        <w:t>איומים</w:t>
      </w:r>
      <w:r>
        <w:rPr>
          <w:rFonts w:hint="cs"/>
          <w:rtl/>
        </w:rPr>
        <w:t xml:space="preserve">, לפי </w:t>
      </w:r>
      <w:hyperlink r:id="rId13" w:history="1">
        <w:r w:rsidR="00812603" w:rsidRPr="00812603">
          <w:rPr>
            <w:rStyle w:val="Hyperlink"/>
            <w:rFonts w:hint="eastAsia"/>
            <w:rtl/>
          </w:rPr>
          <w:t>סעיף</w:t>
        </w:r>
        <w:r w:rsidR="00812603" w:rsidRPr="00812603">
          <w:rPr>
            <w:rStyle w:val="Hyperlink"/>
            <w:rtl/>
          </w:rPr>
          <w:t xml:space="preserve"> 192</w:t>
        </w:r>
      </w:hyperlink>
      <w:r>
        <w:rPr>
          <w:rFonts w:hint="cs"/>
          <w:rtl/>
        </w:rPr>
        <w:t xml:space="preserve"> ל</w:t>
      </w:r>
      <w:hyperlink r:id="rId14" w:history="1">
        <w:r w:rsidRPr="00A27393">
          <w:rPr>
            <w:color w:val="0000FF"/>
            <w:u w:val="single"/>
            <w:rtl/>
          </w:rPr>
          <w:t>חוק העונשין</w:t>
        </w:r>
      </w:hyperlink>
      <w:r>
        <w:rPr>
          <w:rFonts w:hint="cs"/>
          <w:rtl/>
        </w:rPr>
        <w:t xml:space="preserve">, תשל"ז-1977 [החוק], </w:t>
      </w:r>
      <w:r>
        <w:rPr>
          <w:rFonts w:hint="cs"/>
          <w:b/>
          <w:bCs/>
          <w:rtl/>
        </w:rPr>
        <w:t>יריות באזור מגורים</w:t>
      </w:r>
      <w:r>
        <w:rPr>
          <w:rFonts w:hint="cs"/>
          <w:rtl/>
        </w:rPr>
        <w:t xml:space="preserve">, לפי </w:t>
      </w:r>
      <w:hyperlink r:id="rId15" w:history="1">
        <w:r w:rsidR="00812603" w:rsidRPr="00812603">
          <w:rPr>
            <w:rStyle w:val="Hyperlink"/>
            <w:rFonts w:hint="eastAsia"/>
            <w:rtl/>
          </w:rPr>
          <w:t>סעיף</w:t>
        </w:r>
        <w:r w:rsidR="00812603" w:rsidRPr="00812603">
          <w:rPr>
            <w:rStyle w:val="Hyperlink"/>
            <w:rtl/>
          </w:rPr>
          <w:t xml:space="preserve"> 340. א</w:t>
        </w:r>
      </w:hyperlink>
      <w:r>
        <w:rPr>
          <w:rFonts w:hint="cs"/>
          <w:rtl/>
        </w:rPr>
        <w:t xml:space="preserve"> לחוק, </w:t>
      </w:r>
      <w:r>
        <w:rPr>
          <w:rFonts w:hint="cs"/>
          <w:b/>
          <w:bCs/>
          <w:rtl/>
        </w:rPr>
        <w:t>גרימת חבלה חמורה בנסיבות מחמירות</w:t>
      </w:r>
      <w:r>
        <w:rPr>
          <w:rFonts w:hint="cs"/>
          <w:rtl/>
        </w:rPr>
        <w:t xml:space="preserve">, לפי </w:t>
      </w:r>
      <w:hyperlink r:id="rId16" w:history="1">
        <w:r w:rsidR="00812603" w:rsidRPr="00812603">
          <w:rPr>
            <w:rStyle w:val="Hyperlink"/>
            <w:rFonts w:hint="eastAsia"/>
            <w:rtl/>
          </w:rPr>
          <w:t>סעיף</w:t>
        </w:r>
        <w:r w:rsidR="00812603" w:rsidRPr="00812603">
          <w:rPr>
            <w:rStyle w:val="Hyperlink"/>
            <w:rtl/>
          </w:rPr>
          <w:t xml:space="preserve"> 333</w:t>
        </w:r>
      </w:hyperlink>
      <w:r>
        <w:rPr>
          <w:rFonts w:hint="cs"/>
          <w:rtl/>
        </w:rPr>
        <w:t xml:space="preserve"> ו- </w:t>
      </w:r>
      <w:hyperlink r:id="rId17" w:history="1">
        <w:r w:rsidR="00812603" w:rsidRPr="00812603">
          <w:rPr>
            <w:rStyle w:val="Hyperlink"/>
            <w:rtl/>
          </w:rPr>
          <w:t>335 (א)(1)</w:t>
        </w:r>
      </w:hyperlink>
      <w:r>
        <w:rPr>
          <w:rFonts w:hint="cs"/>
          <w:rtl/>
        </w:rPr>
        <w:t xml:space="preserve"> לחוק ובאישום השני - </w:t>
      </w:r>
      <w:r>
        <w:rPr>
          <w:rFonts w:hint="cs"/>
          <w:b/>
          <w:bCs/>
          <w:rtl/>
        </w:rPr>
        <w:t>החזקת תחמושת ואבזר</w:t>
      </w:r>
      <w:r>
        <w:rPr>
          <w:rFonts w:hint="cs"/>
          <w:rtl/>
        </w:rPr>
        <w:t xml:space="preserve">, לפי </w:t>
      </w:r>
      <w:hyperlink r:id="rId18" w:history="1">
        <w:r w:rsidR="00812603" w:rsidRPr="00812603">
          <w:rPr>
            <w:rStyle w:val="Hyperlink"/>
            <w:rFonts w:hint="eastAsia"/>
            <w:rtl/>
          </w:rPr>
          <w:t>סעיף</w:t>
        </w:r>
        <w:r w:rsidR="00812603" w:rsidRPr="00812603">
          <w:rPr>
            <w:rStyle w:val="Hyperlink"/>
            <w:rtl/>
          </w:rPr>
          <w:t xml:space="preserve"> 144 (א)</w:t>
        </w:r>
      </w:hyperlink>
      <w:r>
        <w:rPr>
          <w:rFonts w:hint="cs"/>
          <w:rtl/>
        </w:rPr>
        <w:t xml:space="preserve"> סיפא + (ג) (3) לחוק. </w:t>
      </w:r>
    </w:p>
    <w:p w14:paraId="77D81015" w14:textId="77777777" w:rsidR="00614B91" w:rsidRDefault="00A27393">
      <w:pPr>
        <w:spacing w:line="360" w:lineRule="auto"/>
        <w:ind w:left="720"/>
        <w:jc w:val="both"/>
        <w:rPr>
          <w:rtl/>
        </w:rPr>
      </w:pPr>
      <w:bookmarkStart w:id="7" w:name="ABSTRACT_END"/>
      <w:bookmarkEnd w:id="7"/>
      <w:r>
        <w:rPr>
          <w:rFonts w:hint="cs"/>
          <w:rtl/>
        </w:rPr>
        <w:t xml:space="preserve">הוא זוכה מהעבירה של </w:t>
      </w:r>
      <w:r>
        <w:rPr>
          <w:rFonts w:hint="cs"/>
          <w:b/>
          <w:bCs/>
          <w:rtl/>
        </w:rPr>
        <w:t>חבלה בכוונה מחמירה</w:t>
      </w:r>
      <w:r>
        <w:rPr>
          <w:rFonts w:hint="cs"/>
          <w:rtl/>
        </w:rPr>
        <w:t xml:space="preserve"> לפי </w:t>
      </w:r>
      <w:hyperlink r:id="rId19" w:history="1">
        <w:r w:rsidR="00812603" w:rsidRPr="00812603">
          <w:rPr>
            <w:rStyle w:val="Hyperlink"/>
            <w:rFonts w:hint="eastAsia"/>
            <w:rtl/>
          </w:rPr>
          <w:t>סעיף</w:t>
        </w:r>
        <w:r w:rsidR="00812603" w:rsidRPr="00812603">
          <w:rPr>
            <w:rStyle w:val="Hyperlink"/>
            <w:rtl/>
          </w:rPr>
          <w:t xml:space="preserve"> 329</w:t>
        </w:r>
      </w:hyperlink>
      <w:r>
        <w:rPr>
          <w:rFonts w:hint="cs"/>
          <w:rtl/>
        </w:rPr>
        <w:t xml:space="preserve"> לחוק שיוחסה לו באישום הראשון, כיוון שלא הוכח ברמת הוודאות הנדרשת, שבעת הירי התקיימה בו אותה כוונה מיוחדת, לגרום למתלונן חבלה חמורה. </w:t>
      </w:r>
    </w:p>
    <w:p w14:paraId="36EDEEB7" w14:textId="77777777" w:rsidR="00614B91" w:rsidRDefault="00614B91">
      <w:pPr>
        <w:spacing w:line="360" w:lineRule="auto"/>
        <w:jc w:val="both"/>
        <w:rPr>
          <w:rtl/>
        </w:rPr>
      </w:pPr>
    </w:p>
    <w:p w14:paraId="60EBAA56" w14:textId="77777777" w:rsidR="00614B91" w:rsidRDefault="00A27393">
      <w:pPr>
        <w:spacing w:line="360" w:lineRule="auto"/>
        <w:ind w:left="720" w:hanging="720"/>
        <w:jc w:val="both"/>
        <w:rPr>
          <w:rtl/>
        </w:rPr>
      </w:pPr>
      <w:r>
        <w:rPr>
          <w:rFonts w:hint="cs"/>
          <w:rtl/>
        </w:rPr>
        <w:t>2.</w:t>
      </w:r>
      <w:r>
        <w:rPr>
          <w:rFonts w:hint="cs"/>
          <w:rtl/>
        </w:rPr>
        <w:tab/>
        <w:t xml:space="preserve">כמפורט בהכרעת הדין, בין הנאשם ואמין חוג'יראת שהוא דודו (אחי אימו) [המתלונן], נתגלע סכסוך, בעטיו של חוב כספי שחב הנאשם למתלונן בעבור זה שהאחרון בנה לו את ביתו. </w:t>
      </w:r>
    </w:p>
    <w:p w14:paraId="4BF28680" w14:textId="77777777" w:rsidR="00614B91" w:rsidRDefault="00A27393">
      <w:pPr>
        <w:spacing w:line="360" w:lineRule="auto"/>
        <w:ind w:left="720"/>
        <w:jc w:val="both"/>
        <w:rPr>
          <w:rtl/>
        </w:rPr>
      </w:pPr>
      <w:r>
        <w:rPr>
          <w:rFonts w:hint="cs"/>
          <w:rtl/>
        </w:rPr>
        <w:t xml:space="preserve">ב- 2.7.13 בסמוך לשעה 16:00 הגיעו המתלונן ואחיו [עלי] לבית הנאשם בביר אל מכסור, הנמצא בשלבי בנייה [השלד]. הנאשם שהה אותו זמן בתוך השלד ומשהבחין במתלונן ובעלי העושים את דרכם לכיוון השלד, שלף אקדח מסוג יריחו </w:t>
      </w:r>
      <w:smartTag w:uri="urn:schemas-microsoft-com:office:smarttags" w:element="metricconverter">
        <w:smartTagPr>
          <w:attr w:name="ProductID" w:val="9 מ&quot;מ"/>
        </w:smartTagPr>
        <w:r>
          <w:rPr>
            <w:rFonts w:hint="cs"/>
            <w:rtl/>
          </w:rPr>
          <w:t>9 מ"מ</w:t>
        </w:r>
      </w:smartTag>
      <w:r>
        <w:rPr>
          <w:rFonts w:hint="cs"/>
          <w:rtl/>
        </w:rPr>
        <w:t xml:space="preserve">, בו החזיק ברישיון במסגרת עבודתו כמאבטח [האקדח] וירה באוויר, יריה אחת, במרחק של כ- </w:t>
      </w:r>
      <w:smartTag w:uri="urn:schemas-microsoft-com:office:smarttags" w:element="metricconverter">
        <w:smartTagPr>
          <w:attr w:name="ProductID" w:val="5 מטרים"/>
        </w:smartTagPr>
        <w:r>
          <w:rPr>
            <w:rFonts w:hint="cs"/>
            <w:rtl/>
          </w:rPr>
          <w:t>5 מטרים</w:t>
        </w:r>
      </w:smartTag>
      <w:r>
        <w:rPr>
          <w:rFonts w:hint="cs"/>
          <w:rtl/>
        </w:rPr>
        <w:t xml:space="preserve"> מהם, שהניסה את המתלונן ועלי לבית קרוב משפחתם, המתגורר בסמוך. ירי זה, כך קבעתי, בוצע כאיום ולצורך הפחדה בלבד והסתיים למרבה המזל, ללא נפגעים. </w:t>
      </w:r>
    </w:p>
    <w:p w14:paraId="321EAD80" w14:textId="77777777" w:rsidR="00614B91" w:rsidRDefault="00A27393">
      <w:pPr>
        <w:spacing w:line="360" w:lineRule="auto"/>
        <w:ind w:left="720"/>
        <w:jc w:val="both"/>
        <w:rPr>
          <w:rtl/>
        </w:rPr>
      </w:pPr>
      <w:r>
        <w:rPr>
          <w:rFonts w:hint="cs"/>
          <w:rtl/>
        </w:rPr>
        <w:t xml:space="preserve">לאחר מכן, המתלונן ועלי שהבחינו באביהם (סבו של הנאשם) [הסבא] הולך לכיוון השלד,  בסוברם כי הנאשם לא יפגע בהם בנוכחות סבו, שבו לשם. בהגיע המתלונן לפתח השלד שלף </w:t>
      </w:r>
      <w:r>
        <w:rPr>
          <w:rFonts w:hint="cs"/>
          <w:rtl/>
        </w:rPr>
        <w:lastRenderedPageBreak/>
        <w:t xml:space="preserve">הנאשם את האקדח, כיוון אותו לעבר ראשו של המתלונן </w:t>
      </w:r>
      <w:r>
        <w:rPr>
          <w:rFonts w:hint="cs"/>
          <w:b/>
          <w:bCs/>
          <w:rtl/>
        </w:rPr>
        <w:t xml:space="preserve">"ומיד לאחר מכן בתנועה מהירה, ירה כלפי מטה ופגע בחלק החיצוני של כף הרגל </w:t>
      </w:r>
      <w:r>
        <w:rPr>
          <w:rFonts w:hint="cs"/>
          <w:rtl/>
        </w:rPr>
        <w:t>[כף רגלו השמאלית של המתלונן]</w:t>
      </w:r>
      <w:r>
        <w:rPr>
          <w:rFonts w:hint="cs"/>
          <w:b/>
          <w:bCs/>
          <w:rtl/>
        </w:rPr>
        <w:t>. לא מן הנמנע שגם הפעם, התכוון הנאשם לירות כדי לגרום לאמין להסתלק מהמקום ולא מתוך כוונה לפגוע בו. גם כאן, העובדה שהסתפק בירייה בודדת ומיקום הפגיעה, מעוררים ספק לגבי כוונתו  של הנאשם"</w:t>
      </w:r>
      <w:r>
        <w:rPr>
          <w:rFonts w:hint="cs"/>
          <w:rtl/>
        </w:rPr>
        <w:t xml:space="preserve"> (סע' 52 להכרעת הדין). </w:t>
      </w:r>
    </w:p>
    <w:p w14:paraId="5DF2C889" w14:textId="77777777" w:rsidR="00614B91" w:rsidRDefault="00614B91">
      <w:pPr>
        <w:spacing w:line="360" w:lineRule="auto"/>
        <w:jc w:val="both"/>
        <w:rPr>
          <w:rtl/>
        </w:rPr>
      </w:pPr>
    </w:p>
    <w:p w14:paraId="46042316" w14:textId="77777777" w:rsidR="00614B91" w:rsidRDefault="00A27393">
      <w:pPr>
        <w:spacing w:line="360" w:lineRule="auto"/>
        <w:ind w:left="720" w:hanging="720"/>
        <w:jc w:val="both"/>
        <w:rPr>
          <w:rtl/>
        </w:rPr>
      </w:pPr>
      <w:r>
        <w:rPr>
          <w:rFonts w:hint="cs"/>
          <w:rtl/>
        </w:rPr>
        <w:t>3.</w:t>
      </w:r>
      <w:r>
        <w:rPr>
          <w:rFonts w:hint="cs"/>
          <w:rtl/>
        </w:rPr>
        <w:tab/>
        <w:t>נעתרתי לבקשת הסנגור והוריתי על עריכת תסקיר שירות המבחן לנאשם, חרף התנגדות ב"כ המאשימה והעדר חובה שבדין.</w:t>
      </w:r>
    </w:p>
    <w:p w14:paraId="27C2CB60" w14:textId="77777777" w:rsidR="00614B91" w:rsidRDefault="00614B91">
      <w:pPr>
        <w:spacing w:line="360" w:lineRule="auto"/>
        <w:jc w:val="both"/>
        <w:rPr>
          <w:rtl/>
        </w:rPr>
      </w:pPr>
    </w:p>
    <w:p w14:paraId="7700E72E" w14:textId="77777777" w:rsidR="00614B91" w:rsidRDefault="00A27393">
      <w:pPr>
        <w:spacing w:line="360" w:lineRule="auto"/>
        <w:jc w:val="both"/>
        <w:rPr>
          <w:b/>
          <w:bCs/>
          <w:u w:val="single"/>
          <w:rtl/>
        </w:rPr>
      </w:pPr>
      <w:r>
        <w:rPr>
          <w:rFonts w:hint="cs"/>
          <w:b/>
          <w:bCs/>
          <w:u w:val="single"/>
          <w:rtl/>
        </w:rPr>
        <w:t xml:space="preserve">תסקיר שירות המבחן  </w:t>
      </w:r>
    </w:p>
    <w:p w14:paraId="78B1D096" w14:textId="77777777" w:rsidR="00614B91" w:rsidRDefault="00A27393">
      <w:pPr>
        <w:spacing w:line="360" w:lineRule="auto"/>
        <w:ind w:left="720" w:hanging="720"/>
        <w:jc w:val="both"/>
        <w:rPr>
          <w:rtl/>
        </w:rPr>
      </w:pPr>
      <w:r>
        <w:rPr>
          <w:rFonts w:hint="cs"/>
          <w:rtl/>
        </w:rPr>
        <w:t>4.</w:t>
      </w:r>
      <w:r>
        <w:rPr>
          <w:rFonts w:hint="cs"/>
          <w:rtl/>
        </w:rPr>
        <w:tab/>
        <w:t xml:space="preserve">מהתסקיר שהוגש ב- 1.6.14 עולה, כי הנאשם כבן 25 תושב ביר אל מכסור. עובר למעצרו עבד באבטחה בבנק הפועלים והיה מאורס. אביו כבן 50, אינו עובד מחמת מצבו הבריאותי ומתקיים מקצבת נכות. אמו בת 48 עובדת בעבודות מזדמנות בניקיון. הנאשם, הבכור מבין חמישה ילדים, תיאר קשר קרוב עם הוריו ואחיו ולדבריו, בהיותו הבכור חש דאגה ואחריות לפרנסת המשפחה. </w:t>
      </w:r>
    </w:p>
    <w:p w14:paraId="589BF484" w14:textId="77777777" w:rsidR="00614B91" w:rsidRDefault="00A27393">
      <w:pPr>
        <w:spacing w:line="360" w:lineRule="auto"/>
        <w:ind w:left="720"/>
        <w:jc w:val="both"/>
        <w:rPr>
          <w:rtl/>
        </w:rPr>
      </w:pPr>
      <w:r>
        <w:rPr>
          <w:rFonts w:hint="cs"/>
          <w:rtl/>
        </w:rPr>
        <w:t xml:space="preserve">הוא סיים 12 שנ"ל בבי"ס תיכון בכפרו והנו בעל תעודת בגרות חלקית. בתום לימודיו עבד תקופה קצרה בחקלאות והתגייס לצבא ולאחר מכן התנדב לצבא קבע, לשנה נוספת. לאחר שחרורו עבד כאמור באבטחה בחברות שונות. </w:t>
      </w:r>
    </w:p>
    <w:p w14:paraId="720046B0" w14:textId="77777777" w:rsidR="00614B91" w:rsidRDefault="00614B91">
      <w:pPr>
        <w:spacing w:line="360" w:lineRule="auto"/>
        <w:jc w:val="both"/>
        <w:rPr>
          <w:rtl/>
        </w:rPr>
      </w:pPr>
    </w:p>
    <w:p w14:paraId="0FA4CCDF" w14:textId="77777777" w:rsidR="00614B91" w:rsidRDefault="00A27393">
      <w:pPr>
        <w:spacing w:line="360" w:lineRule="auto"/>
        <w:ind w:left="720"/>
        <w:jc w:val="both"/>
        <w:rPr>
          <w:rtl/>
        </w:rPr>
      </w:pPr>
      <w:r>
        <w:rPr>
          <w:rFonts w:hint="cs"/>
          <w:rtl/>
        </w:rPr>
        <w:t xml:space="preserve">בהתייחסו לעבירות נראה שהנאשם נוטל "אחריות חלקית ומזערית על ביצוען". ושב והכחיש עובדות שנקבעו בהכרעת הדין, ביחס לאישום הראשון. הנאשם התקשה להביע חרטה או אמפטיה כלפי הקרבן. </w:t>
      </w:r>
    </w:p>
    <w:p w14:paraId="40542F19" w14:textId="77777777" w:rsidR="00614B91" w:rsidRDefault="00614B91">
      <w:pPr>
        <w:spacing w:line="360" w:lineRule="auto"/>
        <w:jc w:val="both"/>
        <w:rPr>
          <w:rtl/>
        </w:rPr>
      </w:pPr>
    </w:p>
    <w:p w14:paraId="789FB2BD" w14:textId="77777777" w:rsidR="00614B91" w:rsidRDefault="00A27393">
      <w:pPr>
        <w:spacing w:line="360" w:lineRule="auto"/>
        <w:ind w:left="720"/>
        <w:jc w:val="both"/>
        <w:rPr>
          <w:rtl/>
        </w:rPr>
      </w:pPr>
      <w:r>
        <w:rPr>
          <w:rFonts w:hint="cs"/>
          <w:rtl/>
        </w:rPr>
        <w:t>הנאשם נעדר הרשעות קודמות. בשיחה עימו, שלל צורך בדיקת הרגלי השתייה שלו ושלל נזקקות טיפולית.</w:t>
      </w:r>
    </w:p>
    <w:p w14:paraId="2198E2A4" w14:textId="77777777" w:rsidR="00614B91" w:rsidRDefault="00A27393">
      <w:pPr>
        <w:spacing w:line="360" w:lineRule="auto"/>
        <w:ind w:left="720"/>
        <w:jc w:val="both"/>
        <w:rPr>
          <w:rtl/>
        </w:rPr>
      </w:pPr>
      <w:r>
        <w:rPr>
          <w:rFonts w:hint="cs"/>
          <w:rtl/>
        </w:rPr>
        <w:t>לנאשם סף תסכול נמוך ועלול להגיב באלימות, כשחש פגיעה בתדמיתו ובכבודו. כמו כן הוא מתקשה להבין את חומרת מעשיו ולזהות חלקים פוגעניים באישיותו. עוד צוין שלנאשם אין "דפוסים עבריינים מושרשים", רמת הסיכון הנשקפת ממנו להישנות עבירות דומות בעתיד, נמוכה. בהעדר ביטוי של נזקקות טיפולית, לא בא שירות המבחן בהמלצה לגביו.</w:t>
      </w:r>
    </w:p>
    <w:p w14:paraId="013B694D" w14:textId="77777777" w:rsidR="00614B91" w:rsidRDefault="00A27393">
      <w:pPr>
        <w:spacing w:line="360" w:lineRule="auto"/>
        <w:ind w:firstLine="720"/>
        <w:jc w:val="both"/>
        <w:rPr>
          <w:rtl/>
        </w:rPr>
      </w:pPr>
      <w:r>
        <w:rPr>
          <w:rFonts w:hint="cs"/>
          <w:rtl/>
        </w:rPr>
        <w:t xml:space="preserve">לנוכח חומרת העבירות, הומלץ להטיל עליו ענישה שתציב לו גבולות ברורים. </w:t>
      </w:r>
    </w:p>
    <w:p w14:paraId="5F435988" w14:textId="77777777" w:rsidR="00614B91" w:rsidRDefault="00614B91">
      <w:pPr>
        <w:spacing w:line="360" w:lineRule="auto"/>
        <w:jc w:val="both"/>
        <w:rPr>
          <w:rtl/>
        </w:rPr>
      </w:pPr>
    </w:p>
    <w:p w14:paraId="35CE96D7" w14:textId="77777777" w:rsidR="00614B91" w:rsidRDefault="00A27393">
      <w:pPr>
        <w:spacing w:line="360" w:lineRule="auto"/>
        <w:jc w:val="both"/>
        <w:rPr>
          <w:b/>
          <w:bCs/>
          <w:u w:val="single"/>
          <w:rtl/>
        </w:rPr>
      </w:pPr>
      <w:r>
        <w:rPr>
          <w:rFonts w:hint="cs"/>
          <w:b/>
          <w:bCs/>
          <w:u w:val="single"/>
          <w:rtl/>
        </w:rPr>
        <w:t xml:space="preserve">ראיות לעונש </w:t>
      </w:r>
    </w:p>
    <w:p w14:paraId="517D92A4" w14:textId="77777777" w:rsidR="00614B91" w:rsidRDefault="00A27393">
      <w:pPr>
        <w:spacing w:line="360" w:lineRule="auto"/>
        <w:ind w:left="720" w:hanging="720"/>
        <w:jc w:val="both"/>
        <w:rPr>
          <w:rtl/>
        </w:rPr>
      </w:pPr>
      <w:r>
        <w:rPr>
          <w:rFonts w:hint="cs"/>
          <w:rtl/>
        </w:rPr>
        <w:t>5.</w:t>
      </w:r>
      <w:r>
        <w:rPr>
          <w:rFonts w:hint="cs"/>
          <w:rtl/>
        </w:rPr>
        <w:tab/>
        <w:t xml:space="preserve">מטעם הנאשם העידה ארוסתו והבהירה כי הם מאורסים כבר 3 שנים וכי עקב האירוע נישואיה עם הנאשם נדחו. היא ביקשה מביהמ"ש להתחשב בהם ולהקל בעונשו. </w:t>
      </w:r>
    </w:p>
    <w:p w14:paraId="596F83EE" w14:textId="77777777" w:rsidR="00614B91" w:rsidRDefault="00614B91">
      <w:pPr>
        <w:spacing w:line="360" w:lineRule="auto"/>
        <w:jc w:val="both"/>
        <w:rPr>
          <w:b/>
          <w:bCs/>
          <w:u w:val="single"/>
          <w:rtl/>
        </w:rPr>
      </w:pPr>
    </w:p>
    <w:p w14:paraId="26251FF3" w14:textId="77777777" w:rsidR="00614B91" w:rsidRDefault="00A27393">
      <w:pPr>
        <w:spacing w:line="360" w:lineRule="auto"/>
        <w:jc w:val="both"/>
        <w:rPr>
          <w:b/>
          <w:bCs/>
          <w:u w:val="single"/>
          <w:rtl/>
        </w:rPr>
      </w:pPr>
      <w:r>
        <w:rPr>
          <w:rFonts w:hint="cs"/>
          <w:b/>
          <w:bCs/>
          <w:u w:val="single"/>
          <w:rtl/>
        </w:rPr>
        <w:lastRenderedPageBreak/>
        <w:t xml:space="preserve">טיעוני הצדדים </w:t>
      </w:r>
    </w:p>
    <w:p w14:paraId="794762A0" w14:textId="77777777" w:rsidR="00614B91" w:rsidRDefault="00A27393">
      <w:pPr>
        <w:spacing w:line="360" w:lineRule="auto"/>
        <w:ind w:left="720" w:hanging="720"/>
        <w:jc w:val="both"/>
        <w:rPr>
          <w:rtl/>
        </w:rPr>
      </w:pPr>
      <w:r>
        <w:rPr>
          <w:rFonts w:hint="cs"/>
          <w:rtl/>
        </w:rPr>
        <w:t>6.</w:t>
      </w:r>
      <w:r>
        <w:rPr>
          <w:rFonts w:hint="cs"/>
          <w:rtl/>
        </w:rPr>
        <w:tab/>
      </w:r>
      <w:r>
        <w:rPr>
          <w:rFonts w:hint="cs"/>
          <w:u w:val="single"/>
          <w:rtl/>
        </w:rPr>
        <w:t>ב"כ המאשימה</w:t>
      </w:r>
      <w:r>
        <w:rPr>
          <w:rFonts w:hint="cs"/>
          <w:rtl/>
        </w:rPr>
        <w:t xml:space="preserve"> טענה שמדובר במעשה אלימות חריף, שנעשה תוך שימוש בנשק חם על רקע חוב כספי לא משמעותי, בין קרובי משפחה. הנאשם בחר לקחת את החוק לידיו והשתמש בנשק, בו החזיק ברישיון כדי לאיים ואף ירה ופגע ברגלו של המתלונן וגרם לו חבלה חמורה.</w:t>
      </w:r>
    </w:p>
    <w:p w14:paraId="429F7A8D" w14:textId="77777777" w:rsidR="00614B91" w:rsidRDefault="00A27393">
      <w:pPr>
        <w:spacing w:line="360" w:lineRule="auto"/>
        <w:ind w:left="720"/>
        <w:jc w:val="both"/>
        <w:rPr>
          <w:rtl/>
        </w:rPr>
      </w:pPr>
      <w:r>
        <w:rPr>
          <w:rFonts w:hint="cs"/>
          <w:rtl/>
        </w:rPr>
        <w:t xml:space="preserve">עוד טענה הפרקליטה כי השימוש באקדח מצדיק ענישה מחמירה ומשמעותית, מאחורי סורג ובריח וכי יש להילחם בתופעת השימוש באלימות לפתרון סכסוכים. </w:t>
      </w:r>
    </w:p>
    <w:p w14:paraId="7B2D58BF" w14:textId="77777777" w:rsidR="00614B91" w:rsidRDefault="00A27393">
      <w:pPr>
        <w:spacing w:line="360" w:lineRule="auto"/>
        <w:ind w:left="720"/>
        <w:jc w:val="both"/>
        <w:rPr>
          <w:rtl/>
        </w:rPr>
      </w:pPr>
      <w:r>
        <w:rPr>
          <w:rFonts w:hint="cs"/>
          <w:rtl/>
        </w:rPr>
        <w:t>לטעמה מתחם הענישה בגין העבירות במסגרת האישום הראשון נע בין 5 ל- 8 שנות מאסר ואילו בגין העבירות באישום השני, בין 4 חודשי עבודות שירות ל- 18 חודשי מאסר בפועל.</w:t>
      </w:r>
    </w:p>
    <w:p w14:paraId="15B29C50" w14:textId="77777777" w:rsidR="00614B91" w:rsidRDefault="00A27393">
      <w:pPr>
        <w:spacing w:line="360" w:lineRule="auto"/>
        <w:ind w:left="720"/>
        <w:jc w:val="both"/>
        <w:rPr>
          <w:rtl/>
        </w:rPr>
      </w:pPr>
      <w:r>
        <w:rPr>
          <w:rFonts w:hint="cs"/>
          <w:rtl/>
        </w:rPr>
        <w:t xml:space="preserve">הפרקליטה ביקשה להשית על הנאשם עונש מאסר בפועל בהתאם למתחמים שהציגה ובמצטבר. כמו כן מאסר מותנה ממושך, פיצוי למתלונן וקנס. </w:t>
      </w:r>
    </w:p>
    <w:p w14:paraId="00236589" w14:textId="77777777" w:rsidR="00614B91" w:rsidRDefault="00A27393">
      <w:pPr>
        <w:spacing w:line="360" w:lineRule="auto"/>
        <w:ind w:left="360" w:right="1080"/>
        <w:jc w:val="both"/>
        <w:rPr>
          <w:rtl/>
        </w:rPr>
      </w:pPr>
      <w:r>
        <w:rPr>
          <w:rFonts w:hint="cs"/>
          <w:b/>
          <w:bCs/>
          <w:rtl/>
        </w:rPr>
        <w:t xml:space="preserve"> </w:t>
      </w:r>
    </w:p>
    <w:p w14:paraId="68FADC49" w14:textId="77777777" w:rsidR="00614B91" w:rsidRDefault="00A27393">
      <w:pPr>
        <w:spacing w:line="360" w:lineRule="auto"/>
        <w:ind w:left="720" w:hanging="720"/>
        <w:jc w:val="both"/>
        <w:rPr>
          <w:rtl/>
        </w:rPr>
      </w:pPr>
      <w:r>
        <w:rPr>
          <w:rFonts w:hint="cs"/>
          <w:rtl/>
        </w:rPr>
        <w:t>7.</w:t>
      </w:r>
      <w:r>
        <w:rPr>
          <w:rFonts w:hint="cs"/>
          <w:rtl/>
        </w:rPr>
        <w:tab/>
      </w:r>
      <w:r>
        <w:rPr>
          <w:rFonts w:hint="cs"/>
          <w:u w:val="single"/>
          <w:rtl/>
        </w:rPr>
        <w:t>הסנגור</w:t>
      </w:r>
      <w:r>
        <w:rPr>
          <w:rFonts w:hint="cs"/>
          <w:rtl/>
        </w:rPr>
        <w:t xml:space="preserve"> ציין את עברו הנקי של הנאשם וכי זו הסתבכותו הראשונה עם החוק. כל חייו היה במסלול נורמטיבי, שירת בצה"ל שירות קרבי מלא ועוד שנת שירות קבע. הוא התארס ועבד בחברת אבטחה. הנשק שהחזיק היה ברישיון ומדובר באדם מיומן בכלי נשק. </w:t>
      </w:r>
    </w:p>
    <w:p w14:paraId="7AE1BA1A" w14:textId="77777777" w:rsidR="00614B91" w:rsidRDefault="00614B91">
      <w:pPr>
        <w:spacing w:line="360" w:lineRule="auto"/>
        <w:ind w:left="360" w:right="1080"/>
        <w:jc w:val="both"/>
        <w:rPr>
          <w:rtl/>
        </w:rPr>
      </w:pPr>
    </w:p>
    <w:p w14:paraId="40AD8104" w14:textId="77777777" w:rsidR="00614B91" w:rsidRDefault="00A27393">
      <w:pPr>
        <w:pStyle w:val="a6"/>
        <w:ind w:left="720"/>
        <w:rPr>
          <w:rtl/>
        </w:rPr>
      </w:pPr>
      <w:r>
        <w:rPr>
          <w:rFonts w:hint="cs"/>
          <w:rtl/>
        </w:rPr>
        <w:t xml:space="preserve">עוד טען ב"כ הנאשם כי מתחם הענישה לו טענה המאשימה, אינו מתאים לאירוע הנדון. מדובר באירוע בלתי מתוכנן, הוא לא הצטייד בנשק אלא שהה בביתו והמתלונן הגיע אליו על מנת להתעמת עמו. </w:t>
      </w:r>
    </w:p>
    <w:p w14:paraId="5B3B3CCF" w14:textId="77777777" w:rsidR="00614B91" w:rsidRDefault="00A27393">
      <w:pPr>
        <w:spacing w:line="360" w:lineRule="auto"/>
        <w:ind w:left="720"/>
        <w:jc w:val="both"/>
        <w:rPr>
          <w:rtl/>
        </w:rPr>
      </w:pPr>
      <w:r>
        <w:rPr>
          <w:rFonts w:hint="cs"/>
          <w:rtl/>
        </w:rPr>
        <w:t xml:space="preserve">הייתה הצדקה לניהול ההוכחות, שכן ביהמ"ש זיכה את הנאשם מהעבירה החמורה יותר בה הואשם. </w:t>
      </w:r>
    </w:p>
    <w:p w14:paraId="0A98C08C" w14:textId="77777777" w:rsidR="00614B91" w:rsidRDefault="00A27393">
      <w:pPr>
        <w:spacing w:line="360" w:lineRule="auto"/>
        <w:ind w:left="1440" w:hanging="720"/>
        <w:jc w:val="both"/>
        <w:rPr>
          <w:rtl/>
        </w:rPr>
      </w:pPr>
      <w:r>
        <w:rPr>
          <w:rFonts w:hint="cs"/>
          <w:rtl/>
        </w:rPr>
        <w:t xml:space="preserve">הנזק שנגרם למתלונן, מזערי. המתלונן שהה 3 ימים בבית חולים ומאז מתנהל כרגיל. </w:t>
      </w:r>
    </w:p>
    <w:p w14:paraId="211F6B31" w14:textId="77777777" w:rsidR="00614B91" w:rsidRDefault="00A27393">
      <w:pPr>
        <w:spacing w:line="360" w:lineRule="auto"/>
        <w:ind w:left="720"/>
        <w:jc w:val="both"/>
        <w:rPr>
          <w:rtl/>
        </w:rPr>
      </w:pPr>
      <w:r>
        <w:rPr>
          <w:rFonts w:hint="cs"/>
          <w:rtl/>
        </w:rPr>
        <w:t xml:space="preserve">רמת הסיכון הנשקפת מהנאשם, נמוכה. שירות המבחן המליץ על הצבת גבולות ברורים, אך לא ציין שיש להטיל מאסר בפועל. </w:t>
      </w:r>
    </w:p>
    <w:p w14:paraId="4D5FF058" w14:textId="77777777" w:rsidR="00614B91" w:rsidRDefault="00A27393">
      <w:pPr>
        <w:spacing w:line="360" w:lineRule="auto"/>
        <w:ind w:left="720"/>
        <w:jc w:val="both"/>
        <w:rPr>
          <w:rtl/>
        </w:rPr>
      </w:pPr>
      <w:r>
        <w:rPr>
          <w:rFonts w:hint="cs"/>
          <w:rtl/>
        </w:rPr>
        <w:t xml:space="preserve">לטעמו של הסנגור, מתחם הענישה נע בין עבודות שירות לבין מספר חודשי מאסר בודדים והפנה לפסיקה המלמדת זאת לטעמו. במקרה דנן ניתן להסתפק בתקופת המעצר, כ- 5 חודשים. הנאשם מבקש לחזור למסלול חיים נורמטיבי, להתחתן ולהשלים בניית ביתו, לחזור לעבוד ואינו מהווה סכנה לחברה. מעשיו והרשעתו יקשו על חזרתו למעגל העבודה ואינטרס השיקום עדיף במקרה זה על חזרתו לכלא, דבר שיזיק יותר מאשר יועיל. </w:t>
      </w:r>
    </w:p>
    <w:p w14:paraId="74944CFD" w14:textId="77777777" w:rsidR="00614B91" w:rsidRDefault="00A27393">
      <w:pPr>
        <w:spacing w:line="360" w:lineRule="auto"/>
        <w:ind w:left="720"/>
        <w:jc w:val="both"/>
        <w:rPr>
          <w:rtl/>
        </w:rPr>
      </w:pPr>
      <w:r>
        <w:rPr>
          <w:rFonts w:hint="cs"/>
          <w:rtl/>
        </w:rPr>
        <w:t xml:space="preserve">לחלופין ביקש הסנגור שלא להחזיר את הנאשם לכלא ולהטיל עליו מאסר, שיוכל לרצות בעבודות שירות. </w:t>
      </w:r>
    </w:p>
    <w:p w14:paraId="785A6AC3" w14:textId="77777777" w:rsidR="00614B91" w:rsidRDefault="00614B91">
      <w:pPr>
        <w:spacing w:line="360" w:lineRule="auto"/>
        <w:jc w:val="both"/>
        <w:rPr>
          <w:rtl/>
        </w:rPr>
      </w:pPr>
    </w:p>
    <w:p w14:paraId="3FBEA790" w14:textId="77777777" w:rsidR="00614B91" w:rsidRDefault="00A27393">
      <w:pPr>
        <w:spacing w:line="360" w:lineRule="auto"/>
        <w:ind w:left="720" w:hanging="720"/>
        <w:jc w:val="both"/>
        <w:rPr>
          <w:rtl/>
        </w:rPr>
      </w:pPr>
      <w:r>
        <w:rPr>
          <w:rFonts w:hint="cs"/>
          <w:rtl/>
        </w:rPr>
        <w:t>8.</w:t>
      </w:r>
      <w:r>
        <w:rPr>
          <w:rFonts w:hint="cs"/>
          <w:rtl/>
        </w:rPr>
        <w:tab/>
      </w:r>
      <w:r>
        <w:rPr>
          <w:rFonts w:hint="cs"/>
          <w:u w:val="single"/>
          <w:rtl/>
        </w:rPr>
        <w:t>הנאשם</w:t>
      </w:r>
      <w:r>
        <w:rPr>
          <w:rFonts w:hint="cs"/>
          <w:rtl/>
        </w:rPr>
        <w:t xml:space="preserve">, ב"דברו האחרון" אמר שהוא מצטער על מה שקרה ומבקש להמשיך את חייו. הוא ישב 5 חודשים בכלא ולאחר מכן שהה במעצר בית. הוא לא התכוון לפגוע במתלונן  ולגרום לו נזק. הנאשם ביקש שביהמ"ש יתחשב בו. </w:t>
      </w:r>
    </w:p>
    <w:p w14:paraId="102F085F" w14:textId="77777777" w:rsidR="00614B91" w:rsidRDefault="00614B91">
      <w:pPr>
        <w:spacing w:line="360" w:lineRule="auto"/>
        <w:jc w:val="both"/>
        <w:rPr>
          <w:b/>
          <w:bCs/>
          <w:u w:val="single"/>
          <w:rtl/>
        </w:rPr>
      </w:pPr>
    </w:p>
    <w:p w14:paraId="7760DBCE" w14:textId="77777777" w:rsidR="00614B91" w:rsidRDefault="00614B91">
      <w:pPr>
        <w:spacing w:line="360" w:lineRule="auto"/>
        <w:jc w:val="both"/>
        <w:rPr>
          <w:b/>
          <w:bCs/>
          <w:u w:val="single"/>
          <w:rtl/>
        </w:rPr>
      </w:pPr>
    </w:p>
    <w:p w14:paraId="59DD6FFC" w14:textId="77777777" w:rsidR="00614B91" w:rsidRDefault="00614B91">
      <w:pPr>
        <w:spacing w:line="360" w:lineRule="auto"/>
        <w:jc w:val="both"/>
        <w:rPr>
          <w:b/>
          <w:bCs/>
          <w:u w:val="single"/>
          <w:rtl/>
        </w:rPr>
      </w:pPr>
    </w:p>
    <w:p w14:paraId="1F1E0405" w14:textId="77777777" w:rsidR="00614B91" w:rsidRDefault="00614B91">
      <w:pPr>
        <w:spacing w:line="360" w:lineRule="auto"/>
        <w:jc w:val="both"/>
        <w:rPr>
          <w:b/>
          <w:bCs/>
          <w:u w:val="single"/>
          <w:rtl/>
        </w:rPr>
      </w:pPr>
    </w:p>
    <w:p w14:paraId="5D8CF5C0" w14:textId="77777777" w:rsidR="00614B91" w:rsidRDefault="00A27393">
      <w:pPr>
        <w:spacing w:line="360" w:lineRule="auto"/>
        <w:jc w:val="both"/>
        <w:rPr>
          <w:b/>
          <w:bCs/>
          <w:u w:val="single"/>
          <w:rtl/>
        </w:rPr>
      </w:pPr>
      <w:r>
        <w:rPr>
          <w:rFonts w:hint="cs"/>
          <w:b/>
          <w:bCs/>
          <w:u w:val="single"/>
          <w:rtl/>
        </w:rPr>
        <w:t>דיון</w:t>
      </w:r>
    </w:p>
    <w:p w14:paraId="03BCC0F6" w14:textId="77777777" w:rsidR="00614B91" w:rsidRDefault="00A27393">
      <w:pPr>
        <w:spacing w:line="360" w:lineRule="auto"/>
        <w:ind w:left="720" w:hanging="720"/>
        <w:jc w:val="both"/>
        <w:rPr>
          <w:rtl/>
        </w:rPr>
      </w:pPr>
      <w:r>
        <w:rPr>
          <w:rFonts w:hint="cs"/>
          <w:rtl/>
        </w:rPr>
        <w:t>9.</w:t>
      </w:r>
      <w:r>
        <w:rPr>
          <w:rFonts w:hint="cs"/>
          <w:rtl/>
        </w:rPr>
        <w:tab/>
        <w:t xml:space="preserve">הנאשם אמנם החזיק נשק ברישיון, אך עשה בו שימוש שלא כדין, על מנת לאיים על המתלונן, שבא לדרוש את שכר עבודתו ובהמשך שלף שוב את האקדח, ירה בשנית ופגע בכף רגלו של המתלונן. </w:t>
      </w:r>
    </w:p>
    <w:p w14:paraId="7B435AA8" w14:textId="77777777" w:rsidR="00614B91" w:rsidRDefault="00A27393">
      <w:pPr>
        <w:spacing w:line="360" w:lineRule="auto"/>
        <w:ind w:left="720"/>
        <w:jc w:val="both"/>
        <w:rPr>
          <w:b/>
          <w:bCs/>
          <w:rtl/>
        </w:rPr>
      </w:pPr>
      <w:r>
        <w:rPr>
          <w:rFonts w:hint="cs"/>
          <w:rtl/>
        </w:rPr>
        <w:t xml:space="preserve">הגם שהמתלונן הינו דודו של הנאשם, מדובר בצעירים קרובים בגיל, שהיו חברים קרובים עד לסכסוך הכספי שהתגלע ביניהם. </w:t>
      </w:r>
    </w:p>
    <w:p w14:paraId="61F9CF32" w14:textId="77777777" w:rsidR="00614B91" w:rsidRDefault="00A27393">
      <w:pPr>
        <w:spacing w:line="360" w:lineRule="auto"/>
        <w:ind w:left="720"/>
        <w:jc w:val="both"/>
        <w:rPr>
          <w:rtl/>
        </w:rPr>
      </w:pPr>
      <w:r>
        <w:rPr>
          <w:rFonts w:hint="cs"/>
          <w:rtl/>
        </w:rPr>
        <w:t xml:space="preserve">למתלונן נגרם שבר בכף הרגל, בבסיס מסרק 5. הוא אושפז בבית חולים למשך 3 ימים, במהלכם נותח בהרדמה כללית ורגלו קובעה בסד גבס. הוא שוחרר מבית החולים כשהוא מתנייד עם קביים ושהה בחופשת מחלה למשך עוד כשבועיים. </w:t>
      </w:r>
    </w:p>
    <w:p w14:paraId="478EAE38" w14:textId="77777777" w:rsidR="00614B91" w:rsidRDefault="00614B91">
      <w:pPr>
        <w:spacing w:line="360" w:lineRule="auto"/>
        <w:jc w:val="both"/>
        <w:rPr>
          <w:b/>
          <w:bCs/>
          <w:u w:val="single"/>
          <w:rtl/>
        </w:rPr>
      </w:pPr>
    </w:p>
    <w:p w14:paraId="47BE7A40" w14:textId="77777777" w:rsidR="00614B91" w:rsidRDefault="00A27393">
      <w:pPr>
        <w:spacing w:line="360" w:lineRule="auto"/>
        <w:ind w:left="720" w:hanging="720"/>
        <w:jc w:val="both"/>
        <w:rPr>
          <w:rtl/>
        </w:rPr>
      </w:pPr>
      <w:r>
        <w:rPr>
          <w:rFonts w:hint="cs"/>
          <w:rtl/>
        </w:rPr>
        <w:t>10.</w:t>
      </w:r>
      <w:r>
        <w:rPr>
          <w:rFonts w:hint="cs"/>
          <w:rtl/>
        </w:rPr>
        <w:tab/>
        <w:t xml:space="preserve">שימוש בנשק חם ככלי איום ופתרון סכסוכים, יש בו סכנה רבה לפגיעה בגופו ובחייו של אדם. ירי בכדורים חיים, בנוכחות אנשים נוספים, בתחומי עיר, גם אם נעשה על מנת להפחיד, גם כשנעשה בידי מי שמיומן בשימוש בנשק, יש בו סכנה ממשית. הראיה, שהנאשם גרם למתלונן לחבלה חמורה, הגם שזוכה מירי בכוונה לגרום לכך.  </w:t>
      </w:r>
    </w:p>
    <w:p w14:paraId="7164D645" w14:textId="77777777" w:rsidR="00614B91" w:rsidRDefault="00A27393">
      <w:pPr>
        <w:spacing w:line="360" w:lineRule="auto"/>
        <w:ind w:left="720"/>
        <w:jc w:val="both"/>
        <w:rPr>
          <w:rtl/>
        </w:rPr>
      </w:pPr>
      <w:r>
        <w:rPr>
          <w:rFonts w:hint="cs"/>
          <w:rtl/>
        </w:rPr>
        <w:t xml:space="preserve">על ביהמ"ש להתריע ולשלוח מסר כי שימוש בנשק חם שלא כדין, מצדיק ענישה מחמירה ומאסר בפועל, גם למי שעברו נקי. </w:t>
      </w:r>
    </w:p>
    <w:p w14:paraId="447CF9EC" w14:textId="77777777" w:rsidR="00614B91" w:rsidRDefault="00614B91">
      <w:pPr>
        <w:spacing w:line="360" w:lineRule="auto"/>
        <w:jc w:val="both"/>
        <w:rPr>
          <w:rtl/>
        </w:rPr>
      </w:pPr>
    </w:p>
    <w:p w14:paraId="098C9918" w14:textId="77777777" w:rsidR="00614B91" w:rsidRDefault="00A27393">
      <w:pPr>
        <w:spacing w:line="360" w:lineRule="auto"/>
        <w:ind w:left="720" w:hanging="720"/>
        <w:jc w:val="both"/>
        <w:rPr>
          <w:rtl/>
        </w:rPr>
      </w:pPr>
      <w:r>
        <w:rPr>
          <w:rFonts w:hint="cs"/>
          <w:rtl/>
        </w:rPr>
        <w:t>11.</w:t>
      </w:r>
      <w:r>
        <w:rPr>
          <w:rFonts w:hint="cs"/>
          <w:rtl/>
        </w:rPr>
        <w:tab/>
        <w:t xml:space="preserve">העובדות בפסה"ד אליהם הפנתה המאשימה שונות מהמקרה הנדון. כך גם לא ניתן ללמוד מפסה"ד אליהם הפנה הסנגור. </w:t>
      </w:r>
    </w:p>
    <w:p w14:paraId="71D9F6B2" w14:textId="77777777" w:rsidR="00614B91" w:rsidRDefault="00A27393">
      <w:pPr>
        <w:spacing w:line="360" w:lineRule="auto"/>
        <w:ind w:left="720" w:hanging="720"/>
        <w:jc w:val="both"/>
        <w:rPr>
          <w:rtl/>
        </w:rPr>
      </w:pPr>
      <w:r>
        <w:rPr>
          <w:rFonts w:hint="cs"/>
          <w:rtl/>
        </w:rPr>
        <w:tab/>
        <w:t>ב</w:t>
      </w:r>
      <w:hyperlink r:id="rId20" w:history="1">
        <w:r w:rsidRPr="00A27393">
          <w:rPr>
            <w:color w:val="0000FF"/>
            <w:u w:val="single"/>
            <w:rtl/>
          </w:rPr>
          <w:t>ת"פ 40004-09-10</w:t>
        </w:r>
      </w:hyperlink>
      <w:r>
        <w:rPr>
          <w:rFonts w:hint="cs"/>
          <w:rtl/>
        </w:rPr>
        <w:t xml:space="preserve"> </w:t>
      </w:r>
      <w:r>
        <w:rPr>
          <w:rFonts w:hint="cs"/>
          <w:b/>
          <w:bCs/>
          <w:rtl/>
        </w:rPr>
        <w:t>מדינת ישראל נ' מוחמד אגברייה</w:t>
      </w:r>
      <w:r>
        <w:rPr>
          <w:rFonts w:hint="cs"/>
          <w:rtl/>
        </w:rPr>
        <w:t xml:space="preserve"> (ניתן ב- 14.9.11, טרם תיקון 113), גזרתי 30 חודשי מאסר, מתוכם 15 חודשי מאסר בפועל ופיצויים בסך 75,000 ₪ למתלונן, על נאשם שעבר עבירה של </w:t>
      </w:r>
      <w:r>
        <w:rPr>
          <w:rFonts w:hint="cs"/>
          <w:b/>
          <w:bCs/>
          <w:rtl/>
        </w:rPr>
        <w:t>גרימת חבלה חמורה באמצעות נשק חם</w:t>
      </w:r>
      <w:r>
        <w:rPr>
          <w:rFonts w:hint="cs"/>
          <w:rtl/>
        </w:rPr>
        <w:t>, בנסיבות דומות למקרה דנן. ערעורו לביהמ"ש העליון (</w:t>
      </w:r>
      <w:hyperlink r:id="rId21" w:history="1">
        <w:r w:rsidRPr="00A27393">
          <w:rPr>
            <w:color w:val="0000FF"/>
            <w:u w:val="single"/>
            <w:rtl/>
          </w:rPr>
          <w:t>ע"פ 7944/11</w:t>
        </w:r>
      </w:hyperlink>
      <w:r>
        <w:rPr>
          <w:rFonts w:hint="cs"/>
          <w:rtl/>
        </w:rPr>
        <w:t>), נמחק בהסכמה. גם שם דובר באדם שעבד כמאבטח, בעל עבר נקי ונורמטיבי, הורשע לאחר שמיעת ראיות. שקלתי לזכותו משך תקופת מעצר הבית המרוחק בו שהה ומצוקתו הכלכלית וכן שהביע חרטה כנה על מעשיו.</w:t>
      </w:r>
    </w:p>
    <w:p w14:paraId="51DA07B8" w14:textId="77777777" w:rsidR="00614B91" w:rsidRDefault="00614B91">
      <w:pPr>
        <w:spacing w:line="360" w:lineRule="auto"/>
        <w:jc w:val="both"/>
        <w:rPr>
          <w:rtl/>
        </w:rPr>
      </w:pPr>
    </w:p>
    <w:p w14:paraId="3466FDD4" w14:textId="77777777" w:rsidR="00614B91" w:rsidRDefault="00A27393">
      <w:pPr>
        <w:spacing w:line="360" w:lineRule="auto"/>
        <w:ind w:firstLine="720"/>
        <w:jc w:val="both"/>
        <w:rPr>
          <w:rtl/>
        </w:rPr>
      </w:pPr>
      <w:r>
        <w:rPr>
          <w:rFonts w:hint="cs"/>
          <w:rtl/>
        </w:rPr>
        <w:t>דבריי בגזה"ד שם, יפים אף לענייננו:</w:t>
      </w:r>
    </w:p>
    <w:p w14:paraId="6E247BA4" w14:textId="77777777" w:rsidR="00614B91" w:rsidRDefault="00A27393">
      <w:pPr>
        <w:spacing w:line="360" w:lineRule="auto"/>
        <w:ind w:left="720"/>
        <w:jc w:val="both"/>
        <w:rPr>
          <w:rtl/>
        </w:rPr>
      </w:pPr>
      <w:r>
        <w:rPr>
          <w:rFonts w:hint="cs"/>
          <w:rtl/>
        </w:rPr>
        <w:t>"</w:t>
      </w:r>
      <w:r>
        <w:rPr>
          <w:rFonts w:hint="cs"/>
          <w:b/>
          <w:bCs/>
          <w:rtl/>
        </w:rPr>
        <w:t>העובדה שהנאשם החזיק באקדח ברישיון, אין בה נסיבה לקולא בביצוע עבירה של גרימת חבלה חמורה. דווקא כשמדובר באדם נורמטיבי, שהרשויות סומכות עליו ונותנות בידיו כלי מסוכן, נדרשת ענישה מחמירה ומרתיעה גם עקב המעילה באמון</w:t>
      </w:r>
      <w:r>
        <w:rPr>
          <w:rFonts w:hint="cs"/>
          <w:rtl/>
        </w:rPr>
        <w:t xml:space="preserve">". </w:t>
      </w:r>
    </w:p>
    <w:p w14:paraId="08A82350" w14:textId="77777777" w:rsidR="00614B91" w:rsidRDefault="00614B91">
      <w:pPr>
        <w:spacing w:line="360" w:lineRule="auto"/>
        <w:jc w:val="both"/>
        <w:rPr>
          <w:i/>
          <w:iCs/>
          <w:rtl/>
        </w:rPr>
      </w:pPr>
    </w:p>
    <w:p w14:paraId="355F7AB9" w14:textId="77777777" w:rsidR="00614B91" w:rsidRDefault="00A27393">
      <w:pPr>
        <w:spacing w:line="360" w:lineRule="auto"/>
        <w:ind w:left="720" w:hanging="720"/>
        <w:jc w:val="both"/>
        <w:rPr>
          <w:rtl/>
        </w:rPr>
      </w:pPr>
      <w:r>
        <w:rPr>
          <w:rFonts w:hint="cs"/>
          <w:rtl/>
        </w:rPr>
        <w:t>12.</w:t>
      </w:r>
      <w:r>
        <w:rPr>
          <w:rFonts w:hint="cs"/>
          <w:rtl/>
        </w:rPr>
        <w:tab/>
        <w:t xml:space="preserve">מכלול הנסיבות באישום הראשון, היעדר תכנון מוקדם, שתי יריות בודדות, היעדר נזק לצמיתות והפגיעה ברף התחתון של חבלה חמורה, מצדיקים לקבוע מתחם ענישה הנע בין 15 ל-42 חודשי מאסר בפועל. </w:t>
      </w:r>
    </w:p>
    <w:p w14:paraId="2AF3C9B3" w14:textId="77777777" w:rsidR="00614B91" w:rsidRDefault="00A27393">
      <w:pPr>
        <w:spacing w:line="360" w:lineRule="auto"/>
        <w:ind w:left="720"/>
        <w:jc w:val="both"/>
        <w:rPr>
          <w:rtl/>
        </w:rPr>
      </w:pPr>
      <w:r>
        <w:rPr>
          <w:rFonts w:hint="cs"/>
          <w:rtl/>
        </w:rPr>
        <w:t xml:space="preserve">באישום השני, החזקת 4 כדורי אקדח, כדור רובה ציד ו- 6 מחסניות ריקות, גם אם מקורם של הכדורים היה כדין, כטענת הנאשם, החזקתם הייתה שלא כדין. החזקת אבזרי ירי ותחמושת יש בה סיכון לשלום הציבור. המתחם נע בין מספר חודשי מאסר ספורים לבין שנת מאסר בפועל. </w:t>
      </w:r>
    </w:p>
    <w:p w14:paraId="658D9E3C" w14:textId="77777777" w:rsidR="00614B91" w:rsidRDefault="00614B91">
      <w:pPr>
        <w:spacing w:line="360" w:lineRule="auto"/>
        <w:jc w:val="both"/>
        <w:rPr>
          <w:rtl/>
        </w:rPr>
      </w:pPr>
    </w:p>
    <w:p w14:paraId="04FC4535" w14:textId="77777777" w:rsidR="00614B91" w:rsidRDefault="00A27393">
      <w:pPr>
        <w:spacing w:line="360" w:lineRule="auto"/>
        <w:ind w:left="720" w:hanging="720"/>
        <w:jc w:val="both"/>
        <w:rPr>
          <w:rtl/>
        </w:rPr>
      </w:pPr>
      <w:r>
        <w:rPr>
          <w:rFonts w:hint="cs"/>
          <w:rtl/>
        </w:rPr>
        <w:t>13.</w:t>
      </w:r>
      <w:r>
        <w:rPr>
          <w:rFonts w:hint="cs"/>
          <w:rtl/>
        </w:rPr>
        <w:tab/>
        <w:t xml:space="preserve">הנאשם לא פיצה ולא הציע לפצות את המתלונן, לא הביע חרטה ממשית בפני שירות המבחן ואף זה המליץ על ענישה מציבת גבולות. </w:t>
      </w:r>
    </w:p>
    <w:p w14:paraId="5CF7BAD3" w14:textId="77777777" w:rsidR="00614B91" w:rsidRDefault="00614B91">
      <w:pPr>
        <w:spacing w:line="360" w:lineRule="auto"/>
        <w:jc w:val="both"/>
        <w:rPr>
          <w:rtl/>
        </w:rPr>
      </w:pPr>
    </w:p>
    <w:p w14:paraId="26C70FD0" w14:textId="77777777" w:rsidR="00614B91" w:rsidRDefault="00A27393">
      <w:pPr>
        <w:spacing w:line="360" w:lineRule="auto"/>
        <w:ind w:left="720"/>
        <w:jc w:val="both"/>
        <w:rPr>
          <w:rtl/>
        </w:rPr>
      </w:pPr>
      <w:r>
        <w:rPr>
          <w:rFonts w:hint="cs"/>
          <w:rtl/>
        </w:rPr>
        <w:t>לזכות הנאשם, בבואי לקבוע את עונשו בתוך מתחם הענישה, שקלתי את עברו הנקי, והנורמטיבי, היעדר מסוכנות עתידית ממשית, הפגיעה במשפחתו ובארוסתו, תקופת מעצרו ומעצר הבית, והצער שהביע בפניי על מעשיו. בגין כך לא אחמיר בעונשו ואף אורה על חפיפת העונשים בשני האישומים.</w:t>
      </w:r>
    </w:p>
    <w:p w14:paraId="3DB66C43" w14:textId="77777777" w:rsidR="00614B91" w:rsidRDefault="00614B91">
      <w:pPr>
        <w:spacing w:line="360" w:lineRule="auto"/>
        <w:jc w:val="both"/>
        <w:rPr>
          <w:rtl/>
        </w:rPr>
      </w:pPr>
    </w:p>
    <w:p w14:paraId="1A642E0B" w14:textId="77777777" w:rsidR="00614B91" w:rsidRDefault="00A27393">
      <w:pPr>
        <w:spacing w:line="360" w:lineRule="auto"/>
        <w:ind w:left="720" w:hanging="720"/>
        <w:jc w:val="both"/>
        <w:rPr>
          <w:rtl/>
        </w:rPr>
      </w:pPr>
      <w:r>
        <w:rPr>
          <w:rFonts w:hint="cs"/>
          <w:rtl/>
        </w:rPr>
        <w:t>14.</w:t>
      </w:r>
      <w:r>
        <w:rPr>
          <w:rFonts w:hint="cs"/>
          <w:rtl/>
        </w:rPr>
        <w:tab/>
        <w:t>הנני גוזרת על הנאשם בגין האישום הראשון 30 חודשי מאסר, מתוכם 15 חודשי מאסר בפועל והיתרה על תנאי, לבל יעבור בתוך שלוש שנים עבירות בנשק ועבירות אלימות מסוג פשע.</w:t>
      </w:r>
    </w:p>
    <w:p w14:paraId="10471E76" w14:textId="77777777" w:rsidR="00614B91" w:rsidRDefault="00A27393">
      <w:pPr>
        <w:spacing w:line="360" w:lineRule="auto"/>
        <w:ind w:left="720" w:hanging="720"/>
        <w:jc w:val="both"/>
        <w:rPr>
          <w:rtl/>
        </w:rPr>
      </w:pPr>
      <w:r>
        <w:rPr>
          <w:rFonts w:hint="cs"/>
          <w:rtl/>
        </w:rPr>
        <w:tab/>
        <w:t xml:space="preserve">בגין האישום השני 4 חודשי מאסר, מתוכם חודש מאסר בפועל והיתרה על תנאי, לבל יעבור בתוך 3 שנים עבירה מהעבירות בהן הורשע באישום השני.  עונש זה חופף לעונש המאסר בגין האישום השני. </w:t>
      </w:r>
    </w:p>
    <w:p w14:paraId="13684CC4" w14:textId="77777777" w:rsidR="00614B91" w:rsidRDefault="00A27393">
      <w:pPr>
        <w:spacing w:line="360" w:lineRule="auto"/>
        <w:ind w:left="720" w:hanging="720"/>
        <w:jc w:val="both"/>
        <w:rPr>
          <w:rtl/>
        </w:rPr>
      </w:pPr>
      <w:r>
        <w:rPr>
          <w:rFonts w:hint="cs"/>
          <w:rtl/>
        </w:rPr>
        <w:tab/>
        <w:t>מתקופת המאסר בפועל תנוכה תקופת מעצרו,  מיום 2.7.13 עד 29.11.13.</w:t>
      </w:r>
    </w:p>
    <w:p w14:paraId="2355C203" w14:textId="77777777" w:rsidR="00614B91" w:rsidRDefault="00A27393">
      <w:pPr>
        <w:spacing w:line="360" w:lineRule="auto"/>
        <w:ind w:left="720"/>
        <w:jc w:val="both"/>
        <w:rPr>
          <w:rtl/>
        </w:rPr>
      </w:pPr>
      <w:r>
        <w:rPr>
          <w:rFonts w:hint="cs"/>
          <w:rtl/>
        </w:rPr>
        <w:t xml:space="preserve">הנאשם יפצה את המתלונן בסך 15,000 ₪. הסכום ישולם ב- 5 תשלומים חודשיים שווים. תשלום ראשון ב-  1.8.14. </w:t>
      </w:r>
      <w:r>
        <w:rPr>
          <w:rFonts w:hint="cs"/>
          <w:rtl/>
        </w:rPr>
        <w:tab/>
      </w:r>
    </w:p>
    <w:p w14:paraId="2C00B985" w14:textId="77777777" w:rsidR="00614B91" w:rsidRDefault="00A27393">
      <w:pPr>
        <w:spacing w:line="360" w:lineRule="auto"/>
        <w:jc w:val="both"/>
        <w:rPr>
          <w:rtl/>
        </w:rPr>
      </w:pPr>
      <w:r>
        <w:rPr>
          <w:rFonts w:hint="cs"/>
          <w:rtl/>
        </w:rPr>
        <w:tab/>
      </w:r>
    </w:p>
    <w:p w14:paraId="32D9E149" w14:textId="77777777" w:rsidR="00614B91" w:rsidRDefault="00A27393">
      <w:pPr>
        <w:spacing w:line="360" w:lineRule="auto"/>
        <w:jc w:val="both"/>
        <w:rPr>
          <w:rtl/>
        </w:rPr>
      </w:pPr>
      <w:r>
        <w:rPr>
          <w:rFonts w:hint="cs"/>
          <w:rtl/>
        </w:rPr>
        <w:tab/>
        <w:t xml:space="preserve">ב"כ המאשימה תעביר למזכירות ביהמ"ש את פרטי המתלונן לצורך קבלת הפיצויים. </w:t>
      </w:r>
    </w:p>
    <w:p w14:paraId="6BA4694F" w14:textId="77777777" w:rsidR="00614B91" w:rsidRDefault="00614B91">
      <w:pPr>
        <w:spacing w:line="360" w:lineRule="auto"/>
        <w:jc w:val="both"/>
        <w:rPr>
          <w:rtl/>
        </w:rPr>
      </w:pPr>
    </w:p>
    <w:p w14:paraId="1D68F9F5" w14:textId="77777777" w:rsidR="00614B91" w:rsidRDefault="00A27393">
      <w:pPr>
        <w:spacing w:line="360" w:lineRule="auto"/>
        <w:jc w:val="both"/>
        <w:rPr>
          <w:u w:val="single"/>
          <w:rtl/>
        </w:rPr>
      </w:pPr>
      <w:r>
        <w:rPr>
          <w:rFonts w:hint="cs"/>
          <w:rtl/>
        </w:rPr>
        <w:tab/>
      </w:r>
      <w:r>
        <w:rPr>
          <w:rFonts w:hint="cs"/>
          <w:u w:val="single"/>
          <w:rtl/>
        </w:rPr>
        <w:t xml:space="preserve">זכות ערעור לביהמ"ש העליון בתוך 45 יום. </w:t>
      </w:r>
    </w:p>
    <w:p w14:paraId="5F49E207" w14:textId="77777777" w:rsidR="00614B91" w:rsidRDefault="00614B91">
      <w:pPr>
        <w:rPr>
          <w:rtl/>
        </w:rPr>
      </w:pPr>
    </w:p>
    <w:p w14:paraId="3070FEF6" w14:textId="77777777" w:rsidR="00614B91" w:rsidRDefault="00A27393">
      <w:pPr>
        <w:spacing w:line="360" w:lineRule="auto"/>
        <w:jc w:val="both"/>
        <w:rPr>
          <w:rFonts w:ascii="Arial" w:hAnsi="Arial"/>
          <w:rtl/>
        </w:rPr>
      </w:pPr>
      <w:r w:rsidRPr="00A27393">
        <w:rPr>
          <w:rFonts w:ascii="Arial" w:hAnsi="Arial"/>
          <w:color w:val="FFFFFF"/>
          <w:sz w:val="2"/>
          <w:szCs w:val="2"/>
          <w:rtl/>
        </w:rPr>
        <w:t>5129371</w:t>
      </w:r>
      <w:r>
        <w:rPr>
          <w:rFonts w:ascii="Arial" w:hAnsi="Arial"/>
          <w:rtl/>
        </w:rPr>
        <w:t xml:space="preserve">ניתן היום,  כ"ז סיוון תשע"ד, 25 יוני 2014, במעמד ב"כ המאשימה, הנאשם וסנגורו. </w:t>
      </w:r>
    </w:p>
    <w:tbl>
      <w:tblPr>
        <w:bidiVisual/>
        <w:tblW w:w="9134" w:type="dxa"/>
        <w:tblLook w:val="01E0" w:firstRow="1" w:lastRow="1" w:firstColumn="1" w:lastColumn="1" w:noHBand="0" w:noVBand="0"/>
      </w:tblPr>
      <w:tblGrid>
        <w:gridCol w:w="6559"/>
        <w:gridCol w:w="2575"/>
      </w:tblGrid>
      <w:tr w:rsidR="00614B91" w14:paraId="3ACAD9D0" w14:textId="77777777">
        <w:tc>
          <w:tcPr>
            <w:tcW w:w="6559" w:type="dxa"/>
            <w:vAlign w:val="center"/>
          </w:tcPr>
          <w:p w14:paraId="79F1E3BA" w14:textId="77777777" w:rsidR="00614B91" w:rsidRPr="00A27393" w:rsidRDefault="00A27393">
            <w:pPr>
              <w:jc w:val="center"/>
              <w:rPr>
                <w:rFonts w:ascii="Courier New" w:hAnsi="Courier New"/>
                <w:b/>
                <w:bCs/>
                <w:color w:val="FFFFFF"/>
                <w:sz w:val="2"/>
                <w:szCs w:val="2"/>
              </w:rPr>
            </w:pPr>
            <w:r w:rsidRPr="00A27393">
              <w:rPr>
                <w:rFonts w:ascii="Courier New" w:hAnsi="Courier New"/>
                <w:b/>
                <w:bCs/>
                <w:color w:val="FFFFFF"/>
                <w:sz w:val="2"/>
                <w:szCs w:val="2"/>
                <w:rtl/>
              </w:rPr>
              <w:t>54678313</w:t>
            </w:r>
          </w:p>
        </w:tc>
        <w:tc>
          <w:tcPr>
            <w:tcW w:w="2575" w:type="dxa"/>
            <w:tcBorders>
              <w:top w:val="nil"/>
              <w:left w:val="nil"/>
              <w:bottom w:val="single" w:sz="4" w:space="0" w:color="auto"/>
              <w:right w:val="nil"/>
            </w:tcBorders>
            <w:vAlign w:val="center"/>
          </w:tcPr>
          <w:p w14:paraId="4FBA57E5" w14:textId="77777777" w:rsidR="00614B91" w:rsidRDefault="00614B91">
            <w:pPr>
              <w:jc w:val="center"/>
              <w:rPr>
                <w:rFonts w:ascii="Courier New" w:hAnsi="Courier New"/>
                <w:b/>
                <w:bCs/>
              </w:rPr>
            </w:pPr>
          </w:p>
        </w:tc>
      </w:tr>
      <w:tr w:rsidR="00614B91" w14:paraId="66240F49" w14:textId="77777777">
        <w:tc>
          <w:tcPr>
            <w:tcW w:w="6559" w:type="dxa"/>
          </w:tcPr>
          <w:p w14:paraId="1312D070" w14:textId="77777777" w:rsidR="00614B91" w:rsidRDefault="00614B91">
            <w:pPr>
              <w:spacing w:line="360" w:lineRule="auto"/>
              <w:rPr>
                <w:b/>
                <w:bCs/>
                <w:noProof/>
                <w:color w:val="FF0000"/>
                <w:sz w:val="28"/>
              </w:rPr>
            </w:pPr>
          </w:p>
        </w:tc>
        <w:tc>
          <w:tcPr>
            <w:tcW w:w="2575" w:type="dxa"/>
            <w:tcBorders>
              <w:top w:val="single" w:sz="4" w:space="0" w:color="auto"/>
              <w:left w:val="nil"/>
              <w:bottom w:val="nil"/>
              <w:right w:val="nil"/>
            </w:tcBorders>
          </w:tcPr>
          <w:p w14:paraId="53D3244A" w14:textId="77777777" w:rsidR="00614B91" w:rsidRDefault="00A27393">
            <w:pPr>
              <w:pStyle w:val="3"/>
              <w:jc w:val="center"/>
              <w:rPr>
                <w:sz w:val="28"/>
              </w:rPr>
            </w:pPr>
            <w:r>
              <w:rPr>
                <w:rFonts w:hint="cs"/>
                <w:sz w:val="28"/>
                <w:rtl/>
              </w:rPr>
              <w:t>ח. הורוביץ, שופטת</w:t>
            </w:r>
          </w:p>
        </w:tc>
      </w:tr>
    </w:tbl>
    <w:p w14:paraId="106B4CA6" w14:textId="77777777" w:rsidR="00614B91" w:rsidRDefault="00614B91">
      <w:pPr>
        <w:pStyle w:val="a3"/>
        <w:jc w:val="center"/>
        <w:rPr>
          <w:rtl/>
        </w:rPr>
      </w:pPr>
    </w:p>
    <w:p w14:paraId="7F6829B5" w14:textId="77777777" w:rsidR="00A27393" w:rsidRPr="00A27393" w:rsidRDefault="00A27393" w:rsidP="00A27393">
      <w:pPr>
        <w:keepNext/>
        <w:rPr>
          <w:rFonts w:ascii="David" w:hAnsi="David"/>
          <w:color w:val="000000"/>
          <w:sz w:val="22"/>
          <w:szCs w:val="22"/>
          <w:rtl/>
        </w:rPr>
      </w:pPr>
    </w:p>
    <w:p w14:paraId="5A1507CD" w14:textId="77777777" w:rsidR="00A27393" w:rsidRPr="00A27393" w:rsidRDefault="00A27393" w:rsidP="00A27393">
      <w:pPr>
        <w:keepNext/>
        <w:rPr>
          <w:rFonts w:ascii="David" w:hAnsi="David"/>
          <w:color w:val="000000"/>
          <w:sz w:val="22"/>
          <w:szCs w:val="22"/>
          <w:rtl/>
        </w:rPr>
      </w:pPr>
      <w:r w:rsidRPr="00A27393">
        <w:rPr>
          <w:rFonts w:ascii="David" w:hAnsi="David"/>
          <w:color w:val="000000"/>
          <w:sz w:val="22"/>
          <w:szCs w:val="22"/>
          <w:rtl/>
        </w:rPr>
        <w:t>חני הורוביץ 54678313</w:t>
      </w:r>
    </w:p>
    <w:p w14:paraId="73D937D5" w14:textId="77777777" w:rsidR="00A27393" w:rsidRDefault="00A27393" w:rsidP="00A27393">
      <w:r w:rsidRPr="00A27393">
        <w:rPr>
          <w:color w:val="000000"/>
          <w:rtl/>
        </w:rPr>
        <w:t>נוסח מסמך זה כפוף לשינויי ניסוח ועריכה</w:t>
      </w:r>
    </w:p>
    <w:p w14:paraId="6F3FE9F3" w14:textId="77777777" w:rsidR="00A27393" w:rsidRDefault="00A27393" w:rsidP="00A27393">
      <w:pPr>
        <w:rPr>
          <w:rtl/>
        </w:rPr>
      </w:pPr>
    </w:p>
    <w:p w14:paraId="01FF0DFC" w14:textId="77777777" w:rsidR="00A27393" w:rsidRDefault="00A27393" w:rsidP="00A27393">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30C83605" w14:textId="77777777" w:rsidR="00614B91" w:rsidRPr="00A27393" w:rsidRDefault="00614B91" w:rsidP="00A27393">
      <w:pPr>
        <w:jc w:val="center"/>
        <w:rPr>
          <w:color w:val="0000FF"/>
          <w:u w:val="single"/>
        </w:rPr>
      </w:pPr>
    </w:p>
    <w:sectPr w:rsidR="00614B91" w:rsidRPr="00A27393" w:rsidSect="00A27393">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0EB78" w14:textId="77777777" w:rsidR="009F6A91" w:rsidRPr="00DF183E" w:rsidRDefault="009F6A91">
      <w:pPr>
        <w:rPr>
          <w:rFonts w:cs="Arial"/>
          <w:szCs w:val="20"/>
        </w:rPr>
      </w:pPr>
      <w:r>
        <w:separator/>
      </w:r>
    </w:p>
  </w:endnote>
  <w:endnote w:type="continuationSeparator" w:id="0">
    <w:p w14:paraId="27764772" w14:textId="77777777" w:rsidR="009F6A91" w:rsidRPr="00DF183E" w:rsidRDefault="009F6A9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731AC" w14:textId="77777777" w:rsidR="00A27393" w:rsidRDefault="00A27393" w:rsidP="00A2739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E94C5A" w14:textId="77777777" w:rsidR="00614B91" w:rsidRPr="00A27393" w:rsidRDefault="00A27393" w:rsidP="00A27393">
    <w:pPr>
      <w:pStyle w:val="a4"/>
      <w:pBdr>
        <w:top w:val="single" w:sz="4" w:space="1" w:color="auto"/>
        <w:between w:val="single" w:sz="4" w:space="0" w:color="auto"/>
      </w:pBdr>
      <w:spacing w:after="60"/>
      <w:jc w:val="center"/>
      <w:rPr>
        <w:rFonts w:ascii="FrankRuehl" w:hAnsi="FrankRuehl" w:cs="FrankRuehl"/>
        <w:color w:val="000000"/>
      </w:rPr>
    </w:pPr>
    <w:r w:rsidRPr="00A273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8AA4C" w14:textId="77777777" w:rsidR="00A27393" w:rsidRDefault="00A27393" w:rsidP="00A2739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35ED">
      <w:rPr>
        <w:rFonts w:ascii="FrankRuehl" w:hAnsi="FrankRuehl" w:cs="FrankRuehl"/>
        <w:noProof/>
        <w:rtl/>
      </w:rPr>
      <w:t>1</w:t>
    </w:r>
    <w:r>
      <w:rPr>
        <w:rFonts w:ascii="FrankRuehl" w:hAnsi="FrankRuehl" w:cs="FrankRuehl"/>
        <w:rtl/>
      </w:rPr>
      <w:fldChar w:fldCharType="end"/>
    </w:r>
  </w:p>
  <w:p w14:paraId="5F6A1CBE" w14:textId="77777777" w:rsidR="00614B91" w:rsidRPr="00A27393" w:rsidRDefault="00A27393" w:rsidP="00A27393">
    <w:pPr>
      <w:pStyle w:val="a4"/>
      <w:pBdr>
        <w:top w:val="single" w:sz="4" w:space="1" w:color="auto"/>
        <w:between w:val="single" w:sz="4" w:space="0" w:color="auto"/>
      </w:pBdr>
      <w:spacing w:after="60"/>
      <w:jc w:val="center"/>
      <w:rPr>
        <w:rFonts w:ascii="FrankRuehl" w:hAnsi="FrankRuehl" w:cs="FrankRuehl"/>
        <w:color w:val="000000"/>
      </w:rPr>
    </w:pPr>
    <w:r w:rsidRPr="00A27393">
      <w:rPr>
        <w:rFonts w:ascii="FrankRuehl" w:hAnsi="FrankRuehl" w:cs="FrankRuehl"/>
        <w:color w:val="000000"/>
      </w:rPr>
      <w:pict w14:anchorId="58B56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1DDD7" w14:textId="77777777" w:rsidR="009F6A91" w:rsidRPr="00DF183E" w:rsidRDefault="009F6A91">
      <w:pPr>
        <w:rPr>
          <w:rFonts w:cs="Arial"/>
          <w:szCs w:val="20"/>
        </w:rPr>
      </w:pPr>
      <w:r>
        <w:separator/>
      </w:r>
    </w:p>
  </w:footnote>
  <w:footnote w:type="continuationSeparator" w:id="0">
    <w:p w14:paraId="638A378C" w14:textId="77777777" w:rsidR="009F6A91" w:rsidRPr="00DF183E" w:rsidRDefault="009F6A9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813B9" w14:textId="77777777" w:rsidR="00A27393" w:rsidRPr="00A27393" w:rsidRDefault="00A27393" w:rsidP="00A273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26088-07-13</w:t>
    </w:r>
    <w:r>
      <w:rPr>
        <w:rFonts w:ascii="David" w:hAnsi="David"/>
        <w:color w:val="000000"/>
        <w:sz w:val="22"/>
        <w:szCs w:val="22"/>
        <w:rtl/>
      </w:rPr>
      <w:tab/>
      <w:t xml:space="preserve"> מדינת ישראל נ' חוסיין חוג'יראת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77CB" w14:textId="77777777" w:rsidR="00A27393" w:rsidRPr="00A27393" w:rsidRDefault="00A27393" w:rsidP="00A273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26088-07-13</w:t>
    </w:r>
    <w:r>
      <w:rPr>
        <w:rFonts w:ascii="David" w:hAnsi="David"/>
        <w:color w:val="000000"/>
        <w:sz w:val="22"/>
        <w:szCs w:val="22"/>
        <w:rtl/>
      </w:rPr>
      <w:tab/>
      <w:t xml:space="preserve"> מדינת ישראל נ' חוסיין חוג'יראת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4B91"/>
    <w:rsid w:val="00614B91"/>
    <w:rsid w:val="006570D7"/>
    <w:rsid w:val="00812603"/>
    <w:rsid w:val="009F6A91"/>
    <w:rsid w:val="00A27393"/>
    <w:rsid w:val="00EC35ED"/>
    <w:rsid w:val="00F50E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EB1C59F"/>
  <w15:chartTrackingRefBased/>
  <w15:docId w15:val="{64D05689-4FF2-4E41-9569-1E32BE19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4B91"/>
    <w:pPr>
      <w:bidi/>
    </w:pPr>
    <w:rPr>
      <w:rFonts w:cs="David"/>
      <w:sz w:val="24"/>
      <w:szCs w:val="24"/>
    </w:rPr>
  </w:style>
  <w:style w:type="paragraph" w:styleId="3">
    <w:name w:val="heading 3"/>
    <w:basedOn w:val="a"/>
    <w:next w:val="a"/>
    <w:link w:val="30"/>
    <w:qFormat/>
    <w:rsid w:val="00614B91"/>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14B91"/>
    <w:pPr>
      <w:tabs>
        <w:tab w:val="center" w:pos="4153"/>
        <w:tab w:val="right" w:pos="8306"/>
      </w:tabs>
    </w:pPr>
  </w:style>
  <w:style w:type="paragraph" w:styleId="a4">
    <w:name w:val="footer"/>
    <w:basedOn w:val="a"/>
    <w:rsid w:val="00614B91"/>
    <w:pPr>
      <w:tabs>
        <w:tab w:val="center" w:pos="4153"/>
        <w:tab w:val="right" w:pos="8306"/>
      </w:tabs>
    </w:pPr>
  </w:style>
  <w:style w:type="character" w:styleId="a5">
    <w:name w:val="page number"/>
    <w:basedOn w:val="a0"/>
    <w:rsid w:val="00614B91"/>
  </w:style>
  <w:style w:type="character" w:customStyle="1" w:styleId="TimesNewRomanTimesNewRoman">
    <w:name w:val="סגנון (לטיני) Times New Roman (עברית ושפות אחרות) Times New Roman..."/>
    <w:basedOn w:val="a0"/>
    <w:rsid w:val="00614B91"/>
    <w:rPr>
      <w:rFonts w:ascii="Times New Roman" w:hAnsi="Times New Roman" w:cs="David" w:hint="default"/>
      <w:b/>
      <w:bCs/>
      <w:sz w:val="26"/>
      <w:szCs w:val="26"/>
    </w:rPr>
  </w:style>
  <w:style w:type="paragraph" w:styleId="a6">
    <w:name w:val="Body Text Indent"/>
    <w:basedOn w:val="a"/>
    <w:link w:val="a7"/>
    <w:rsid w:val="00614B91"/>
    <w:pPr>
      <w:spacing w:line="360" w:lineRule="auto"/>
      <w:ind w:left="360"/>
      <w:jc w:val="both"/>
    </w:pPr>
    <w:rPr>
      <w:lang w:eastAsia="he-IL"/>
    </w:rPr>
  </w:style>
  <w:style w:type="character" w:customStyle="1" w:styleId="a7">
    <w:name w:val="כניסה בגוף טקסט תו"/>
    <w:basedOn w:val="a0"/>
    <w:link w:val="a6"/>
    <w:rsid w:val="00614B91"/>
    <w:rPr>
      <w:rFonts w:cs="David"/>
      <w:sz w:val="24"/>
      <w:szCs w:val="24"/>
      <w:lang w:val="en-US" w:eastAsia="he-IL" w:bidi="he-IL"/>
    </w:rPr>
  </w:style>
  <w:style w:type="character" w:customStyle="1" w:styleId="30">
    <w:name w:val="כותרת 3 תו"/>
    <w:basedOn w:val="a0"/>
    <w:link w:val="3"/>
    <w:rsid w:val="00614B91"/>
    <w:rPr>
      <w:rFonts w:cs="David"/>
      <w:b/>
      <w:bCs/>
      <w:noProof/>
      <w:szCs w:val="24"/>
      <w:lang w:val="en-US" w:eastAsia="he-IL" w:bidi="he-IL"/>
    </w:rPr>
  </w:style>
  <w:style w:type="character" w:styleId="Hyperlink">
    <w:name w:val="Hyperlink"/>
    <w:basedOn w:val="a0"/>
    <w:rsid w:val="00A27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144.a"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5604186"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340a" TargetMode="External"/><Relationship Id="rId17" Type="http://schemas.openxmlformats.org/officeDocument/2006/relationships/hyperlink" Target="http://www.nevo.co.il/law/70301/335.a.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33" TargetMode="External"/><Relationship Id="rId20" Type="http://schemas.openxmlformats.org/officeDocument/2006/relationships/hyperlink" Target="http://www.nevo.co.il/case/421938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5.a.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40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33" TargetMode="External"/><Relationship Id="rId19" Type="http://schemas.openxmlformats.org/officeDocument/2006/relationships/hyperlink" Target="http://www.nevo.co.il/law/70301/329" TargetMode="External"/><Relationship Id="rId4" Type="http://schemas.openxmlformats.org/officeDocument/2006/relationships/footnotes" Target="footnotes.xml"/><Relationship Id="rId9" Type="http://schemas.openxmlformats.org/officeDocument/2006/relationships/hyperlink" Target="http://www.nevo.co.il/law/70301/329"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1607</Words>
  <Characters>8035</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9623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3276926</vt:i4>
      </vt:variant>
      <vt:variant>
        <vt:i4>45</vt:i4>
      </vt:variant>
      <vt:variant>
        <vt:i4>0</vt:i4>
      </vt:variant>
      <vt:variant>
        <vt:i4>5</vt:i4>
      </vt:variant>
      <vt:variant>
        <vt:lpwstr>http://www.nevo.co.il/case/5604186</vt:lpwstr>
      </vt:variant>
      <vt:variant>
        <vt:lpwstr/>
      </vt:variant>
      <vt:variant>
        <vt:i4>3604599</vt:i4>
      </vt:variant>
      <vt:variant>
        <vt:i4>42</vt:i4>
      </vt:variant>
      <vt:variant>
        <vt:i4>0</vt:i4>
      </vt:variant>
      <vt:variant>
        <vt:i4>5</vt:i4>
      </vt:variant>
      <vt:variant>
        <vt:lpwstr>http://www.nevo.co.il/case/4219381</vt:lpwstr>
      </vt:variant>
      <vt:variant>
        <vt:lpwstr/>
      </vt:variant>
      <vt:variant>
        <vt:i4>6750310</vt:i4>
      </vt:variant>
      <vt:variant>
        <vt:i4>39</vt:i4>
      </vt:variant>
      <vt:variant>
        <vt:i4>0</vt:i4>
      </vt:variant>
      <vt:variant>
        <vt:i4>5</vt:i4>
      </vt:variant>
      <vt:variant>
        <vt:lpwstr>http://www.nevo.co.il/law/70301/329</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86</vt:i4>
      </vt:variant>
      <vt:variant>
        <vt:i4>27</vt:i4>
      </vt:variant>
      <vt:variant>
        <vt:i4>0</vt:i4>
      </vt:variant>
      <vt:variant>
        <vt:i4>5</vt:i4>
      </vt:variant>
      <vt:variant>
        <vt:lpwstr>http://www.nevo.co.il/law/70301/340a</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86</vt:i4>
      </vt:variant>
      <vt:variant>
        <vt:i4>18</vt:i4>
      </vt:variant>
      <vt:variant>
        <vt:i4>0</vt:i4>
      </vt:variant>
      <vt:variant>
        <vt:i4>5</vt:i4>
      </vt:variant>
      <vt:variant>
        <vt:lpwstr>http://www.nevo.co.il/law/70301/340a</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6750310</vt:i4>
      </vt:variant>
      <vt:variant>
        <vt:i4>9</vt:i4>
      </vt:variant>
      <vt:variant>
        <vt:i4>0</vt:i4>
      </vt:variant>
      <vt:variant>
        <vt:i4>5</vt:i4>
      </vt:variant>
      <vt:variant>
        <vt:lpwstr>http://www.nevo.co.il/law/70301/329</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2025-01-19T15:49:00Z</dcterms:created>
  <dcterms:modified xsi:type="dcterms:W3CDTF">2025-01-19T15:49:00Z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26088</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חוסיין חוג'יראת</vt:lpwstr>
  </property>
  <property fmtid="{D5CDD505-2E9C-101B-9397-08002B2CF9AE}" pid="10" name="JUDGE">
    <vt:lpwstr>חני הורוביץ</vt:lpwstr>
  </property>
  <property fmtid="{D5CDD505-2E9C-101B-9397-08002B2CF9AE}" pid="11" name="CITY">
    <vt:lpwstr>חי'</vt:lpwstr>
  </property>
  <property fmtid="{D5CDD505-2E9C-101B-9397-08002B2CF9AE}" pid="12" name="DATE">
    <vt:lpwstr>20140625</vt:lpwstr>
  </property>
  <property fmtid="{D5CDD505-2E9C-101B-9397-08002B2CF9AE}" pid="13" name="TYPE_N_DATE">
    <vt:lpwstr>39020140625</vt:lpwstr>
  </property>
  <property fmtid="{D5CDD505-2E9C-101B-9397-08002B2CF9AE}" pid="14" name="CASESLISTTMP1">
    <vt:lpwstr>4219381;5604186</vt:lpwstr>
  </property>
  <property fmtid="{D5CDD505-2E9C-101B-9397-08002B2CF9AE}" pid="15" name="WORDNUMPAGES">
    <vt:lpwstr>6</vt:lpwstr>
  </property>
  <property fmtid="{D5CDD505-2E9C-101B-9397-08002B2CF9AE}" pid="16" name="TYPE_ABS_DATE">
    <vt:lpwstr>390020140625</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70301/192;340a;333;335.a.1;144.a;329</vt:lpwstr>
  </property>
</Properties>
</file>