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20220" w:rsidRPr="00BB5463" w14:paraId="2913B1D8" w14:textId="77777777">
        <w:trPr>
          <w:trHeight w:hRule="exact" w:val="418"/>
          <w:jc w:val="center"/>
        </w:trPr>
        <w:tc>
          <w:tcPr>
            <w:tcW w:w="8721" w:type="dxa"/>
            <w:gridSpan w:val="2"/>
          </w:tcPr>
          <w:p w14:paraId="6624B3D4" w14:textId="77777777" w:rsidR="00E20220" w:rsidRPr="00BB5463" w:rsidRDefault="00BB5463">
            <w:pPr>
              <w:pStyle w:val="a3"/>
              <w:jc w:val="center"/>
              <w:rPr>
                <w:rFonts w:ascii="Tahoma" w:hAnsi="Tahoma" w:cs="Tahoma"/>
                <w:color w:val="000080"/>
                <w:rtl/>
              </w:rPr>
            </w:pPr>
            <w:bookmarkStart w:id="0" w:name="LastJudge"/>
            <w:r w:rsidRPr="00BB5463">
              <w:rPr>
                <w:rFonts w:ascii="Tahoma" w:hAnsi="Tahoma" w:cs="Tahoma"/>
                <w:b/>
                <w:bCs/>
                <w:color w:val="000080"/>
                <w:rtl/>
              </w:rPr>
              <w:t>בית המשפט המחוזי בחיפה</w:t>
            </w:r>
          </w:p>
        </w:tc>
      </w:tr>
      <w:tr w:rsidR="00E20220" w:rsidRPr="00BB5463" w14:paraId="0455B166" w14:textId="77777777">
        <w:trPr>
          <w:trHeight w:val="337"/>
          <w:jc w:val="center"/>
        </w:trPr>
        <w:tc>
          <w:tcPr>
            <w:tcW w:w="5059" w:type="dxa"/>
          </w:tcPr>
          <w:p w14:paraId="739A7F89" w14:textId="77777777" w:rsidR="00E20220" w:rsidRPr="00BB5463" w:rsidRDefault="00BB5463">
            <w:pPr>
              <w:spacing w:line="360" w:lineRule="auto"/>
              <w:rPr>
                <w:rFonts w:cs="FrankRuehl"/>
                <w:sz w:val="28"/>
                <w:szCs w:val="28"/>
                <w:rtl/>
              </w:rPr>
            </w:pPr>
            <w:r w:rsidRPr="00BB5463">
              <w:rPr>
                <w:b/>
                <w:bCs/>
                <w:sz w:val="26"/>
                <w:szCs w:val="26"/>
                <w:rtl/>
              </w:rPr>
              <w:t>ת"פ</w:t>
            </w:r>
            <w:r w:rsidRPr="00BB5463">
              <w:rPr>
                <w:rFonts w:hint="cs"/>
                <w:b/>
                <w:bCs/>
                <w:sz w:val="26"/>
                <w:szCs w:val="26"/>
                <w:rtl/>
              </w:rPr>
              <w:t xml:space="preserve"> </w:t>
            </w:r>
            <w:r w:rsidRPr="00BB5463">
              <w:rPr>
                <w:b/>
                <w:bCs/>
                <w:sz w:val="26"/>
                <w:szCs w:val="26"/>
                <w:rtl/>
              </w:rPr>
              <w:t>26801-07-13</w:t>
            </w:r>
            <w:r w:rsidRPr="00BB5463">
              <w:rPr>
                <w:rFonts w:hint="cs"/>
                <w:b/>
                <w:bCs/>
                <w:sz w:val="26"/>
                <w:szCs w:val="26"/>
                <w:rtl/>
              </w:rPr>
              <w:t xml:space="preserve"> </w:t>
            </w:r>
            <w:r w:rsidRPr="00BB5463">
              <w:rPr>
                <w:b/>
                <w:bCs/>
                <w:sz w:val="26"/>
                <w:szCs w:val="26"/>
                <w:rtl/>
              </w:rPr>
              <w:t>מדינת ישראל נ' עראבי(עצ</w:t>
            </w:r>
            <w:r w:rsidRPr="00BB5463">
              <w:rPr>
                <w:rFonts w:hint="cs"/>
                <w:b/>
                <w:bCs/>
                <w:sz w:val="26"/>
                <w:szCs w:val="26"/>
                <w:rtl/>
              </w:rPr>
              <w:t>ו</w:t>
            </w:r>
            <w:r w:rsidRPr="00BB5463">
              <w:rPr>
                <w:b/>
                <w:bCs/>
                <w:sz w:val="26"/>
                <w:szCs w:val="26"/>
                <w:rtl/>
              </w:rPr>
              <w:t>ר)</w:t>
            </w:r>
          </w:p>
        </w:tc>
        <w:tc>
          <w:tcPr>
            <w:tcW w:w="3662" w:type="dxa"/>
          </w:tcPr>
          <w:p w14:paraId="091BA355" w14:textId="77777777" w:rsidR="00E20220" w:rsidRPr="00BB5463" w:rsidRDefault="00E20220">
            <w:pPr>
              <w:pStyle w:val="a3"/>
              <w:jc w:val="right"/>
              <w:rPr>
                <w:rFonts w:cs="FrankRuehl"/>
                <w:sz w:val="28"/>
                <w:szCs w:val="28"/>
                <w:rtl/>
              </w:rPr>
            </w:pPr>
          </w:p>
        </w:tc>
      </w:tr>
    </w:tbl>
    <w:p w14:paraId="66834E66" w14:textId="77777777" w:rsidR="00E20220" w:rsidRPr="00BB5463" w:rsidRDefault="00BB5463" w:rsidP="00EA6118">
      <w:pPr>
        <w:pStyle w:val="a3"/>
        <w:rPr>
          <w:rtl/>
        </w:rPr>
      </w:pPr>
      <w:r w:rsidRPr="00BB5463">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E20220" w:rsidRPr="00BB5463" w14:paraId="448B938C" w14:textId="77777777">
        <w:trPr>
          <w:gridAfter w:val="1"/>
          <w:wAfter w:w="55" w:type="dxa"/>
        </w:trPr>
        <w:tc>
          <w:tcPr>
            <w:tcW w:w="8719" w:type="dxa"/>
            <w:gridSpan w:val="2"/>
          </w:tcPr>
          <w:p w14:paraId="56638FAC" w14:textId="77777777" w:rsidR="00E20220" w:rsidRPr="00BB5463" w:rsidRDefault="00BB5463">
            <w:pPr>
              <w:spacing w:line="360" w:lineRule="auto"/>
              <w:rPr>
                <w:b/>
                <w:bCs/>
                <w:sz w:val="26"/>
                <w:szCs w:val="26"/>
              </w:rPr>
            </w:pPr>
            <w:r w:rsidRPr="00BB5463">
              <w:rPr>
                <w:rFonts w:hint="cs"/>
                <w:b/>
                <w:bCs/>
                <w:sz w:val="26"/>
                <w:szCs w:val="26"/>
                <w:rtl/>
              </w:rPr>
              <w:t>בפני כב' ה</w:t>
            </w:r>
            <w:r w:rsidRPr="00BB5463">
              <w:rPr>
                <w:rFonts w:hint="cs"/>
                <w:rtl/>
              </w:rPr>
              <w:t>שופטת דיאנה סלע</w:t>
            </w:r>
            <w:r w:rsidRPr="00BB5463">
              <w:rPr>
                <w:rStyle w:val="TimesNewRomanTimesNewRoman"/>
                <w:rFonts w:hint="cs"/>
                <w:rtl/>
              </w:rPr>
              <w:t xml:space="preserve"> </w:t>
            </w:r>
          </w:p>
        </w:tc>
      </w:tr>
      <w:tr w:rsidR="00E20220" w:rsidRPr="00BB5463" w14:paraId="134DE4D5" w14:textId="77777777">
        <w:tc>
          <w:tcPr>
            <w:tcW w:w="2880" w:type="dxa"/>
          </w:tcPr>
          <w:p w14:paraId="39A84870" w14:textId="77777777" w:rsidR="00E20220" w:rsidRPr="00BB5463" w:rsidRDefault="00BB5463">
            <w:pPr>
              <w:ind w:left="26"/>
              <w:rPr>
                <w:b/>
                <w:bCs/>
                <w:sz w:val="26"/>
                <w:szCs w:val="26"/>
              </w:rPr>
            </w:pPr>
            <w:bookmarkStart w:id="1" w:name="FirstAppellant"/>
            <w:r w:rsidRPr="00BB5463">
              <w:rPr>
                <w:rFonts w:hint="cs"/>
                <w:b/>
                <w:bCs/>
                <w:sz w:val="26"/>
                <w:szCs w:val="26"/>
                <w:rtl/>
              </w:rPr>
              <w:t>ה</w:t>
            </w:r>
            <w:r w:rsidRPr="00BB5463">
              <w:rPr>
                <w:rFonts w:hint="cs"/>
                <w:rtl/>
              </w:rPr>
              <w:t>מאשימה</w:t>
            </w:r>
          </w:p>
        </w:tc>
        <w:tc>
          <w:tcPr>
            <w:tcW w:w="5922" w:type="dxa"/>
            <w:gridSpan w:val="2"/>
          </w:tcPr>
          <w:p w14:paraId="07EFBDB8" w14:textId="77777777" w:rsidR="00E20220" w:rsidRPr="00BB5463" w:rsidRDefault="00BB5463">
            <w:pPr>
              <w:spacing w:line="360" w:lineRule="auto"/>
              <w:rPr>
                <w:b/>
                <w:bCs/>
                <w:sz w:val="26"/>
                <w:szCs w:val="26"/>
              </w:rPr>
            </w:pPr>
            <w:r w:rsidRPr="00BB5463">
              <w:rPr>
                <w:rFonts w:hint="cs"/>
                <w:rtl/>
              </w:rPr>
              <w:t>מדינת ישראל</w:t>
            </w:r>
          </w:p>
        </w:tc>
      </w:tr>
      <w:bookmarkEnd w:id="1"/>
      <w:tr w:rsidR="00E20220" w:rsidRPr="00BB5463" w14:paraId="6188E6FB" w14:textId="77777777">
        <w:tc>
          <w:tcPr>
            <w:tcW w:w="8802" w:type="dxa"/>
            <w:gridSpan w:val="3"/>
          </w:tcPr>
          <w:p w14:paraId="2E508091" w14:textId="77777777" w:rsidR="00E20220" w:rsidRPr="00BB5463" w:rsidRDefault="00E20220">
            <w:pPr>
              <w:jc w:val="both"/>
              <w:rPr>
                <w:rFonts w:ascii="Arial" w:hAnsi="Arial"/>
                <w:b/>
                <w:bCs/>
                <w:sz w:val="26"/>
                <w:szCs w:val="26"/>
                <w:rtl/>
              </w:rPr>
            </w:pPr>
          </w:p>
          <w:p w14:paraId="61611590" w14:textId="77777777" w:rsidR="00E20220" w:rsidRPr="00BB5463" w:rsidRDefault="00BB5463">
            <w:pPr>
              <w:jc w:val="center"/>
              <w:rPr>
                <w:rFonts w:ascii="Arial" w:hAnsi="Arial"/>
                <w:b/>
                <w:bCs/>
                <w:sz w:val="26"/>
                <w:szCs w:val="26"/>
                <w:rtl/>
              </w:rPr>
            </w:pPr>
            <w:r w:rsidRPr="00BB5463">
              <w:rPr>
                <w:rFonts w:ascii="Arial" w:hAnsi="Arial" w:hint="cs"/>
                <w:b/>
                <w:bCs/>
                <w:sz w:val="26"/>
                <w:szCs w:val="26"/>
                <w:rtl/>
              </w:rPr>
              <w:t>-נ ג ד-</w:t>
            </w:r>
          </w:p>
          <w:p w14:paraId="64851BD0" w14:textId="77777777" w:rsidR="00E20220" w:rsidRPr="00BB5463" w:rsidRDefault="00E20220">
            <w:pPr>
              <w:jc w:val="center"/>
              <w:rPr>
                <w:rFonts w:ascii="Arial" w:hAnsi="Arial"/>
                <w:b/>
                <w:bCs/>
                <w:sz w:val="26"/>
                <w:szCs w:val="26"/>
              </w:rPr>
            </w:pPr>
          </w:p>
        </w:tc>
      </w:tr>
      <w:tr w:rsidR="00E20220" w:rsidRPr="00BB5463" w14:paraId="3A9C8BE6" w14:textId="77777777">
        <w:tc>
          <w:tcPr>
            <w:tcW w:w="2880" w:type="dxa"/>
          </w:tcPr>
          <w:p w14:paraId="5C122504" w14:textId="77777777" w:rsidR="00E20220" w:rsidRPr="00BB5463" w:rsidRDefault="00BB5463">
            <w:pPr>
              <w:ind w:left="26"/>
              <w:rPr>
                <w:b/>
                <w:bCs/>
                <w:sz w:val="26"/>
                <w:szCs w:val="26"/>
              </w:rPr>
            </w:pPr>
            <w:r w:rsidRPr="00BB5463">
              <w:rPr>
                <w:rFonts w:hint="cs"/>
                <w:b/>
                <w:bCs/>
                <w:sz w:val="26"/>
                <w:szCs w:val="26"/>
                <w:rtl/>
              </w:rPr>
              <w:t>ה</w:t>
            </w:r>
            <w:r w:rsidRPr="00BB5463">
              <w:rPr>
                <w:rFonts w:hint="cs"/>
                <w:rtl/>
              </w:rPr>
              <w:t>נאשם</w:t>
            </w:r>
          </w:p>
        </w:tc>
        <w:tc>
          <w:tcPr>
            <w:tcW w:w="5922" w:type="dxa"/>
            <w:gridSpan w:val="2"/>
          </w:tcPr>
          <w:p w14:paraId="3F22F1A1" w14:textId="77777777" w:rsidR="00E20220" w:rsidRPr="00BB5463" w:rsidRDefault="00BB5463">
            <w:pPr>
              <w:spacing w:line="480" w:lineRule="auto"/>
              <w:rPr>
                <w:b/>
                <w:bCs/>
                <w:sz w:val="26"/>
                <w:szCs w:val="26"/>
              </w:rPr>
            </w:pPr>
            <w:r w:rsidRPr="00BB5463">
              <w:rPr>
                <w:rFonts w:hint="cs"/>
                <w:rtl/>
              </w:rPr>
              <w:t>ג'האד עראבי ת.ז. 200407401 (עצור)</w:t>
            </w:r>
          </w:p>
        </w:tc>
      </w:tr>
    </w:tbl>
    <w:p w14:paraId="22AFCB4D" w14:textId="77777777" w:rsidR="00EA6118" w:rsidRPr="00EA6118" w:rsidRDefault="00EA6118" w:rsidP="00EA6118">
      <w:pPr>
        <w:spacing w:after="120" w:line="240" w:lineRule="exact"/>
        <w:ind w:left="283" w:hanging="283"/>
        <w:jc w:val="both"/>
        <w:rPr>
          <w:rFonts w:ascii="FrankRuehl" w:hAnsi="FrankRuehl" w:cs="FrankRuehl"/>
          <w:rtl/>
        </w:rPr>
      </w:pPr>
      <w:bookmarkStart w:id="2" w:name="LawTable"/>
      <w:bookmarkEnd w:id="2"/>
    </w:p>
    <w:p w14:paraId="4D170D28" w14:textId="77777777" w:rsidR="00EA6118" w:rsidRPr="00EA6118" w:rsidRDefault="00EA6118" w:rsidP="00EA6118">
      <w:pPr>
        <w:spacing w:after="120" w:line="240" w:lineRule="exact"/>
        <w:ind w:left="283" w:hanging="283"/>
        <w:jc w:val="both"/>
        <w:rPr>
          <w:rFonts w:ascii="FrankRuehl" w:hAnsi="FrankRuehl" w:cs="FrankRuehl"/>
          <w:rtl/>
        </w:rPr>
      </w:pPr>
      <w:r w:rsidRPr="00EA6118">
        <w:rPr>
          <w:rFonts w:ascii="FrankRuehl" w:hAnsi="FrankRuehl" w:cs="FrankRuehl"/>
          <w:rtl/>
        </w:rPr>
        <w:t xml:space="preserve">חקיקה שאוזכרה: </w:t>
      </w:r>
    </w:p>
    <w:p w14:paraId="08609C9D" w14:textId="77777777" w:rsidR="00EA6118" w:rsidRPr="00EA6118" w:rsidRDefault="00EA6118" w:rsidP="00EA6118">
      <w:pPr>
        <w:spacing w:after="120" w:line="240" w:lineRule="exact"/>
        <w:ind w:left="283" w:hanging="283"/>
        <w:jc w:val="both"/>
        <w:rPr>
          <w:rFonts w:ascii="FrankRuehl" w:hAnsi="FrankRuehl" w:cs="FrankRuehl"/>
          <w:rtl/>
        </w:rPr>
      </w:pPr>
      <w:hyperlink r:id="rId6" w:history="1">
        <w:r w:rsidRPr="00EA6118">
          <w:rPr>
            <w:rFonts w:ascii="FrankRuehl" w:hAnsi="FrankRuehl" w:cs="FrankRuehl"/>
            <w:color w:val="0000FF"/>
            <w:u w:val="single"/>
            <w:rtl/>
          </w:rPr>
          <w:t>פקודת הסמים המסוכנים [נוסח חדש], תשל"ג-1973</w:t>
        </w:r>
      </w:hyperlink>
      <w:r w:rsidRPr="00EA6118">
        <w:rPr>
          <w:rFonts w:ascii="FrankRuehl" w:hAnsi="FrankRuehl" w:cs="FrankRuehl"/>
          <w:rtl/>
        </w:rPr>
        <w:t xml:space="preserve">: סע'  </w:t>
      </w:r>
      <w:hyperlink r:id="rId7" w:history="1">
        <w:r w:rsidRPr="00EA6118">
          <w:rPr>
            <w:rFonts w:ascii="FrankRuehl" w:hAnsi="FrankRuehl" w:cs="FrankRuehl"/>
            <w:color w:val="0000FF"/>
            <w:u w:val="single"/>
            <w:rtl/>
          </w:rPr>
          <w:t>7(א)</w:t>
        </w:r>
      </w:hyperlink>
      <w:r w:rsidRPr="00EA6118">
        <w:rPr>
          <w:rFonts w:ascii="FrankRuehl" w:hAnsi="FrankRuehl" w:cs="FrankRuehl"/>
          <w:rtl/>
        </w:rPr>
        <w:t xml:space="preserve">, </w:t>
      </w:r>
      <w:hyperlink r:id="rId8" w:history="1">
        <w:r w:rsidRPr="00EA6118">
          <w:rPr>
            <w:rFonts w:ascii="FrankRuehl" w:hAnsi="FrankRuehl" w:cs="FrankRuehl"/>
            <w:color w:val="0000FF"/>
            <w:u w:val="single"/>
            <w:rtl/>
          </w:rPr>
          <w:t>(ג)</w:t>
        </w:r>
      </w:hyperlink>
    </w:p>
    <w:p w14:paraId="7D64E7C8" w14:textId="77777777" w:rsidR="00EA6118" w:rsidRPr="00EA6118" w:rsidRDefault="00EA6118" w:rsidP="00EA6118">
      <w:pPr>
        <w:spacing w:after="120" w:line="240" w:lineRule="exact"/>
        <w:ind w:left="283" w:hanging="283"/>
        <w:jc w:val="both"/>
        <w:rPr>
          <w:rFonts w:ascii="FrankRuehl" w:hAnsi="FrankRuehl" w:cs="FrankRuehl"/>
          <w:rtl/>
        </w:rPr>
      </w:pPr>
      <w:hyperlink r:id="rId9" w:history="1">
        <w:r w:rsidRPr="00EA6118">
          <w:rPr>
            <w:rFonts w:ascii="FrankRuehl" w:hAnsi="FrankRuehl" w:cs="FrankRuehl"/>
            <w:color w:val="0000FF"/>
            <w:u w:val="single"/>
            <w:rtl/>
          </w:rPr>
          <w:t>חוק העונשין, תשל"ז-1977</w:t>
        </w:r>
      </w:hyperlink>
      <w:r w:rsidRPr="00EA6118">
        <w:rPr>
          <w:rFonts w:ascii="FrankRuehl" w:hAnsi="FrankRuehl" w:cs="FrankRuehl"/>
          <w:rtl/>
        </w:rPr>
        <w:t xml:space="preserve">: סע'  </w:t>
      </w:r>
      <w:hyperlink r:id="rId10" w:history="1">
        <w:r w:rsidRPr="00EA6118">
          <w:rPr>
            <w:rFonts w:ascii="FrankRuehl" w:hAnsi="FrankRuehl" w:cs="FrankRuehl"/>
            <w:color w:val="0000FF"/>
            <w:u w:val="single"/>
            <w:rtl/>
          </w:rPr>
          <w:t>144(א)</w:t>
        </w:r>
      </w:hyperlink>
    </w:p>
    <w:p w14:paraId="231CDF11" w14:textId="77777777" w:rsidR="00EA6118" w:rsidRPr="00EA6118" w:rsidRDefault="00EA6118" w:rsidP="00EA6118">
      <w:pPr>
        <w:spacing w:after="120" w:line="240" w:lineRule="exact"/>
        <w:ind w:left="283" w:hanging="283"/>
        <w:jc w:val="both"/>
        <w:rPr>
          <w:rFonts w:ascii="FrankRuehl" w:hAnsi="FrankRuehl" w:cs="FrankRuehl"/>
          <w:rtl/>
        </w:rPr>
      </w:pPr>
    </w:p>
    <w:p w14:paraId="25A648F3" w14:textId="77777777" w:rsidR="00E20220" w:rsidRPr="00BB5463" w:rsidRDefault="00E20220">
      <w:pPr>
        <w:rPr>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0220" w:rsidRPr="00BB5463" w14:paraId="5147EBCF" w14:textId="77777777">
        <w:trPr>
          <w:trHeight w:val="355"/>
          <w:jc w:val="center"/>
        </w:trPr>
        <w:tc>
          <w:tcPr>
            <w:tcW w:w="8820" w:type="dxa"/>
            <w:tcBorders>
              <w:top w:val="nil"/>
              <w:left w:val="nil"/>
              <w:bottom w:val="nil"/>
              <w:right w:val="nil"/>
            </w:tcBorders>
          </w:tcPr>
          <w:p w14:paraId="77494779" w14:textId="77777777" w:rsidR="00E20220" w:rsidRPr="00BB5463" w:rsidRDefault="00BB5463" w:rsidP="00BB5463">
            <w:pPr>
              <w:spacing w:line="360" w:lineRule="auto"/>
              <w:jc w:val="center"/>
              <w:rPr>
                <w:rFonts w:ascii="Arial" w:hAnsi="Arial"/>
                <w:bCs/>
                <w:sz w:val="32"/>
                <w:szCs w:val="32"/>
                <w:rtl/>
              </w:rPr>
            </w:pPr>
            <w:bookmarkStart w:id="4" w:name="PsakDin" w:colFirst="0" w:colLast="0"/>
            <w:bookmarkEnd w:id="0"/>
            <w:r w:rsidRPr="00BB5463">
              <w:rPr>
                <w:rFonts w:ascii="Arial" w:hAnsi="Arial"/>
                <w:b/>
                <w:bCs/>
                <w:sz w:val="30"/>
                <w:szCs w:val="30"/>
                <w:rtl/>
              </w:rPr>
              <w:t>גזר דין</w:t>
            </w:r>
          </w:p>
        </w:tc>
      </w:tr>
      <w:bookmarkEnd w:id="4"/>
    </w:tbl>
    <w:p w14:paraId="4F2E51F8" w14:textId="77777777" w:rsidR="00E20220" w:rsidRDefault="00E20220">
      <w:pPr>
        <w:rPr>
          <w:rtl/>
        </w:rPr>
      </w:pPr>
    </w:p>
    <w:p w14:paraId="3F0B74E8" w14:textId="77777777" w:rsidR="00E20220" w:rsidRDefault="00E20220">
      <w:pPr>
        <w:rPr>
          <w:rtl/>
        </w:rPr>
      </w:pPr>
    </w:p>
    <w:p w14:paraId="3590ABA5" w14:textId="77777777" w:rsidR="00E20220" w:rsidRDefault="00BB5463">
      <w:pPr>
        <w:spacing w:line="360" w:lineRule="auto"/>
        <w:ind w:left="720" w:hanging="720"/>
        <w:jc w:val="both"/>
      </w:pPr>
      <w:r>
        <w:rPr>
          <w:rFonts w:hint="cs"/>
          <w:b/>
          <w:bCs/>
          <w:rtl/>
        </w:rPr>
        <w:t>1.</w:t>
      </w:r>
      <w:r>
        <w:rPr>
          <w:rFonts w:hint="cs"/>
          <w:rtl/>
        </w:rPr>
        <w:tab/>
      </w:r>
      <w:bookmarkStart w:id="5" w:name="ABSTRACT_START"/>
      <w:bookmarkEnd w:id="5"/>
      <w:r>
        <w:rPr>
          <w:rFonts w:hint="cs"/>
          <w:rtl/>
        </w:rPr>
        <w:t xml:space="preserve">הנאשם, יליד 88', הודה והורשע במסגרת הסדר טיעון, בכתב אישום אשר תוקן וסומן "א", בעבירות של החזקת סמים לשימוש עצמי – לפי </w:t>
      </w:r>
      <w:hyperlink r:id="rId11" w:history="1">
        <w:r w:rsidR="00EA6118" w:rsidRPr="00EA6118">
          <w:rPr>
            <w:color w:val="0000FF"/>
            <w:u w:val="single"/>
            <w:rtl/>
          </w:rPr>
          <w:t>סעיף 7(א)</w:t>
        </w:r>
      </w:hyperlink>
      <w:r>
        <w:rPr>
          <w:rFonts w:hint="cs"/>
          <w:rtl/>
        </w:rPr>
        <w:t xml:space="preserve"> + </w:t>
      </w:r>
      <w:hyperlink r:id="rId12" w:history="1">
        <w:r w:rsidR="00EA6118" w:rsidRPr="00EA6118">
          <w:rPr>
            <w:color w:val="0000FF"/>
            <w:u w:val="single"/>
            <w:rtl/>
          </w:rPr>
          <w:t>(ג)</w:t>
        </w:r>
      </w:hyperlink>
      <w:r>
        <w:rPr>
          <w:rFonts w:hint="cs"/>
          <w:rtl/>
        </w:rPr>
        <w:t xml:space="preserve"> סיפא ל</w:t>
      </w:r>
      <w:hyperlink r:id="rId13" w:history="1">
        <w:r w:rsidRPr="00BB5463">
          <w:rPr>
            <w:color w:val="0000FF"/>
            <w:u w:val="single"/>
            <w:rtl/>
          </w:rPr>
          <w:t>פקודת הסמים המסוכנים</w:t>
        </w:r>
      </w:hyperlink>
      <w:r>
        <w:rPr>
          <w:rFonts w:hint="cs"/>
          <w:rtl/>
        </w:rPr>
        <w:t xml:space="preserve"> [נוסח משולב], התשל"ג- 1973 (להלן: פקודת הסמים המסוכנים), והחזקת נשק – לפי </w:t>
      </w:r>
      <w:hyperlink r:id="rId14" w:history="1">
        <w:r w:rsidR="00EA6118" w:rsidRPr="00EA6118">
          <w:rPr>
            <w:color w:val="0000FF"/>
            <w:u w:val="single"/>
            <w:rtl/>
          </w:rPr>
          <w:t>סעיף 144(א)</w:t>
        </w:r>
      </w:hyperlink>
      <w:r>
        <w:rPr>
          <w:rFonts w:hint="cs"/>
          <w:rtl/>
        </w:rPr>
        <w:t xml:space="preserve"> רישא + סיפא (ריבוי עבירות) ל</w:t>
      </w:r>
      <w:hyperlink r:id="rId15" w:history="1">
        <w:r w:rsidRPr="00BB5463">
          <w:rPr>
            <w:color w:val="0000FF"/>
            <w:u w:val="single"/>
            <w:rtl/>
          </w:rPr>
          <w:t>חוק העונשין</w:t>
        </w:r>
      </w:hyperlink>
      <w:r>
        <w:rPr>
          <w:rFonts w:hint="cs"/>
          <w:rtl/>
        </w:rPr>
        <w:t xml:space="preserve">, תשל"ז - 1977  (להלן חוק העונשין). </w:t>
      </w:r>
    </w:p>
    <w:p w14:paraId="0A1597BC" w14:textId="77777777" w:rsidR="00E20220" w:rsidRDefault="00E20220">
      <w:pPr>
        <w:spacing w:line="360" w:lineRule="auto"/>
        <w:jc w:val="both"/>
        <w:rPr>
          <w:rtl/>
        </w:rPr>
      </w:pPr>
      <w:bookmarkStart w:id="6" w:name="ABSTRACT_END"/>
      <w:bookmarkEnd w:id="6"/>
    </w:p>
    <w:p w14:paraId="796AC303" w14:textId="77777777" w:rsidR="00E20220" w:rsidRDefault="00BB5463">
      <w:pPr>
        <w:spacing w:line="360" w:lineRule="auto"/>
        <w:jc w:val="both"/>
        <w:rPr>
          <w:rtl/>
        </w:rPr>
      </w:pPr>
      <w:r>
        <w:rPr>
          <w:rFonts w:hint="cs"/>
          <w:b/>
          <w:bCs/>
          <w:rtl/>
        </w:rPr>
        <w:t>2</w:t>
      </w:r>
      <w:r>
        <w:rPr>
          <w:rFonts w:hint="cs"/>
          <w:rtl/>
        </w:rPr>
        <w:t>.</w:t>
      </w:r>
      <w:r>
        <w:rPr>
          <w:rFonts w:hint="cs"/>
          <w:rtl/>
        </w:rPr>
        <w:tab/>
      </w:r>
      <w:r>
        <w:rPr>
          <w:rFonts w:hint="cs"/>
          <w:b/>
          <w:bCs/>
          <w:u w:val="single"/>
          <w:rtl/>
        </w:rPr>
        <w:t xml:space="preserve">תמצית העובדות בכתב האישום המתוקן "א", לאחר הסדר הטיעון. </w:t>
      </w:r>
    </w:p>
    <w:p w14:paraId="0FC84161" w14:textId="77777777" w:rsidR="00E20220" w:rsidRDefault="00BB5463">
      <w:pPr>
        <w:spacing w:line="360" w:lineRule="auto"/>
        <w:ind w:left="720"/>
        <w:jc w:val="both"/>
        <w:rPr>
          <w:rtl/>
        </w:rPr>
      </w:pPr>
      <w:r>
        <w:rPr>
          <w:rFonts w:hint="cs"/>
          <w:b/>
          <w:bCs/>
          <w:rtl/>
        </w:rPr>
        <w:t>א</w:t>
      </w:r>
      <w:r>
        <w:rPr>
          <w:rFonts w:hint="cs"/>
          <w:rtl/>
        </w:rPr>
        <w:t xml:space="preserve">. ביום 20/6/13 החזיק הנאשם בשטח הצמוד לביתו שלושה אקדחים, שהם כלי נשק שסוגלו לירות שבכוחם להמית אדם, וכן תחמושת, חלקים או אביזרים לנשק, כמפורט להלן: </w:t>
      </w:r>
    </w:p>
    <w:p w14:paraId="1080E050" w14:textId="77777777" w:rsidR="00E20220" w:rsidRDefault="00BB5463">
      <w:pPr>
        <w:spacing w:line="360" w:lineRule="auto"/>
        <w:ind w:left="720"/>
        <w:jc w:val="both"/>
        <w:rPr>
          <w:rtl/>
        </w:rPr>
      </w:pPr>
      <w:r>
        <w:rPr>
          <w:rFonts w:hint="cs"/>
          <w:rtl/>
        </w:rPr>
        <w:t xml:space="preserve">1) אקדח </w:t>
      </w:r>
      <w:r>
        <w:t>FN</w:t>
      </w:r>
      <w:r>
        <w:rPr>
          <w:rFonts w:hint="cs"/>
          <w:rtl/>
        </w:rPr>
        <w:t xml:space="preserve"> (מספר מחוק) וכן מחסנית ריקה. האקדח היה מעורב בעבר במספר אירועי ירי שונים.</w:t>
      </w:r>
    </w:p>
    <w:p w14:paraId="3B2A07C6" w14:textId="77777777" w:rsidR="00E20220" w:rsidRDefault="00BB5463">
      <w:pPr>
        <w:spacing w:line="360" w:lineRule="auto"/>
        <w:ind w:left="720"/>
        <w:jc w:val="both"/>
        <w:rPr>
          <w:rtl/>
        </w:rPr>
      </w:pPr>
      <w:r>
        <w:rPr>
          <w:rFonts w:hint="cs"/>
          <w:rtl/>
        </w:rPr>
        <w:t xml:space="preserve">2) אקדח יריחו/"נשר המדבר" מס' 147659 וכן מחסנית ובה 12 כדורים </w:t>
      </w:r>
      <w:smartTag w:uri="urn:schemas-microsoft-com:office:smarttags" w:element="metricconverter">
        <w:smartTagPr>
          <w:attr w:name="ProductID" w:val="9 מ&quot;מ"/>
        </w:smartTagPr>
        <w:r>
          <w:rPr>
            <w:rFonts w:hint="cs"/>
            <w:rtl/>
          </w:rPr>
          <w:t>9 מ"מ</w:t>
        </w:r>
      </w:smartTag>
      <w:r>
        <w:rPr>
          <w:rFonts w:hint="cs"/>
          <w:rtl/>
        </w:rPr>
        <w:t xml:space="preserve">, אשר נשדד מבעליו ביום 27/5/13. </w:t>
      </w:r>
    </w:p>
    <w:p w14:paraId="5678FEEF" w14:textId="77777777" w:rsidR="00E20220" w:rsidRDefault="00BB5463">
      <w:pPr>
        <w:spacing w:line="360" w:lineRule="auto"/>
        <w:ind w:left="720"/>
        <w:jc w:val="both"/>
        <w:rPr>
          <w:rtl/>
        </w:rPr>
      </w:pPr>
      <w:r>
        <w:rPr>
          <w:rFonts w:hint="cs"/>
          <w:rtl/>
        </w:rPr>
        <w:t xml:space="preserve">3) אקדח ברטה מס' </w:t>
      </w:r>
      <w:r>
        <w:t>BO2983y</w:t>
      </w:r>
      <w:r>
        <w:rPr>
          <w:rFonts w:hint="cs"/>
          <w:rtl/>
        </w:rPr>
        <w:t xml:space="preserve"> וכן מחסנית ובה 13 כדורים </w:t>
      </w:r>
      <w:smartTag w:uri="urn:schemas-microsoft-com:office:smarttags" w:element="metricconverter">
        <w:smartTagPr>
          <w:attr w:name="ProductID" w:val="9 מ&quot;מ"/>
        </w:smartTagPr>
        <w:r>
          <w:rPr>
            <w:rFonts w:hint="cs"/>
            <w:rtl/>
          </w:rPr>
          <w:t>9 מ"מ</w:t>
        </w:r>
      </w:smartTag>
      <w:r>
        <w:rPr>
          <w:rFonts w:hint="cs"/>
          <w:rtl/>
        </w:rPr>
        <w:t xml:space="preserve">, אשר נגנב מביתו של בעליו בשנת 03'. </w:t>
      </w:r>
    </w:p>
    <w:p w14:paraId="7AD90604" w14:textId="77777777" w:rsidR="00E20220" w:rsidRDefault="00BB5463">
      <w:pPr>
        <w:spacing w:line="360" w:lineRule="auto"/>
        <w:ind w:left="720"/>
        <w:jc w:val="both"/>
        <w:rPr>
          <w:rtl/>
        </w:rPr>
      </w:pPr>
      <w:r>
        <w:rPr>
          <w:rFonts w:hint="cs"/>
          <w:rtl/>
        </w:rPr>
        <w:t xml:space="preserve">4) כן החזיק בשטח הצמוד לביתו ליד סירות השייכות לבן משפחתו, חפץ דמוי תת מקלע מאולתר מס' 507545, שהינו נשק שסוגל לירות כדור שבכוחו להמית אדם, ומחסנית ובה 13 כדורים שהם חלק, אביזר ותחמושת של נשק כהגדרתו בדין. </w:t>
      </w:r>
    </w:p>
    <w:p w14:paraId="72C8B692" w14:textId="77777777" w:rsidR="00E20220" w:rsidRDefault="00E20220">
      <w:pPr>
        <w:spacing w:line="360" w:lineRule="auto"/>
        <w:ind w:left="1440"/>
        <w:jc w:val="both"/>
        <w:rPr>
          <w:rtl/>
        </w:rPr>
      </w:pPr>
    </w:p>
    <w:p w14:paraId="1910E744" w14:textId="77777777" w:rsidR="00E20220" w:rsidRDefault="00BB5463">
      <w:pPr>
        <w:spacing w:line="360" w:lineRule="auto"/>
        <w:ind w:left="720"/>
        <w:jc w:val="both"/>
        <w:rPr>
          <w:rtl/>
        </w:rPr>
      </w:pPr>
      <w:r>
        <w:rPr>
          <w:rFonts w:hint="cs"/>
          <w:b/>
          <w:bCs/>
          <w:rtl/>
        </w:rPr>
        <w:lastRenderedPageBreak/>
        <w:t>ב.</w:t>
      </w:r>
      <w:r>
        <w:rPr>
          <w:rFonts w:hint="cs"/>
          <w:rtl/>
        </w:rPr>
        <w:t xml:space="preserve"> באותו יום החזיק הנאשם בביתו גם סם מסוגן מסוג קוקאין במשקל של </w:t>
      </w:r>
      <w:smartTag w:uri="urn:schemas-microsoft-com:office:smarttags" w:element="metricconverter">
        <w:smartTagPr>
          <w:attr w:name="ProductID" w:val="0.5419 גרם"/>
        </w:smartTagPr>
        <w:r>
          <w:rPr>
            <w:rFonts w:hint="cs"/>
            <w:rtl/>
          </w:rPr>
          <w:t>0.5419 גרם</w:t>
        </w:r>
      </w:smartTag>
      <w:r>
        <w:rPr>
          <w:rFonts w:hint="cs"/>
          <w:rtl/>
        </w:rPr>
        <w:t xml:space="preserve"> נטו וכן סם מסוכן סוג חשיש במשקל של </w:t>
      </w:r>
      <w:smartTag w:uri="urn:schemas-microsoft-com:office:smarttags" w:element="metricconverter">
        <w:smartTagPr>
          <w:attr w:name="ProductID" w:val="0.65 גרם"/>
        </w:smartTagPr>
        <w:r>
          <w:rPr>
            <w:rFonts w:hint="cs"/>
            <w:rtl/>
          </w:rPr>
          <w:t>0.65 גרם</w:t>
        </w:r>
      </w:smartTag>
      <w:r>
        <w:rPr>
          <w:rFonts w:hint="cs"/>
          <w:rtl/>
        </w:rPr>
        <w:t xml:space="preserve"> נטו, לצריכה עצמית וללא היתר כדין.</w:t>
      </w:r>
    </w:p>
    <w:p w14:paraId="3884E8A8" w14:textId="77777777" w:rsidR="00E20220" w:rsidRDefault="00E20220">
      <w:pPr>
        <w:spacing w:line="360" w:lineRule="auto"/>
        <w:ind w:left="720"/>
        <w:jc w:val="both"/>
        <w:rPr>
          <w:rtl/>
        </w:rPr>
      </w:pPr>
    </w:p>
    <w:p w14:paraId="5DDE3D69" w14:textId="77777777" w:rsidR="00E20220" w:rsidRDefault="00BB5463">
      <w:pPr>
        <w:spacing w:line="360" w:lineRule="auto"/>
        <w:ind w:left="720"/>
        <w:jc w:val="both"/>
        <w:rPr>
          <w:rtl/>
        </w:rPr>
      </w:pPr>
      <w:r>
        <w:rPr>
          <w:rFonts w:hint="cs"/>
          <w:b/>
          <w:bCs/>
          <w:rtl/>
        </w:rPr>
        <w:t>ג</w:t>
      </w:r>
      <w:r>
        <w:rPr>
          <w:rFonts w:hint="cs"/>
          <w:rtl/>
        </w:rPr>
        <w:t xml:space="preserve">. ביום 9/5/13 החזיק הנאשם בביתו 2 כדורי אקדח </w:t>
      </w:r>
      <w:smartTag w:uri="urn:schemas-microsoft-com:office:smarttags" w:element="metricconverter">
        <w:smartTagPr>
          <w:attr w:name="ProductID" w:val="9 מ&quot;מ"/>
        </w:smartTagPr>
        <w:r>
          <w:rPr>
            <w:rFonts w:hint="cs"/>
            <w:rtl/>
          </w:rPr>
          <w:t>9 מ"מ</w:t>
        </w:r>
      </w:smartTag>
      <w:r>
        <w:rPr>
          <w:rFonts w:hint="cs"/>
          <w:rtl/>
        </w:rPr>
        <w:t xml:space="preserve">, שהם תחמושת לנשק, כהגדרתו בחוק, ללא רשות על פי דין להחזקתם. </w:t>
      </w:r>
    </w:p>
    <w:p w14:paraId="31E6D0D1" w14:textId="77777777" w:rsidR="00E20220" w:rsidRDefault="00E20220">
      <w:pPr>
        <w:spacing w:line="360" w:lineRule="auto"/>
        <w:ind w:left="720"/>
        <w:jc w:val="both"/>
        <w:rPr>
          <w:rtl/>
        </w:rPr>
      </w:pPr>
    </w:p>
    <w:p w14:paraId="7EE5BC70" w14:textId="77777777" w:rsidR="00E20220" w:rsidRDefault="00BB5463">
      <w:pPr>
        <w:spacing w:line="360" w:lineRule="auto"/>
        <w:ind w:left="720"/>
        <w:jc w:val="both"/>
        <w:rPr>
          <w:rtl/>
        </w:rPr>
      </w:pPr>
      <w:r>
        <w:rPr>
          <w:rFonts w:hint="cs"/>
          <w:b/>
          <w:bCs/>
          <w:rtl/>
        </w:rPr>
        <w:t>ד.</w:t>
      </w:r>
      <w:r>
        <w:rPr>
          <w:rFonts w:hint="cs"/>
          <w:rtl/>
        </w:rPr>
        <w:t xml:space="preserve"> ביום 21/5/13 החזיק הנאשם על גופו סם מסוכן מסוג חשיש במשקל נטו של </w:t>
      </w:r>
      <w:smartTag w:uri="urn:schemas-microsoft-com:office:smarttags" w:element="metricconverter">
        <w:smartTagPr>
          <w:attr w:name="ProductID" w:val="0.39 גרם"/>
        </w:smartTagPr>
        <w:r>
          <w:rPr>
            <w:rFonts w:hint="cs"/>
            <w:rtl/>
          </w:rPr>
          <w:t>0.39 גרם</w:t>
        </w:r>
      </w:smartTag>
      <w:r>
        <w:rPr>
          <w:rFonts w:hint="cs"/>
          <w:rtl/>
        </w:rPr>
        <w:t xml:space="preserve"> לשימושו העצמי, ללא היתר כדין. </w:t>
      </w:r>
    </w:p>
    <w:p w14:paraId="4E7AFEB6" w14:textId="77777777" w:rsidR="00E20220" w:rsidRDefault="00E20220">
      <w:pPr>
        <w:spacing w:line="360" w:lineRule="auto"/>
        <w:ind w:left="720"/>
        <w:jc w:val="both"/>
        <w:rPr>
          <w:rtl/>
        </w:rPr>
      </w:pPr>
    </w:p>
    <w:p w14:paraId="5F8A66DB" w14:textId="77777777" w:rsidR="00E20220" w:rsidRDefault="00BB5463">
      <w:pPr>
        <w:spacing w:line="360" w:lineRule="auto"/>
        <w:jc w:val="both"/>
        <w:rPr>
          <w:rtl/>
        </w:rPr>
      </w:pPr>
      <w:r>
        <w:rPr>
          <w:rFonts w:hint="cs"/>
          <w:b/>
          <w:bCs/>
          <w:rtl/>
        </w:rPr>
        <w:t>3.</w:t>
      </w:r>
      <w:r>
        <w:rPr>
          <w:rFonts w:hint="cs"/>
          <w:b/>
          <w:bCs/>
          <w:rtl/>
        </w:rPr>
        <w:tab/>
      </w:r>
      <w:r>
        <w:rPr>
          <w:rFonts w:hint="cs"/>
          <w:b/>
          <w:bCs/>
          <w:u w:val="single"/>
          <w:rtl/>
        </w:rPr>
        <w:t>ראיות לעונש</w:t>
      </w:r>
    </w:p>
    <w:p w14:paraId="5B98B81F" w14:textId="77777777" w:rsidR="00E20220" w:rsidRDefault="00BB5463">
      <w:pPr>
        <w:spacing w:line="360" w:lineRule="auto"/>
        <w:jc w:val="both"/>
        <w:rPr>
          <w:b/>
          <w:bCs/>
          <w:u w:val="single"/>
          <w:rtl/>
        </w:rPr>
      </w:pPr>
      <w:r>
        <w:rPr>
          <w:rFonts w:hint="cs"/>
          <w:rtl/>
        </w:rPr>
        <w:tab/>
      </w:r>
      <w:r>
        <w:rPr>
          <w:rFonts w:hint="cs"/>
          <w:b/>
          <w:bCs/>
          <w:rtl/>
        </w:rPr>
        <w:t xml:space="preserve">א. </w:t>
      </w:r>
      <w:r>
        <w:rPr>
          <w:rFonts w:hint="cs"/>
          <w:b/>
          <w:bCs/>
          <w:u w:val="single"/>
          <w:rtl/>
        </w:rPr>
        <w:t xml:space="preserve">הרשעות קודמות. </w:t>
      </w:r>
    </w:p>
    <w:p w14:paraId="0CDC71EE" w14:textId="77777777" w:rsidR="00E20220" w:rsidRDefault="00BB5463">
      <w:pPr>
        <w:spacing w:line="360" w:lineRule="auto"/>
        <w:ind w:left="720"/>
        <w:jc w:val="both"/>
        <w:rPr>
          <w:rtl/>
        </w:rPr>
      </w:pPr>
      <w:r>
        <w:rPr>
          <w:rFonts w:hint="cs"/>
          <w:rtl/>
        </w:rPr>
        <w:t xml:space="preserve">לנאשם הרשעות קודמות בעבירות של תקיפה סתם, גניבות, התפרצות לבצע עבירה וניסיון להסגת גבול פלילית, כאשר רוב העבירות בוצעו בשנת 11', הנאשם נדון למאסרים בפועל של שנה ושל כחודשיים, ולמאסרים רבים על תנאי. </w:t>
      </w:r>
    </w:p>
    <w:p w14:paraId="000B63D3" w14:textId="77777777" w:rsidR="00E20220" w:rsidRDefault="00E20220">
      <w:pPr>
        <w:spacing w:line="360" w:lineRule="auto"/>
        <w:jc w:val="both"/>
        <w:rPr>
          <w:rtl/>
        </w:rPr>
      </w:pPr>
    </w:p>
    <w:p w14:paraId="50013725" w14:textId="77777777" w:rsidR="00E20220" w:rsidRDefault="00BB5463">
      <w:pPr>
        <w:spacing w:line="360" w:lineRule="auto"/>
        <w:jc w:val="both"/>
        <w:rPr>
          <w:rtl/>
        </w:rPr>
      </w:pPr>
      <w:r>
        <w:rPr>
          <w:rFonts w:hint="cs"/>
          <w:rtl/>
        </w:rPr>
        <w:tab/>
      </w:r>
      <w:r>
        <w:rPr>
          <w:rFonts w:hint="cs"/>
          <w:b/>
          <w:bCs/>
          <w:u w:val="single"/>
          <w:rtl/>
        </w:rPr>
        <w:t>ב</w:t>
      </w:r>
      <w:r>
        <w:rPr>
          <w:rFonts w:hint="cs"/>
          <w:u w:val="single"/>
          <w:rtl/>
        </w:rPr>
        <w:t xml:space="preserve">. </w:t>
      </w:r>
      <w:r>
        <w:rPr>
          <w:rFonts w:hint="cs"/>
          <w:b/>
          <w:bCs/>
          <w:u w:val="single"/>
          <w:rtl/>
        </w:rPr>
        <w:t>תסקיר של שירות המבחן</w:t>
      </w:r>
      <w:r>
        <w:rPr>
          <w:rFonts w:hint="cs"/>
          <w:rtl/>
        </w:rPr>
        <w:t xml:space="preserve">. </w:t>
      </w:r>
    </w:p>
    <w:p w14:paraId="59AD67B3" w14:textId="77777777" w:rsidR="00E20220" w:rsidRDefault="00BB5463">
      <w:pPr>
        <w:spacing w:line="360" w:lineRule="auto"/>
        <w:ind w:left="720"/>
        <w:jc w:val="both"/>
        <w:rPr>
          <w:rtl/>
        </w:rPr>
      </w:pPr>
      <w:r>
        <w:rPr>
          <w:rFonts w:hint="cs"/>
          <w:rtl/>
        </w:rPr>
        <w:t xml:space="preserve">קצינת המבחן, אשר בחנה את נסיבותיו האישיות של הנאשם בן ה-25, אשר עובר למעצרו התגורר בבית אימו ועבד בעבודות מזדמנות, נמנעה מכל המלצה טיפולית בעניינו, והמליצה להטיל עליו ענישה מוחשית וקונקרטית. </w:t>
      </w:r>
    </w:p>
    <w:p w14:paraId="6C701CA9" w14:textId="77777777" w:rsidR="00E20220" w:rsidRDefault="00E20220">
      <w:pPr>
        <w:jc w:val="both"/>
        <w:rPr>
          <w:rtl/>
        </w:rPr>
      </w:pPr>
    </w:p>
    <w:p w14:paraId="2408690C" w14:textId="77777777" w:rsidR="00E20220" w:rsidRDefault="00BB5463">
      <w:pPr>
        <w:spacing w:line="360" w:lineRule="auto"/>
        <w:ind w:left="720"/>
        <w:jc w:val="both"/>
        <w:rPr>
          <w:rtl/>
        </w:rPr>
      </w:pPr>
      <w:r>
        <w:rPr>
          <w:rFonts w:hint="cs"/>
          <w:rtl/>
        </w:rPr>
        <w:t xml:space="preserve">הנאשם הוא בן להורים גרושים, אביו היה מכור לסמים וריצה מספר תקופות מאסר, וגם האם היתה מכורה לסמים, מקבלת היום תחליף סם מסוג מטדון, וריצתה עונשי מאסר בפועל. הנאשם גדל בפנימיות, ומגיל 13 עבד בעבודות מזדמנות לרבות במוסך ובשטיפת מכוניות. לדבריו, מזה כחמש שנים קיים קשר זוגי עם חברה, על אף התנגדות משפחתו. </w:t>
      </w:r>
    </w:p>
    <w:p w14:paraId="71B2A954" w14:textId="77777777" w:rsidR="00E20220" w:rsidRDefault="00E20220">
      <w:pPr>
        <w:ind w:left="720"/>
        <w:jc w:val="both"/>
        <w:rPr>
          <w:rtl/>
        </w:rPr>
      </w:pPr>
    </w:p>
    <w:p w14:paraId="6E16EFA7" w14:textId="77777777" w:rsidR="00E20220" w:rsidRDefault="00BB5463">
      <w:pPr>
        <w:spacing w:line="360" w:lineRule="auto"/>
        <w:ind w:left="720"/>
        <w:jc w:val="both"/>
        <w:rPr>
          <w:rtl/>
        </w:rPr>
      </w:pPr>
      <w:r>
        <w:rPr>
          <w:rFonts w:hint="cs"/>
          <w:rtl/>
        </w:rPr>
        <w:t xml:space="preserve">קצינת המבחן התייחסה להרשעותיו הקודמות של הנאשם, אשר מסר לה כי השתחרר ממאסרו האחרון כחצי שנה לפני שנעצר בתיק הנוכחי, וניסה למזער מחומרת העבירות בהן הורשע. לדבריו, הסמים והנשקים אינם שייכים לו אלא לעבריין מוכר בעיר, אותו הכיר. </w:t>
      </w:r>
    </w:p>
    <w:p w14:paraId="00F4C87E" w14:textId="77777777" w:rsidR="00E20220" w:rsidRDefault="00E20220">
      <w:pPr>
        <w:ind w:left="720"/>
        <w:jc w:val="both"/>
        <w:rPr>
          <w:rtl/>
        </w:rPr>
      </w:pPr>
    </w:p>
    <w:p w14:paraId="49BC2FC3" w14:textId="77777777" w:rsidR="00E20220" w:rsidRDefault="00BB5463">
      <w:pPr>
        <w:spacing w:line="360" w:lineRule="auto"/>
        <w:ind w:left="720"/>
        <w:jc w:val="both"/>
        <w:rPr>
          <w:rtl/>
        </w:rPr>
      </w:pPr>
      <w:r>
        <w:rPr>
          <w:rFonts w:hint="cs"/>
          <w:rtl/>
        </w:rPr>
        <w:t xml:space="preserve">הנאשם ציין כי מנעוריו הוא נוהג להשתמש בסמים קלים, כדי להקל על כאביו ומצוקותיו הרגשיים נוכח מציאות חייו הקשה, ובשנים האחרונות עסק לסירוגין בסחר בסמים כדי לכלכל את עצמו ולסייע לאימו. מאז מעצרו לא צרך סמים, אך לא שלל המשך צריכת סמים לאחר שחרורו. </w:t>
      </w:r>
    </w:p>
    <w:p w14:paraId="53812933" w14:textId="77777777" w:rsidR="00E20220" w:rsidRDefault="00E20220">
      <w:pPr>
        <w:ind w:left="720"/>
        <w:jc w:val="both"/>
        <w:rPr>
          <w:rtl/>
        </w:rPr>
      </w:pPr>
    </w:p>
    <w:p w14:paraId="1D167B45" w14:textId="77777777" w:rsidR="00E20220" w:rsidRDefault="00BB5463">
      <w:pPr>
        <w:spacing w:line="360" w:lineRule="auto"/>
        <w:ind w:left="720"/>
        <w:jc w:val="both"/>
        <w:rPr>
          <w:rtl/>
        </w:rPr>
      </w:pPr>
      <w:r>
        <w:rPr>
          <w:rFonts w:hint="cs"/>
          <w:rtl/>
        </w:rPr>
        <w:t xml:space="preserve">קצינת המבחן ציינה כי הנאשם שלל בעייתיות בהתנהגותו, ומסר כי אינו מתכוון לפעול למען שינוי אורחות חייו. בנסיבות אלה, ועל רקע הדינמיקה המשפחתית המורכבת, ומצוקותיו, התרשמה כי גם הסנקציות העונשיות שהוטלו עליו לא היוו גורם מרתיע משמעותי מספיק מפני הישנות ביצוען של עבירות. </w:t>
      </w:r>
    </w:p>
    <w:p w14:paraId="0283D592" w14:textId="77777777" w:rsidR="00E20220" w:rsidRDefault="00E20220">
      <w:pPr>
        <w:ind w:left="720"/>
        <w:jc w:val="both"/>
        <w:rPr>
          <w:rtl/>
        </w:rPr>
      </w:pPr>
    </w:p>
    <w:p w14:paraId="16A4EACE" w14:textId="77777777" w:rsidR="00E20220" w:rsidRDefault="00BB5463">
      <w:pPr>
        <w:spacing w:line="360" w:lineRule="auto"/>
        <w:ind w:left="720"/>
        <w:jc w:val="both"/>
        <w:rPr>
          <w:rtl/>
        </w:rPr>
      </w:pPr>
      <w:r>
        <w:rPr>
          <w:rFonts w:hint="cs"/>
          <w:rtl/>
        </w:rPr>
        <w:lastRenderedPageBreak/>
        <w:t xml:space="preserve">לפיכך, נוכח הסיכון לחזרתיות אצל הנאשם, המליצה קצינת המבחן כאמור להטיל על הנאשם ענישה מוחשית וקונקרטית, אך ביקשה להסב את תשומת ליבן של רשויות שב"ס לצורך בשילובו בטיפול במסגרת שב"ס, כדי להפחית סיכון להישנות ביצוע עבירות לאחר שחרורו. </w:t>
      </w:r>
    </w:p>
    <w:p w14:paraId="4FD08D1F" w14:textId="77777777" w:rsidR="00E20220" w:rsidRDefault="00E20220">
      <w:pPr>
        <w:spacing w:line="360" w:lineRule="auto"/>
        <w:jc w:val="both"/>
        <w:rPr>
          <w:rtl/>
        </w:rPr>
      </w:pPr>
    </w:p>
    <w:p w14:paraId="0EC2B628" w14:textId="77777777" w:rsidR="00E20220" w:rsidRDefault="00BB5463">
      <w:pPr>
        <w:spacing w:line="360" w:lineRule="auto"/>
        <w:jc w:val="both"/>
        <w:rPr>
          <w:b/>
          <w:bCs/>
          <w:rtl/>
        </w:rPr>
      </w:pPr>
      <w:r>
        <w:rPr>
          <w:rFonts w:hint="cs"/>
          <w:b/>
          <w:bCs/>
          <w:rtl/>
        </w:rPr>
        <w:t>4.</w:t>
      </w:r>
      <w:r>
        <w:rPr>
          <w:rFonts w:hint="cs"/>
          <w:b/>
          <w:bCs/>
          <w:rtl/>
        </w:rPr>
        <w:tab/>
      </w:r>
      <w:r>
        <w:rPr>
          <w:rFonts w:hint="cs"/>
          <w:b/>
          <w:bCs/>
          <w:u w:val="single"/>
          <w:rtl/>
        </w:rPr>
        <w:t>טיעוני המאשימה</w:t>
      </w:r>
    </w:p>
    <w:p w14:paraId="5ED2D27A" w14:textId="77777777" w:rsidR="00E20220" w:rsidRDefault="00BB5463">
      <w:pPr>
        <w:spacing w:line="360" w:lineRule="auto"/>
        <w:ind w:left="720"/>
        <w:jc w:val="both"/>
        <w:rPr>
          <w:rtl/>
        </w:rPr>
      </w:pPr>
      <w:r>
        <w:rPr>
          <w:rFonts w:hint="cs"/>
          <w:rtl/>
        </w:rPr>
        <w:t xml:space="preserve">המאשימה ביקשה להטיל על הנאשם מאסר בפועל ממושך, החל מיום מעצרו של הנאשם בתאריך 20/6/13, מאסר על תנאי וקנס. </w:t>
      </w:r>
    </w:p>
    <w:p w14:paraId="58E18A21" w14:textId="77777777" w:rsidR="00E20220" w:rsidRDefault="00BB5463">
      <w:pPr>
        <w:spacing w:line="360" w:lineRule="auto"/>
        <w:ind w:left="720"/>
        <w:jc w:val="both"/>
        <w:rPr>
          <w:rtl/>
        </w:rPr>
      </w:pPr>
      <w:r>
        <w:rPr>
          <w:rFonts w:hint="cs"/>
          <w:rtl/>
        </w:rPr>
        <w:t xml:space="preserve">ב"כ המאשימה הגישה גליון הרשעות קודמות של הנאשם, המפורט לעיל, גזר דין מיום 11/11/13 בגין עבירת תקיפה, בגינה נדון הנאשם למאסר בפועל של חודש וחצי, ולמאסר על תנאי, בגין כל עבירת תקיפה או עבירת אלימות אחרת שהיא פשע. לטענתה, משחזר הנאשם לפעילות עבריינית זמן קצר יחסית לאחר שחרורו מהכלא, בגין מגוון עבירות אחרות, מלמד הדבר על עיסוקו של הנאשם בעבריינות, ואין להקל בעונשו. </w:t>
      </w:r>
    </w:p>
    <w:p w14:paraId="5F7CFED6" w14:textId="77777777" w:rsidR="00E20220" w:rsidRDefault="00E20220">
      <w:pPr>
        <w:spacing w:line="360" w:lineRule="auto"/>
        <w:jc w:val="both"/>
        <w:rPr>
          <w:rtl/>
        </w:rPr>
      </w:pPr>
    </w:p>
    <w:p w14:paraId="59493254" w14:textId="77777777" w:rsidR="00E20220" w:rsidRDefault="00BB5463">
      <w:pPr>
        <w:spacing w:line="360" w:lineRule="auto"/>
        <w:ind w:left="720"/>
        <w:jc w:val="both"/>
        <w:rPr>
          <w:rtl/>
        </w:rPr>
      </w:pPr>
      <w:r>
        <w:rPr>
          <w:rFonts w:hint="cs"/>
          <w:rtl/>
        </w:rPr>
        <w:t xml:space="preserve">ב"כ המאשימה סקרה את עובדות כתב האישום, הדגישה את חומרת העבירות שבצע הנאשם, וריבוי הנשקים מסוגים שונים אותם החביא סמוך לביתו. היא ציינה כי מדובר בנשקים עם שווי כספי רב שחלקם נגנב ונשדד מבעליהם, ואחד מהם אף שימש בעבר לאירועי ירי. החזקת הנשקים ביחד עם החזקת סמים מסוכנים מסוגים שונים לצריכה עצמית, על רקע עברו הפלילי של הנאשם בעבירות של גניבה ואלימות, מלמדת על מסוכנותו, ולדעתה יש מקום להחמיר בעונשו של הנאשם. קצינת המבחן עצמה נמנעה מהמלצה טיפולית, משהעריכה כי הסכנה להישנות מעשים עבריינים היא גבוהה, וסברה כי יש להטיל על הנאשם ענישה מוחשית וקונקרטית, תוך שילובו בטיפול במסגרת שב"ס. </w:t>
      </w:r>
    </w:p>
    <w:p w14:paraId="681CB181" w14:textId="77777777" w:rsidR="00E20220" w:rsidRDefault="00E20220">
      <w:pPr>
        <w:spacing w:line="360" w:lineRule="auto"/>
        <w:ind w:left="720"/>
        <w:jc w:val="both"/>
        <w:rPr>
          <w:rtl/>
        </w:rPr>
      </w:pPr>
    </w:p>
    <w:p w14:paraId="2FD29EC5" w14:textId="77777777" w:rsidR="00E20220" w:rsidRDefault="00BB5463">
      <w:pPr>
        <w:spacing w:line="360" w:lineRule="auto"/>
        <w:ind w:left="720"/>
        <w:jc w:val="both"/>
        <w:rPr>
          <w:rtl/>
        </w:rPr>
      </w:pPr>
      <w:r>
        <w:rPr>
          <w:rFonts w:hint="cs"/>
          <w:rtl/>
        </w:rPr>
        <w:t xml:space="preserve">אשר למתחם הענישה, הפנתה המאשימה לפסיקה הקובעת כי במקרה דומה נע המתחם בין ארבע לשש שנות מאסר, ולשנת מאסר בנוגע להחזקת סמים לצריכה עצמית. </w:t>
      </w:r>
    </w:p>
    <w:p w14:paraId="3E21BD8A" w14:textId="77777777" w:rsidR="00E20220" w:rsidRDefault="00E20220">
      <w:pPr>
        <w:spacing w:line="360" w:lineRule="auto"/>
        <w:jc w:val="both"/>
        <w:rPr>
          <w:rtl/>
        </w:rPr>
      </w:pPr>
    </w:p>
    <w:p w14:paraId="2F712609" w14:textId="77777777" w:rsidR="00E20220" w:rsidRDefault="00BB5463">
      <w:pPr>
        <w:spacing w:line="360" w:lineRule="auto"/>
        <w:ind w:left="720"/>
        <w:jc w:val="both"/>
        <w:rPr>
          <w:rtl/>
        </w:rPr>
      </w:pPr>
      <w:r>
        <w:rPr>
          <w:rFonts w:hint="cs"/>
          <w:rtl/>
        </w:rPr>
        <w:t xml:space="preserve">לטענתה, הערך החברתי שנפגע בענייננו הוא ההגנה על בטחון הציבור והמדינה, משסיכן הנאשם את עצמו, את הסובבים אותו ואת החברה כולה. גם הסמים המסוכנים מלמדים על מסוכנותו של הנאשם, בעיקר נוכח הצטרפותם לעבירות בנשק. </w:t>
      </w:r>
    </w:p>
    <w:p w14:paraId="22CCE503" w14:textId="77777777" w:rsidR="00E20220" w:rsidRDefault="00E20220">
      <w:pPr>
        <w:spacing w:line="360" w:lineRule="auto"/>
        <w:ind w:left="720"/>
        <w:jc w:val="both"/>
        <w:rPr>
          <w:rtl/>
        </w:rPr>
      </w:pPr>
    </w:p>
    <w:p w14:paraId="297A7158" w14:textId="77777777" w:rsidR="00E20220" w:rsidRDefault="00BB5463">
      <w:pPr>
        <w:spacing w:line="360" w:lineRule="auto"/>
        <w:ind w:left="720"/>
        <w:jc w:val="both"/>
        <w:rPr>
          <w:rtl/>
        </w:rPr>
      </w:pPr>
      <w:r>
        <w:rPr>
          <w:rFonts w:hint="cs"/>
          <w:rtl/>
        </w:rPr>
        <w:t xml:space="preserve">אשר לטענת הנאשם כי הנשקים והסמים אינם שלו, אין בכך כדי להפחית מחומרת מעשיו, משהחזיקם עבור אחר, באופן המלמד כי אין מדובר באירוע מקרי אלא על פעילות עבריינית שיטתית. </w:t>
      </w:r>
    </w:p>
    <w:p w14:paraId="595AFADC" w14:textId="77777777" w:rsidR="00E20220" w:rsidRDefault="00E20220">
      <w:pPr>
        <w:spacing w:line="360" w:lineRule="auto"/>
        <w:ind w:left="720"/>
        <w:jc w:val="both"/>
        <w:rPr>
          <w:rtl/>
        </w:rPr>
      </w:pPr>
    </w:p>
    <w:p w14:paraId="1256A51D" w14:textId="77777777" w:rsidR="00E20220" w:rsidRDefault="00BB5463">
      <w:pPr>
        <w:spacing w:line="360" w:lineRule="auto"/>
        <w:ind w:left="720"/>
        <w:jc w:val="both"/>
        <w:rPr>
          <w:rtl/>
        </w:rPr>
      </w:pPr>
      <w:r>
        <w:rPr>
          <w:rFonts w:hint="cs"/>
          <w:rtl/>
        </w:rPr>
        <w:t xml:space="preserve">לפיכך חזרה המאשימה על עמדתה, כי יש מקום להשית על הנאשם מאסר בפועל בתוך המתחם המצוין על ידה, בצירוף מאסר על תנאי וקנס. </w:t>
      </w:r>
    </w:p>
    <w:p w14:paraId="2108FF30" w14:textId="77777777" w:rsidR="00E20220" w:rsidRDefault="00BB5463">
      <w:pPr>
        <w:spacing w:line="360" w:lineRule="auto"/>
        <w:jc w:val="both"/>
        <w:rPr>
          <w:rtl/>
        </w:rPr>
      </w:pPr>
      <w:r>
        <w:rPr>
          <w:rFonts w:hint="cs"/>
          <w:rtl/>
        </w:rPr>
        <w:tab/>
      </w:r>
      <w:r>
        <w:rPr>
          <w:rFonts w:hint="cs"/>
          <w:rtl/>
        </w:rPr>
        <w:tab/>
      </w:r>
    </w:p>
    <w:p w14:paraId="71328A02" w14:textId="77777777" w:rsidR="00E20220" w:rsidRDefault="00BB5463">
      <w:pPr>
        <w:spacing w:line="360" w:lineRule="auto"/>
        <w:jc w:val="both"/>
        <w:rPr>
          <w:b/>
          <w:bCs/>
          <w:rtl/>
        </w:rPr>
      </w:pPr>
      <w:r>
        <w:rPr>
          <w:rFonts w:hint="cs"/>
          <w:b/>
          <w:bCs/>
          <w:rtl/>
        </w:rPr>
        <w:t>5.</w:t>
      </w:r>
      <w:r>
        <w:rPr>
          <w:rFonts w:hint="cs"/>
          <w:b/>
          <w:bCs/>
          <w:rtl/>
        </w:rPr>
        <w:tab/>
      </w:r>
      <w:r>
        <w:rPr>
          <w:rFonts w:hint="cs"/>
          <w:b/>
          <w:bCs/>
          <w:u w:val="single"/>
          <w:rtl/>
        </w:rPr>
        <w:t>טיעוני ההגנה</w:t>
      </w:r>
      <w:r>
        <w:rPr>
          <w:rFonts w:hint="cs"/>
          <w:b/>
          <w:bCs/>
          <w:rtl/>
        </w:rPr>
        <w:t xml:space="preserve"> </w:t>
      </w:r>
    </w:p>
    <w:p w14:paraId="3AE56A0F" w14:textId="77777777" w:rsidR="00E20220" w:rsidRDefault="00BB5463">
      <w:pPr>
        <w:spacing w:line="360" w:lineRule="auto"/>
        <w:ind w:left="720"/>
        <w:jc w:val="both"/>
        <w:rPr>
          <w:rtl/>
        </w:rPr>
      </w:pPr>
      <w:r>
        <w:rPr>
          <w:rFonts w:hint="cs"/>
          <w:rtl/>
        </w:rPr>
        <w:t>סנגורו של הנאשם ביקש להמנע מלמצות את הדין בעניינו, ולהשית עליו עונש שיותיר לו פתח להשתקם.</w:t>
      </w:r>
    </w:p>
    <w:p w14:paraId="0E229AB1" w14:textId="77777777" w:rsidR="00E20220" w:rsidRDefault="00BB5463">
      <w:pPr>
        <w:spacing w:line="360" w:lineRule="auto"/>
        <w:ind w:left="720"/>
        <w:jc w:val="both"/>
        <w:rPr>
          <w:rtl/>
        </w:rPr>
      </w:pPr>
      <w:r>
        <w:rPr>
          <w:rFonts w:hint="cs"/>
          <w:rtl/>
        </w:rPr>
        <w:t xml:space="preserve"> </w:t>
      </w:r>
    </w:p>
    <w:p w14:paraId="60953896" w14:textId="77777777" w:rsidR="00E20220" w:rsidRDefault="00BB5463">
      <w:pPr>
        <w:spacing w:line="360" w:lineRule="auto"/>
        <w:ind w:left="720"/>
        <w:jc w:val="both"/>
        <w:rPr>
          <w:rtl/>
        </w:rPr>
      </w:pPr>
      <w:r>
        <w:rPr>
          <w:rFonts w:hint="cs"/>
          <w:rtl/>
        </w:rPr>
        <w:t xml:space="preserve">הסנגור הדגיש כי הנאשם הודה בהזדמנות הראשונה, והפנה לנסיבותיו האישיות הקשות, כפי שבאו לידי ביטוי בתסקיר, בטענו כי מספר גורמים גרמו בסופו של יום להסתבכותו של הנאשם בתיק הזה. הנאשם גדל ברקע סוציו אקונומי קשה, ויצא לשוק העבודה כבר בגיל 13 על מנת לספק מזון לו ולאחותו. לו גדל בבית נורמטיבי, לא היה מגיע היום למצב הנוכחי, ולא היה מסתבך באותה עבירה. לדאבונו של הסניגור, הכיר את המשפחה שנים, וקשה ללשון לתאר את מצבם בבית. בכל זאת, הנאשם ניסה לעזור למשפחתו, לתפוס פיקוד, והצליח חלקית. </w:t>
      </w:r>
    </w:p>
    <w:p w14:paraId="57A8CCD9" w14:textId="77777777" w:rsidR="00E20220" w:rsidRDefault="00BB5463">
      <w:pPr>
        <w:spacing w:line="360" w:lineRule="auto"/>
        <w:ind w:left="720"/>
        <w:jc w:val="both"/>
        <w:rPr>
          <w:rtl/>
        </w:rPr>
      </w:pPr>
      <w:r>
        <w:rPr>
          <w:rFonts w:hint="cs"/>
          <w:rtl/>
        </w:rPr>
        <w:t xml:space="preserve">יחד עם זאת ציין שמלכתחילה לא ביקש לקבל תסקיר בעניינו של הנאשם, והדבר נעשה מיוזמתו של בית המשפט. לדעתו אופן התיאור בתסקיר הוא טיעון לעונש, וביקש שלא לאמצו. </w:t>
      </w:r>
    </w:p>
    <w:p w14:paraId="01C7926D" w14:textId="77777777" w:rsidR="00E20220" w:rsidRDefault="00E20220">
      <w:pPr>
        <w:jc w:val="both"/>
        <w:rPr>
          <w:rtl/>
        </w:rPr>
      </w:pPr>
    </w:p>
    <w:p w14:paraId="60492129" w14:textId="77777777" w:rsidR="00E20220" w:rsidRDefault="00BB5463">
      <w:pPr>
        <w:spacing w:line="360" w:lineRule="auto"/>
        <w:ind w:left="720"/>
        <w:jc w:val="both"/>
        <w:rPr>
          <w:rtl/>
        </w:rPr>
      </w:pPr>
      <w:r>
        <w:rPr>
          <w:rFonts w:hint="cs"/>
          <w:rtl/>
        </w:rPr>
        <w:t xml:space="preserve">מכל מקום, לאחר תיקונו המשמעותי של  כתב האישום, יוחסה לנאשם החזקתו של חלק מהנשק שנתפס בלבד, ולדעתו היה מקום להגיש את כתב האישום לבית משפט אחר. הנאשם הודה רק חלקית במיוחס לו בפני קצינת המבחן, מפני שעל פי המידע שיש בתיק אין ביכולתו הכלכלית להחזיק בנשקים המוזכרים בכתב האישום. לטענתו, החזקת הנשקים נכפתה על הנאשם, לאחר שגילה אותם סמוך לביתו, ולאחרים נודע שהוא נגע בהם. עם זאת,  ההגנה לא טענה לצורך או לכורח או לסייג כלשהוא לאחריותו הפלילית. </w:t>
      </w:r>
    </w:p>
    <w:p w14:paraId="7089F943" w14:textId="77777777" w:rsidR="00E20220" w:rsidRDefault="00E20220">
      <w:pPr>
        <w:ind w:left="720"/>
        <w:jc w:val="both"/>
        <w:rPr>
          <w:rtl/>
        </w:rPr>
      </w:pPr>
    </w:p>
    <w:p w14:paraId="782C683D" w14:textId="77777777" w:rsidR="00E20220" w:rsidRDefault="00BB5463">
      <w:pPr>
        <w:spacing w:line="360" w:lineRule="auto"/>
        <w:ind w:left="720"/>
        <w:jc w:val="both"/>
        <w:rPr>
          <w:rtl/>
        </w:rPr>
      </w:pPr>
      <w:r>
        <w:rPr>
          <w:rFonts w:hint="cs"/>
          <w:rtl/>
        </w:rPr>
        <w:t xml:space="preserve">אשר למדרג החומרה, כפי שצוין בפסק הדין של אבו מוך, הסנגור התייחס לטענת המאשימה בדבר ריבוי נשקים כנסיבה מחמירה, לצורך הטלת עונש הולם, וטען כי  מדובר באירוע אחד בלבד, וכי "החזקה היא החזקה". </w:t>
      </w:r>
    </w:p>
    <w:p w14:paraId="5AA7D163" w14:textId="77777777" w:rsidR="00E20220" w:rsidRDefault="00E20220">
      <w:pPr>
        <w:spacing w:line="360" w:lineRule="auto"/>
        <w:ind w:left="720"/>
        <w:jc w:val="both"/>
        <w:rPr>
          <w:rtl/>
        </w:rPr>
      </w:pPr>
    </w:p>
    <w:p w14:paraId="7318AC16" w14:textId="77777777" w:rsidR="00E20220" w:rsidRDefault="00BB5463">
      <w:pPr>
        <w:spacing w:line="360" w:lineRule="auto"/>
        <w:ind w:left="720"/>
        <w:jc w:val="both"/>
        <w:rPr>
          <w:rtl/>
        </w:rPr>
      </w:pPr>
      <w:r>
        <w:rPr>
          <w:rFonts w:hint="cs"/>
          <w:rtl/>
        </w:rPr>
        <w:t xml:space="preserve">הסנגור הגיש לבית המשפט מגוון פסקי דין בעבירות של החזקת נשק, אשר בחלקן הושתו על הנאשם עבודות שירות, אם כי אחד מהם במסגרת הסדר טיעון, וכן עונשי מאסר שאינם עולים על חמישה עשר חודשי מאסר. </w:t>
      </w:r>
    </w:p>
    <w:p w14:paraId="148EC221" w14:textId="77777777" w:rsidR="00E20220" w:rsidRDefault="00E20220">
      <w:pPr>
        <w:ind w:left="720"/>
        <w:jc w:val="both"/>
        <w:rPr>
          <w:rtl/>
        </w:rPr>
      </w:pPr>
    </w:p>
    <w:p w14:paraId="43BA2276" w14:textId="77777777" w:rsidR="00E20220" w:rsidRDefault="00BB5463">
      <w:pPr>
        <w:spacing w:line="360" w:lineRule="auto"/>
        <w:ind w:left="720"/>
        <w:jc w:val="both"/>
        <w:rPr>
          <w:rtl/>
        </w:rPr>
      </w:pPr>
      <w:r>
        <w:rPr>
          <w:rFonts w:hint="cs"/>
          <w:rtl/>
        </w:rPr>
        <w:t>הוא חזר והדגיש כי "בסופו של יום מדובר בהחזקה", וכי הנאשם לא היה מעורב בכל אירוע פלילי בקשר לנשקים אלה. אשר לסמים, מדובר בכמות קטנה לשימוש עצמי.</w:t>
      </w:r>
    </w:p>
    <w:p w14:paraId="56C8E4BA" w14:textId="77777777" w:rsidR="00E20220" w:rsidRDefault="00E20220">
      <w:pPr>
        <w:ind w:left="720"/>
        <w:jc w:val="both"/>
        <w:rPr>
          <w:rtl/>
        </w:rPr>
      </w:pPr>
    </w:p>
    <w:p w14:paraId="73FBA7EE" w14:textId="77777777" w:rsidR="00E20220" w:rsidRDefault="00BB5463">
      <w:pPr>
        <w:spacing w:line="360" w:lineRule="auto"/>
        <w:ind w:left="720"/>
        <w:jc w:val="both"/>
        <w:rPr>
          <w:rtl/>
        </w:rPr>
      </w:pPr>
      <w:r>
        <w:rPr>
          <w:rFonts w:hint="cs"/>
          <w:rtl/>
        </w:rPr>
        <w:t xml:space="preserve">לפיכך, ביקש שבית המשפט יתחשב בנאשם ובנסיבותיו האישיות, וביקש לשלב את הנאשם בטיפול במסגרת שב"ס, לצורך שיקומו. </w:t>
      </w:r>
    </w:p>
    <w:p w14:paraId="1866590A" w14:textId="77777777" w:rsidR="00E20220" w:rsidRDefault="00BB5463">
      <w:pPr>
        <w:spacing w:line="360" w:lineRule="auto"/>
        <w:ind w:left="720"/>
        <w:jc w:val="both"/>
        <w:rPr>
          <w:rtl/>
        </w:rPr>
      </w:pPr>
      <w:r>
        <w:rPr>
          <w:rFonts w:hint="cs"/>
          <w:rtl/>
        </w:rPr>
        <w:tab/>
      </w:r>
    </w:p>
    <w:p w14:paraId="2972869D" w14:textId="77777777" w:rsidR="00E20220" w:rsidRDefault="00BB5463">
      <w:pPr>
        <w:spacing w:line="360" w:lineRule="auto"/>
        <w:ind w:left="720"/>
        <w:jc w:val="both"/>
        <w:rPr>
          <w:rtl/>
        </w:rPr>
      </w:pPr>
      <w:r>
        <w:rPr>
          <w:rFonts w:hint="cs"/>
          <w:b/>
          <w:bCs/>
          <w:u w:val="single"/>
          <w:rtl/>
        </w:rPr>
        <w:t>דברי הנאשם</w:t>
      </w:r>
      <w:r>
        <w:rPr>
          <w:rFonts w:hint="cs"/>
          <w:b/>
          <w:bCs/>
          <w:rtl/>
        </w:rPr>
        <w:t xml:space="preserve"> - </w:t>
      </w:r>
      <w:r>
        <w:rPr>
          <w:rFonts w:hint="cs"/>
          <w:rtl/>
        </w:rPr>
        <w:t xml:space="preserve">"אני רוצה להגיד שאני מביע חרטה. אני לא החזקתי את הנשקים מרצוני. היה לי קצת פחד מאנשים האלה. מבקש שבית המשפט יתחשב בי." </w:t>
      </w:r>
    </w:p>
    <w:p w14:paraId="29A2EE6F" w14:textId="77777777" w:rsidR="00E20220" w:rsidRDefault="00E20220">
      <w:pPr>
        <w:pStyle w:val="FileNumber"/>
        <w:rPr>
          <w:rtl/>
        </w:rPr>
      </w:pPr>
    </w:p>
    <w:p w14:paraId="6AA1D10B" w14:textId="77777777" w:rsidR="00E20220" w:rsidRDefault="00BB5463">
      <w:pPr>
        <w:spacing w:line="360" w:lineRule="auto"/>
        <w:ind w:firstLine="720"/>
        <w:jc w:val="both"/>
        <w:rPr>
          <w:rFonts w:ascii="Arial" w:hAnsi="Arial"/>
          <w:b/>
          <w:bCs/>
          <w:u w:val="single"/>
          <w:rtl/>
        </w:rPr>
      </w:pPr>
      <w:r>
        <w:rPr>
          <w:rFonts w:hint="cs"/>
          <w:b/>
          <w:bCs/>
          <w:u w:val="single"/>
          <w:rtl/>
        </w:rPr>
        <w:t xml:space="preserve">דיון </w:t>
      </w:r>
    </w:p>
    <w:p w14:paraId="5CDD8017" w14:textId="77777777" w:rsidR="00E20220" w:rsidRDefault="00BB5463">
      <w:pPr>
        <w:spacing w:line="360" w:lineRule="auto"/>
        <w:ind w:left="720" w:hanging="720"/>
        <w:jc w:val="both"/>
        <w:rPr>
          <w:rFonts w:ascii="Arial" w:hAnsi="Arial"/>
          <w:rtl/>
        </w:rPr>
      </w:pPr>
      <w:r>
        <w:rPr>
          <w:rFonts w:ascii="Arial" w:hAnsi="Arial" w:hint="cs"/>
          <w:b/>
          <w:bCs/>
          <w:rtl/>
        </w:rPr>
        <w:t>6</w:t>
      </w:r>
      <w:r>
        <w:rPr>
          <w:rFonts w:ascii="Arial" w:hAnsi="Arial" w:hint="cs"/>
          <w:rtl/>
        </w:rPr>
        <w:t>.</w:t>
      </w:r>
      <w:r>
        <w:rPr>
          <w:rFonts w:ascii="Arial" w:hAnsi="Arial" w:hint="cs"/>
          <w:rtl/>
        </w:rPr>
        <w:tab/>
      </w:r>
      <w:r>
        <w:rPr>
          <w:rFonts w:ascii="Arial" w:hAnsi="Arial" w:hint="cs"/>
          <w:b/>
          <w:bCs/>
          <w:rtl/>
        </w:rPr>
        <w:t>א.</w:t>
      </w:r>
      <w:r>
        <w:rPr>
          <w:rFonts w:ascii="Arial" w:hAnsi="Arial" w:hint="cs"/>
          <w:rtl/>
        </w:rPr>
        <w:t xml:space="preserve"> קשה היא גזירת הדין, בעיקר כאשר עסקינן באנשים צעירים בעלי נסיבות אישיות קשות, אשר ביצעו עבירות חמורות. הענישה מושפעת בכללותה משיקולי גמול, מניעה והרתעה (אף שקרנה של ההרתעה ירדה לאחרונה), נסיבות ביצוע העבירות, 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 העבירות, גילו, עברו הפלילי, שיקולי שיקום ועוד. בכל אחד מהמקרים מוטלת על בית המשפט החובה לערוך את האיזון בין האינטרסים השונים. (</w:t>
      </w:r>
      <w:r>
        <w:rPr>
          <w:rFonts w:hint="cs"/>
          <w:rtl/>
        </w:rPr>
        <w:t xml:space="preserve">ראו לעניין זה גם </w:t>
      </w:r>
      <w:hyperlink r:id="rId16" w:history="1">
        <w:r w:rsidRPr="00BB5463">
          <w:rPr>
            <w:color w:val="0000FF"/>
            <w:u w:val="single"/>
            <w:rtl/>
          </w:rPr>
          <w:t>ע"פ 4890/01 מ"י נ' פלוני, פ"ד נו</w:t>
        </w:r>
      </w:hyperlink>
      <w:r>
        <w:rPr>
          <w:rFonts w:hint="cs"/>
          <w:rtl/>
        </w:rPr>
        <w:t>(1), 594, מפי כב' הש' (כתוארה אז) בייניש; תיקון 113 ל</w:t>
      </w:r>
      <w:hyperlink r:id="rId17" w:history="1">
        <w:r w:rsidRPr="00BB5463">
          <w:rPr>
            <w:color w:val="0000FF"/>
            <w:u w:val="single"/>
            <w:rtl/>
          </w:rPr>
          <w:t>חוק העונשין</w:t>
        </w:r>
      </w:hyperlink>
      <w:r>
        <w:rPr>
          <w:rFonts w:hint="cs"/>
          <w:rtl/>
        </w:rPr>
        <w:t xml:space="preserve">). </w:t>
      </w:r>
    </w:p>
    <w:p w14:paraId="3887DE2E" w14:textId="77777777" w:rsidR="00E20220" w:rsidRDefault="00E20220">
      <w:pPr>
        <w:spacing w:line="360" w:lineRule="auto"/>
        <w:ind w:left="720"/>
        <w:jc w:val="both"/>
        <w:rPr>
          <w:rFonts w:ascii="Arial" w:hAnsi="Arial"/>
          <w:rtl/>
        </w:rPr>
      </w:pPr>
    </w:p>
    <w:p w14:paraId="4F634CCC" w14:textId="77777777" w:rsidR="00E20220" w:rsidRDefault="00BB5463">
      <w:pPr>
        <w:spacing w:line="360" w:lineRule="auto"/>
        <w:ind w:left="720"/>
        <w:jc w:val="both"/>
        <w:rPr>
          <w:rStyle w:val="normal-h"/>
          <w:rtl/>
        </w:rPr>
      </w:pPr>
      <w:r>
        <w:rPr>
          <w:rFonts w:hint="cs"/>
          <w:rtl/>
        </w:rPr>
        <w:t>העקרון המנחה בגזירת העונש, הוא קיומו של יחס הולם בין חומרת העבירה בנסיבותיה ומידת אשמו של הנאשם המסוים העומד לדין, לבין סוג העונש המוטל עליו ומידתו. השיקולים לבחינת מתחם העונש ההולם למעשה העבירה הם הערך החברתי שנפגע מביצוע העבירה ומידת הפגיעה בו, מדיניות הענישה הנהוגה, ונסיבות הקשורות בביצוע העבירה</w:t>
      </w:r>
      <w:r>
        <w:rPr>
          <w:rStyle w:val="normal-h"/>
          <w:rFonts w:hint="cs"/>
          <w:rtl/>
        </w:rPr>
        <w:t xml:space="preserve">, כאשר בית המשפט רשאי לשקול נסיבות נוספות הקשורות בביצוע העבירה לשם קביעת העונש ההולם. </w:t>
      </w:r>
    </w:p>
    <w:p w14:paraId="2F860FE4" w14:textId="77777777" w:rsidR="00E20220" w:rsidRDefault="00E20220">
      <w:pPr>
        <w:ind w:left="720"/>
        <w:jc w:val="both"/>
        <w:rPr>
          <w:rStyle w:val="normal-h"/>
          <w:rtl/>
        </w:rPr>
      </w:pPr>
    </w:p>
    <w:p w14:paraId="451C793E" w14:textId="77777777" w:rsidR="00E20220" w:rsidRDefault="00BB5463">
      <w:pPr>
        <w:spacing w:line="360" w:lineRule="auto"/>
        <w:ind w:left="746"/>
        <w:jc w:val="both"/>
        <w:rPr>
          <w:rStyle w:val="normal-h"/>
          <w:rtl/>
        </w:rPr>
      </w:pPr>
      <w:r>
        <w:rPr>
          <w:rStyle w:val="normal-h"/>
          <w:rFonts w:hint="cs"/>
          <w:rtl/>
        </w:rPr>
        <w:t xml:space="preserve">קיומו של יחס הולם בין חומרת מעשה העבירה ואשמו של  הנאשם לבין חומרת העונש שיושת עליו, פורש בפסיקה כמבטא את "עקרון הגמול". </w:t>
      </w:r>
      <w:r>
        <w:rPr>
          <w:rFonts w:ascii="Arial" w:hAnsi="Arial" w:hint="cs"/>
          <w:rtl/>
        </w:rPr>
        <w:t>ראו לענין זה דברי כב' הש' רובינשטיין ב</w:t>
      </w:r>
      <w:hyperlink r:id="rId18" w:history="1">
        <w:r w:rsidRPr="00BB5463">
          <w:rPr>
            <w:rFonts w:ascii="Arial" w:hAnsi="Arial"/>
            <w:color w:val="0000FF"/>
            <w:u w:val="single"/>
            <w:rtl/>
          </w:rPr>
          <w:t>ע"פ 1523/10</w:t>
        </w:r>
      </w:hyperlink>
      <w:r>
        <w:rPr>
          <w:rFonts w:ascii="Arial" w:hAnsi="Arial" w:hint="cs"/>
          <w:rtl/>
        </w:rPr>
        <w:t xml:space="preserve"> </w:t>
      </w:r>
      <w:r>
        <w:rPr>
          <w:rFonts w:ascii="Arial" w:hAnsi="Arial" w:hint="cs"/>
          <w:b/>
          <w:bCs/>
          <w:rtl/>
        </w:rPr>
        <w:t>פלונית נ' מ"י</w:t>
      </w:r>
      <w:r>
        <w:rPr>
          <w:rFonts w:ascii="Arial" w:hAnsi="Arial" w:hint="cs"/>
          <w:rtl/>
        </w:rPr>
        <w:t xml:space="preserve"> (18/4/12); </w:t>
      </w:r>
      <w:r>
        <w:rPr>
          <w:rStyle w:val="normal-h"/>
          <w:rFonts w:hint="cs"/>
          <w:rtl/>
        </w:rPr>
        <w:t xml:space="preserve">ראו גם 156/80 </w:t>
      </w:r>
      <w:r>
        <w:rPr>
          <w:rStyle w:val="normal-h"/>
          <w:rFonts w:hint="cs"/>
          <w:b/>
          <w:bCs/>
          <w:rtl/>
        </w:rPr>
        <w:t>כוכבי בנימין נ' מ"י</w:t>
      </w:r>
      <w:r>
        <w:rPr>
          <w:rStyle w:val="normal-h"/>
          <w:rFonts w:hint="cs"/>
          <w:rtl/>
        </w:rPr>
        <w:t xml:space="preserve">, פ"ד לה(4) 744, מפי כב' הש' אלון). </w:t>
      </w:r>
    </w:p>
    <w:p w14:paraId="70640A13" w14:textId="77777777" w:rsidR="00E20220" w:rsidRDefault="00E20220">
      <w:pPr>
        <w:spacing w:line="360" w:lineRule="auto"/>
        <w:ind w:left="746"/>
        <w:jc w:val="both"/>
        <w:rPr>
          <w:rStyle w:val="normal-h"/>
          <w:sz w:val="20"/>
          <w:szCs w:val="20"/>
          <w:rtl/>
        </w:rPr>
      </w:pPr>
    </w:p>
    <w:p w14:paraId="48E370D7" w14:textId="77777777" w:rsidR="00E20220" w:rsidRDefault="00BB5463">
      <w:pPr>
        <w:spacing w:line="360" w:lineRule="auto"/>
        <w:ind w:left="746"/>
        <w:jc w:val="both"/>
        <w:rPr>
          <w:rtl/>
        </w:rPr>
      </w:pPr>
      <w:r>
        <w:rPr>
          <w:rFonts w:hint="cs"/>
          <w:b/>
          <w:bCs/>
          <w:rtl/>
        </w:rPr>
        <w:t>ב.</w:t>
      </w:r>
      <w:r>
        <w:rPr>
          <w:rFonts w:hint="cs"/>
          <w:rtl/>
        </w:rPr>
        <w:t xml:space="preserve"> אין</w:t>
      </w:r>
      <w:r>
        <w:rPr>
          <w:rFonts w:hint="cs"/>
        </w:rPr>
        <w:t xml:space="preserve"> </w:t>
      </w:r>
      <w:r>
        <w:rPr>
          <w:rFonts w:hint="cs"/>
          <w:rtl/>
        </w:rPr>
        <w:t>צורך</w:t>
      </w:r>
      <w:r>
        <w:rPr>
          <w:rFonts w:hint="cs"/>
        </w:rPr>
        <w:t xml:space="preserve"> </w:t>
      </w:r>
      <w:r>
        <w:rPr>
          <w:rFonts w:hint="cs"/>
          <w:rtl/>
        </w:rPr>
        <w:t>להכביר</w:t>
      </w:r>
      <w:r>
        <w:rPr>
          <w:rFonts w:hint="cs"/>
        </w:rPr>
        <w:t xml:space="preserve"> </w:t>
      </w:r>
      <w:r>
        <w:rPr>
          <w:rFonts w:hint="cs"/>
          <w:rtl/>
        </w:rPr>
        <w:t>מילים</w:t>
      </w:r>
      <w:r>
        <w:rPr>
          <w:rFonts w:hint="cs"/>
        </w:rPr>
        <w:t xml:space="preserve"> </w:t>
      </w:r>
      <w:r>
        <w:rPr>
          <w:rFonts w:hint="cs"/>
          <w:rtl/>
        </w:rPr>
        <w:t>על</w:t>
      </w:r>
      <w:r>
        <w:rPr>
          <w:rFonts w:hint="cs"/>
        </w:rPr>
        <w:t xml:space="preserve"> </w:t>
      </w:r>
      <w:r>
        <w:rPr>
          <w:rFonts w:hint="cs"/>
          <w:rtl/>
        </w:rPr>
        <w:t>חומרת</w:t>
      </w:r>
      <w:r>
        <w:rPr>
          <w:rFonts w:hint="cs"/>
        </w:rPr>
        <w:t xml:space="preserve"> </w:t>
      </w:r>
      <w:r>
        <w:rPr>
          <w:rFonts w:hint="cs"/>
          <w:rtl/>
        </w:rPr>
        <w:t>מעשיו</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אשר</w:t>
      </w:r>
      <w:r>
        <w:rPr>
          <w:rFonts w:hint="cs"/>
        </w:rPr>
        <w:t xml:space="preserve"> </w:t>
      </w:r>
      <w:r>
        <w:rPr>
          <w:rFonts w:hint="cs"/>
          <w:rtl/>
        </w:rPr>
        <w:t>הורשע</w:t>
      </w:r>
      <w:r>
        <w:rPr>
          <w:rFonts w:hint="cs"/>
        </w:rPr>
        <w:t xml:space="preserve"> </w:t>
      </w:r>
      <w:r>
        <w:rPr>
          <w:rFonts w:hint="cs"/>
          <w:rtl/>
        </w:rPr>
        <w:t>על</w:t>
      </w:r>
      <w:r>
        <w:rPr>
          <w:rFonts w:hint="cs"/>
        </w:rPr>
        <w:t xml:space="preserve"> </w:t>
      </w:r>
      <w:r>
        <w:rPr>
          <w:rFonts w:hint="cs"/>
          <w:rtl/>
        </w:rPr>
        <w:t>פי</w:t>
      </w:r>
      <w:r>
        <w:rPr>
          <w:rFonts w:hint="cs"/>
        </w:rPr>
        <w:t xml:space="preserve"> </w:t>
      </w:r>
      <w:r>
        <w:rPr>
          <w:rFonts w:hint="cs"/>
          <w:rtl/>
        </w:rPr>
        <w:t xml:space="preserve">הודייתו, בהחזקתם של כלי נשק, לרבות אביזרים ותחמושת לנשק, כהגדרתם בחוק, בלא רשות על פי דין לכך, ובהחזקת סמים מסוכנים לצריכתו העצמית וללא היתר כדין. </w:t>
      </w:r>
    </w:p>
    <w:p w14:paraId="586CBE59" w14:textId="77777777" w:rsidR="00E20220" w:rsidRDefault="00E20220">
      <w:pPr>
        <w:ind w:left="720"/>
        <w:jc w:val="both"/>
        <w:rPr>
          <w:rFonts w:cs="Times New Roman"/>
          <w:rtl/>
        </w:rPr>
      </w:pPr>
    </w:p>
    <w:p w14:paraId="5ECF38CB" w14:textId="77777777" w:rsidR="00E20220" w:rsidRDefault="00BB5463">
      <w:pPr>
        <w:spacing w:line="360" w:lineRule="auto"/>
        <w:ind w:left="746"/>
        <w:jc w:val="both"/>
        <w:rPr>
          <w:rtl/>
        </w:rPr>
      </w:pPr>
      <w:r>
        <w:rPr>
          <w:rFonts w:hint="cs"/>
          <w:rtl/>
        </w:rPr>
        <w:t>יש לזכור כי אחד הנשקים בהם החזיק הנאשם היה דמוי תת מקלע, אשר</w:t>
      </w:r>
      <w:r>
        <w:rPr>
          <w:rFonts w:hint="cs"/>
        </w:rPr>
        <w:t xml:space="preserve"> </w:t>
      </w:r>
      <w:r>
        <w:rPr>
          <w:rFonts w:hint="cs"/>
          <w:rtl/>
        </w:rPr>
        <w:t>הסכנה</w:t>
      </w:r>
      <w:r>
        <w:rPr>
          <w:rFonts w:hint="cs"/>
        </w:rPr>
        <w:t xml:space="preserve"> </w:t>
      </w:r>
      <w:r>
        <w:rPr>
          <w:rFonts w:hint="cs"/>
          <w:rtl/>
        </w:rPr>
        <w:t>הנשקפת</w:t>
      </w:r>
      <w:r>
        <w:rPr>
          <w:rFonts w:hint="cs"/>
        </w:rPr>
        <w:t xml:space="preserve"> </w:t>
      </w:r>
      <w:r>
        <w:rPr>
          <w:rFonts w:hint="cs"/>
          <w:rtl/>
        </w:rPr>
        <w:t>ממנו</w:t>
      </w:r>
      <w:r>
        <w:rPr>
          <w:rFonts w:hint="cs"/>
        </w:rPr>
        <w:t xml:space="preserve"> </w:t>
      </w:r>
      <w:r>
        <w:rPr>
          <w:rFonts w:hint="cs"/>
          <w:rtl/>
        </w:rPr>
        <w:t>היא</w:t>
      </w:r>
      <w:r>
        <w:rPr>
          <w:rFonts w:hint="cs"/>
        </w:rPr>
        <w:t xml:space="preserve"> </w:t>
      </w:r>
      <w:r>
        <w:rPr>
          <w:rFonts w:hint="cs"/>
          <w:rtl/>
        </w:rPr>
        <w:t>גבוהה</w:t>
      </w:r>
      <w:r>
        <w:rPr>
          <w:rFonts w:hint="cs"/>
        </w:rPr>
        <w:t xml:space="preserve"> </w:t>
      </w:r>
      <w:r>
        <w:rPr>
          <w:rFonts w:hint="cs"/>
          <w:rtl/>
        </w:rPr>
        <w:t>ביותר</w:t>
      </w:r>
      <w:r>
        <w:rPr>
          <w:rFonts w:hint="cs"/>
        </w:rPr>
        <w:t xml:space="preserve"> </w:t>
      </w:r>
      <w:r>
        <w:rPr>
          <w:rFonts w:hint="cs"/>
          <w:rtl/>
        </w:rPr>
        <w:t>ופגיעתו</w:t>
      </w:r>
      <w:r>
        <w:rPr>
          <w:rFonts w:hint="cs"/>
        </w:rPr>
        <w:t xml:space="preserve"> </w:t>
      </w:r>
      <w:r>
        <w:rPr>
          <w:rFonts w:hint="cs"/>
          <w:rtl/>
        </w:rPr>
        <w:t>קשה</w:t>
      </w:r>
      <w:r>
        <w:rPr>
          <w:rFonts w:hint="cs"/>
        </w:rPr>
        <w:t xml:space="preserve"> </w:t>
      </w:r>
      <w:r>
        <w:rPr>
          <w:rFonts w:hint="cs"/>
          <w:rtl/>
        </w:rPr>
        <w:t>מזו</w:t>
      </w:r>
      <w:r>
        <w:rPr>
          <w:rFonts w:hint="cs"/>
        </w:rPr>
        <w:t xml:space="preserve"> </w:t>
      </w:r>
      <w:r>
        <w:rPr>
          <w:rFonts w:hint="cs"/>
          <w:rtl/>
        </w:rPr>
        <w:t>של</w:t>
      </w:r>
      <w:r>
        <w:rPr>
          <w:rFonts w:hint="cs"/>
        </w:rPr>
        <w:t xml:space="preserve"> </w:t>
      </w:r>
      <w:r>
        <w:rPr>
          <w:rFonts w:hint="cs"/>
          <w:rtl/>
        </w:rPr>
        <w:t xml:space="preserve">אקדח רגיל. מדובר בנשק התקפי, שלא נועד לשמש להגנה עצמית, העשוי לגרום נזק רב, בנפלו לידיים עברייניות. אקדח נוסף שימש בעבר באירועי ירי שונים, השני נשדד והשלישי נגנב. </w:t>
      </w:r>
    </w:p>
    <w:p w14:paraId="4EC2A321" w14:textId="77777777" w:rsidR="00E20220" w:rsidRDefault="00E20220">
      <w:pPr>
        <w:ind w:left="746"/>
        <w:jc w:val="both"/>
        <w:rPr>
          <w:rtl/>
        </w:rPr>
      </w:pPr>
    </w:p>
    <w:p w14:paraId="1BF90B99" w14:textId="77777777" w:rsidR="00E20220" w:rsidRDefault="00BB5463">
      <w:pPr>
        <w:spacing w:line="360" w:lineRule="auto"/>
        <w:ind w:left="746"/>
        <w:jc w:val="both"/>
        <w:rPr>
          <w:rtl/>
        </w:rPr>
      </w:pPr>
      <w:r>
        <w:rPr>
          <w:rFonts w:hint="cs"/>
          <w:rtl/>
        </w:rPr>
        <w:t xml:space="preserve">אשר לסמים המסוכנים בהם החזיק הנאשם לשימוש עצמי, לא מן הנמנע כי הצורך הקבוע בהם, היווה אחד המניעים לביצוע עבירות נוספות, למטרה של בצע כסף. </w:t>
      </w:r>
    </w:p>
    <w:p w14:paraId="3C3EA18F" w14:textId="77777777" w:rsidR="00E20220" w:rsidRDefault="00E20220">
      <w:pPr>
        <w:ind w:left="746"/>
        <w:jc w:val="both"/>
        <w:rPr>
          <w:sz w:val="32"/>
          <w:szCs w:val="32"/>
          <w:rtl/>
        </w:rPr>
      </w:pPr>
    </w:p>
    <w:p w14:paraId="49C8AE89" w14:textId="77777777" w:rsidR="00E20220" w:rsidRDefault="00BB5463">
      <w:pPr>
        <w:spacing w:line="360" w:lineRule="auto"/>
        <w:ind w:left="746"/>
        <w:jc w:val="both"/>
        <w:rPr>
          <w:rtl/>
        </w:rPr>
      </w:pPr>
      <w:r>
        <w:rPr>
          <w:rFonts w:hint="cs"/>
          <w:b/>
          <w:bCs/>
          <w:rtl/>
        </w:rPr>
        <w:t>ג.</w:t>
      </w:r>
      <w:r>
        <w:rPr>
          <w:rFonts w:hint="cs"/>
          <w:rtl/>
        </w:rPr>
        <w:t xml:space="preserve"> הערכים החברתיים שנפגעו מביצוע העבירות בהן הורשע הנאשם הם פגיעה בשלומו ובביטחונו של הציבור, לרבות בטחון המדינה, בשלטון החוק ובאנשי החוק, וכן פגיעה בקניין, ערכים שהמחוקק העניק להם מעמד מיוחד בחוקי היסוד, ובית המשפט העניק להם הגנה בפסיקה עקבית. </w:t>
      </w:r>
    </w:p>
    <w:p w14:paraId="32DC9177" w14:textId="77777777" w:rsidR="00E20220" w:rsidRDefault="00E20220">
      <w:pPr>
        <w:spacing w:before="120" w:after="240"/>
        <w:ind w:left="720"/>
        <w:jc w:val="both"/>
        <w:rPr>
          <w:rStyle w:val="normal-h"/>
          <w:b/>
          <w:bCs/>
          <w:sz w:val="2"/>
          <w:szCs w:val="2"/>
          <w:rtl/>
        </w:rPr>
      </w:pPr>
    </w:p>
    <w:p w14:paraId="52C557F3" w14:textId="77777777" w:rsidR="00E20220" w:rsidRDefault="00BB5463">
      <w:pPr>
        <w:spacing w:before="120" w:after="240" w:line="360" w:lineRule="auto"/>
        <w:ind w:left="720"/>
        <w:jc w:val="both"/>
        <w:rPr>
          <w:rStyle w:val="normal-h"/>
          <w:rtl/>
        </w:rPr>
      </w:pPr>
      <w:r>
        <w:rPr>
          <w:rStyle w:val="normal-h"/>
          <w:rFonts w:hint="cs"/>
          <w:b/>
          <w:bCs/>
          <w:rtl/>
        </w:rPr>
        <w:t>ד.</w:t>
      </w:r>
      <w:r>
        <w:rPr>
          <w:rStyle w:val="normal-h"/>
          <w:rFonts w:hint="cs"/>
          <w:rtl/>
        </w:rPr>
        <w:t xml:space="preserve"> בשורה של פסקי דין נתן בית</w:t>
      </w:r>
      <w:r>
        <w:rPr>
          <w:rStyle w:val="normal-h"/>
          <w:rFonts w:hint="cs"/>
        </w:rPr>
        <w:t xml:space="preserve"> </w:t>
      </w:r>
      <w:r>
        <w:rPr>
          <w:rStyle w:val="normal-h"/>
          <w:rFonts w:hint="cs"/>
          <w:rtl/>
        </w:rPr>
        <w:t>המשפט</w:t>
      </w:r>
      <w:r>
        <w:rPr>
          <w:rStyle w:val="normal-h"/>
          <w:rFonts w:hint="cs"/>
        </w:rPr>
        <w:t xml:space="preserve"> </w:t>
      </w:r>
      <w:r>
        <w:rPr>
          <w:rStyle w:val="normal-h"/>
          <w:rFonts w:hint="cs"/>
          <w:rtl/>
        </w:rPr>
        <w:t>העליון</w:t>
      </w:r>
      <w:r>
        <w:rPr>
          <w:rStyle w:val="normal-h"/>
          <w:rFonts w:hint="cs"/>
        </w:rPr>
        <w:t xml:space="preserve"> </w:t>
      </w:r>
      <w:r>
        <w:rPr>
          <w:rStyle w:val="normal-h"/>
          <w:rFonts w:hint="cs"/>
          <w:rtl/>
        </w:rPr>
        <w:t>דעתו</w:t>
      </w:r>
      <w:r>
        <w:rPr>
          <w:rStyle w:val="normal-h"/>
          <w:rFonts w:hint="cs"/>
        </w:rPr>
        <w:t xml:space="preserve"> </w:t>
      </w:r>
      <w:r>
        <w:rPr>
          <w:rStyle w:val="normal-h"/>
          <w:rFonts w:hint="cs"/>
          <w:rtl/>
        </w:rPr>
        <w:t>לחומרתן של העבירות בנשק, להשלכות</w:t>
      </w:r>
      <w:r>
        <w:rPr>
          <w:rStyle w:val="normal-h"/>
          <w:rFonts w:hint="cs"/>
        </w:rPr>
        <w:t xml:space="preserve"> </w:t>
      </w:r>
      <w:r>
        <w:rPr>
          <w:rStyle w:val="normal-h"/>
          <w:rFonts w:hint="cs"/>
          <w:rtl/>
        </w:rPr>
        <w:t>הרות</w:t>
      </w:r>
      <w:r>
        <w:rPr>
          <w:rStyle w:val="normal-h"/>
          <w:rFonts w:hint="cs"/>
        </w:rPr>
        <w:t xml:space="preserve"> </w:t>
      </w:r>
      <w:r>
        <w:rPr>
          <w:rStyle w:val="normal-h"/>
          <w:rFonts w:hint="cs"/>
          <w:rtl/>
        </w:rPr>
        <w:t>האסון</w:t>
      </w:r>
      <w:r>
        <w:rPr>
          <w:rStyle w:val="normal-h"/>
          <w:rFonts w:hint="cs"/>
        </w:rPr>
        <w:t xml:space="preserve"> </w:t>
      </w:r>
      <w:r>
        <w:rPr>
          <w:rStyle w:val="normal-h"/>
          <w:rFonts w:hint="cs"/>
          <w:rtl/>
        </w:rPr>
        <w:t>ולסיכון</w:t>
      </w:r>
      <w:r>
        <w:rPr>
          <w:rStyle w:val="normal-h"/>
          <w:rFonts w:hint="cs"/>
        </w:rPr>
        <w:t xml:space="preserve"> </w:t>
      </w:r>
      <w:r>
        <w:rPr>
          <w:rStyle w:val="normal-h"/>
          <w:rFonts w:hint="cs"/>
          <w:rtl/>
        </w:rPr>
        <w:t>הגלום</w:t>
      </w:r>
      <w:r>
        <w:rPr>
          <w:rStyle w:val="normal-h"/>
          <w:rFonts w:hint="cs"/>
        </w:rPr>
        <w:t xml:space="preserve"> </w:t>
      </w:r>
      <w:r>
        <w:rPr>
          <w:rStyle w:val="normal-h"/>
          <w:rFonts w:hint="cs"/>
          <w:rtl/>
        </w:rPr>
        <w:t>בהן. ההחזקה של כלי נשק שלא כדין נעשית</w:t>
      </w:r>
      <w:r>
        <w:rPr>
          <w:rStyle w:val="normal-h"/>
          <w:rFonts w:hint="cs"/>
        </w:rPr>
        <w:t xml:space="preserve"> </w:t>
      </w:r>
      <w:r>
        <w:rPr>
          <w:rStyle w:val="normal-h"/>
          <w:rFonts w:hint="cs"/>
          <w:rtl/>
        </w:rPr>
        <w:t>ככלל כדי</w:t>
      </w:r>
      <w:r>
        <w:rPr>
          <w:rStyle w:val="normal-h"/>
          <w:rFonts w:hint="cs"/>
        </w:rPr>
        <w:t xml:space="preserve"> </w:t>
      </w:r>
      <w:r>
        <w:rPr>
          <w:rStyle w:val="normal-h"/>
          <w:rFonts w:hint="cs"/>
          <w:rtl/>
        </w:rPr>
        <w:t>לשמש מטרה בלתי חוקית, ולרוב על מנת לאפשר</w:t>
      </w:r>
      <w:r>
        <w:rPr>
          <w:rStyle w:val="normal-h"/>
          <w:rFonts w:hint="cs"/>
        </w:rPr>
        <w:t xml:space="preserve"> </w:t>
      </w:r>
      <w:r>
        <w:rPr>
          <w:rStyle w:val="normal-h"/>
          <w:rFonts w:hint="cs"/>
          <w:rtl/>
        </w:rPr>
        <w:t>ביצוען</w:t>
      </w:r>
      <w:r>
        <w:rPr>
          <w:rStyle w:val="normal-h"/>
          <w:rFonts w:hint="cs"/>
        </w:rPr>
        <w:t xml:space="preserve"> </w:t>
      </w:r>
      <w:r>
        <w:rPr>
          <w:rStyle w:val="normal-h"/>
          <w:rFonts w:hint="cs"/>
          <w:rtl/>
        </w:rPr>
        <w:t>של</w:t>
      </w:r>
      <w:r>
        <w:rPr>
          <w:rStyle w:val="normal-h"/>
          <w:rFonts w:hint="cs"/>
        </w:rPr>
        <w:t xml:space="preserve"> </w:t>
      </w:r>
      <w:r>
        <w:rPr>
          <w:rStyle w:val="normal-h"/>
          <w:rFonts w:hint="cs"/>
          <w:rtl/>
        </w:rPr>
        <w:t>עבירות</w:t>
      </w:r>
      <w:r>
        <w:rPr>
          <w:rStyle w:val="normal-h"/>
          <w:rFonts w:hint="cs"/>
        </w:rPr>
        <w:t xml:space="preserve"> </w:t>
      </w:r>
      <w:r>
        <w:rPr>
          <w:rStyle w:val="normal-h"/>
          <w:rFonts w:hint="cs"/>
          <w:rtl/>
        </w:rPr>
        <w:t>אחרות, הכרוכות</w:t>
      </w:r>
      <w:r>
        <w:rPr>
          <w:rStyle w:val="normal-h"/>
          <w:rFonts w:hint="cs"/>
        </w:rPr>
        <w:t xml:space="preserve"> </w:t>
      </w:r>
      <w:r>
        <w:rPr>
          <w:rStyle w:val="normal-h"/>
          <w:rFonts w:hint="cs"/>
          <w:rtl/>
        </w:rPr>
        <w:t>לרוב באלימות</w:t>
      </w:r>
      <w:r>
        <w:rPr>
          <w:rStyle w:val="normal-h"/>
          <w:rFonts w:hint="cs"/>
        </w:rPr>
        <w:t xml:space="preserve"> </w:t>
      </w:r>
      <w:r>
        <w:rPr>
          <w:rStyle w:val="normal-h"/>
          <w:rFonts w:hint="cs"/>
          <w:rtl/>
        </w:rPr>
        <w:t>או</w:t>
      </w:r>
      <w:r>
        <w:rPr>
          <w:rStyle w:val="normal-h"/>
          <w:rFonts w:hint="cs"/>
        </w:rPr>
        <w:t xml:space="preserve"> </w:t>
      </w:r>
      <w:r>
        <w:rPr>
          <w:rStyle w:val="normal-h"/>
          <w:rFonts w:hint="cs"/>
          <w:rtl/>
        </w:rPr>
        <w:t>בהפחדה. הא ראיה כי עצם ההחזקה באה בעבירה, משהתברר כי מדובר בנכסים שהתקבלו בעוון או בפשע. זמינותם</w:t>
      </w:r>
      <w:r>
        <w:rPr>
          <w:rStyle w:val="normal-h"/>
          <w:rFonts w:hint="cs"/>
        </w:rPr>
        <w:t xml:space="preserve"> </w:t>
      </w:r>
      <w:r>
        <w:rPr>
          <w:rStyle w:val="normal-h"/>
          <w:rFonts w:hint="cs"/>
          <w:rtl/>
        </w:rPr>
        <w:t>של</w:t>
      </w:r>
      <w:r>
        <w:rPr>
          <w:rStyle w:val="normal-h"/>
          <w:rFonts w:hint="cs"/>
        </w:rPr>
        <w:t xml:space="preserve"> </w:t>
      </w:r>
      <w:r>
        <w:rPr>
          <w:rStyle w:val="normal-h"/>
          <w:rFonts w:hint="cs"/>
          <w:rtl/>
        </w:rPr>
        <w:t>כלי</w:t>
      </w:r>
      <w:r>
        <w:rPr>
          <w:rStyle w:val="normal-h"/>
          <w:rFonts w:hint="cs"/>
        </w:rPr>
        <w:t xml:space="preserve"> </w:t>
      </w:r>
      <w:r>
        <w:rPr>
          <w:rStyle w:val="normal-h"/>
          <w:rFonts w:hint="cs"/>
          <w:rtl/>
        </w:rPr>
        <w:t>הנשק</w:t>
      </w:r>
      <w:r>
        <w:rPr>
          <w:rStyle w:val="normal-h"/>
          <w:rFonts w:hint="cs"/>
        </w:rPr>
        <w:t xml:space="preserve"> </w:t>
      </w:r>
      <w:r>
        <w:rPr>
          <w:rStyle w:val="normal-h"/>
          <w:rFonts w:hint="cs"/>
          <w:rtl/>
        </w:rPr>
        <w:t>העוברים</w:t>
      </w:r>
      <w:r>
        <w:rPr>
          <w:rStyle w:val="normal-h"/>
          <w:rFonts w:hint="cs"/>
        </w:rPr>
        <w:t xml:space="preserve"> </w:t>
      </w:r>
      <w:r>
        <w:rPr>
          <w:rStyle w:val="normal-h"/>
          <w:rFonts w:hint="cs"/>
          <w:rtl/>
        </w:rPr>
        <w:t>מיד</w:t>
      </w:r>
      <w:r>
        <w:rPr>
          <w:rStyle w:val="normal-h"/>
          <w:rFonts w:hint="cs"/>
        </w:rPr>
        <w:t xml:space="preserve"> </w:t>
      </w:r>
      <w:r>
        <w:rPr>
          <w:rStyle w:val="normal-h"/>
          <w:rFonts w:hint="cs"/>
          <w:rtl/>
        </w:rPr>
        <w:t>ליד, אם לידיים פליליות</w:t>
      </w:r>
      <w:r>
        <w:rPr>
          <w:rStyle w:val="normal-h"/>
          <w:rFonts w:hint="cs"/>
        </w:rPr>
        <w:t xml:space="preserve"> </w:t>
      </w:r>
      <w:r>
        <w:rPr>
          <w:rStyle w:val="normal-h"/>
          <w:rFonts w:hint="cs"/>
          <w:rtl/>
        </w:rPr>
        <w:t>למיניהן ואם</w:t>
      </w:r>
      <w:r>
        <w:rPr>
          <w:rStyle w:val="normal-h"/>
          <w:rFonts w:hint="cs"/>
        </w:rPr>
        <w:t xml:space="preserve"> </w:t>
      </w:r>
      <w:r>
        <w:rPr>
          <w:rStyle w:val="normal-h"/>
          <w:rFonts w:hint="cs"/>
          <w:rtl/>
        </w:rPr>
        <w:t>לידיים</w:t>
      </w:r>
      <w:r>
        <w:rPr>
          <w:rStyle w:val="normal-h"/>
          <w:rFonts w:hint="cs"/>
        </w:rPr>
        <w:t xml:space="preserve"> </w:t>
      </w:r>
      <w:r>
        <w:rPr>
          <w:rStyle w:val="normal-h"/>
          <w:rFonts w:hint="cs"/>
          <w:rtl/>
        </w:rPr>
        <w:t>עוינות, תורמת</w:t>
      </w:r>
      <w:r>
        <w:rPr>
          <w:rStyle w:val="normal-h"/>
          <w:rFonts w:hint="cs"/>
        </w:rPr>
        <w:t xml:space="preserve"> </w:t>
      </w:r>
      <w:r>
        <w:rPr>
          <w:rStyle w:val="normal-h"/>
          <w:rFonts w:hint="cs"/>
          <w:rtl/>
        </w:rPr>
        <w:t>להגדלתו</w:t>
      </w:r>
      <w:r>
        <w:rPr>
          <w:rStyle w:val="normal-h"/>
          <w:rFonts w:hint="cs"/>
        </w:rPr>
        <w:t xml:space="preserve"> </w:t>
      </w:r>
      <w:r>
        <w:rPr>
          <w:rStyle w:val="normal-h"/>
          <w:rFonts w:hint="cs"/>
          <w:rtl/>
        </w:rPr>
        <w:t>של</w:t>
      </w:r>
      <w:r>
        <w:rPr>
          <w:rStyle w:val="normal-h"/>
          <w:rFonts w:hint="cs"/>
        </w:rPr>
        <w:t xml:space="preserve"> </w:t>
      </w:r>
      <w:r>
        <w:rPr>
          <w:rStyle w:val="normal-h"/>
          <w:rFonts w:hint="cs"/>
          <w:rtl/>
        </w:rPr>
        <w:t>מעגל</w:t>
      </w:r>
      <w:r>
        <w:rPr>
          <w:rStyle w:val="normal-h"/>
          <w:rFonts w:hint="cs"/>
        </w:rPr>
        <w:t xml:space="preserve"> </w:t>
      </w:r>
      <w:r>
        <w:rPr>
          <w:rStyle w:val="normal-h"/>
          <w:rFonts w:hint="cs"/>
          <w:rtl/>
        </w:rPr>
        <w:t>האלימות</w:t>
      </w:r>
      <w:r>
        <w:rPr>
          <w:rStyle w:val="normal-h"/>
          <w:rFonts w:hint="cs"/>
        </w:rPr>
        <w:t xml:space="preserve"> </w:t>
      </w:r>
      <w:r>
        <w:rPr>
          <w:rStyle w:val="normal-h"/>
          <w:rFonts w:hint="cs"/>
          <w:rtl/>
        </w:rPr>
        <w:t>ולתוצאות הקשות</w:t>
      </w:r>
      <w:r>
        <w:rPr>
          <w:rStyle w:val="normal-h"/>
          <w:rFonts w:hint="cs"/>
        </w:rPr>
        <w:t xml:space="preserve"> </w:t>
      </w:r>
      <w:r>
        <w:rPr>
          <w:rStyle w:val="normal-h"/>
          <w:rFonts w:hint="cs"/>
          <w:rtl/>
        </w:rPr>
        <w:t>הנובעות</w:t>
      </w:r>
      <w:r>
        <w:rPr>
          <w:rStyle w:val="normal-h"/>
          <w:rFonts w:hint="cs"/>
        </w:rPr>
        <w:t xml:space="preserve"> </w:t>
      </w:r>
      <w:r>
        <w:rPr>
          <w:rStyle w:val="normal-h"/>
          <w:rFonts w:hint="cs"/>
          <w:rtl/>
        </w:rPr>
        <w:t>מכך. גם</w:t>
      </w:r>
      <w:r>
        <w:rPr>
          <w:rStyle w:val="normal-h"/>
          <w:rFonts w:hint="cs"/>
        </w:rPr>
        <w:t xml:space="preserve"> </w:t>
      </w:r>
      <w:r>
        <w:rPr>
          <w:rStyle w:val="normal-h"/>
          <w:rFonts w:hint="cs"/>
          <w:rtl/>
        </w:rPr>
        <w:t>החזקתו</w:t>
      </w:r>
      <w:r>
        <w:rPr>
          <w:rStyle w:val="normal-h"/>
          <w:rFonts w:hint="cs"/>
        </w:rPr>
        <w:t xml:space="preserve"> </w:t>
      </w:r>
      <w:r>
        <w:rPr>
          <w:rStyle w:val="normal-h"/>
          <w:rFonts w:hint="cs"/>
          <w:rtl/>
        </w:rPr>
        <w:t>של</w:t>
      </w:r>
      <w:r>
        <w:rPr>
          <w:rStyle w:val="normal-h"/>
          <w:rFonts w:hint="cs"/>
        </w:rPr>
        <w:t xml:space="preserve"> </w:t>
      </w:r>
      <w:r>
        <w:rPr>
          <w:rStyle w:val="normal-h"/>
          <w:rFonts w:hint="cs"/>
          <w:rtl/>
        </w:rPr>
        <w:t>נשק</w:t>
      </w:r>
      <w:r>
        <w:rPr>
          <w:rStyle w:val="normal-h"/>
          <w:rFonts w:hint="cs"/>
        </w:rPr>
        <w:t xml:space="preserve"> </w:t>
      </w:r>
      <w:r>
        <w:rPr>
          <w:rStyle w:val="normal-h"/>
          <w:rFonts w:hint="cs"/>
          <w:rtl/>
        </w:rPr>
        <w:t>חם</w:t>
      </w:r>
      <w:r>
        <w:rPr>
          <w:rStyle w:val="normal-h"/>
          <w:rFonts w:hint="cs"/>
        </w:rPr>
        <w:t xml:space="preserve"> </w:t>
      </w:r>
      <w:r>
        <w:rPr>
          <w:rStyle w:val="normal-h"/>
          <w:rFonts w:hint="cs"/>
          <w:rtl/>
        </w:rPr>
        <w:t>ורב</w:t>
      </w:r>
      <w:r>
        <w:rPr>
          <w:rStyle w:val="normal-h"/>
          <w:rFonts w:hint="cs"/>
        </w:rPr>
        <w:t xml:space="preserve"> </w:t>
      </w:r>
      <w:r>
        <w:rPr>
          <w:rStyle w:val="normal-h"/>
          <w:rFonts w:hint="cs"/>
          <w:rtl/>
        </w:rPr>
        <w:t>עוצמה</w:t>
      </w:r>
      <w:r>
        <w:rPr>
          <w:rStyle w:val="normal-h"/>
          <w:rFonts w:hint="cs"/>
        </w:rPr>
        <w:t xml:space="preserve"> </w:t>
      </w:r>
      <w:r>
        <w:rPr>
          <w:rStyle w:val="normal-h"/>
          <w:rFonts w:hint="cs"/>
          <w:rtl/>
        </w:rPr>
        <w:t>באופן</w:t>
      </w:r>
      <w:r>
        <w:rPr>
          <w:rStyle w:val="normal-h"/>
          <w:rFonts w:hint="cs"/>
        </w:rPr>
        <w:t xml:space="preserve"> </w:t>
      </w:r>
      <w:r>
        <w:rPr>
          <w:rStyle w:val="normal-h"/>
          <w:rFonts w:hint="cs"/>
          <w:rtl/>
        </w:rPr>
        <w:t>בלתי</w:t>
      </w:r>
      <w:r>
        <w:rPr>
          <w:rStyle w:val="normal-h"/>
          <w:rFonts w:hint="cs"/>
        </w:rPr>
        <w:t xml:space="preserve"> </w:t>
      </w:r>
      <w:r>
        <w:rPr>
          <w:rStyle w:val="normal-h"/>
          <w:rFonts w:hint="cs"/>
          <w:rtl/>
        </w:rPr>
        <w:t>חוקי</w:t>
      </w:r>
      <w:r>
        <w:rPr>
          <w:rStyle w:val="normal-h"/>
          <w:rFonts w:hint="cs"/>
        </w:rPr>
        <w:t xml:space="preserve"> </w:t>
      </w:r>
      <w:r>
        <w:rPr>
          <w:rStyle w:val="normal-h"/>
          <w:rFonts w:hint="cs"/>
          <w:rtl/>
        </w:rPr>
        <w:t>בידי אדם שאינו</w:t>
      </w:r>
      <w:r>
        <w:rPr>
          <w:rStyle w:val="normal-h"/>
          <w:rFonts w:hint="cs"/>
        </w:rPr>
        <w:t xml:space="preserve"> </w:t>
      </w:r>
      <w:r>
        <w:rPr>
          <w:rStyle w:val="normal-h"/>
          <w:rFonts w:hint="cs"/>
          <w:rtl/>
        </w:rPr>
        <w:t>עבריין,</w:t>
      </w:r>
      <w:r>
        <w:rPr>
          <w:rStyle w:val="normal-h"/>
          <w:rFonts w:hint="cs"/>
        </w:rPr>
        <w:t xml:space="preserve"> </w:t>
      </w:r>
      <w:r>
        <w:rPr>
          <w:rStyle w:val="normal-h"/>
          <w:rFonts w:hint="cs"/>
          <w:rtl/>
        </w:rPr>
        <w:t>מקרבת</w:t>
      </w:r>
      <w:r>
        <w:rPr>
          <w:rStyle w:val="normal-h"/>
          <w:rFonts w:hint="cs"/>
        </w:rPr>
        <w:t xml:space="preserve"> </w:t>
      </w:r>
      <w:r>
        <w:rPr>
          <w:rStyle w:val="normal-h"/>
          <w:rFonts w:hint="cs"/>
          <w:rtl/>
        </w:rPr>
        <w:t>את</w:t>
      </w:r>
      <w:r>
        <w:rPr>
          <w:rStyle w:val="normal-h"/>
          <w:rFonts w:hint="cs"/>
        </w:rPr>
        <w:t xml:space="preserve"> </w:t>
      </w:r>
      <w:r>
        <w:rPr>
          <w:rStyle w:val="normal-h"/>
          <w:rFonts w:hint="cs"/>
          <w:rtl/>
        </w:rPr>
        <w:t>הסיכון</w:t>
      </w:r>
      <w:r>
        <w:rPr>
          <w:rStyle w:val="normal-h"/>
          <w:rFonts w:hint="cs"/>
        </w:rPr>
        <w:t xml:space="preserve"> </w:t>
      </w:r>
      <w:r>
        <w:rPr>
          <w:rStyle w:val="normal-h"/>
          <w:rFonts w:hint="cs"/>
          <w:rtl/>
        </w:rPr>
        <w:t>לאלימות</w:t>
      </w:r>
      <w:r>
        <w:rPr>
          <w:rStyle w:val="normal-h"/>
          <w:rFonts w:hint="cs"/>
        </w:rPr>
        <w:t xml:space="preserve"> </w:t>
      </w:r>
      <w:r>
        <w:rPr>
          <w:rStyle w:val="normal-h"/>
          <w:rFonts w:hint="cs"/>
          <w:rtl/>
        </w:rPr>
        <w:t>קשה</w:t>
      </w:r>
      <w:r>
        <w:rPr>
          <w:rStyle w:val="normal-h"/>
          <w:rFonts w:hint="cs"/>
        </w:rPr>
        <w:t xml:space="preserve"> </w:t>
      </w:r>
      <w:r>
        <w:rPr>
          <w:rStyle w:val="normal-h"/>
          <w:rFonts w:hint="cs"/>
          <w:rtl/>
        </w:rPr>
        <w:t>עד</w:t>
      </w:r>
      <w:r>
        <w:rPr>
          <w:rStyle w:val="normal-h"/>
          <w:rFonts w:hint="cs"/>
        </w:rPr>
        <w:t xml:space="preserve"> </w:t>
      </w:r>
      <w:r>
        <w:rPr>
          <w:rStyle w:val="normal-h"/>
          <w:rFonts w:hint="cs"/>
          <w:rtl/>
        </w:rPr>
        <w:t>קטלנית. משהפכה תופעה זו לחזון נפרץ, חזר בית</w:t>
      </w:r>
      <w:r>
        <w:rPr>
          <w:rStyle w:val="normal-h"/>
          <w:rFonts w:hint="cs"/>
        </w:rPr>
        <w:t xml:space="preserve"> </w:t>
      </w:r>
      <w:r>
        <w:rPr>
          <w:rStyle w:val="normal-h"/>
          <w:rFonts w:hint="cs"/>
          <w:rtl/>
        </w:rPr>
        <w:t>המשפט</w:t>
      </w:r>
      <w:r>
        <w:rPr>
          <w:rStyle w:val="normal-h"/>
          <w:rFonts w:hint="cs"/>
        </w:rPr>
        <w:t xml:space="preserve"> </w:t>
      </w:r>
      <w:r>
        <w:rPr>
          <w:rStyle w:val="normal-h"/>
          <w:rFonts w:hint="cs"/>
          <w:rtl/>
        </w:rPr>
        <w:t>העליון</w:t>
      </w:r>
      <w:r>
        <w:rPr>
          <w:rStyle w:val="normal-h"/>
          <w:rFonts w:hint="cs"/>
        </w:rPr>
        <w:t xml:space="preserve"> </w:t>
      </w:r>
      <w:r>
        <w:rPr>
          <w:rStyle w:val="normal-h"/>
          <w:rFonts w:hint="cs"/>
          <w:rtl/>
        </w:rPr>
        <w:t>ואמר</w:t>
      </w:r>
      <w:r>
        <w:rPr>
          <w:rStyle w:val="normal-h"/>
          <w:rFonts w:hint="cs"/>
        </w:rPr>
        <w:t xml:space="preserve"> </w:t>
      </w:r>
      <w:r>
        <w:rPr>
          <w:rStyle w:val="normal-h"/>
          <w:rFonts w:hint="cs"/>
          <w:rtl/>
        </w:rPr>
        <w:t>כי</w:t>
      </w:r>
      <w:r>
        <w:rPr>
          <w:rStyle w:val="normal-h"/>
          <w:rFonts w:hint="cs"/>
        </w:rPr>
        <w:t xml:space="preserve"> </w:t>
      </w:r>
      <w:r>
        <w:rPr>
          <w:rStyle w:val="normal-h"/>
          <w:rFonts w:hint="cs"/>
          <w:rtl/>
        </w:rPr>
        <w:t>הגיעה השעה</w:t>
      </w:r>
      <w:r>
        <w:rPr>
          <w:rStyle w:val="normal-h"/>
          <w:rFonts w:hint="cs"/>
        </w:rPr>
        <w:t xml:space="preserve"> </w:t>
      </w:r>
      <w:r>
        <w:rPr>
          <w:rStyle w:val="normal-h"/>
          <w:rFonts w:hint="cs"/>
          <w:rtl/>
        </w:rPr>
        <w:t>להחמיר</w:t>
      </w:r>
      <w:r>
        <w:rPr>
          <w:rStyle w:val="normal-h"/>
          <w:rFonts w:hint="cs"/>
        </w:rPr>
        <w:t xml:space="preserve"> </w:t>
      </w:r>
      <w:r>
        <w:rPr>
          <w:rStyle w:val="normal-h"/>
          <w:rFonts w:hint="cs"/>
          <w:rtl/>
        </w:rPr>
        <w:t>בענישתם</w:t>
      </w:r>
      <w:r>
        <w:rPr>
          <w:rStyle w:val="normal-h"/>
          <w:rFonts w:hint="cs"/>
        </w:rPr>
        <w:t xml:space="preserve"> </w:t>
      </w:r>
      <w:r>
        <w:rPr>
          <w:rStyle w:val="normal-h"/>
          <w:rFonts w:hint="cs"/>
          <w:rtl/>
        </w:rPr>
        <w:t>של</w:t>
      </w:r>
      <w:r>
        <w:rPr>
          <w:rStyle w:val="normal-h"/>
          <w:rFonts w:hint="cs"/>
        </w:rPr>
        <w:t xml:space="preserve"> </w:t>
      </w:r>
      <w:r>
        <w:rPr>
          <w:rStyle w:val="normal-h"/>
          <w:rFonts w:hint="cs"/>
          <w:rtl/>
        </w:rPr>
        <w:t>המבצעים</w:t>
      </w:r>
      <w:r>
        <w:rPr>
          <w:rStyle w:val="normal-h"/>
          <w:rFonts w:hint="cs"/>
        </w:rPr>
        <w:t xml:space="preserve"> </w:t>
      </w:r>
      <w:r>
        <w:rPr>
          <w:rStyle w:val="normal-h"/>
          <w:rFonts w:hint="cs"/>
          <w:rtl/>
        </w:rPr>
        <w:t>עבירות</w:t>
      </w:r>
      <w:r>
        <w:rPr>
          <w:rStyle w:val="normal-h"/>
          <w:rFonts w:hint="cs"/>
        </w:rPr>
        <w:t xml:space="preserve"> </w:t>
      </w:r>
      <w:r>
        <w:rPr>
          <w:rStyle w:val="normal-h"/>
          <w:rFonts w:hint="cs"/>
          <w:rtl/>
        </w:rPr>
        <w:t>בנשק, גם במטרה להרתיע את הרבים</w:t>
      </w:r>
      <w:r>
        <w:rPr>
          <w:rStyle w:val="normal-h"/>
        </w:rPr>
        <w:t>.</w:t>
      </w:r>
      <w:r>
        <w:rPr>
          <w:rStyle w:val="normal-h"/>
          <w:rFonts w:hint="cs"/>
          <w:rtl/>
        </w:rPr>
        <w:t xml:space="preserve"> </w:t>
      </w:r>
    </w:p>
    <w:p w14:paraId="77CBD752" w14:textId="77777777" w:rsidR="00E20220" w:rsidRDefault="00BB5463">
      <w:pPr>
        <w:spacing w:line="360" w:lineRule="auto"/>
        <w:ind w:left="1440"/>
        <w:jc w:val="both"/>
        <w:rPr>
          <w:rFonts w:cs="Miriam"/>
          <w:rtl/>
        </w:rPr>
      </w:pPr>
      <w:r>
        <w:rPr>
          <w:rFonts w:hint="cs"/>
          <w:rtl/>
        </w:rPr>
        <w:t>"</w:t>
      </w:r>
      <w:r>
        <w:rPr>
          <w:rFonts w:cs="Miriam" w:hint="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19" w:history="1">
        <w:r w:rsidRPr="00BB5463">
          <w:rPr>
            <w:rFonts w:cs="Miriam"/>
            <w:color w:val="0000FF"/>
            <w:u w:val="single"/>
            <w:rtl/>
          </w:rPr>
          <w:t>ע"פ 1332/04</w:t>
        </w:r>
      </w:hyperlink>
      <w:r>
        <w:rPr>
          <w:rFonts w:cs="Miriam"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20" w:history="1">
        <w:r w:rsidRPr="00BB5463">
          <w:rPr>
            <w:rFonts w:cs="Miriam"/>
            <w:color w:val="0000FF"/>
            <w:u w:val="single"/>
            <w:rtl/>
          </w:rPr>
          <w:t>ע"פ 3361/08</w:t>
        </w:r>
      </w:hyperlink>
      <w:r>
        <w:rPr>
          <w:rFonts w:cs="Miriam" w:hint="cs"/>
          <w:rtl/>
        </w:rPr>
        <w:t xml:space="preserve"> ליבוביץ' נ' מדינת ישראל ([פורסם בנבו], 27.7.08) (להלן: עניין ליבוביץ'); </w:t>
      </w:r>
      <w:hyperlink r:id="rId21" w:history="1">
        <w:r w:rsidRPr="00BB5463">
          <w:rPr>
            <w:rFonts w:cs="Miriam"/>
            <w:color w:val="0000FF"/>
            <w:u w:val="single"/>
            <w:rtl/>
          </w:rPr>
          <w:t>ע"פ 5220/09</w:t>
        </w:r>
      </w:hyperlink>
      <w:r>
        <w:rPr>
          <w:rFonts w:cs="Miriam" w:hint="cs"/>
          <w:rtl/>
        </w:rPr>
        <w:t xml:space="preserve"> עוואודה נ' מדינת ישראל ([פורסם בנבו], 30.12.09). </w:t>
      </w:r>
    </w:p>
    <w:p w14:paraId="62106105" w14:textId="77777777" w:rsidR="00E20220" w:rsidRDefault="00BB5463">
      <w:pPr>
        <w:spacing w:line="360" w:lineRule="auto"/>
        <w:ind w:left="1440"/>
        <w:jc w:val="both"/>
        <w:rPr>
          <w:rtl/>
        </w:rPr>
      </w:pPr>
      <w:r>
        <w:rPr>
          <w:rFonts w:cs="Miriam" w:hint="cs"/>
          <w:rtl/>
        </w:rPr>
        <w:t>בית המשפט קמא איזן כהלכה בין השיקולים השונים, ושקלל גם את מגמת ההחמרה המאפיינת את פסיקתו של בית משפט זה בעבירות של החזקת נשק בשנים האחרונות</w:t>
      </w:r>
      <w:r>
        <w:rPr>
          <w:rFonts w:hint="cs"/>
          <w:rtl/>
        </w:rPr>
        <w:t xml:space="preserve"> </w:t>
      </w:r>
      <w:r>
        <w:rPr>
          <w:rFonts w:cs="Miriam" w:hint="cs"/>
          <w:rtl/>
        </w:rPr>
        <w:t xml:space="preserve">(... </w:t>
      </w:r>
      <w:hyperlink r:id="rId22" w:history="1">
        <w:r w:rsidRPr="00BB5463">
          <w:rPr>
            <w:rFonts w:cs="Miriam"/>
            <w:color w:val="0000FF"/>
            <w:u w:val="single"/>
            <w:rtl/>
          </w:rPr>
          <w:t>ע"פ 7955/06</w:t>
        </w:r>
      </w:hyperlink>
      <w:r>
        <w:rPr>
          <w:rFonts w:cs="Miriam" w:hint="cs"/>
          <w:rtl/>
        </w:rPr>
        <w:t xml:space="preserve"> כרכור נ' מדינת ישראל ([פורסם בנבו], 1.1.07); </w:t>
      </w:r>
      <w:hyperlink r:id="rId23" w:history="1">
        <w:r w:rsidRPr="00BB5463">
          <w:rPr>
            <w:rFonts w:cs="Miriam"/>
            <w:color w:val="0000FF"/>
            <w:u w:val="single"/>
            <w:rtl/>
          </w:rPr>
          <w:t>ע"פ 761/07</w:t>
        </w:r>
      </w:hyperlink>
      <w:r>
        <w:rPr>
          <w:rFonts w:cs="Miriam" w:hint="cs"/>
          <w:rtl/>
        </w:rPr>
        <w:t xml:space="preserve"> מדינת ישראל נ' אדרי ([פורסם בנבו], </w:t>
      </w:r>
      <w:r>
        <w:rPr>
          <w:rFonts w:hint="cs"/>
          <w:rtl/>
        </w:rPr>
        <w:t>22.2.07))". (</w:t>
      </w:r>
      <w:hyperlink r:id="rId24" w:history="1">
        <w:r w:rsidRPr="00BB5463">
          <w:rPr>
            <w:color w:val="0000FF"/>
            <w:u w:val="single"/>
            <w:rtl/>
          </w:rPr>
          <w:t>ע"פ 8416/09</w:t>
        </w:r>
      </w:hyperlink>
      <w:r>
        <w:rPr>
          <w:rFonts w:hint="cs"/>
        </w:rPr>
        <w:t xml:space="preserve"> </w:t>
      </w:r>
      <w:r>
        <w:rPr>
          <w:rFonts w:hint="cs"/>
          <w:b/>
          <w:bCs/>
          <w:rtl/>
        </w:rPr>
        <w:t>מ"י</w:t>
      </w:r>
      <w:r>
        <w:rPr>
          <w:rFonts w:hint="cs"/>
          <w:b/>
          <w:bCs/>
        </w:rPr>
        <w:t xml:space="preserve"> </w:t>
      </w:r>
      <w:r>
        <w:rPr>
          <w:rFonts w:hint="cs"/>
          <w:b/>
          <w:bCs/>
          <w:rtl/>
        </w:rPr>
        <w:t>נ' חרבוש</w:t>
      </w:r>
      <w:r>
        <w:rPr>
          <w:rFonts w:hint="cs"/>
          <w:b/>
          <w:bCs/>
        </w:rPr>
        <w:t xml:space="preserve"> </w:t>
      </w:r>
      <w:r>
        <w:rPr>
          <w:rFonts w:hint="cs"/>
          <w:b/>
          <w:bCs/>
          <w:rtl/>
        </w:rPr>
        <w:t>ואח'</w:t>
      </w:r>
      <w:r>
        <w:rPr>
          <w:rFonts w:hint="cs"/>
          <w:rtl/>
        </w:rPr>
        <w:t xml:space="preserve"> (9/6/10), מפי כב' הש' פוגלמן; כן ראו </w:t>
      </w:r>
      <w:hyperlink r:id="rId25" w:history="1">
        <w:r w:rsidRPr="00BB5463">
          <w:rPr>
            <w:color w:val="0000FF"/>
            <w:u w:val="single"/>
            <w:rtl/>
          </w:rPr>
          <w:t>ע"פ 6671/06</w:t>
        </w:r>
      </w:hyperlink>
      <w:r>
        <w:rPr>
          <w:rFonts w:hint="cs"/>
          <w:rtl/>
        </w:rPr>
        <w:t xml:space="preserve"> </w:t>
      </w:r>
      <w:r>
        <w:rPr>
          <w:rFonts w:hint="cs"/>
          <w:b/>
          <w:bCs/>
          <w:rtl/>
        </w:rPr>
        <w:t>מ"י</w:t>
      </w:r>
      <w:r>
        <w:rPr>
          <w:rFonts w:hint="cs"/>
          <w:b/>
          <w:bCs/>
        </w:rPr>
        <w:t xml:space="preserve"> </w:t>
      </w:r>
      <w:r>
        <w:rPr>
          <w:rFonts w:hint="cs"/>
          <w:b/>
          <w:bCs/>
          <w:rtl/>
        </w:rPr>
        <w:t>נ' מאדי</w:t>
      </w:r>
      <w:r>
        <w:rPr>
          <w:rFonts w:hint="cs"/>
          <w:b/>
          <w:bCs/>
        </w:rPr>
        <w:t xml:space="preserve"> </w:t>
      </w:r>
      <w:r>
        <w:rPr>
          <w:rFonts w:hint="cs"/>
          <w:b/>
          <w:bCs/>
          <w:rtl/>
        </w:rPr>
        <w:t>סרור</w:t>
      </w:r>
      <w:r>
        <w:rPr>
          <w:rFonts w:hint="cs"/>
        </w:rPr>
        <w:t xml:space="preserve"> </w:t>
      </w:r>
      <w:r>
        <w:rPr>
          <w:rFonts w:hint="cs"/>
          <w:rtl/>
        </w:rPr>
        <w:t>(14/12/06), מפי כב' הש' לוי).</w:t>
      </w:r>
    </w:p>
    <w:p w14:paraId="2966DCF3" w14:textId="77777777" w:rsidR="00E20220" w:rsidRDefault="00E20220">
      <w:pPr>
        <w:ind w:firstLine="720"/>
        <w:rPr>
          <w:rtl/>
        </w:rPr>
      </w:pPr>
    </w:p>
    <w:p w14:paraId="6A3731D6" w14:textId="77777777" w:rsidR="00E20220" w:rsidRDefault="00BB5463">
      <w:pPr>
        <w:ind w:firstLine="720"/>
        <w:rPr>
          <w:rtl/>
        </w:rPr>
      </w:pPr>
      <w:r>
        <w:rPr>
          <w:rFonts w:hint="cs"/>
          <w:rtl/>
        </w:rPr>
        <w:t xml:space="preserve">עוד ראו: </w:t>
      </w:r>
    </w:p>
    <w:p w14:paraId="627FDD98" w14:textId="77777777" w:rsidR="00E20220" w:rsidRDefault="00E20220">
      <w:pPr>
        <w:ind w:firstLine="720"/>
        <w:rPr>
          <w:rtl/>
        </w:rPr>
      </w:pPr>
    </w:p>
    <w:p w14:paraId="5E64FDEA" w14:textId="77777777" w:rsidR="00E20220" w:rsidRDefault="00E20220">
      <w:pPr>
        <w:ind w:firstLine="720"/>
        <w:rPr>
          <w:sz w:val="8"/>
          <w:szCs w:val="8"/>
          <w:rtl/>
        </w:rPr>
      </w:pPr>
    </w:p>
    <w:p w14:paraId="636DD0D9" w14:textId="77777777" w:rsidR="00E20220" w:rsidRDefault="00BB5463">
      <w:pPr>
        <w:spacing w:line="360" w:lineRule="auto"/>
        <w:ind w:left="1440"/>
        <w:jc w:val="both"/>
        <w:rPr>
          <w:rtl/>
        </w:rPr>
      </w:pPr>
      <w:r>
        <w:rPr>
          <w:rFonts w:cs="Miriam" w:hint="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(השוו </w:t>
      </w:r>
      <w:hyperlink r:id="rId26" w:history="1">
        <w:r w:rsidRPr="00BB5463">
          <w:rPr>
            <w:rFonts w:cs="Miriam"/>
            <w:color w:val="0000FF"/>
            <w:u w:val="single"/>
            <w:rtl/>
          </w:rPr>
          <w:t>ב"ש 625/82</w:t>
        </w:r>
      </w:hyperlink>
      <w:r>
        <w:rPr>
          <w:rFonts w:cs="Miriam" w:hint="cs"/>
          <w:rtl/>
        </w:rPr>
        <w:t xml:space="preserve"> מחמוד נ' מדינת ישראל [1]).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hint="cs"/>
          <w:sz w:val="18"/>
          <w:rtl/>
        </w:rPr>
        <w:t>"</w:t>
      </w:r>
      <w:r>
        <w:rPr>
          <w:rFonts w:hint="cs"/>
          <w:rtl/>
        </w:rPr>
        <w:t xml:space="preserve"> (</w:t>
      </w:r>
      <w:hyperlink r:id="rId27" w:history="1">
        <w:r w:rsidRPr="00BB5463">
          <w:rPr>
            <w:color w:val="0000FF"/>
            <w:u w:val="single"/>
            <w:rtl/>
          </w:rPr>
          <w:t>ע"פ 1332/04 פס נ' מ"י, פ"ד נח</w:t>
        </w:r>
      </w:hyperlink>
      <w:r>
        <w:rPr>
          <w:rFonts w:hint="cs"/>
          <w:rtl/>
        </w:rPr>
        <w:t xml:space="preserve">(5) 541, 544, (19/4/04), מפי כב' הש' ביניש; ראו גם: </w:t>
      </w:r>
      <w:hyperlink r:id="rId28" w:history="1">
        <w:r w:rsidRPr="00BB5463">
          <w:rPr>
            <w:color w:val="0000FF"/>
            <w:u w:val="single"/>
            <w:rtl/>
          </w:rPr>
          <w:t>ע"פ 5833/07</w:t>
        </w:r>
      </w:hyperlink>
      <w:r>
        <w:rPr>
          <w:rFonts w:hint="cs"/>
          <w:rtl/>
        </w:rPr>
        <w:t xml:space="preserve"> </w:t>
      </w:r>
      <w:r>
        <w:rPr>
          <w:rFonts w:hint="cs"/>
          <w:b/>
          <w:bCs/>
          <w:rtl/>
        </w:rPr>
        <w:t>ח'ורי נ' מ"</w:t>
      </w:r>
      <w:r>
        <w:rPr>
          <w:rFonts w:hint="cs"/>
          <w:rtl/>
        </w:rPr>
        <w:t xml:space="preserve">י (18/11/07), מפי כב' הש' לוי; </w:t>
      </w:r>
      <w:hyperlink r:id="rId29" w:history="1">
        <w:r w:rsidRPr="00BB5463">
          <w:rPr>
            <w:color w:val="0000FF"/>
            <w:u w:val="single"/>
            <w:rtl/>
          </w:rPr>
          <w:t>ע"פ 7384/07</w:t>
        </w:r>
      </w:hyperlink>
      <w:r>
        <w:rPr>
          <w:rFonts w:hint="cs"/>
          <w:rtl/>
        </w:rPr>
        <w:t xml:space="preserve"> </w:t>
      </w:r>
      <w:r>
        <w:rPr>
          <w:rFonts w:hint="cs"/>
          <w:bCs/>
          <w:rtl/>
        </w:rPr>
        <w:t>ליזמי נ'</w:t>
      </w:r>
      <w:r>
        <w:rPr>
          <w:rFonts w:hint="cs"/>
          <w:b/>
          <w:bCs/>
          <w:rtl/>
        </w:rPr>
        <w:t xml:space="preserve"> מ"י</w:t>
      </w:r>
      <w:r>
        <w:rPr>
          <w:rFonts w:hint="cs"/>
          <w:rtl/>
        </w:rPr>
        <w:t xml:space="preserve"> (6/3/08), מפי כב' הש' אלון).</w:t>
      </w:r>
    </w:p>
    <w:p w14:paraId="06F202AE" w14:textId="77777777" w:rsidR="00E20220" w:rsidRDefault="00E20220">
      <w:pPr>
        <w:jc w:val="both"/>
        <w:rPr>
          <w:rFonts w:cs="Miriam"/>
          <w:sz w:val="2"/>
          <w:szCs w:val="2"/>
          <w:rtl/>
        </w:rPr>
      </w:pPr>
    </w:p>
    <w:p w14:paraId="0D5D8BA1" w14:textId="77777777" w:rsidR="00E20220" w:rsidRDefault="00E20220">
      <w:pPr>
        <w:spacing w:line="360" w:lineRule="auto"/>
        <w:rPr>
          <w:b/>
          <w:bCs/>
          <w:sz w:val="20"/>
          <w:szCs w:val="20"/>
          <w:rtl/>
        </w:rPr>
      </w:pPr>
    </w:p>
    <w:p w14:paraId="58C25EBA" w14:textId="77777777" w:rsidR="00E20220" w:rsidRDefault="00BB5463">
      <w:pPr>
        <w:spacing w:line="360" w:lineRule="auto"/>
        <w:rPr>
          <w:b/>
          <w:bCs/>
          <w:u w:val="single"/>
          <w:rtl/>
        </w:rPr>
      </w:pPr>
      <w:r>
        <w:rPr>
          <w:rFonts w:hint="cs"/>
          <w:b/>
          <w:bCs/>
          <w:rtl/>
        </w:rPr>
        <w:t>7.</w:t>
      </w:r>
      <w:r>
        <w:rPr>
          <w:rFonts w:hint="cs"/>
          <w:b/>
          <w:bCs/>
          <w:rtl/>
        </w:rPr>
        <w:tab/>
      </w:r>
      <w:r>
        <w:rPr>
          <w:rFonts w:hint="cs"/>
          <w:b/>
          <w:bCs/>
          <w:u w:val="single"/>
          <w:rtl/>
        </w:rPr>
        <w:t>מתחם הענישה</w:t>
      </w:r>
    </w:p>
    <w:p w14:paraId="33B8EB19" w14:textId="77777777" w:rsidR="00E20220" w:rsidRDefault="00BB5463">
      <w:pPr>
        <w:spacing w:line="360" w:lineRule="auto"/>
        <w:ind w:left="746" w:hanging="26"/>
        <w:jc w:val="both"/>
        <w:rPr>
          <w:rtl/>
        </w:rPr>
      </w:pPr>
      <w:r>
        <w:rPr>
          <w:rFonts w:hint="cs"/>
          <w:rtl/>
        </w:rPr>
        <w:t xml:space="preserve">הענישה על החזקת נשק שלא כדין עומדת על שבע שנות מאסר, ואילו הענישה על החזקת סמים מסוכנים לצריכה עצמית עומדת על שלוש שנות מאסר. באי כוח הצדדים הביאו בפני בית המשפט פסיקה בעבירות דומות ובה קשת רחבה של עונשים. </w:t>
      </w:r>
    </w:p>
    <w:p w14:paraId="581FFCA4" w14:textId="77777777" w:rsidR="00E20220" w:rsidRDefault="00BB5463">
      <w:pPr>
        <w:spacing w:line="360" w:lineRule="auto"/>
        <w:ind w:left="746" w:hanging="26"/>
        <w:jc w:val="both"/>
        <w:rPr>
          <w:rtl/>
        </w:rPr>
      </w:pPr>
      <w:r>
        <w:rPr>
          <w:rFonts w:hint="cs"/>
          <w:b/>
          <w:bCs/>
          <w:rtl/>
        </w:rPr>
        <w:t>א.</w:t>
      </w:r>
      <w:r>
        <w:rPr>
          <w:rFonts w:hint="cs"/>
          <w:rtl/>
        </w:rPr>
        <w:t xml:space="preserve"> המאשימה עתרה להטיל על הנאשם עונש במתחם שבין ארבע לשמונה שנות מאסר על כל העבירות כאחת. כמו כן הפנתה לפסקי דין בהם נגזרו עונשים חמורים על מעשים דומים. </w:t>
      </w:r>
    </w:p>
    <w:p w14:paraId="5E2C0242" w14:textId="77777777" w:rsidR="00E20220" w:rsidRDefault="00E20220">
      <w:pPr>
        <w:spacing w:line="360" w:lineRule="auto"/>
        <w:ind w:left="720"/>
        <w:jc w:val="both"/>
        <w:rPr>
          <w:rFonts w:cs="Times New Roman"/>
          <w:sz w:val="14"/>
          <w:szCs w:val="14"/>
          <w:rtl/>
        </w:rPr>
      </w:pPr>
    </w:p>
    <w:p w14:paraId="595F8048" w14:textId="77777777" w:rsidR="00E20220" w:rsidRDefault="00BB5463">
      <w:pPr>
        <w:spacing w:line="360" w:lineRule="auto"/>
        <w:ind w:left="720"/>
        <w:jc w:val="both"/>
        <w:rPr>
          <w:rtl/>
        </w:rPr>
      </w:pPr>
      <w:r>
        <w:rPr>
          <w:rFonts w:hint="cs"/>
          <w:rtl/>
        </w:rPr>
        <w:t xml:space="preserve">בגין עבירה של החזקת נשק שלא כדין ביקשה המאשימה לקבוע מתחם של ארבע לשש שנות מאסר וכן צרפה פסיקה בה נקבעה ענישה על מעשים דומים בגובה זה (ראו </w:t>
      </w:r>
      <w:hyperlink r:id="rId30" w:history="1">
        <w:r w:rsidRPr="00BB5463">
          <w:rPr>
            <w:color w:val="0000FF"/>
            <w:u w:val="single"/>
            <w:rtl/>
          </w:rPr>
          <w:t>ע"פ 2918/13</w:t>
        </w:r>
      </w:hyperlink>
      <w:r>
        <w:rPr>
          <w:rFonts w:hint="cs"/>
          <w:rtl/>
        </w:rPr>
        <w:t xml:space="preserve"> </w:t>
      </w:r>
      <w:r>
        <w:rPr>
          <w:rFonts w:hint="cs"/>
          <w:b/>
          <w:bCs/>
          <w:rtl/>
        </w:rPr>
        <w:t>דבס נ' מ"י</w:t>
      </w:r>
      <w:r>
        <w:rPr>
          <w:rFonts w:hint="cs"/>
          <w:rtl/>
        </w:rPr>
        <w:t xml:space="preserve"> (18/7/13), מפי כב' הש' פוגלמן; </w:t>
      </w:r>
      <w:hyperlink r:id="rId31" w:history="1">
        <w:r w:rsidRPr="00BB5463">
          <w:rPr>
            <w:color w:val="0000FF"/>
            <w:u w:val="single"/>
            <w:rtl/>
          </w:rPr>
          <w:t>ת"פ (חי') 11904-09-10</w:t>
        </w:r>
      </w:hyperlink>
      <w:r>
        <w:rPr>
          <w:rFonts w:hint="cs"/>
          <w:rtl/>
        </w:rPr>
        <w:t xml:space="preserve"> </w:t>
      </w:r>
      <w:r>
        <w:rPr>
          <w:rFonts w:hint="cs"/>
          <w:b/>
          <w:bCs/>
          <w:rtl/>
        </w:rPr>
        <w:t>מ"י נ' מרזוק</w:t>
      </w:r>
      <w:r>
        <w:rPr>
          <w:rFonts w:hint="cs"/>
          <w:rtl/>
        </w:rPr>
        <w:t xml:space="preserve">  (19/5/11), מפי כב' הש' הורוביץ; ו</w:t>
      </w:r>
      <w:hyperlink r:id="rId32" w:history="1">
        <w:r w:rsidRPr="00BB5463">
          <w:rPr>
            <w:color w:val="0000FF"/>
            <w:u w:val="single"/>
            <w:rtl/>
          </w:rPr>
          <w:t>ת"פ (ב"ש) 8235/04</w:t>
        </w:r>
      </w:hyperlink>
      <w:r>
        <w:rPr>
          <w:rFonts w:hint="cs"/>
          <w:rtl/>
        </w:rPr>
        <w:t xml:space="preserve"> </w:t>
      </w:r>
      <w:r>
        <w:rPr>
          <w:rFonts w:hint="cs"/>
          <w:b/>
          <w:bCs/>
          <w:rtl/>
        </w:rPr>
        <w:t>מ"י נ' אלחוסה</w:t>
      </w:r>
      <w:r>
        <w:rPr>
          <w:rFonts w:hint="cs"/>
          <w:rtl/>
        </w:rPr>
        <w:t xml:space="preserve"> (11/4/05), מפי כב' הש' עמר). </w:t>
      </w:r>
    </w:p>
    <w:p w14:paraId="3FC92FFC" w14:textId="77777777" w:rsidR="00E20220" w:rsidRDefault="00E20220">
      <w:pPr>
        <w:spacing w:line="360" w:lineRule="auto"/>
        <w:ind w:left="720"/>
        <w:jc w:val="both"/>
        <w:rPr>
          <w:rFonts w:cs="Times New Roman"/>
          <w:rtl/>
        </w:rPr>
      </w:pPr>
    </w:p>
    <w:p w14:paraId="2442AA9E" w14:textId="77777777" w:rsidR="00E20220" w:rsidRDefault="00BB5463">
      <w:pPr>
        <w:spacing w:line="360" w:lineRule="auto"/>
        <w:ind w:left="720"/>
        <w:jc w:val="both"/>
        <w:rPr>
          <w:rtl/>
        </w:rPr>
      </w:pPr>
      <w:r>
        <w:rPr>
          <w:rFonts w:hint="cs"/>
          <w:rtl/>
        </w:rPr>
        <w:t>אשר להחזקת הסמים לצריכה עצמית, המאשימה טענה כי מתחם העונש ההולם נע בין מאסר מותנה לבין מספר חודשי מאסר בפועל, וביקשה להשית על הנאשם דידן בגין  עונש של שנת מאסר בפועל, משהחזיק מספר פעמים בסמים מסוכנים מסוגים שונים.</w:t>
      </w:r>
    </w:p>
    <w:p w14:paraId="2C984199" w14:textId="77777777" w:rsidR="00E20220" w:rsidRDefault="00E20220">
      <w:pPr>
        <w:spacing w:line="360" w:lineRule="auto"/>
        <w:ind w:left="720"/>
        <w:jc w:val="both"/>
        <w:rPr>
          <w:rFonts w:cs="Times New Roman"/>
          <w:rtl/>
        </w:rPr>
      </w:pPr>
    </w:p>
    <w:p w14:paraId="68194805" w14:textId="77777777" w:rsidR="00E20220" w:rsidRDefault="00BB5463">
      <w:pPr>
        <w:spacing w:line="360" w:lineRule="auto"/>
        <w:ind w:left="720"/>
        <w:jc w:val="both"/>
        <w:rPr>
          <w:rtl/>
        </w:rPr>
      </w:pPr>
      <w:r>
        <w:rPr>
          <w:rFonts w:hint="cs"/>
          <w:b/>
          <w:bCs/>
          <w:rtl/>
        </w:rPr>
        <w:t>ב</w:t>
      </w:r>
      <w:r>
        <w:rPr>
          <w:rFonts w:hint="cs"/>
          <w:rtl/>
        </w:rPr>
        <w:t xml:space="preserve">. הסנגור ביקש להשית על הנאשם שישה חודשי עבודות שירות ולחלופין להעמיד את המתחם בין שישה חודשי עבודות שירות לחמישה עשר חודשי מאסר. (ת"פ (ת"א) 10- 04- 24603 </w:t>
      </w:r>
      <w:r>
        <w:rPr>
          <w:rFonts w:hint="cs"/>
          <w:b/>
          <w:bCs/>
          <w:rtl/>
        </w:rPr>
        <w:t>מ"י נ' מטיקה</w:t>
      </w:r>
      <w:r>
        <w:rPr>
          <w:rFonts w:hint="cs"/>
          <w:rtl/>
        </w:rPr>
        <w:t xml:space="preserve"> (17/10/10), מפי כב' הש' רוזן; </w:t>
      </w:r>
      <w:hyperlink r:id="rId33" w:history="1">
        <w:r w:rsidRPr="00BB5463">
          <w:rPr>
            <w:color w:val="0000FF"/>
            <w:u w:val="single"/>
            <w:rtl/>
          </w:rPr>
          <w:t>ת"פ (י-ם) 207/08</w:t>
        </w:r>
      </w:hyperlink>
      <w:r>
        <w:rPr>
          <w:rFonts w:hint="cs"/>
          <w:rtl/>
        </w:rPr>
        <w:t xml:space="preserve"> </w:t>
      </w:r>
      <w:r>
        <w:rPr>
          <w:rFonts w:hint="cs"/>
          <w:b/>
          <w:bCs/>
          <w:rtl/>
        </w:rPr>
        <w:t>מ"י נ' בלטי</w:t>
      </w:r>
      <w:r>
        <w:rPr>
          <w:rFonts w:hint="cs"/>
          <w:rtl/>
        </w:rPr>
        <w:t xml:space="preserve"> (2/11/08), מפי כב' הש' דרורי; </w:t>
      </w:r>
      <w:hyperlink r:id="rId34" w:history="1">
        <w:r w:rsidRPr="00BB5463">
          <w:rPr>
            <w:color w:val="0000FF"/>
            <w:u w:val="single"/>
            <w:rtl/>
          </w:rPr>
          <w:t>ת"פ (ב"ש) 661/09</w:t>
        </w:r>
      </w:hyperlink>
      <w:r>
        <w:rPr>
          <w:rFonts w:hint="cs"/>
          <w:rtl/>
        </w:rPr>
        <w:t xml:space="preserve"> </w:t>
      </w:r>
      <w:r>
        <w:rPr>
          <w:rFonts w:hint="cs"/>
          <w:b/>
          <w:bCs/>
          <w:rtl/>
        </w:rPr>
        <w:t>מ"י נ' אבו קיעאן</w:t>
      </w:r>
      <w:r>
        <w:rPr>
          <w:rFonts w:hint="cs"/>
          <w:rtl/>
        </w:rPr>
        <w:t xml:space="preserve"> (20/6/11), מפי כב' הש' אמוראי). </w:t>
      </w:r>
    </w:p>
    <w:p w14:paraId="2CECE5EC" w14:textId="77777777" w:rsidR="00E20220" w:rsidRDefault="00BB5463">
      <w:pPr>
        <w:spacing w:before="240" w:after="120" w:line="360" w:lineRule="auto"/>
        <w:ind w:left="720"/>
        <w:jc w:val="both"/>
        <w:rPr>
          <w:b/>
          <w:bCs/>
          <w:u w:val="single"/>
          <w:rtl/>
        </w:rPr>
      </w:pPr>
      <w:r>
        <w:rPr>
          <w:rFonts w:hint="cs"/>
          <w:b/>
          <w:bCs/>
          <w:rtl/>
        </w:rPr>
        <w:t>ג</w:t>
      </w:r>
      <w:r>
        <w:rPr>
          <w:rFonts w:hint="cs"/>
          <w:rtl/>
        </w:rPr>
        <w:t>. אשר לאופן בו יקבע מתחם הענישה, יפים לענייננו דבריה של כב' הש' ארבל ב</w:t>
      </w:r>
      <w:hyperlink r:id="rId35" w:history="1">
        <w:r w:rsidRPr="00BB5463">
          <w:rPr>
            <w:color w:val="0000FF"/>
            <w:u w:val="single"/>
            <w:rtl/>
          </w:rPr>
          <w:t>ע"פ 1323/13</w:t>
        </w:r>
      </w:hyperlink>
      <w:r>
        <w:rPr>
          <w:rFonts w:hint="cs"/>
          <w:rtl/>
        </w:rPr>
        <w:t xml:space="preserve"> </w:t>
      </w:r>
      <w:r>
        <w:rPr>
          <w:rFonts w:hint="cs"/>
          <w:b/>
          <w:bCs/>
          <w:rtl/>
        </w:rPr>
        <w:t>חסן נ' מ"י (</w:t>
      </w:r>
      <w:r>
        <w:rPr>
          <w:rFonts w:hint="cs"/>
          <w:rtl/>
        </w:rPr>
        <w:t xml:space="preserve">5/6/13), בדבר האבחנה בין מתחם הענישה לבין הענישה הנוהגת, המהווה רק אחד הפרמטרים לקביעתו. מפאת חשיבות הדברים, אביאם בשם אומרם: </w:t>
      </w:r>
    </w:p>
    <w:p w14:paraId="173D5D1D" w14:textId="77777777" w:rsidR="00E20220" w:rsidRDefault="00E20220">
      <w:pPr>
        <w:spacing w:line="360" w:lineRule="auto"/>
        <w:ind w:left="720"/>
        <w:jc w:val="both"/>
        <w:rPr>
          <w:sz w:val="16"/>
          <w:szCs w:val="16"/>
          <w:rtl/>
        </w:rPr>
      </w:pPr>
    </w:p>
    <w:p w14:paraId="2829D4DD" w14:textId="77777777" w:rsidR="00E20220" w:rsidRDefault="00BB5463">
      <w:pPr>
        <w:spacing w:line="360" w:lineRule="auto"/>
        <w:ind w:left="1440"/>
        <w:jc w:val="both"/>
        <w:rPr>
          <w:rFonts w:cs="Miriam"/>
          <w:rtl/>
        </w:rPr>
      </w:pPr>
      <w:r>
        <w:rPr>
          <w:rFonts w:cs="Miriam" w:hint="cs"/>
          <w:rtl/>
        </w:rPr>
        <w:t>"7. 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w:t>
      </w:r>
    </w:p>
    <w:p w14:paraId="67D7E605" w14:textId="77777777" w:rsidR="00E20220" w:rsidRDefault="00E20220">
      <w:pPr>
        <w:spacing w:line="360" w:lineRule="auto"/>
        <w:ind w:left="1440"/>
        <w:jc w:val="both"/>
        <w:rPr>
          <w:rFonts w:cs="Miriam"/>
          <w:sz w:val="18"/>
          <w:szCs w:val="18"/>
          <w:rtl/>
        </w:rPr>
      </w:pPr>
    </w:p>
    <w:p w14:paraId="60A02F72" w14:textId="77777777" w:rsidR="00E20220" w:rsidRDefault="00BB5463">
      <w:pPr>
        <w:spacing w:line="360" w:lineRule="auto"/>
        <w:ind w:left="1440"/>
        <w:jc w:val="both"/>
        <w:rPr>
          <w:rFonts w:cs="Miriam"/>
          <w:rtl/>
        </w:rPr>
      </w:pPr>
      <w:r>
        <w:rPr>
          <w:rFonts w:cs="Miriam" w:hint="cs"/>
          <w:rtl/>
        </w:rPr>
        <w:t>9. עוד אבקש לחדד בהקשר זה כי אין לטעות ולזהות בין מתחם העונש ההולם לבין טווח הענישה הנהוג. מדובר ב"יצורים" שונים. מתחם העונש ההולם מגלם, כאמור, הכרעה ערכית המבוססת על שיקולים שונים, כאשר מדיניות הענישה הנהוגה בעבירה הנדונה הוא רק אחד מהם. טווח הענישה הנהוג בפסיקה, לעומת זאת, הוא נתון אמפירי-עובדתי, המורכב מהעונשים המקובלים בגין עבירה מסוימת בדין הנוהג".</w:t>
      </w:r>
    </w:p>
    <w:p w14:paraId="7C491C40" w14:textId="77777777" w:rsidR="00E20220" w:rsidRDefault="00E20220">
      <w:pPr>
        <w:spacing w:line="360" w:lineRule="auto"/>
        <w:ind w:left="1440"/>
        <w:jc w:val="both"/>
        <w:rPr>
          <w:rFonts w:cs="Miriam"/>
          <w:rtl/>
        </w:rPr>
      </w:pPr>
    </w:p>
    <w:p w14:paraId="1BCDBC69" w14:textId="77777777" w:rsidR="00E20220" w:rsidRDefault="00BB5463">
      <w:pPr>
        <w:spacing w:line="360" w:lineRule="auto"/>
        <w:ind w:left="720"/>
        <w:jc w:val="both"/>
        <w:rPr>
          <w:rtl/>
        </w:rPr>
      </w:pPr>
      <w:r>
        <w:rPr>
          <w:rFonts w:hint="cs"/>
          <w:rtl/>
        </w:rPr>
        <w:t>ב</w:t>
      </w:r>
      <w:hyperlink r:id="rId36" w:history="1">
        <w:r w:rsidRPr="00BB5463">
          <w:rPr>
            <w:color w:val="0000FF"/>
            <w:u w:val="single"/>
            <w:rtl/>
          </w:rPr>
          <w:t>ע"פ 8012/04</w:t>
        </w:r>
      </w:hyperlink>
      <w:r>
        <w:rPr>
          <w:rFonts w:hint="cs"/>
          <w:rtl/>
        </w:rPr>
        <w:t xml:space="preserve"> </w:t>
      </w:r>
      <w:r>
        <w:rPr>
          <w:rFonts w:hint="cs"/>
          <w:b/>
          <w:bCs/>
          <w:rtl/>
        </w:rPr>
        <w:t>מתאני נ' מ"י</w:t>
      </w:r>
      <w:r>
        <w:rPr>
          <w:rFonts w:hint="cs"/>
          <w:rtl/>
        </w:rPr>
        <w:t xml:space="preserve"> (16/11/05), הדגישו כב' הש' חשין, גרוניס וג'ובראן את  הצורך להחמיר במי שמבצע עבירות הנשק, אפילו הנו צעיר שאורח חייו נורמטיבי, ויש לזכור כי בעברו של הנאשם דידן הרשעות קודמות ואף מאסר בפועל: </w:t>
      </w:r>
    </w:p>
    <w:p w14:paraId="3EC1D70B" w14:textId="77777777" w:rsidR="00E20220" w:rsidRDefault="00BB5463">
      <w:pPr>
        <w:spacing w:before="100" w:beforeAutospacing="1" w:after="100" w:afterAutospacing="1" w:line="360" w:lineRule="auto"/>
        <w:ind w:left="1440" w:firstLine="60"/>
        <w:jc w:val="both"/>
        <w:rPr>
          <w:rFonts w:cs="Times New Roman"/>
          <w:rtl/>
        </w:rPr>
      </w:pPr>
      <w:r>
        <w:rPr>
          <w:rFonts w:hint="cs"/>
          <w:rtl/>
        </w:rPr>
        <w:t>"</w:t>
      </w:r>
      <w:r>
        <w:rPr>
          <w:rFonts w:cs="Miriam" w:hint="cs"/>
          <w:rtl/>
        </w:rPr>
        <w:t xml:space="preserve">... הגיעה השעה להעלות את רף הענישה בעבירות נשק (ראו </w:t>
      </w:r>
      <w:hyperlink r:id="rId37" w:history="1">
        <w:r w:rsidRPr="00BB5463">
          <w:rPr>
            <w:rFonts w:cs="Miriam"/>
            <w:color w:val="0000FF"/>
            <w:u w:val="single"/>
            <w:rtl/>
          </w:rPr>
          <w:t>ע"פ 4831/03</w:t>
        </w:r>
      </w:hyperlink>
      <w:r>
        <w:rPr>
          <w:rFonts w:cs="Miriam" w:hint="cs"/>
          <w:rtl/>
        </w:rPr>
        <w:t xml:space="preserve"> אבו באכר נ' מדינת ישראל (לא פורסם)). יש לקוות שענישה מחמירה בתחום זה תרתיע את אלה הסוחרים בנשק, מובילים נשק ומבצעים עבירות דומות בקשר לכלי נשק. המערער הינו אמנם צעיר בן 25 שנים, ללא עבר פלילי, אך כאשר עסקינן בעבירות כה חמורות ומסוכנות יש ליתן משקל עודף לאינטרס הציבורי על פני נתוניו האישיים של הנאשם</w:t>
      </w:r>
      <w:r>
        <w:rPr>
          <w:rFonts w:hint="cs"/>
          <w:rtl/>
        </w:rPr>
        <w:t xml:space="preserve">". </w:t>
      </w:r>
    </w:p>
    <w:p w14:paraId="2D63A51A" w14:textId="77777777" w:rsidR="00E20220" w:rsidRDefault="00BB5463">
      <w:pPr>
        <w:spacing w:before="100" w:beforeAutospacing="1" w:after="100" w:afterAutospacing="1" w:line="360" w:lineRule="auto"/>
        <w:ind w:firstLine="720"/>
        <w:jc w:val="both"/>
        <w:rPr>
          <w:rtl/>
        </w:rPr>
      </w:pPr>
      <w:r>
        <w:rPr>
          <w:rFonts w:hint="cs"/>
          <w:rtl/>
        </w:rPr>
        <w:t>לענין טענות בדבר שייכותם של כלי הנשק לאחרים השוו:</w:t>
      </w:r>
    </w:p>
    <w:p w14:paraId="62C1A3B2" w14:textId="77777777" w:rsidR="00E20220" w:rsidRDefault="00BB5463">
      <w:pPr>
        <w:spacing w:before="100" w:beforeAutospacing="1" w:after="100" w:afterAutospacing="1" w:line="360" w:lineRule="auto"/>
        <w:ind w:left="1440"/>
        <w:jc w:val="both"/>
        <w:rPr>
          <w:rtl/>
        </w:rPr>
      </w:pPr>
      <w:r>
        <w:rPr>
          <w:rFonts w:hint="cs"/>
          <w:rtl/>
        </w:rPr>
        <w:t>"</w:t>
      </w:r>
      <w:r>
        <w:rPr>
          <w:rFonts w:cs="Miriam" w:hint="cs"/>
          <w:rtl/>
        </w:rPr>
        <w:t>במהלך משפטו טען המערער שאת האקדח והתחמושת מצא במטע זיתים שמשפחתו מכרה לאחר. הסבר זה נשען על דבריו של המערער בלבד ואין לו תמיכה נוספת. אולם, גם אם הסבר זה נכון הוא, היה על המערער למסור את הנשק לרשויות החוק, והעובדה שהוא לא נהג כך, ולאור הרשעותיו בפלילים, אין זה מן הנמנע שהמערער התכוון להוסיף ולהחזיק בנשק כאשר מטרתו נותרה לוטה בערפל... ועל כן החלטנו לקבל את הערעור ולהעמיד את תקופת המאסר בה ישא המערער בפועל על 30 חודשים...</w:t>
      </w:r>
      <w:r>
        <w:rPr>
          <w:rFonts w:hint="cs"/>
          <w:rtl/>
        </w:rPr>
        <w:t xml:space="preserve">" </w:t>
      </w:r>
      <w:r>
        <w:rPr>
          <w:rFonts w:ascii="David" w:hAnsi="David" w:hint="cs"/>
          <w:color w:val="000000"/>
          <w:rtl/>
        </w:rPr>
        <w:t>(</w:t>
      </w:r>
      <w:hyperlink r:id="rId38" w:history="1">
        <w:r w:rsidRPr="00BB5463">
          <w:rPr>
            <w:rFonts w:ascii="David" w:hAnsi="David"/>
            <w:color w:val="0000FF"/>
            <w:u w:val="single"/>
            <w:rtl/>
          </w:rPr>
          <w:t>ע"פ 9373/10</w:t>
        </w:r>
      </w:hyperlink>
      <w:r>
        <w:rPr>
          <w:rFonts w:hint="cs"/>
          <w:rtl/>
        </w:rPr>
        <w:t xml:space="preserve"> </w:t>
      </w:r>
      <w:r>
        <w:rPr>
          <w:rFonts w:hint="cs"/>
          <w:b/>
          <w:bCs/>
          <w:rtl/>
        </w:rPr>
        <w:t>חמד נ' מ"י</w:t>
      </w:r>
      <w:r>
        <w:rPr>
          <w:rFonts w:hint="cs"/>
          <w:rtl/>
        </w:rPr>
        <w:t xml:space="preserve"> (14/9/11), מפי כב' הש' לוי).</w:t>
      </w:r>
    </w:p>
    <w:p w14:paraId="39B1C7EB" w14:textId="77777777" w:rsidR="00E20220" w:rsidRDefault="00E20220">
      <w:pPr>
        <w:spacing w:line="360" w:lineRule="auto"/>
        <w:ind w:left="720"/>
        <w:jc w:val="both"/>
        <w:rPr>
          <w:b/>
          <w:bCs/>
          <w:sz w:val="2"/>
          <w:szCs w:val="2"/>
          <w:rtl/>
        </w:rPr>
      </w:pPr>
    </w:p>
    <w:p w14:paraId="744F5D8E" w14:textId="77777777" w:rsidR="00E20220" w:rsidRDefault="00BB5463">
      <w:pPr>
        <w:spacing w:line="360" w:lineRule="auto"/>
        <w:ind w:left="720"/>
        <w:jc w:val="both"/>
        <w:rPr>
          <w:rtl/>
        </w:rPr>
      </w:pPr>
      <w:r>
        <w:rPr>
          <w:rFonts w:hint="cs"/>
          <w:b/>
          <w:bCs/>
          <w:rtl/>
        </w:rPr>
        <w:t xml:space="preserve">ד. </w:t>
      </w:r>
      <w:r>
        <w:rPr>
          <w:rFonts w:hint="cs"/>
          <w:rtl/>
        </w:rPr>
        <w:t>לאחר שבחנתי את</w:t>
      </w:r>
      <w:r>
        <w:rPr>
          <w:rFonts w:hint="cs"/>
          <w:b/>
          <w:bCs/>
          <w:rtl/>
        </w:rPr>
        <w:t xml:space="preserve"> </w:t>
      </w:r>
      <w:r>
        <w:rPr>
          <w:rFonts w:hint="cs"/>
          <w:rtl/>
        </w:rPr>
        <w:t>העבירה בנסיבותיה,</w:t>
      </w:r>
      <w:r>
        <w:rPr>
          <w:rFonts w:hint="cs"/>
          <w:b/>
          <w:bCs/>
          <w:rtl/>
        </w:rPr>
        <w:t xml:space="preserve"> </w:t>
      </w:r>
      <w:r>
        <w:rPr>
          <w:rFonts w:hint="cs"/>
          <w:rtl/>
        </w:rPr>
        <w:t xml:space="preserve">אני מעמידה את מתחם הענישה בעבירות הנשק שבצע הנאשם בטווח שבין שלוש לשבע שנות מאסר בפועל, בהתחשב במגוון כלי הנשק ובריבויים. אשר לעבירות הסמים, יעמוד המתחם על הטווח שבין מאסר על תנאי ל- 18 חודשי מאסר בפועל.   </w:t>
      </w:r>
    </w:p>
    <w:p w14:paraId="23C512F7" w14:textId="77777777" w:rsidR="00E20220" w:rsidRDefault="00E20220">
      <w:pPr>
        <w:spacing w:line="360" w:lineRule="auto"/>
        <w:ind w:left="720"/>
        <w:jc w:val="both"/>
        <w:rPr>
          <w:sz w:val="14"/>
          <w:szCs w:val="14"/>
          <w:rtl/>
        </w:rPr>
      </w:pPr>
    </w:p>
    <w:p w14:paraId="5A75434E" w14:textId="77777777" w:rsidR="00E20220" w:rsidRDefault="00BB5463">
      <w:pPr>
        <w:autoSpaceDE w:val="0"/>
        <w:autoSpaceDN w:val="0"/>
        <w:adjustRightInd w:val="0"/>
        <w:spacing w:before="120" w:after="240" w:line="360" w:lineRule="auto"/>
        <w:ind w:left="716" w:hanging="690"/>
        <w:jc w:val="both"/>
        <w:rPr>
          <w:rtl/>
        </w:rPr>
      </w:pPr>
      <w:r>
        <w:rPr>
          <w:rFonts w:hint="cs"/>
          <w:b/>
          <w:bCs/>
          <w:rtl/>
        </w:rPr>
        <w:t>8</w:t>
      </w:r>
      <w:r>
        <w:rPr>
          <w:rFonts w:hint="cs"/>
          <w:rtl/>
        </w:rPr>
        <w:t xml:space="preserve">. </w:t>
      </w:r>
      <w:r>
        <w:rPr>
          <w:rFonts w:hint="cs"/>
          <w:rtl/>
        </w:rPr>
        <w:tab/>
        <w:t>יחד</w:t>
      </w:r>
      <w:r>
        <w:rPr>
          <w:rFonts w:hint="cs"/>
        </w:rPr>
        <w:t xml:space="preserve"> </w:t>
      </w:r>
      <w:r>
        <w:rPr>
          <w:rFonts w:hint="cs"/>
          <w:rtl/>
        </w:rPr>
        <w:t>עם</w:t>
      </w:r>
      <w:r>
        <w:rPr>
          <w:rFonts w:hint="cs"/>
        </w:rPr>
        <w:t xml:space="preserve"> </w:t>
      </w:r>
      <w:r>
        <w:rPr>
          <w:rFonts w:hint="cs"/>
          <w:rtl/>
        </w:rPr>
        <w:t>זאת,</w:t>
      </w:r>
      <w:r>
        <w:rPr>
          <w:rFonts w:hint="cs"/>
        </w:rPr>
        <w:t xml:space="preserve"> </w:t>
      </w:r>
      <w:r>
        <w:rPr>
          <w:rFonts w:hint="cs"/>
          <w:rtl/>
        </w:rPr>
        <w:t>הענישה</w:t>
      </w:r>
      <w:r>
        <w:rPr>
          <w:rFonts w:hint="cs"/>
        </w:rPr>
        <w:t xml:space="preserve"> </w:t>
      </w:r>
      <w:r>
        <w:rPr>
          <w:rFonts w:hint="cs"/>
          <w:rtl/>
        </w:rPr>
        <w:t>היא</w:t>
      </w:r>
      <w:r>
        <w:rPr>
          <w:rFonts w:hint="cs"/>
        </w:rPr>
        <w:t xml:space="preserve"> </w:t>
      </w:r>
      <w:r>
        <w:rPr>
          <w:rFonts w:hint="cs"/>
          <w:rtl/>
        </w:rPr>
        <w:t>לעולם</w:t>
      </w:r>
      <w:r>
        <w:rPr>
          <w:rFonts w:hint="cs"/>
        </w:rPr>
        <w:t xml:space="preserve"> </w:t>
      </w:r>
      <w:r>
        <w:rPr>
          <w:rFonts w:hint="cs"/>
          <w:rtl/>
        </w:rPr>
        <w:t>אינדיבידואלית, ובית</w:t>
      </w:r>
      <w:r>
        <w:rPr>
          <w:rFonts w:hint="cs"/>
        </w:rPr>
        <w:t xml:space="preserve"> </w:t>
      </w:r>
      <w:r>
        <w:rPr>
          <w:rFonts w:hint="cs"/>
          <w:rtl/>
        </w:rPr>
        <w:t>המשפט</w:t>
      </w:r>
      <w:r>
        <w:rPr>
          <w:rFonts w:hint="cs"/>
        </w:rPr>
        <w:t xml:space="preserve"> </w:t>
      </w:r>
      <w:r>
        <w:rPr>
          <w:rFonts w:hint="cs"/>
          <w:rtl/>
        </w:rPr>
        <w:t>מצווה</w:t>
      </w:r>
      <w:r>
        <w:rPr>
          <w:rFonts w:hint="cs"/>
        </w:rPr>
        <w:t xml:space="preserve"> </w:t>
      </w:r>
      <w:r>
        <w:rPr>
          <w:rFonts w:hint="cs"/>
          <w:rtl/>
        </w:rPr>
        <w:t>לשקול</w:t>
      </w:r>
      <w:r>
        <w:rPr>
          <w:rFonts w:hint="cs"/>
        </w:rPr>
        <w:t xml:space="preserve"> </w:t>
      </w:r>
      <w:r>
        <w:rPr>
          <w:rFonts w:hint="cs"/>
          <w:rtl/>
        </w:rPr>
        <w:t>גם</w:t>
      </w:r>
      <w:r>
        <w:rPr>
          <w:rFonts w:hint="cs"/>
        </w:rPr>
        <w:t xml:space="preserve"> </w:t>
      </w:r>
      <w:r>
        <w:rPr>
          <w:rFonts w:hint="cs"/>
          <w:rtl/>
        </w:rPr>
        <w:t>שיקולים</w:t>
      </w:r>
      <w:r>
        <w:rPr>
          <w:rFonts w:hint="cs"/>
        </w:rPr>
        <w:t xml:space="preserve"> </w:t>
      </w:r>
      <w:r>
        <w:rPr>
          <w:rFonts w:hint="cs"/>
          <w:rtl/>
        </w:rPr>
        <w:t>הנוגעים</w:t>
      </w:r>
      <w:r>
        <w:rPr>
          <w:rFonts w:hint="cs"/>
        </w:rPr>
        <w:t xml:space="preserve"> </w:t>
      </w:r>
      <w:r>
        <w:rPr>
          <w:rFonts w:hint="cs"/>
          <w:rtl/>
        </w:rPr>
        <w:t>לנסיבותיו</w:t>
      </w:r>
      <w:r>
        <w:rPr>
          <w:rFonts w:hint="cs"/>
        </w:rPr>
        <w:t xml:space="preserve"> </w:t>
      </w:r>
      <w:r>
        <w:rPr>
          <w:rFonts w:hint="cs"/>
          <w:rtl/>
        </w:rPr>
        <w:t>האישיות</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מעורבות</w:t>
      </w:r>
      <w:r>
        <w:rPr>
          <w:rFonts w:hint="cs"/>
        </w:rPr>
        <w:t xml:space="preserve"> </w:t>
      </w:r>
      <w:r>
        <w:rPr>
          <w:rFonts w:hint="cs"/>
          <w:rtl/>
        </w:rPr>
        <w:t>קודמת</w:t>
      </w:r>
      <w:r>
        <w:rPr>
          <w:rFonts w:hint="cs"/>
        </w:rPr>
        <w:t xml:space="preserve"> </w:t>
      </w:r>
      <w:r>
        <w:rPr>
          <w:rFonts w:hint="cs"/>
          <w:rtl/>
        </w:rPr>
        <w:t>בפלילים,</w:t>
      </w:r>
      <w:r>
        <w:rPr>
          <w:rFonts w:hint="cs"/>
        </w:rPr>
        <w:t xml:space="preserve"> </w:t>
      </w:r>
      <w:r>
        <w:rPr>
          <w:rFonts w:hint="cs"/>
          <w:rtl/>
        </w:rPr>
        <w:t>הודייתו</w:t>
      </w:r>
      <w:r>
        <w:rPr>
          <w:rFonts w:hint="cs"/>
        </w:rPr>
        <w:t xml:space="preserve"> </w:t>
      </w:r>
      <w:r>
        <w:rPr>
          <w:rFonts w:hint="cs"/>
          <w:rtl/>
        </w:rPr>
        <w:t>בעבירות</w:t>
      </w:r>
      <w:r>
        <w:rPr>
          <w:rFonts w:hint="cs"/>
        </w:rPr>
        <w:t xml:space="preserve"> </w:t>
      </w:r>
      <w:r>
        <w:rPr>
          <w:rFonts w:hint="cs"/>
          <w:rtl/>
        </w:rPr>
        <w:t>שביצע,</w:t>
      </w:r>
      <w:r>
        <w:rPr>
          <w:rFonts w:hint="cs"/>
        </w:rPr>
        <w:t xml:space="preserve"> </w:t>
      </w:r>
      <w:r>
        <w:rPr>
          <w:rFonts w:hint="cs"/>
          <w:rtl/>
        </w:rPr>
        <w:t>חרטתו, וכן</w:t>
      </w:r>
      <w:r>
        <w:rPr>
          <w:rFonts w:hint="cs"/>
        </w:rPr>
        <w:t xml:space="preserve"> </w:t>
      </w:r>
      <w:r>
        <w:rPr>
          <w:rFonts w:hint="cs"/>
          <w:rtl/>
        </w:rPr>
        <w:t>שיקולי</w:t>
      </w:r>
      <w:r>
        <w:rPr>
          <w:rFonts w:hint="cs"/>
        </w:rPr>
        <w:t xml:space="preserve"> </w:t>
      </w:r>
      <w:r>
        <w:rPr>
          <w:rFonts w:hint="cs"/>
          <w:rtl/>
        </w:rPr>
        <w:t>שיקום</w:t>
      </w:r>
      <w:r>
        <w:rPr>
          <w:rFonts w:hint="cs"/>
        </w:rPr>
        <w:t xml:space="preserve"> </w:t>
      </w:r>
      <w:r>
        <w:rPr>
          <w:rFonts w:hint="cs"/>
          <w:rtl/>
        </w:rPr>
        <w:t>וחינוך (</w:t>
      </w:r>
      <w:hyperlink r:id="rId39" w:history="1">
        <w:r w:rsidRPr="00BB5463">
          <w:rPr>
            <w:color w:val="0000FF"/>
            <w:u w:val="single"/>
            <w:rtl/>
          </w:rPr>
          <w:t>ע"פ 5106/99 אבו נג'ימה נ' מ"י, פ"ד נד</w:t>
        </w:r>
      </w:hyperlink>
      <w:r>
        <w:rPr>
          <w:rFonts w:hint="cs"/>
          <w:rtl/>
        </w:rPr>
        <w:t>, 354, 350(1)</w:t>
      </w:r>
      <w:r>
        <w:rPr>
          <w:rFonts w:hint="cs"/>
        </w:rPr>
        <w:t xml:space="preserve"> </w:t>
      </w:r>
      <w:r>
        <w:rPr>
          <w:rFonts w:hint="cs"/>
          <w:rtl/>
        </w:rPr>
        <w:t>מפי</w:t>
      </w:r>
      <w:r>
        <w:rPr>
          <w:rFonts w:hint="cs"/>
        </w:rPr>
        <w:t xml:space="preserve"> </w:t>
      </w:r>
      <w:r>
        <w:rPr>
          <w:rFonts w:hint="cs"/>
          <w:rtl/>
        </w:rPr>
        <w:t>כב' הש' דורנר;</w:t>
      </w:r>
      <w:r>
        <w:rPr>
          <w:rFonts w:hint="cs"/>
        </w:rPr>
        <w:t xml:space="preserve"> </w:t>
      </w:r>
      <w:hyperlink r:id="rId40" w:history="1">
        <w:r w:rsidRPr="00BB5463">
          <w:rPr>
            <w:color w:val="0000FF"/>
            <w:u w:val="single"/>
            <w:rtl/>
          </w:rPr>
          <w:t>ע"פ 4890/01 מ"י נ' פלוני, פ"ד נו</w:t>
        </w:r>
      </w:hyperlink>
      <w:r>
        <w:rPr>
          <w:rFonts w:hint="cs"/>
          <w:rtl/>
        </w:rPr>
        <w:t xml:space="preserve">(1), 594, מפי כב' הש' (כתוארה אז) ביניש). </w:t>
      </w:r>
    </w:p>
    <w:p w14:paraId="5FA3DC4E" w14:textId="77777777" w:rsidR="00E20220" w:rsidRDefault="00BB5463">
      <w:pPr>
        <w:autoSpaceDE w:val="0"/>
        <w:autoSpaceDN w:val="0"/>
        <w:adjustRightInd w:val="0"/>
        <w:spacing w:before="120" w:after="240" w:line="360" w:lineRule="auto"/>
        <w:ind w:left="746"/>
        <w:jc w:val="both"/>
        <w:rPr>
          <w:rtl/>
        </w:rPr>
      </w:pPr>
      <w:r>
        <w:rPr>
          <w:rFonts w:hint="cs"/>
          <w:b/>
          <w:bCs/>
          <w:rtl/>
        </w:rPr>
        <w:t>א.</w:t>
      </w:r>
      <w:r>
        <w:rPr>
          <w:rFonts w:hint="cs"/>
          <w:rtl/>
        </w:rPr>
        <w:t xml:space="preserve"> לקולא</w:t>
      </w:r>
      <w:r>
        <w:rPr>
          <w:rFonts w:hint="cs"/>
        </w:rPr>
        <w:t xml:space="preserve"> </w:t>
      </w:r>
      <w:r>
        <w:rPr>
          <w:rFonts w:hint="cs"/>
          <w:rtl/>
        </w:rPr>
        <w:t>אני</w:t>
      </w:r>
      <w:r>
        <w:rPr>
          <w:rFonts w:hint="cs"/>
        </w:rPr>
        <w:t xml:space="preserve"> </w:t>
      </w:r>
      <w:r>
        <w:rPr>
          <w:rFonts w:hint="cs"/>
          <w:rtl/>
        </w:rPr>
        <w:t>רואה</w:t>
      </w:r>
      <w:r>
        <w:rPr>
          <w:rFonts w:hint="cs"/>
        </w:rPr>
        <w:t xml:space="preserve"> </w:t>
      </w:r>
      <w:r>
        <w:rPr>
          <w:rFonts w:hint="cs"/>
          <w:rtl/>
        </w:rPr>
        <w:t>לזקוף</w:t>
      </w:r>
      <w:r>
        <w:rPr>
          <w:rFonts w:hint="cs"/>
        </w:rPr>
        <w:t xml:space="preserve"> </w:t>
      </w:r>
      <w:r>
        <w:rPr>
          <w:rFonts w:hint="cs"/>
          <w:rtl/>
        </w:rPr>
        <w:t>לזכות</w:t>
      </w:r>
      <w:r>
        <w:rPr>
          <w:rFonts w:hint="cs"/>
        </w:rPr>
        <w:t xml:space="preserve"> </w:t>
      </w:r>
      <w:r>
        <w:rPr>
          <w:rFonts w:hint="cs"/>
          <w:rtl/>
        </w:rPr>
        <w:t>הנאשם</w:t>
      </w:r>
      <w:r>
        <w:rPr>
          <w:rFonts w:hint="cs"/>
        </w:rPr>
        <w:t xml:space="preserve"> </w:t>
      </w:r>
      <w:r>
        <w:rPr>
          <w:rFonts w:hint="cs"/>
          <w:rtl/>
        </w:rPr>
        <w:t>את</w:t>
      </w:r>
      <w:r>
        <w:rPr>
          <w:rFonts w:hint="cs"/>
        </w:rPr>
        <w:t xml:space="preserve"> </w:t>
      </w:r>
      <w:r>
        <w:rPr>
          <w:rFonts w:hint="cs"/>
          <w:rtl/>
        </w:rPr>
        <w:t>הודייתו</w:t>
      </w:r>
      <w:r>
        <w:rPr>
          <w:rFonts w:hint="cs"/>
        </w:rPr>
        <w:t xml:space="preserve"> </w:t>
      </w:r>
      <w:r>
        <w:rPr>
          <w:rFonts w:hint="cs"/>
          <w:rtl/>
        </w:rPr>
        <w:t>בעובדות</w:t>
      </w:r>
      <w:r>
        <w:rPr>
          <w:rFonts w:hint="cs"/>
        </w:rPr>
        <w:t xml:space="preserve"> </w:t>
      </w:r>
      <w:r>
        <w:rPr>
          <w:rFonts w:hint="cs"/>
          <w:rtl/>
        </w:rPr>
        <w:t>כתב</w:t>
      </w:r>
      <w:r>
        <w:rPr>
          <w:rFonts w:hint="cs"/>
        </w:rPr>
        <w:t xml:space="preserve"> </w:t>
      </w:r>
      <w:r>
        <w:rPr>
          <w:rFonts w:hint="cs"/>
          <w:rtl/>
        </w:rPr>
        <w:t xml:space="preserve">האישום, שתוקן לאחר שנשמע חלק מראיות התביעה בעניינו. בשולי הדברים ייאמר כי בית המשפט נחשף גם לקשיים הראייתיים בתיק זה. אמנם, לא למותר לציין, כי לפי דברי הנאשם בפני קצינת המבחן ובבית המשפט, קשה להתרשם כי הנאשם הפנים את חומרת מעשיו, עת חווה עצמו יותר כקורבן מאשר כאדם שביצע עבירות פליליות. הוא ניסה להשליך את האשמה על אחרים, אשר חייבו אותו להחזיק בנשקים בהם "נגע", ובפחדו עשה כן, לדבריו. גם קצינת המבחן התרשמה כי הנאשם מתקשה לקבל אחריות מלאה על מעשיו, והוא נוטה למזער את אחריותו למעשיו. אפילו יש ממש בדברי הנאשם, ולא הוגשו ראיות ממשיות כי כך היו פני הדברים, אין בפני טענה לקיומו של סייג לאחריותו הפלילית של הנאשם. אין מדובר במעשה ספונטני שנעשה ללא הבנה של משמעות הדברים. לנאשם היתה בחירה, אם כי בעייתית, למסור את כלי הנשק למשטרה, ומשבחר להחזיקם, אין לו להלין אלא על עצמו. אף על פי כן, משהודה הנאשם בעובדות כתב האישום המתוקן, וויתר על זכותו להלחם על חפותו, הוא זכאי להקלה על פי הפסיקה הנוהגת. </w:t>
      </w:r>
    </w:p>
    <w:p w14:paraId="2C47756D" w14:textId="77777777" w:rsidR="00E20220" w:rsidRDefault="00BB5463">
      <w:pPr>
        <w:autoSpaceDE w:val="0"/>
        <w:autoSpaceDN w:val="0"/>
        <w:adjustRightInd w:val="0"/>
        <w:spacing w:before="120" w:after="240" w:line="360" w:lineRule="auto"/>
        <w:ind w:left="746"/>
        <w:jc w:val="both"/>
        <w:rPr>
          <w:rtl/>
        </w:rPr>
      </w:pPr>
      <w:r>
        <w:rPr>
          <w:rFonts w:hint="cs"/>
          <w:b/>
          <w:bCs/>
          <w:rtl/>
        </w:rPr>
        <w:t>ב.</w:t>
      </w:r>
      <w:r>
        <w:rPr>
          <w:rFonts w:hint="cs"/>
          <w:rtl/>
        </w:rPr>
        <w:t xml:space="preserve"> כן ילקחו בחשבון נסיבותיו האישיות הקשות של הנאשם, כפי שבאו לידי ביטוי בתסקיר המבחן, ומצוקותיו על רקע הבית הבעייתי בו גדל, מצבה הכלכלי הקשה של משפחתו, והעדר דוגמא אישית ראויה לחיקוי ולהזדהות. </w:t>
      </w:r>
    </w:p>
    <w:p w14:paraId="4C70AF50" w14:textId="77777777" w:rsidR="00E20220" w:rsidRDefault="00BB5463">
      <w:pPr>
        <w:autoSpaceDE w:val="0"/>
        <w:autoSpaceDN w:val="0"/>
        <w:adjustRightInd w:val="0"/>
        <w:spacing w:before="120" w:after="240" w:line="360" w:lineRule="auto"/>
        <w:ind w:left="746"/>
        <w:jc w:val="both"/>
        <w:rPr>
          <w:rtl/>
        </w:rPr>
      </w:pPr>
      <w:r>
        <w:rPr>
          <w:rFonts w:hint="cs"/>
          <w:b/>
          <w:bCs/>
          <w:rtl/>
        </w:rPr>
        <w:t>ג</w:t>
      </w:r>
      <w:r>
        <w:rPr>
          <w:rFonts w:hint="cs"/>
          <w:rtl/>
        </w:rPr>
        <w:t xml:space="preserve">. מאידך גיסא, לנאשם הרשעות קודמות בעבירות אלימות ורכוש, והוא אף ישב במאסר בגינן. נוכח עברו ועמדתו ביחס לאורחות חייו, העריכה קצינת המבחן כי הסיכון להישנותה של התנהגות פורצת חוק אצל הנאשם הוא גבוה, והמליצה לשלבו בקבוצה טיפולית בשב"ס. דא עקא שהנאשם עצמו לא חווה את דרך חייו כבעייתית, ואף ציין בפני קצינת המבחן כי אינו רואה סיבה לשנותה בעתיד. </w:t>
      </w:r>
    </w:p>
    <w:p w14:paraId="1A026C4D" w14:textId="77777777" w:rsidR="00E20220" w:rsidRDefault="00BB5463">
      <w:pPr>
        <w:autoSpaceDE w:val="0"/>
        <w:autoSpaceDN w:val="0"/>
        <w:adjustRightInd w:val="0"/>
        <w:spacing w:before="120" w:after="240" w:line="360" w:lineRule="auto"/>
        <w:ind w:left="746"/>
        <w:jc w:val="both"/>
        <w:rPr>
          <w:rtl/>
        </w:rPr>
      </w:pPr>
      <w:r>
        <w:rPr>
          <w:rFonts w:hint="cs"/>
          <w:b/>
          <w:bCs/>
          <w:rtl/>
        </w:rPr>
        <w:t>ד.</w:t>
      </w:r>
      <w:r>
        <w:rPr>
          <w:rFonts w:hint="cs"/>
          <w:rtl/>
        </w:rPr>
        <w:t xml:space="preserve"> שירות המבחן המליץ להשית על הנאשם ענישה מרתיעה ומשמעותית, ונמנע מכל המלצה טיפולית. כידוע, אין בית המשפט כבול להמלצותיו של שירות המבחן, אך האמור בתסקיר תומך דווקא בעמדת התביעה, למרות שככלל נוהג שירות המבחן לבחון גם את הפן השיקומי, שעה שהדבר ניתן.  מכל מקום, כבר</w:t>
      </w:r>
      <w:r>
        <w:rPr>
          <w:rFonts w:hint="cs"/>
        </w:rPr>
        <w:t xml:space="preserve"> </w:t>
      </w:r>
      <w:r>
        <w:rPr>
          <w:rFonts w:hint="cs"/>
          <w:rtl/>
        </w:rPr>
        <w:t>נקבע</w:t>
      </w:r>
      <w:r>
        <w:rPr>
          <w:rFonts w:hint="cs"/>
        </w:rPr>
        <w:t xml:space="preserve"> </w:t>
      </w:r>
      <w:r>
        <w:rPr>
          <w:rFonts w:hint="cs"/>
          <w:rtl/>
        </w:rPr>
        <w:t>כי</w:t>
      </w:r>
      <w:r>
        <w:rPr>
          <w:rFonts w:hint="cs"/>
        </w:rPr>
        <w:t xml:space="preserve"> </w:t>
      </w:r>
      <w:r>
        <w:rPr>
          <w:rFonts w:hint="cs"/>
          <w:rtl/>
        </w:rPr>
        <w:t>כאשר</w:t>
      </w:r>
      <w:r>
        <w:rPr>
          <w:rFonts w:hint="cs"/>
        </w:rPr>
        <w:t xml:space="preserve"> </w:t>
      </w:r>
      <w:r>
        <w:rPr>
          <w:rFonts w:hint="cs"/>
          <w:rtl/>
        </w:rPr>
        <w:t>עסקינן בעבירות</w:t>
      </w:r>
      <w:r>
        <w:rPr>
          <w:rFonts w:hint="cs"/>
        </w:rPr>
        <w:t xml:space="preserve"> </w:t>
      </w:r>
      <w:r>
        <w:rPr>
          <w:rFonts w:hint="cs"/>
          <w:rtl/>
        </w:rPr>
        <w:t>נשק, יסוגו</w:t>
      </w:r>
      <w:r>
        <w:rPr>
          <w:rFonts w:hint="cs"/>
        </w:rPr>
        <w:t xml:space="preserve"> </w:t>
      </w:r>
      <w:r>
        <w:rPr>
          <w:rFonts w:hint="cs"/>
          <w:rtl/>
        </w:rPr>
        <w:t>נסיבותיו</w:t>
      </w:r>
      <w:r>
        <w:rPr>
          <w:rFonts w:hint="cs"/>
        </w:rPr>
        <w:t xml:space="preserve"> </w:t>
      </w:r>
      <w:r>
        <w:rPr>
          <w:rFonts w:hint="cs"/>
          <w:rtl/>
        </w:rPr>
        <w:t>האישיות</w:t>
      </w:r>
      <w:r>
        <w:rPr>
          <w:rFonts w:hint="cs"/>
        </w:rPr>
        <w:t xml:space="preserve"> </w:t>
      </w:r>
      <w:r>
        <w:rPr>
          <w:rFonts w:hint="cs"/>
          <w:rtl/>
        </w:rPr>
        <w:t>של</w:t>
      </w:r>
      <w:r>
        <w:rPr>
          <w:rFonts w:hint="cs"/>
        </w:rPr>
        <w:t xml:space="preserve"> </w:t>
      </w:r>
      <w:r>
        <w:rPr>
          <w:rFonts w:hint="cs"/>
          <w:rtl/>
        </w:rPr>
        <w:t>נאשם</w:t>
      </w:r>
      <w:r>
        <w:rPr>
          <w:rFonts w:hint="cs"/>
        </w:rPr>
        <w:t xml:space="preserve"> </w:t>
      </w:r>
      <w:r>
        <w:rPr>
          <w:rFonts w:hint="cs"/>
          <w:rtl/>
        </w:rPr>
        <w:t>מפני</w:t>
      </w:r>
      <w:r>
        <w:rPr>
          <w:rFonts w:hint="cs"/>
        </w:rPr>
        <w:t xml:space="preserve"> </w:t>
      </w:r>
      <w:r>
        <w:rPr>
          <w:rFonts w:hint="cs"/>
          <w:rtl/>
        </w:rPr>
        <w:t>שיקולים</w:t>
      </w:r>
      <w:r>
        <w:rPr>
          <w:rFonts w:hint="cs"/>
        </w:rPr>
        <w:t xml:space="preserve"> </w:t>
      </w:r>
      <w:r>
        <w:rPr>
          <w:rFonts w:hint="cs"/>
          <w:rtl/>
        </w:rPr>
        <w:t>של</w:t>
      </w:r>
      <w:r>
        <w:rPr>
          <w:rFonts w:hint="cs"/>
        </w:rPr>
        <w:t xml:space="preserve"> </w:t>
      </w:r>
      <w:r>
        <w:rPr>
          <w:rFonts w:hint="cs"/>
          <w:rtl/>
        </w:rPr>
        <w:t>טובת</w:t>
      </w:r>
      <w:r>
        <w:rPr>
          <w:rFonts w:hint="cs"/>
        </w:rPr>
        <w:t xml:space="preserve"> </w:t>
      </w:r>
      <w:r>
        <w:rPr>
          <w:rFonts w:hint="cs"/>
          <w:rtl/>
        </w:rPr>
        <w:t xml:space="preserve">הציבור. </w:t>
      </w:r>
    </w:p>
    <w:p w14:paraId="6A019073" w14:textId="77777777" w:rsidR="00E20220" w:rsidRDefault="00BB5463">
      <w:pPr>
        <w:spacing w:before="120" w:after="240" w:line="360" w:lineRule="auto"/>
        <w:ind w:left="720"/>
        <w:jc w:val="both"/>
        <w:rPr>
          <w:rtl/>
        </w:rPr>
      </w:pPr>
      <w:r>
        <w:rPr>
          <w:rFonts w:hint="cs"/>
          <w:rtl/>
        </w:rPr>
        <w:t>לעניין זה ראו:</w:t>
      </w:r>
    </w:p>
    <w:p w14:paraId="590F7ABF" w14:textId="77777777" w:rsidR="00E20220" w:rsidRDefault="00BB5463">
      <w:pPr>
        <w:spacing w:before="120" w:after="240" w:line="360" w:lineRule="auto"/>
        <w:ind w:left="1440"/>
        <w:jc w:val="both"/>
        <w:rPr>
          <w:rtl/>
        </w:rPr>
      </w:pPr>
      <w:r>
        <w:rPr>
          <w:rFonts w:hint="cs"/>
          <w:rtl/>
        </w:rPr>
        <w:t>"</w:t>
      </w:r>
      <w:r>
        <w:rPr>
          <w:rFonts w:cs="Miriam" w:hint="cs"/>
          <w:rtl/>
        </w:rPr>
        <w:t>מעבר לנדרש, 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hint="cs"/>
          <w:rtl/>
        </w:rPr>
        <w:t xml:space="preserve">. </w:t>
      </w:r>
      <w:r>
        <w:rPr>
          <w:rFonts w:cs="Miriam" w:hint="cs"/>
          <w:rtl/>
        </w:rPr>
        <w:t xml:space="preserve">(ראו והשוו </w:t>
      </w:r>
      <w:hyperlink r:id="rId41" w:history="1">
        <w:r w:rsidRPr="00BB5463">
          <w:rPr>
            <w:rFonts w:cs="Miriam"/>
            <w:color w:val="0000FF"/>
            <w:u w:val="single"/>
            <w:rtl/>
          </w:rPr>
          <w:t>ע"פ 5066/98</w:t>
        </w:r>
      </w:hyperlink>
      <w:r>
        <w:rPr>
          <w:rFonts w:cs="Miriam" w:hint="cs"/>
          <w:rtl/>
        </w:rPr>
        <w:t xml:space="preserve"> מדינת ישראל נ' ניעמן דחלה ואח', תק-על 99(3), 1574)"</w:t>
      </w:r>
      <w:r>
        <w:rPr>
          <w:rFonts w:hint="cs"/>
          <w:rtl/>
        </w:rPr>
        <w:t>.</w:t>
      </w:r>
      <w:r>
        <w:rPr>
          <w:rFonts w:hint="cs"/>
          <w:sz w:val="26"/>
          <w:szCs w:val="26"/>
          <w:rtl/>
        </w:rPr>
        <w:t xml:space="preserve"> </w:t>
      </w:r>
      <w:r>
        <w:rPr>
          <w:rFonts w:hint="cs"/>
          <w:rtl/>
        </w:rPr>
        <w:t>(</w:t>
      </w:r>
      <w:hyperlink r:id="rId42" w:history="1">
        <w:r w:rsidRPr="00BB5463">
          <w:rPr>
            <w:color w:val="0000FF"/>
            <w:u w:val="single"/>
            <w:rtl/>
          </w:rPr>
          <w:t>רע"פ 2718/04</w:t>
        </w:r>
      </w:hyperlink>
      <w:r>
        <w:rPr>
          <w:rFonts w:hint="cs"/>
          <w:rtl/>
        </w:rPr>
        <w:t xml:space="preserve"> </w:t>
      </w:r>
      <w:r>
        <w:rPr>
          <w:rFonts w:hint="cs"/>
          <w:b/>
          <w:bCs/>
          <w:rtl/>
        </w:rPr>
        <w:t>אבו דאחל נ' מ"י (</w:t>
      </w:r>
      <w:r>
        <w:rPr>
          <w:rFonts w:hint="cs"/>
          <w:rtl/>
        </w:rPr>
        <w:t xml:space="preserve">29/3/04), מפי כב' הש' ג'ובראן). </w:t>
      </w:r>
    </w:p>
    <w:p w14:paraId="41E4CB9A" w14:textId="77777777" w:rsidR="00E20220" w:rsidRDefault="00BB5463">
      <w:pPr>
        <w:pStyle w:val="normal-p-p"/>
        <w:bidi/>
        <w:spacing w:line="360" w:lineRule="auto"/>
        <w:ind w:left="720" w:hanging="720"/>
        <w:jc w:val="both"/>
        <w:rPr>
          <w:rStyle w:val="aa-h1-h1-h1"/>
          <w:rFonts w:cs="David"/>
          <w:b w:val="0"/>
          <w:bCs w:val="0"/>
          <w:sz w:val="24"/>
          <w:szCs w:val="24"/>
          <w:rtl/>
        </w:rPr>
      </w:pPr>
      <w:r>
        <w:rPr>
          <w:rStyle w:val="aa-h1-h1-h1"/>
          <w:rFonts w:cs="David" w:hint="cs"/>
          <w:sz w:val="24"/>
          <w:szCs w:val="24"/>
          <w:rtl/>
        </w:rPr>
        <w:t>9.</w:t>
      </w:r>
      <w:r>
        <w:rPr>
          <w:rStyle w:val="aa-h1-h1-h1"/>
          <w:rFonts w:cs="David" w:hint="cs"/>
          <w:sz w:val="24"/>
          <w:szCs w:val="24"/>
          <w:rtl/>
        </w:rPr>
        <w:tab/>
        <w:t xml:space="preserve">נוכח כל המקובץ, לאחר ששקלתי את כל השיקולים לחומרא ולקולא, אני רואה לגזור על הנאשם עונשים כדלקמן: </w:t>
      </w:r>
    </w:p>
    <w:p w14:paraId="0163A11A" w14:textId="77777777" w:rsidR="00E20220" w:rsidRDefault="00BB5463">
      <w:pPr>
        <w:pStyle w:val="normal-p-p"/>
        <w:bidi/>
        <w:spacing w:line="360" w:lineRule="auto"/>
        <w:ind w:left="720"/>
        <w:jc w:val="both"/>
        <w:rPr>
          <w:rStyle w:val="aa-h1-h1-h1"/>
          <w:rFonts w:cs="David"/>
          <w:b w:val="0"/>
          <w:bCs w:val="0"/>
          <w:sz w:val="24"/>
          <w:szCs w:val="24"/>
          <w:rtl/>
        </w:rPr>
      </w:pPr>
      <w:r>
        <w:rPr>
          <w:rStyle w:val="aa-h1-h1-h1"/>
          <w:rFonts w:cs="David" w:hint="cs"/>
          <w:sz w:val="24"/>
          <w:szCs w:val="24"/>
          <w:rtl/>
        </w:rPr>
        <w:t xml:space="preserve">א. מאסר בפועל למשך 42 חודשים, בניכוי תקופת מעצרו מיום 20/6/13. </w:t>
      </w:r>
    </w:p>
    <w:p w14:paraId="662800DD" w14:textId="77777777" w:rsidR="00E20220" w:rsidRDefault="00BB5463">
      <w:pPr>
        <w:pStyle w:val="normal-p-p"/>
        <w:bidi/>
        <w:spacing w:line="360" w:lineRule="auto"/>
        <w:ind w:left="720"/>
        <w:jc w:val="both"/>
        <w:rPr>
          <w:rStyle w:val="aa-h1-h1-h1"/>
          <w:rFonts w:cs="David"/>
          <w:b w:val="0"/>
          <w:bCs w:val="0"/>
          <w:sz w:val="24"/>
          <w:szCs w:val="24"/>
          <w:rtl/>
        </w:rPr>
      </w:pPr>
      <w:r>
        <w:rPr>
          <w:rStyle w:val="aa-h1-h1-h1"/>
          <w:rFonts w:cs="David" w:hint="cs"/>
          <w:sz w:val="24"/>
          <w:szCs w:val="24"/>
          <w:rtl/>
        </w:rPr>
        <w:t xml:space="preserve">ב. מאסר על תנאי למשך 18 חודשים, שהנאשם לא ישא בו זולת אם יעבור במשך 3 שנים מיום שחרורו עבירה בנשק או עבירה לפי </w:t>
      </w:r>
      <w:hyperlink r:id="rId43" w:history="1">
        <w:r w:rsidRPr="00BB5463">
          <w:rPr>
            <w:rStyle w:val="aa-h1-h1-h1"/>
            <w:rFonts w:cs="David"/>
            <w:color w:val="0000FF"/>
            <w:sz w:val="24"/>
            <w:szCs w:val="24"/>
            <w:u w:val="single"/>
            <w:rtl/>
          </w:rPr>
          <w:t>פקודת הסמים המסוכנים</w:t>
        </w:r>
      </w:hyperlink>
      <w:r>
        <w:rPr>
          <w:rStyle w:val="aa-h1-h1-h1"/>
          <w:rFonts w:cs="David" w:hint="cs"/>
          <w:sz w:val="24"/>
          <w:szCs w:val="24"/>
          <w:rtl/>
        </w:rPr>
        <w:t xml:space="preserve"> למעט שימוש בסמים לצריכה עצמית או החזקת כלים, ויורשע בה בתוך תקופת התנאי או לאחריה. </w:t>
      </w:r>
    </w:p>
    <w:p w14:paraId="27B614C0" w14:textId="77777777" w:rsidR="00E20220" w:rsidRDefault="00BB5463">
      <w:pPr>
        <w:pStyle w:val="normal-p-p"/>
        <w:bidi/>
        <w:spacing w:line="360" w:lineRule="auto"/>
        <w:ind w:left="720"/>
        <w:jc w:val="both"/>
        <w:rPr>
          <w:rFonts w:cs="Times New Roman"/>
          <w:b/>
          <w:bCs/>
          <w:rtl/>
        </w:rPr>
      </w:pPr>
      <w:r>
        <w:rPr>
          <w:rStyle w:val="aa-h1-h1-h1"/>
          <w:rFonts w:cs="David" w:hint="cs"/>
          <w:sz w:val="24"/>
          <w:szCs w:val="24"/>
          <w:rtl/>
        </w:rPr>
        <w:t xml:space="preserve">ג. מאסר על תנאי למשך 6 חודשים, שהנאשם לא ישא בו זולת אם יעבור במשך 3 שנים מיום שחרורו עבירה של שימוש בסם מסוכן לצריכה עצמית או החזקת כלים, ויורשע בה בתוך תקופת התנאי או לאחריה. </w:t>
      </w:r>
    </w:p>
    <w:p w14:paraId="0F46CF5D" w14:textId="77777777" w:rsidR="00E20220" w:rsidRDefault="00BB5463">
      <w:pPr>
        <w:pStyle w:val="normal-p-p"/>
        <w:bidi/>
        <w:spacing w:line="360" w:lineRule="auto"/>
        <w:ind w:left="720"/>
        <w:jc w:val="both"/>
        <w:rPr>
          <w:rStyle w:val="aa-h1-h1-h1"/>
          <w:rFonts w:cs="David"/>
          <w:sz w:val="24"/>
          <w:szCs w:val="24"/>
          <w:rtl/>
        </w:rPr>
      </w:pPr>
      <w:r>
        <w:rPr>
          <w:rStyle w:val="aa-h1-h1-h1"/>
          <w:rFonts w:cs="David" w:hint="cs"/>
          <w:sz w:val="24"/>
          <w:szCs w:val="24"/>
          <w:rtl/>
        </w:rPr>
        <w:t xml:space="preserve">בנסיבות הענין איני רואה להטיל קנס על הנאשם. </w:t>
      </w:r>
    </w:p>
    <w:p w14:paraId="2A8DCC72" w14:textId="77777777" w:rsidR="00E20220" w:rsidRDefault="00BB5463">
      <w:pPr>
        <w:pStyle w:val="normal-p-p"/>
        <w:bidi/>
        <w:spacing w:line="360" w:lineRule="auto"/>
        <w:ind w:left="720" w:hanging="720"/>
        <w:jc w:val="both"/>
        <w:rPr>
          <w:rStyle w:val="aa-h1-h1-h1"/>
          <w:rFonts w:cs="David"/>
          <w:b w:val="0"/>
          <w:bCs w:val="0"/>
          <w:sz w:val="24"/>
          <w:szCs w:val="24"/>
          <w:rtl/>
        </w:rPr>
      </w:pPr>
      <w:r>
        <w:rPr>
          <w:rStyle w:val="aa-h1-h1-h1"/>
          <w:rFonts w:cs="David" w:hint="cs"/>
          <w:sz w:val="24"/>
          <w:szCs w:val="24"/>
          <w:rtl/>
        </w:rPr>
        <w:t>10.</w:t>
      </w:r>
      <w:r>
        <w:rPr>
          <w:rStyle w:val="aa-h1-h1-h1"/>
          <w:rFonts w:cs="David" w:hint="cs"/>
          <w:sz w:val="24"/>
          <w:szCs w:val="24"/>
          <w:rtl/>
        </w:rPr>
        <w:tab/>
        <w:t xml:space="preserve">בשולי הדברים ייאמר כי אם יבקש הנאשם להשתקם, מומלץ ששב"ס יאפשר לו לעבור הליך טיפולי בבית הסוהר, כאמור בהמלצתה של קצינת המבחן. (השוו </w:t>
      </w:r>
      <w:hyperlink r:id="rId44" w:history="1">
        <w:r w:rsidRPr="00BB5463">
          <w:rPr>
            <w:rStyle w:val="aa-h1-h1-h1"/>
            <w:rFonts w:cs="David"/>
            <w:color w:val="0000FF"/>
            <w:sz w:val="24"/>
            <w:szCs w:val="24"/>
            <w:u w:val="single"/>
            <w:rtl/>
          </w:rPr>
          <w:t>ע"פ 7496/12</w:t>
        </w:r>
      </w:hyperlink>
      <w:r>
        <w:rPr>
          <w:rStyle w:val="aa-h1-h1-h1"/>
          <w:rFonts w:cs="David" w:hint="cs"/>
          <w:sz w:val="24"/>
          <w:szCs w:val="24"/>
          <w:rtl/>
        </w:rPr>
        <w:t xml:space="preserve"> זיתוני נ' מ"י (26/6/13), מפי כב' הש' רובינשטיין).</w:t>
      </w:r>
    </w:p>
    <w:p w14:paraId="1CE90AF5" w14:textId="77777777" w:rsidR="00E20220" w:rsidRDefault="00E20220">
      <w:pPr>
        <w:pStyle w:val="normal-p-p"/>
        <w:bidi/>
        <w:spacing w:line="360" w:lineRule="auto"/>
        <w:ind w:left="720" w:hanging="720"/>
        <w:jc w:val="both"/>
        <w:rPr>
          <w:rStyle w:val="aa-h1-h1-h1"/>
          <w:rFonts w:cs="David"/>
          <w:b w:val="0"/>
          <w:bCs w:val="0"/>
          <w:sz w:val="2"/>
          <w:szCs w:val="2"/>
          <w:rtl/>
        </w:rPr>
      </w:pPr>
    </w:p>
    <w:p w14:paraId="33560ECE" w14:textId="77777777" w:rsidR="00E20220" w:rsidRDefault="00BB5463">
      <w:pPr>
        <w:pStyle w:val="normal-p"/>
        <w:bidi/>
        <w:spacing w:before="0" w:beforeAutospacing="0" w:after="0" w:afterAutospacing="0"/>
        <w:ind w:firstLine="720"/>
        <w:jc w:val="both"/>
        <w:rPr>
          <w:rtl/>
        </w:rPr>
      </w:pPr>
      <w:r>
        <w:rPr>
          <w:rStyle w:val="normal-h-h-h"/>
          <w:rFonts w:cs="David" w:hint="cs"/>
          <w:b/>
          <w:bCs/>
          <w:u w:val="single"/>
          <w:rtl/>
        </w:rPr>
        <w:t>זכות ערעור לבית המשפט העליון בתוך 45 יום מהיום</w:t>
      </w:r>
      <w:r>
        <w:rPr>
          <w:rStyle w:val="normal-h-h-h"/>
          <w:rFonts w:cs="David" w:hint="cs"/>
          <w:rtl/>
        </w:rPr>
        <w:t>.</w:t>
      </w:r>
      <w:r>
        <w:rPr>
          <w:rFonts w:hint="cs"/>
          <w:rtl/>
        </w:rPr>
        <w:t xml:space="preserve"> </w:t>
      </w:r>
    </w:p>
    <w:p w14:paraId="0782B85A" w14:textId="77777777" w:rsidR="00E20220" w:rsidRDefault="00E20220">
      <w:pPr>
        <w:spacing w:line="360" w:lineRule="auto"/>
        <w:rPr>
          <w:b/>
          <w:bCs/>
          <w:rtl/>
        </w:rPr>
      </w:pPr>
    </w:p>
    <w:p w14:paraId="3CE6FB0F" w14:textId="77777777" w:rsidR="00E20220" w:rsidRPr="00BB5463" w:rsidRDefault="00BB5463">
      <w:pPr>
        <w:spacing w:line="360" w:lineRule="auto"/>
        <w:rPr>
          <w:b/>
          <w:bCs/>
          <w:color w:val="FFFFFF"/>
          <w:sz w:val="2"/>
          <w:szCs w:val="2"/>
          <w:rtl/>
        </w:rPr>
      </w:pPr>
      <w:r w:rsidRPr="00BB5463">
        <w:rPr>
          <w:b/>
          <w:bCs/>
          <w:color w:val="FFFFFF"/>
          <w:sz w:val="2"/>
          <w:szCs w:val="2"/>
          <w:rtl/>
        </w:rPr>
        <w:t>5129371</w:t>
      </w:r>
    </w:p>
    <w:p w14:paraId="043A484B" w14:textId="77777777" w:rsidR="00E20220" w:rsidRDefault="00BB5463">
      <w:pPr>
        <w:rPr>
          <w:rFonts w:cs="FrankRuehl"/>
          <w:sz w:val="28"/>
          <w:szCs w:val="28"/>
          <w:rtl/>
        </w:rPr>
      </w:pPr>
      <w:r w:rsidRPr="00BB5463">
        <w:rPr>
          <w:rFonts w:ascii="Arial" w:hAnsi="Arial"/>
          <w:color w:val="FFFFFF"/>
          <w:sz w:val="2"/>
          <w:szCs w:val="2"/>
          <w:rtl/>
        </w:rPr>
        <w:t>54678313</w:t>
      </w:r>
      <w:r>
        <w:rPr>
          <w:rFonts w:ascii="Arial" w:hAnsi="Arial"/>
          <w:rtl/>
        </w:rPr>
        <w:t xml:space="preserve">ניתן היום,  ז' ניסן תשע"ד, 07 אפריל 2014. </w:t>
      </w:r>
    </w:p>
    <w:p w14:paraId="4AF4108E" w14:textId="77777777" w:rsidR="00E20220" w:rsidRDefault="00BB546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2BF0FB" w14:textId="77777777" w:rsidR="00E20220" w:rsidRDefault="00E20220">
      <w:pPr>
        <w:jc w:val="center"/>
        <w:rPr>
          <w:rFonts w:ascii="Arial" w:hAnsi="Arial" w:cs="FrankRuehl"/>
          <w:sz w:val="28"/>
          <w:szCs w:val="28"/>
          <w:rtl/>
        </w:rPr>
      </w:pPr>
    </w:p>
    <w:p w14:paraId="00C8750D" w14:textId="77777777" w:rsidR="00E20220" w:rsidRDefault="00E20220">
      <w:pPr>
        <w:rPr>
          <w:rFonts w:cs="FrankRuehl"/>
          <w:sz w:val="28"/>
          <w:szCs w:val="28"/>
          <w:rtl/>
        </w:rPr>
      </w:pPr>
    </w:p>
    <w:p w14:paraId="253F191D" w14:textId="77777777" w:rsidR="00E20220" w:rsidRPr="00EA6118" w:rsidRDefault="00EA6118">
      <w:pPr>
        <w:pStyle w:val="a3"/>
        <w:jc w:val="center"/>
        <w:rPr>
          <w:color w:val="FFFFFF"/>
          <w:sz w:val="2"/>
          <w:szCs w:val="2"/>
          <w:rtl/>
        </w:rPr>
      </w:pPr>
      <w:bookmarkStart w:id="7" w:name="_GoBack"/>
      <w:bookmarkEnd w:id="7"/>
      <w:r w:rsidRPr="00EA6118">
        <w:rPr>
          <w:color w:val="FFFFFF"/>
          <w:sz w:val="2"/>
          <w:szCs w:val="2"/>
          <w:rtl/>
        </w:rPr>
        <w:t>5129371</w:t>
      </w:r>
    </w:p>
    <w:p w14:paraId="00B33985" w14:textId="77777777" w:rsidR="00BB5463" w:rsidRPr="00EA6118" w:rsidRDefault="00EA6118" w:rsidP="00BB5463">
      <w:pPr>
        <w:keepNext/>
        <w:rPr>
          <w:rFonts w:ascii="David" w:hAnsi="David"/>
          <w:color w:val="FFFFFF"/>
          <w:sz w:val="2"/>
          <w:szCs w:val="2"/>
          <w:rtl/>
        </w:rPr>
      </w:pPr>
      <w:r w:rsidRPr="00EA6118">
        <w:rPr>
          <w:rFonts w:ascii="David" w:hAnsi="David"/>
          <w:color w:val="FFFFFF"/>
          <w:sz w:val="2"/>
          <w:szCs w:val="2"/>
          <w:rtl/>
        </w:rPr>
        <w:t>54678313</w:t>
      </w:r>
    </w:p>
    <w:p w14:paraId="76B242F8" w14:textId="77777777" w:rsidR="00BB5463" w:rsidRDefault="00BB5463" w:rsidP="00BB5463">
      <w:pPr>
        <w:rPr>
          <w:rtl/>
        </w:rPr>
      </w:pPr>
    </w:p>
    <w:p w14:paraId="2FC02DA1" w14:textId="77777777" w:rsidR="00BB5463" w:rsidRDefault="00BB5463" w:rsidP="00BB546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AA334C1" w14:textId="77777777" w:rsidR="00EA6118" w:rsidRPr="00EA6118" w:rsidRDefault="00EA6118" w:rsidP="00EA6118">
      <w:pPr>
        <w:keepNext/>
        <w:rPr>
          <w:rFonts w:ascii="David" w:hAnsi="David"/>
          <w:color w:val="000000"/>
          <w:sz w:val="22"/>
          <w:szCs w:val="22"/>
          <w:rtl/>
        </w:rPr>
      </w:pPr>
    </w:p>
    <w:p w14:paraId="622BC3F3" w14:textId="77777777" w:rsidR="00EA6118" w:rsidRPr="00EA6118" w:rsidRDefault="00EA6118" w:rsidP="00EA6118">
      <w:pPr>
        <w:keepNext/>
        <w:rPr>
          <w:rFonts w:ascii="David" w:hAnsi="David"/>
          <w:color w:val="000000"/>
          <w:sz w:val="22"/>
          <w:szCs w:val="22"/>
          <w:rtl/>
        </w:rPr>
      </w:pPr>
      <w:r w:rsidRPr="00EA6118">
        <w:rPr>
          <w:rFonts w:ascii="David" w:hAnsi="David"/>
          <w:color w:val="000000"/>
          <w:sz w:val="22"/>
          <w:szCs w:val="22"/>
          <w:rtl/>
        </w:rPr>
        <w:t>דיאנה סלע 54678313-/</w:t>
      </w:r>
    </w:p>
    <w:p w14:paraId="44093A96" w14:textId="77777777" w:rsidR="00E20220" w:rsidRPr="00BB5463" w:rsidRDefault="00EA6118" w:rsidP="00EA6118">
      <w:pPr>
        <w:rPr>
          <w:color w:val="0000FF"/>
          <w:u w:val="single"/>
        </w:rPr>
      </w:pPr>
      <w:r w:rsidRPr="00EA6118">
        <w:rPr>
          <w:color w:val="000000"/>
          <w:u w:val="single"/>
          <w:rtl/>
        </w:rPr>
        <w:t>נוסח מסמך זה כפוף לשינויי ניסוח ועריכה</w:t>
      </w:r>
    </w:p>
    <w:sectPr w:rsidR="00E20220" w:rsidRPr="00BB5463" w:rsidSect="00EA6118">
      <w:headerReference w:type="even" r:id="rId46"/>
      <w:headerReference w:type="default" r:id="rId47"/>
      <w:footerReference w:type="even" r:id="rId48"/>
      <w:footerReference w:type="default" r:id="rId49"/>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32EFF" w14:textId="77777777" w:rsidR="00C41D21" w:rsidRPr="00362CD9" w:rsidRDefault="00C41D21">
      <w:pPr>
        <w:rPr>
          <w:rFonts w:cs="Arial"/>
          <w:szCs w:val="20"/>
        </w:rPr>
      </w:pPr>
      <w:r>
        <w:separator/>
      </w:r>
    </w:p>
  </w:endnote>
  <w:endnote w:type="continuationSeparator" w:id="0">
    <w:p w14:paraId="600FDF79" w14:textId="77777777" w:rsidR="00C41D21" w:rsidRPr="00362CD9" w:rsidRDefault="00C41D2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15367" w14:textId="77777777" w:rsidR="00EA6118" w:rsidRDefault="00EA6118" w:rsidP="00EA61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896FE1" w14:textId="77777777" w:rsidR="00E20220" w:rsidRPr="00EA6118" w:rsidRDefault="00EA6118" w:rsidP="00EA6118">
    <w:pPr>
      <w:pStyle w:val="a4"/>
      <w:pBdr>
        <w:top w:val="single" w:sz="4" w:space="1" w:color="auto"/>
        <w:between w:val="single" w:sz="4" w:space="0" w:color="auto"/>
      </w:pBdr>
      <w:spacing w:after="60"/>
      <w:jc w:val="center"/>
      <w:rPr>
        <w:rFonts w:ascii="FrankRuehl" w:hAnsi="FrankRuehl" w:cs="FrankRuehl"/>
        <w:color w:val="000000"/>
      </w:rPr>
    </w:pPr>
    <w:r w:rsidRPr="00EA61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C5952" w14:textId="77777777" w:rsidR="00EA6118" w:rsidRDefault="00EA6118" w:rsidP="00EA61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7119">
      <w:rPr>
        <w:rFonts w:ascii="FrankRuehl" w:hAnsi="FrankRuehl" w:cs="FrankRuehl"/>
        <w:noProof/>
        <w:rtl/>
      </w:rPr>
      <w:t>1</w:t>
    </w:r>
    <w:r>
      <w:rPr>
        <w:rFonts w:ascii="FrankRuehl" w:hAnsi="FrankRuehl" w:cs="FrankRuehl"/>
        <w:rtl/>
      </w:rPr>
      <w:fldChar w:fldCharType="end"/>
    </w:r>
  </w:p>
  <w:p w14:paraId="767B4BBE" w14:textId="77777777" w:rsidR="00E20220" w:rsidRPr="00EA6118" w:rsidRDefault="00EA6118" w:rsidP="00EA6118">
    <w:pPr>
      <w:pStyle w:val="a4"/>
      <w:pBdr>
        <w:top w:val="single" w:sz="4" w:space="1" w:color="auto"/>
        <w:between w:val="single" w:sz="4" w:space="0" w:color="auto"/>
      </w:pBdr>
      <w:spacing w:after="60"/>
      <w:jc w:val="center"/>
      <w:rPr>
        <w:rFonts w:ascii="FrankRuehl" w:hAnsi="FrankRuehl" w:cs="FrankRuehl"/>
        <w:color w:val="000000"/>
      </w:rPr>
    </w:pPr>
    <w:r w:rsidRPr="00EA6118">
      <w:rPr>
        <w:rFonts w:ascii="FrankRuehl" w:hAnsi="FrankRuehl" w:cs="FrankRuehl"/>
        <w:color w:val="000000"/>
      </w:rPr>
      <w:pict w14:anchorId="5DFA9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7B782" w14:textId="77777777" w:rsidR="00C41D21" w:rsidRPr="00362CD9" w:rsidRDefault="00C41D21">
      <w:pPr>
        <w:rPr>
          <w:rFonts w:cs="Arial"/>
          <w:szCs w:val="20"/>
        </w:rPr>
      </w:pPr>
      <w:r>
        <w:separator/>
      </w:r>
    </w:p>
  </w:footnote>
  <w:footnote w:type="continuationSeparator" w:id="0">
    <w:p w14:paraId="784DDB2A" w14:textId="77777777" w:rsidR="00C41D21" w:rsidRPr="00362CD9" w:rsidRDefault="00C41D2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20500" w14:textId="77777777" w:rsidR="00BB5463" w:rsidRPr="00EA6118" w:rsidRDefault="00EA6118" w:rsidP="00EA61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26801-07-13</w:t>
    </w:r>
    <w:r>
      <w:rPr>
        <w:rFonts w:ascii="David" w:hAnsi="David"/>
        <w:color w:val="000000"/>
        <w:sz w:val="22"/>
        <w:szCs w:val="22"/>
        <w:rtl/>
      </w:rPr>
      <w:tab/>
      <w:t xml:space="preserve"> מדינת ישראל נ' ג'האד עראבי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2D16" w14:textId="77777777" w:rsidR="00BB5463" w:rsidRPr="00EA6118" w:rsidRDefault="00EA6118" w:rsidP="00EA61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26801-07-13</w:t>
    </w:r>
    <w:r>
      <w:rPr>
        <w:rFonts w:ascii="David" w:hAnsi="David"/>
        <w:color w:val="000000"/>
        <w:sz w:val="22"/>
        <w:szCs w:val="22"/>
        <w:rtl/>
      </w:rPr>
      <w:tab/>
      <w:t xml:space="preserve"> מדינת ישראל נ' ג'האד עראבי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0220"/>
    <w:rsid w:val="005D7119"/>
    <w:rsid w:val="006141EE"/>
    <w:rsid w:val="00A53D11"/>
    <w:rsid w:val="00BB5463"/>
    <w:rsid w:val="00C41D21"/>
    <w:rsid w:val="00E20220"/>
    <w:rsid w:val="00EA61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2FB0B31"/>
  <w15:chartTrackingRefBased/>
  <w15:docId w15:val="{E4045A17-0ED9-4915-B1DE-4DAE0D28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22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0220"/>
    <w:pPr>
      <w:tabs>
        <w:tab w:val="center" w:pos="4153"/>
        <w:tab w:val="right" w:pos="8306"/>
      </w:tabs>
    </w:pPr>
  </w:style>
  <w:style w:type="paragraph" w:styleId="a4">
    <w:name w:val="footer"/>
    <w:basedOn w:val="a"/>
    <w:rsid w:val="00E20220"/>
    <w:pPr>
      <w:tabs>
        <w:tab w:val="center" w:pos="4153"/>
        <w:tab w:val="right" w:pos="8306"/>
      </w:tabs>
    </w:pPr>
  </w:style>
  <w:style w:type="character" w:styleId="a5">
    <w:name w:val="page number"/>
    <w:basedOn w:val="a0"/>
    <w:rsid w:val="00E20220"/>
  </w:style>
  <w:style w:type="character" w:customStyle="1" w:styleId="TimesNewRomanTimesNewRoman">
    <w:name w:val="סגנון (לטיני) Times New Roman (עברית ושפות אחרות) Times New Roman..."/>
    <w:basedOn w:val="a0"/>
    <w:rsid w:val="00E20220"/>
    <w:rPr>
      <w:rFonts w:ascii="Times New Roman" w:hAnsi="Times New Roman" w:cs="David" w:hint="default"/>
      <w:b/>
      <w:bCs/>
      <w:sz w:val="26"/>
      <w:szCs w:val="26"/>
    </w:rPr>
  </w:style>
  <w:style w:type="paragraph" w:customStyle="1" w:styleId="FileNumber">
    <w:name w:val="File Number"/>
    <w:basedOn w:val="a"/>
    <w:rsid w:val="00E20220"/>
    <w:pPr>
      <w:overflowPunct w:val="0"/>
      <w:autoSpaceDE w:val="0"/>
      <w:autoSpaceDN w:val="0"/>
      <w:adjustRightInd w:val="0"/>
      <w:spacing w:line="360" w:lineRule="auto"/>
      <w:jc w:val="right"/>
    </w:pPr>
    <w:rPr>
      <w:bCs/>
      <w:sz w:val="20"/>
    </w:rPr>
  </w:style>
  <w:style w:type="paragraph" w:customStyle="1" w:styleId="normal-p">
    <w:name w:val="normal-p"/>
    <w:basedOn w:val="a"/>
    <w:rsid w:val="00E20220"/>
    <w:pPr>
      <w:bidi w:val="0"/>
      <w:spacing w:before="100" w:beforeAutospacing="1" w:after="100" w:afterAutospacing="1"/>
    </w:pPr>
    <w:rPr>
      <w:rFonts w:ascii="Arial Unicode MS" w:eastAsia="Arial Unicode MS" w:hAnsi="Arial Unicode MS" w:cs="Arial Unicode MS"/>
      <w:lang w:eastAsia="he-IL"/>
    </w:rPr>
  </w:style>
  <w:style w:type="paragraph" w:customStyle="1" w:styleId="normal-p-p">
    <w:name w:val="normal-p-p"/>
    <w:basedOn w:val="a"/>
    <w:rsid w:val="00E20220"/>
    <w:pPr>
      <w:bidi w:val="0"/>
      <w:spacing w:before="100" w:beforeAutospacing="1" w:after="100" w:afterAutospacing="1"/>
    </w:pPr>
    <w:rPr>
      <w:rFonts w:eastAsia="Arial Unicode MS" w:cs="Arial Unicode MS"/>
      <w:sz w:val="20"/>
      <w:szCs w:val="20"/>
      <w:lang w:eastAsia="he-IL"/>
    </w:rPr>
  </w:style>
  <w:style w:type="character" w:customStyle="1" w:styleId="normal-h">
    <w:name w:val="normal-h"/>
    <w:basedOn w:val="a0"/>
    <w:rsid w:val="00E20220"/>
    <w:rPr>
      <w:rFonts w:ascii="Times New Roman" w:hAnsi="Times New Roman" w:cs="Times New Roman" w:hint="default"/>
    </w:rPr>
  </w:style>
  <w:style w:type="character" w:customStyle="1" w:styleId="normal-h-h-h">
    <w:name w:val="normal-h-h-h"/>
    <w:basedOn w:val="a0"/>
    <w:rsid w:val="00E20220"/>
    <w:rPr>
      <w:rFonts w:ascii="Times New Roman" w:hAnsi="Times New Roman" w:cs="Times New Roman" w:hint="default"/>
    </w:rPr>
  </w:style>
  <w:style w:type="character" w:customStyle="1" w:styleId="aa-h1-h1-h1">
    <w:name w:val="aa-h1-h1-h1"/>
    <w:basedOn w:val="a0"/>
    <w:rsid w:val="00E20220"/>
    <w:rPr>
      <w:rFonts w:ascii="Times New Roman" w:hAnsi="Times New Roman" w:cs="Times New Roman" w:hint="default"/>
      <w:b/>
      <w:bCs/>
      <w:sz w:val="20"/>
      <w:szCs w:val="20"/>
    </w:rPr>
  </w:style>
  <w:style w:type="character" w:styleId="Hyperlink">
    <w:name w:val="Hyperlink"/>
    <w:basedOn w:val="a0"/>
    <w:rsid w:val="00BB5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243627" TargetMode="External"/><Relationship Id="rId26" Type="http://schemas.openxmlformats.org/officeDocument/2006/relationships/hyperlink" Target="http://www.nevo.co.il/links/psika/?link=&#1489;&#1513;%20625/82" TargetMode="External"/><Relationship Id="rId39" Type="http://schemas.openxmlformats.org/officeDocument/2006/relationships/hyperlink" Target="http://www.nevo.co.il/case/5993616" TargetMode="External"/><Relationship Id="rId21" Type="http://schemas.openxmlformats.org/officeDocument/2006/relationships/hyperlink" Target="http://www.nevo.co.il/case/6000182" TargetMode="External"/><Relationship Id="rId34" Type="http://schemas.openxmlformats.org/officeDocument/2006/relationships/hyperlink" Target="http://www.nevo.co.il/case/2293554" TargetMode="External"/><Relationship Id="rId42" Type="http://schemas.openxmlformats.org/officeDocument/2006/relationships/hyperlink" Target="http://www.nevo.co.il/case/5852404"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5982047" TargetMode="External"/><Relationship Id="rId29" Type="http://schemas.openxmlformats.org/officeDocument/2006/relationships/hyperlink" Target="http://www.nevo.co.il/case/6102612"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5969313" TargetMode="External"/><Relationship Id="rId32" Type="http://schemas.openxmlformats.org/officeDocument/2006/relationships/hyperlink" Target="http://www.nevo.co.il/case/380534" TargetMode="External"/><Relationship Id="rId37" Type="http://schemas.openxmlformats.org/officeDocument/2006/relationships/hyperlink" Target="http://www.nevo.co.il/case/5697078" TargetMode="External"/><Relationship Id="rId40" Type="http://schemas.openxmlformats.org/officeDocument/2006/relationships/hyperlink" Target="http://www.nevo.co.il/case/5982047"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724364" TargetMode="External"/><Relationship Id="rId28" Type="http://schemas.openxmlformats.org/officeDocument/2006/relationships/hyperlink" Target="http://www.nevo.co.il/case/6034921" TargetMode="External"/><Relationship Id="rId36" Type="http://schemas.openxmlformats.org/officeDocument/2006/relationships/hyperlink" Target="http://www.nevo.co.il/case/6118595"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inks/psika/?link=&#1506;&#1508;%201332/04" TargetMode="External"/><Relationship Id="rId31" Type="http://schemas.openxmlformats.org/officeDocument/2006/relationships/hyperlink" Target="http://www.nevo.co.il/case/5810378" TargetMode="External"/><Relationship Id="rId44" Type="http://schemas.openxmlformats.org/officeDocument/2006/relationships/hyperlink" Target="http://www.nevo.co.il/case/560146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104546" TargetMode="External"/><Relationship Id="rId27" Type="http://schemas.openxmlformats.org/officeDocument/2006/relationships/hyperlink" Target="http://www.nevo.co.il/links/psika/?link=&#1506;&#1508;%201332/04&amp;Pvol=&#1504;&#1495;" TargetMode="External"/><Relationship Id="rId30" Type="http://schemas.openxmlformats.org/officeDocument/2006/relationships/hyperlink" Target="http://www.nevo.co.il/case/6950458" TargetMode="External"/><Relationship Id="rId35" Type="http://schemas.openxmlformats.org/officeDocument/2006/relationships/hyperlink" Target="http://www.nevo.co.il/case/6473037"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78308" TargetMode="External"/><Relationship Id="rId33" Type="http://schemas.openxmlformats.org/officeDocument/2006/relationships/hyperlink" Target="http://www.nevo.co.il/links/psika/?link=&#1514;&#1508;%20207/08" TargetMode="External"/><Relationship Id="rId38" Type="http://schemas.openxmlformats.org/officeDocument/2006/relationships/hyperlink" Target="http://www.nevo.co.il/case/6151556" TargetMode="External"/><Relationship Id="rId46" Type="http://schemas.openxmlformats.org/officeDocument/2006/relationships/header" Target="header1.xml"/><Relationship Id="rId20" Type="http://schemas.openxmlformats.org/officeDocument/2006/relationships/hyperlink" Target="http://www.nevo.co.il/case/5891605" TargetMode="External"/><Relationship Id="rId41" Type="http://schemas.openxmlformats.org/officeDocument/2006/relationships/hyperlink" Target="http://www.nevo.co.il/case/5991408"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3624</Words>
  <Characters>18120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21701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3539061</vt:i4>
      </vt:variant>
      <vt:variant>
        <vt:i4>114</vt:i4>
      </vt:variant>
      <vt:variant>
        <vt:i4>0</vt:i4>
      </vt:variant>
      <vt:variant>
        <vt:i4>5</vt:i4>
      </vt:variant>
      <vt:variant>
        <vt:lpwstr>http://www.nevo.co.il/case/5601467</vt:lpwstr>
      </vt:variant>
      <vt:variant>
        <vt:lpwstr/>
      </vt:variant>
      <vt:variant>
        <vt:i4>8257637</vt:i4>
      </vt:variant>
      <vt:variant>
        <vt:i4>111</vt:i4>
      </vt:variant>
      <vt:variant>
        <vt:i4>0</vt:i4>
      </vt:variant>
      <vt:variant>
        <vt:i4>5</vt:i4>
      </vt:variant>
      <vt:variant>
        <vt:lpwstr>http://www.nevo.co.il/law/4216</vt:lpwstr>
      </vt:variant>
      <vt:variant>
        <vt:lpwstr/>
      </vt:variant>
      <vt:variant>
        <vt:i4>3145854</vt:i4>
      </vt:variant>
      <vt:variant>
        <vt:i4>108</vt:i4>
      </vt:variant>
      <vt:variant>
        <vt:i4>0</vt:i4>
      </vt:variant>
      <vt:variant>
        <vt:i4>5</vt:i4>
      </vt:variant>
      <vt:variant>
        <vt:lpwstr>http://www.nevo.co.il/case/5852404</vt:lpwstr>
      </vt:variant>
      <vt:variant>
        <vt:lpwstr/>
      </vt:variant>
      <vt:variant>
        <vt:i4>3145852</vt:i4>
      </vt:variant>
      <vt:variant>
        <vt:i4>105</vt:i4>
      </vt:variant>
      <vt:variant>
        <vt:i4>0</vt:i4>
      </vt:variant>
      <vt:variant>
        <vt:i4>5</vt:i4>
      </vt:variant>
      <vt:variant>
        <vt:lpwstr>http://www.nevo.co.il/case/5991408</vt:lpwstr>
      </vt:variant>
      <vt:variant>
        <vt:lpwstr/>
      </vt:variant>
      <vt:variant>
        <vt:i4>3801211</vt:i4>
      </vt:variant>
      <vt:variant>
        <vt:i4>102</vt:i4>
      </vt:variant>
      <vt:variant>
        <vt:i4>0</vt:i4>
      </vt:variant>
      <vt:variant>
        <vt:i4>5</vt:i4>
      </vt:variant>
      <vt:variant>
        <vt:lpwstr>http://www.nevo.co.il/case/5982047</vt:lpwstr>
      </vt:variant>
      <vt:variant>
        <vt:lpwstr/>
      </vt:variant>
      <vt:variant>
        <vt:i4>3932287</vt:i4>
      </vt:variant>
      <vt:variant>
        <vt:i4>99</vt:i4>
      </vt:variant>
      <vt:variant>
        <vt:i4>0</vt:i4>
      </vt:variant>
      <vt:variant>
        <vt:i4>5</vt:i4>
      </vt:variant>
      <vt:variant>
        <vt:lpwstr>http://www.nevo.co.il/case/5993616</vt:lpwstr>
      </vt:variant>
      <vt:variant>
        <vt:lpwstr/>
      </vt:variant>
      <vt:variant>
        <vt:i4>3145841</vt:i4>
      </vt:variant>
      <vt:variant>
        <vt:i4>96</vt:i4>
      </vt:variant>
      <vt:variant>
        <vt:i4>0</vt:i4>
      </vt:variant>
      <vt:variant>
        <vt:i4>5</vt:i4>
      </vt:variant>
      <vt:variant>
        <vt:lpwstr>http://www.nevo.co.il/case/6151556</vt:lpwstr>
      </vt:variant>
      <vt:variant>
        <vt:lpwstr/>
      </vt:variant>
      <vt:variant>
        <vt:i4>3407986</vt:i4>
      </vt:variant>
      <vt:variant>
        <vt:i4>93</vt:i4>
      </vt:variant>
      <vt:variant>
        <vt:i4>0</vt:i4>
      </vt:variant>
      <vt:variant>
        <vt:i4>5</vt:i4>
      </vt:variant>
      <vt:variant>
        <vt:lpwstr>http://www.nevo.co.il/case/5697078</vt:lpwstr>
      </vt:variant>
      <vt:variant>
        <vt:lpwstr/>
      </vt:variant>
      <vt:variant>
        <vt:i4>3604596</vt:i4>
      </vt:variant>
      <vt:variant>
        <vt:i4>90</vt:i4>
      </vt:variant>
      <vt:variant>
        <vt:i4>0</vt:i4>
      </vt:variant>
      <vt:variant>
        <vt:i4>5</vt:i4>
      </vt:variant>
      <vt:variant>
        <vt:lpwstr>http://www.nevo.co.il/case/6118595</vt:lpwstr>
      </vt:variant>
      <vt:variant>
        <vt:lpwstr/>
      </vt:variant>
      <vt:variant>
        <vt:i4>3539056</vt:i4>
      </vt:variant>
      <vt:variant>
        <vt:i4>87</vt:i4>
      </vt:variant>
      <vt:variant>
        <vt:i4>0</vt:i4>
      </vt:variant>
      <vt:variant>
        <vt:i4>5</vt:i4>
      </vt:variant>
      <vt:variant>
        <vt:lpwstr>http://www.nevo.co.il/case/6473037</vt:lpwstr>
      </vt:variant>
      <vt:variant>
        <vt:lpwstr/>
      </vt:variant>
      <vt:variant>
        <vt:i4>3801200</vt:i4>
      </vt:variant>
      <vt:variant>
        <vt:i4>84</vt:i4>
      </vt:variant>
      <vt:variant>
        <vt:i4>0</vt:i4>
      </vt:variant>
      <vt:variant>
        <vt:i4>5</vt:i4>
      </vt:variant>
      <vt:variant>
        <vt:lpwstr>http://www.nevo.co.il/case/2293554</vt:lpwstr>
      </vt:variant>
      <vt:variant>
        <vt:lpwstr/>
      </vt:variant>
      <vt:variant>
        <vt:i4>96470426</vt:i4>
      </vt:variant>
      <vt:variant>
        <vt:i4>81</vt:i4>
      </vt:variant>
      <vt:variant>
        <vt:i4>0</vt:i4>
      </vt:variant>
      <vt:variant>
        <vt:i4>5</vt:i4>
      </vt:variant>
      <vt:variant>
        <vt:lpwstr>http://www.nevo.co.il/links/psika/?link=תפ 207/08</vt:lpwstr>
      </vt:variant>
      <vt:variant>
        <vt:lpwstr/>
      </vt:variant>
      <vt:variant>
        <vt:i4>73</vt:i4>
      </vt:variant>
      <vt:variant>
        <vt:i4>78</vt:i4>
      </vt:variant>
      <vt:variant>
        <vt:i4>0</vt:i4>
      </vt:variant>
      <vt:variant>
        <vt:i4>5</vt:i4>
      </vt:variant>
      <vt:variant>
        <vt:lpwstr>http://www.nevo.co.il/case/380534</vt:lpwstr>
      </vt:variant>
      <vt:variant>
        <vt:lpwstr/>
      </vt:variant>
      <vt:variant>
        <vt:i4>4128891</vt:i4>
      </vt:variant>
      <vt:variant>
        <vt:i4>75</vt:i4>
      </vt:variant>
      <vt:variant>
        <vt:i4>0</vt:i4>
      </vt:variant>
      <vt:variant>
        <vt:i4>5</vt:i4>
      </vt:variant>
      <vt:variant>
        <vt:lpwstr>http://www.nevo.co.il/case/5810378</vt:lpwstr>
      </vt:variant>
      <vt:variant>
        <vt:lpwstr/>
      </vt:variant>
      <vt:variant>
        <vt:i4>4128888</vt:i4>
      </vt:variant>
      <vt:variant>
        <vt:i4>72</vt:i4>
      </vt:variant>
      <vt:variant>
        <vt:i4>0</vt:i4>
      </vt:variant>
      <vt:variant>
        <vt:i4>5</vt:i4>
      </vt:variant>
      <vt:variant>
        <vt:lpwstr>http://www.nevo.co.il/case/6950458</vt:lpwstr>
      </vt:variant>
      <vt:variant>
        <vt:lpwstr/>
      </vt:variant>
      <vt:variant>
        <vt:i4>3276918</vt:i4>
      </vt:variant>
      <vt:variant>
        <vt:i4>69</vt:i4>
      </vt:variant>
      <vt:variant>
        <vt:i4>0</vt:i4>
      </vt:variant>
      <vt:variant>
        <vt:i4>5</vt:i4>
      </vt:variant>
      <vt:variant>
        <vt:lpwstr>http://www.nevo.co.il/case/6102612</vt:lpwstr>
      </vt:variant>
      <vt:variant>
        <vt:lpwstr/>
      </vt:variant>
      <vt:variant>
        <vt:i4>3997810</vt:i4>
      </vt:variant>
      <vt:variant>
        <vt:i4>66</vt:i4>
      </vt:variant>
      <vt:variant>
        <vt:i4>0</vt:i4>
      </vt:variant>
      <vt:variant>
        <vt:i4>5</vt:i4>
      </vt:variant>
      <vt:variant>
        <vt:lpwstr>http://www.nevo.co.il/case/6034921</vt:lpwstr>
      </vt:variant>
      <vt:variant>
        <vt:lpwstr/>
      </vt:variant>
      <vt:variant>
        <vt:i4>1638496</vt:i4>
      </vt:variant>
      <vt:variant>
        <vt:i4>63</vt:i4>
      </vt:variant>
      <vt:variant>
        <vt:i4>0</vt:i4>
      </vt:variant>
      <vt:variant>
        <vt:i4>5</vt:i4>
      </vt:variant>
      <vt:variant>
        <vt:lpwstr>http://www.nevo.co.il/links/psika/?link=עפ 1332/04&amp;Pvol=נח</vt:lpwstr>
      </vt:variant>
      <vt:variant>
        <vt:lpwstr/>
      </vt:variant>
      <vt:variant>
        <vt:i4>96667043</vt:i4>
      </vt:variant>
      <vt:variant>
        <vt:i4>60</vt:i4>
      </vt:variant>
      <vt:variant>
        <vt:i4>0</vt:i4>
      </vt:variant>
      <vt:variant>
        <vt:i4>5</vt:i4>
      </vt:variant>
      <vt:variant>
        <vt:lpwstr>http://www.nevo.co.il/links/psika/?link=בש 625/82</vt:lpwstr>
      </vt:variant>
      <vt:variant>
        <vt:lpwstr/>
      </vt:variant>
      <vt:variant>
        <vt:i4>3801212</vt:i4>
      </vt:variant>
      <vt:variant>
        <vt:i4>57</vt:i4>
      </vt:variant>
      <vt:variant>
        <vt:i4>0</vt:i4>
      </vt:variant>
      <vt:variant>
        <vt:i4>5</vt:i4>
      </vt:variant>
      <vt:variant>
        <vt:lpwstr>http://www.nevo.co.il/case/6078308</vt:lpwstr>
      </vt:variant>
      <vt:variant>
        <vt:lpwstr/>
      </vt:variant>
      <vt:variant>
        <vt:i4>3342453</vt:i4>
      </vt:variant>
      <vt:variant>
        <vt:i4>54</vt:i4>
      </vt:variant>
      <vt:variant>
        <vt:i4>0</vt:i4>
      </vt:variant>
      <vt:variant>
        <vt:i4>5</vt:i4>
      </vt:variant>
      <vt:variant>
        <vt:lpwstr>http://www.nevo.co.il/case/5969313</vt:lpwstr>
      </vt:variant>
      <vt:variant>
        <vt:lpwstr/>
      </vt:variant>
      <vt:variant>
        <vt:i4>3145841</vt:i4>
      </vt:variant>
      <vt:variant>
        <vt:i4>51</vt:i4>
      </vt:variant>
      <vt:variant>
        <vt:i4>0</vt:i4>
      </vt:variant>
      <vt:variant>
        <vt:i4>5</vt:i4>
      </vt:variant>
      <vt:variant>
        <vt:lpwstr>http://www.nevo.co.il/case/5724364</vt:lpwstr>
      </vt:variant>
      <vt:variant>
        <vt:lpwstr/>
      </vt:variant>
      <vt:variant>
        <vt:i4>3473525</vt:i4>
      </vt:variant>
      <vt:variant>
        <vt:i4>48</vt:i4>
      </vt:variant>
      <vt:variant>
        <vt:i4>0</vt:i4>
      </vt:variant>
      <vt:variant>
        <vt:i4>5</vt:i4>
      </vt:variant>
      <vt:variant>
        <vt:lpwstr>http://www.nevo.co.il/case/6104546</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4128893</vt:i4>
      </vt:variant>
      <vt:variant>
        <vt:i4>42</vt:i4>
      </vt:variant>
      <vt:variant>
        <vt:i4>0</vt:i4>
      </vt:variant>
      <vt:variant>
        <vt:i4>5</vt:i4>
      </vt:variant>
      <vt:variant>
        <vt:lpwstr>http://www.nevo.co.il/case/5891605</vt:lpwstr>
      </vt:variant>
      <vt:variant>
        <vt:lpwstr/>
      </vt:variant>
      <vt:variant>
        <vt:i4>99354044</vt:i4>
      </vt:variant>
      <vt:variant>
        <vt:i4>39</vt:i4>
      </vt:variant>
      <vt:variant>
        <vt:i4>0</vt:i4>
      </vt:variant>
      <vt:variant>
        <vt:i4>5</vt:i4>
      </vt:variant>
      <vt:variant>
        <vt:lpwstr>http://www.nevo.co.il/links/psika/?link=עפ 1332/04</vt:lpwstr>
      </vt:variant>
      <vt:variant>
        <vt:lpwstr/>
      </vt:variant>
      <vt:variant>
        <vt:i4>3342455</vt:i4>
      </vt:variant>
      <vt:variant>
        <vt:i4>36</vt:i4>
      </vt:variant>
      <vt:variant>
        <vt:i4>0</vt:i4>
      </vt:variant>
      <vt:variant>
        <vt:i4>5</vt:i4>
      </vt:variant>
      <vt:variant>
        <vt:lpwstr>http://www.nevo.co.il/case/6243627</vt:lpwstr>
      </vt:variant>
      <vt:variant>
        <vt:lpwstr/>
      </vt:variant>
      <vt:variant>
        <vt:i4>7995492</vt:i4>
      </vt:variant>
      <vt:variant>
        <vt:i4>33</vt:i4>
      </vt:variant>
      <vt:variant>
        <vt:i4>0</vt:i4>
      </vt:variant>
      <vt:variant>
        <vt:i4>5</vt:i4>
      </vt:variant>
      <vt:variant>
        <vt:lpwstr>http://www.nevo.co.il/law/70301</vt:lpwstr>
      </vt:variant>
      <vt:variant>
        <vt:lpwstr/>
      </vt:variant>
      <vt:variant>
        <vt:i4>3801211</vt:i4>
      </vt:variant>
      <vt:variant>
        <vt:i4>30</vt:i4>
      </vt:variant>
      <vt:variant>
        <vt:i4>0</vt:i4>
      </vt:variant>
      <vt:variant>
        <vt:i4>5</vt:i4>
      </vt:variant>
      <vt:variant>
        <vt:lpwstr>http://www.nevo.co.il/case/5982047</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26801</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ג'האד עראבי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20140407</vt:lpwstr>
  </property>
  <property fmtid="{D5CDD505-2E9C-101B-9397-08002B2CF9AE}" pid="13" name="TYPE_N_DATE">
    <vt:lpwstr>39020140407</vt:lpwstr>
  </property>
  <property fmtid="{D5CDD505-2E9C-101B-9397-08002B2CF9AE}" pid="14" name="CASESLISTTMP1">
    <vt:lpwstr>5982047:2;6243627;5891605;6000182;6104546;5724364;5969313;6078308;6034921;6102612;6950458;5810378;380534;2293554;6473037;6118595;5697078;6151556;5993616;5991408;5852404;5601467</vt:lpwstr>
  </property>
  <property fmtid="{D5CDD505-2E9C-101B-9397-08002B2CF9AE}" pid="15" name="CASENOTES1">
    <vt:lpwstr>ProcID=25;179&amp;PartA=625&amp;PartC=82</vt:lpwstr>
  </property>
  <property fmtid="{D5CDD505-2E9C-101B-9397-08002B2CF9AE}" pid="16" name="CASENOTES2">
    <vt:lpwstr>ProcID=133;209&amp;PartA=1332&amp;PartC=04</vt:lpwstr>
  </property>
  <property fmtid="{D5CDD505-2E9C-101B-9397-08002B2CF9AE}" pid="17" name="CASENOTES3">
    <vt:lpwstr>ProcID=209&amp;PartA=207&amp;PartC=08</vt:lpwstr>
  </property>
  <property fmtid="{D5CDD505-2E9C-101B-9397-08002B2CF9AE}" pid="18" name="CASENOTES4">
    <vt:lpwstr>ProcID=209&amp;PartA=10&amp;PartB=04&amp;PartC=24</vt:lpwstr>
  </property>
  <property fmtid="{D5CDD505-2E9C-101B-9397-08002B2CF9AE}" pid="19" name="WORDNUMPAGES">
    <vt:lpwstr>11</vt:lpwstr>
  </property>
  <property fmtid="{D5CDD505-2E9C-101B-9397-08002B2CF9AE}" pid="20" name="TYPE_ABS_DATE">
    <vt:lpwstr>390020140407</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4216/007.a;007.c</vt:lpwstr>
  </property>
  <property fmtid="{D5CDD505-2E9C-101B-9397-08002B2CF9AE}" pid="41" name="LAWLISTTMP2">
    <vt:lpwstr>70301/144.a</vt:lpwstr>
  </property>
</Properties>
</file>