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24C88" w:rsidRPr="00D24C88" w14:paraId="329E0C54" w14:textId="77777777">
        <w:trPr>
          <w:trHeight w:hRule="exact" w:val="418"/>
          <w:jc w:val="center"/>
        </w:trPr>
        <w:tc>
          <w:tcPr>
            <w:tcW w:w="8720" w:type="dxa"/>
            <w:gridSpan w:val="3"/>
          </w:tcPr>
          <w:p w14:paraId="1DDC971E" w14:textId="77777777" w:rsidR="00D24C88" w:rsidRPr="00D24C88" w:rsidRDefault="00D24C88" w:rsidP="00D24C88">
            <w:pPr>
              <w:pStyle w:val="a3"/>
              <w:tabs>
                <w:tab w:val="clear" w:pos="8306"/>
              </w:tabs>
              <w:jc w:val="center"/>
              <w:rPr>
                <w:rFonts w:ascii="Tahoma" w:hAnsi="Tahoma" w:cs="Tahoma"/>
                <w:b/>
                <w:bCs/>
                <w:color w:val="000080"/>
                <w:sz w:val="20"/>
                <w:szCs w:val="20"/>
              </w:rPr>
            </w:pPr>
            <w:bookmarkStart w:id="0" w:name="FirstLawyer"/>
            <w:r w:rsidRPr="00D24C88">
              <w:rPr>
                <w:rFonts w:ascii="Tahoma" w:hAnsi="Tahoma" w:cs="Tahoma"/>
                <w:b/>
                <w:bCs/>
                <w:color w:val="000080"/>
                <w:sz w:val="20"/>
                <w:szCs w:val="20"/>
                <w:rtl/>
              </w:rPr>
              <w:t>בית המשפט המחוזי בנצרת</w:t>
            </w:r>
          </w:p>
        </w:tc>
      </w:tr>
      <w:tr w:rsidR="00D24C88" w:rsidRPr="00D24C88" w14:paraId="3B6F9815" w14:textId="77777777">
        <w:trPr>
          <w:trHeight w:val="337"/>
          <w:jc w:val="center"/>
        </w:trPr>
        <w:tc>
          <w:tcPr>
            <w:tcW w:w="3973" w:type="dxa"/>
          </w:tcPr>
          <w:p w14:paraId="744BAF5B" w14:textId="77777777" w:rsidR="00D24C88" w:rsidRPr="00D24C88" w:rsidRDefault="00D24C88" w:rsidP="00D24C88">
            <w:pPr>
              <w:rPr>
                <w:b/>
                <w:bCs/>
                <w:sz w:val="26"/>
                <w:szCs w:val="26"/>
                <w:rtl/>
              </w:rPr>
            </w:pPr>
            <w:r w:rsidRPr="00D24C88">
              <w:rPr>
                <w:b/>
                <w:bCs/>
                <w:sz w:val="26"/>
                <w:szCs w:val="26"/>
                <w:rtl/>
              </w:rPr>
              <w:t>ת"פ</w:t>
            </w:r>
            <w:r w:rsidRPr="00D24C88">
              <w:rPr>
                <w:rFonts w:hint="cs"/>
                <w:b/>
                <w:bCs/>
                <w:sz w:val="26"/>
                <w:szCs w:val="26"/>
                <w:rtl/>
              </w:rPr>
              <w:t xml:space="preserve"> </w:t>
            </w:r>
            <w:r w:rsidRPr="00D24C88">
              <w:rPr>
                <w:b/>
                <w:bCs/>
                <w:sz w:val="26"/>
                <w:szCs w:val="26"/>
                <w:rtl/>
              </w:rPr>
              <w:t>40188-07-13</w:t>
            </w:r>
            <w:r w:rsidRPr="00D24C88">
              <w:rPr>
                <w:rFonts w:hint="cs"/>
                <w:b/>
                <w:bCs/>
                <w:sz w:val="26"/>
                <w:szCs w:val="26"/>
                <w:rtl/>
              </w:rPr>
              <w:t xml:space="preserve"> </w:t>
            </w:r>
            <w:r w:rsidRPr="00D24C88">
              <w:rPr>
                <w:b/>
                <w:bCs/>
                <w:sz w:val="26"/>
                <w:szCs w:val="26"/>
                <w:rtl/>
              </w:rPr>
              <w:t>מדינת ישראל נ' גדיר(עציר) ואח'</w:t>
            </w:r>
          </w:p>
          <w:p w14:paraId="169322C8" w14:textId="77777777" w:rsidR="00D24C88" w:rsidRPr="00D24C88" w:rsidRDefault="00D24C88" w:rsidP="00D24C88">
            <w:pPr>
              <w:rPr>
                <w:b/>
                <w:bCs/>
                <w:sz w:val="26"/>
                <w:szCs w:val="26"/>
              </w:rPr>
            </w:pPr>
          </w:p>
        </w:tc>
        <w:tc>
          <w:tcPr>
            <w:tcW w:w="1068" w:type="dxa"/>
          </w:tcPr>
          <w:p w14:paraId="25AA1BB7" w14:textId="77777777" w:rsidR="00D24C88" w:rsidRPr="00D24C88" w:rsidRDefault="00D24C88" w:rsidP="00D24C88">
            <w:pPr>
              <w:pStyle w:val="a3"/>
              <w:jc w:val="right"/>
              <w:rPr>
                <w:b/>
                <w:bCs/>
                <w:sz w:val="26"/>
                <w:szCs w:val="26"/>
              </w:rPr>
            </w:pPr>
          </w:p>
        </w:tc>
        <w:tc>
          <w:tcPr>
            <w:tcW w:w="3679" w:type="dxa"/>
          </w:tcPr>
          <w:p w14:paraId="09F5F2C8" w14:textId="77777777" w:rsidR="00D24C88" w:rsidRPr="00D24C88" w:rsidRDefault="00D24C88" w:rsidP="00D24C88">
            <w:pPr>
              <w:pStyle w:val="a3"/>
              <w:tabs>
                <w:tab w:val="clear" w:pos="4153"/>
              </w:tabs>
              <w:jc w:val="right"/>
              <w:rPr>
                <w:b/>
                <w:bCs/>
                <w:sz w:val="26"/>
                <w:szCs w:val="26"/>
              </w:rPr>
            </w:pPr>
            <w:r w:rsidRPr="00D24C88">
              <w:rPr>
                <w:b/>
                <w:bCs/>
                <w:sz w:val="26"/>
                <w:szCs w:val="26"/>
                <w:rtl/>
              </w:rPr>
              <w:t>13 ינואר 2014</w:t>
            </w:r>
          </w:p>
        </w:tc>
      </w:tr>
    </w:tbl>
    <w:p w14:paraId="432A24A9" w14:textId="77777777" w:rsidR="00D24C88" w:rsidRPr="00D24C88" w:rsidRDefault="00D24C88" w:rsidP="00D24C88">
      <w:pPr>
        <w:pStyle w:val="a3"/>
        <w:jc w:val="center"/>
        <w:rPr>
          <w:rFonts w:ascii="Tahoma" w:hAnsi="Tahoma" w:cs="Tahoma"/>
          <w:b/>
          <w:bCs/>
          <w:color w:val="000080"/>
          <w:sz w:val="20"/>
          <w:szCs w:val="20"/>
          <w:rtl/>
        </w:rPr>
      </w:pPr>
    </w:p>
    <w:p w14:paraId="42CD48BA" w14:textId="77777777" w:rsidR="00D24C88" w:rsidRPr="00D24C88" w:rsidRDefault="00D24C88">
      <w:pPr>
        <w:spacing w:line="360" w:lineRule="auto"/>
        <w:jc w:val="both"/>
        <w:rPr>
          <w:sz w:val="6"/>
          <w:szCs w:val="6"/>
          <w:rtl/>
        </w:rPr>
      </w:pPr>
    </w:p>
    <w:tbl>
      <w:tblPr>
        <w:bidiVisual/>
        <w:tblW w:w="8802" w:type="dxa"/>
        <w:tblLook w:val="01E0" w:firstRow="1" w:lastRow="1" w:firstColumn="1" w:lastColumn="1" w:noHBand="0" w:noVBand="0"/>
      </w:tblPr>
      <w:tblGrid>
        <w:gridCol w:w="2880"/>
        <w:gridCol w:w="5839"/>
        <w:gridCol w:w="83"/>
      </w:tblGrid>
      <w:tr w:rsidR="00D24C88" w:rsidRPr="00D24C88" w14:paraId="3D6B6E0D" w14:textId="77777777">
        <w:trPr>
          <w:gridAfter w:val="1"/>
          <w:wAfter w:w="55" w:type="dxa"/>
        </w:trPr>
        <w:tc>
          <w:tcPr>
            <w:tcW w:w="8719" w:type="dxa"/>
            <w:gridSpan w:val="2"/>
          </w:tcPr>
          <w:p w14:paraId="586BDF89" w14:textId="77777777" w:rsidR="00D24C88" w:rsidRPr="00D24C88" w:rsidRDefault="00D24C88" w:rsidP="00D24C88">
            <w:pPr>
              <w:spacing w:line="360" w:lineRule="auto"/>
              <w:jc w:val="both"/>
              <w:rPr>
                <w:rFonts w:ascii="Arial" w:hAnsi="Arial"/>
                <w:sz w:val="26"/>
                <w:szCs w:val="26"/>
              </w:rPr>
            </w:pPr>
            <w:r w:rsidRPr="00D24C88">
              <w:rPr>
                <w:rFonts w:ascii="Times New Roman" w:hAnsi="Times New Roman"/>
                <w:b/>
                <w:bCs/>
                <w:sz w:val="26"/>
                <w:szCs w:val="26"/>
                <w:rtl/>
              </w:rPr>
              <w:t>בפני כבוד סגן הנשיא, השופט – תאופיק כתילי</w:t>
            </w:r>
          </w:p>
        </w:tc>
      </w:tr>
      <w:tr w:rsidR="00D24C88" w:rsidRPr="00D24C88" w14:paraId="3F26368D" w14:textId="77777777">
        <w:tc>
          <w:tcPr>
            <w:tcW w:w="2880" w:type="dxa"/>
          </w:tcPr>
          <w:p w14:paraId="5D69B60C" w14:textId="77777777" w:rsidR="00D24C88" w:rsidRPr="00D24C88" w:rsidRDefault="00D24C88" w:rsidP="00D24C88">
            <w:pPr>
              <w:ind w:left="26"/>
              <w:rPr>
                <w:rFonts w:ascii="Times New Roman" w:hAnsi="Times New Roman"/>
                <w:b/>
                <w:bCs/>
                <w:sz w:val="26"/>
                <w:szCs w:val="26"/>
              </w:rPr>
            </w:pPr>
            <w:bookmarkStart w:id="1" w:name="FirstAppellant"/>
            <w:bookmarkStart w:id="2" w:name="LastJudge"/>
            <w:bookmarkEnd w:id="2"/>
            <w:r w:rsidRPr="00D24C88">
              <w:rPr>
                <w:rFonts w:ascii="Times New Roman" w:hAnsi="Times New Roman"/>
                <w:b/>
                <w:bCs/>
                <w:sz w:val="26"/>
                <w:szCs w:val="26"/>
                <w:rtl/>
              </w:rPr>
              <w:t>המאשימה</w:t>
            </w:r>
          </w:p>
        </w:tc>
        <w:tc>
          <w:tcPr>
            <w:tcW w:w="5922" w:type="dxa"/>
            <w:gridSpan w:val="2"/>
          </w:tcPr>
          <w:p w14:paraId="3B79D595" w14:textId="77777777" w:rsidR="00D24C88" w:rsidRPr="00D24C88" w:rsidRDefault="00D24C88" w:rsidP="00D24C88">
            <w:pPr>
              <w:rPr>
                <w:rFonts w:ascii="Times New Roman" w:hAnsi="Times New Roman"/>
                <w:b/>
                <w:bCs/>
                <w:sz w:val="26"/>
                <w:szCs w:val="26"/>
              </w:rPr>
            </w:pPr>
            <w:r w:rsidRPr="00D24C88">
              <w:rPr>
                <w:rFonts w:ascii="Times New Roman" w:hAnsi="Times New Roman"/>
                <w:b/>
                <w:bCs/>
                <w:sz w:val="26"/>
                <w:szCs w:val="26"/>
                <w:rtl/>
              </w:rPr>
              <w:t>מדינת ישראל</w:t>
            </w:r>
          </w:p>
          <w:p w14:paraId="4C038C32" w14:textId="77777777" w:rsidR="00D24C88" w:rsidRPr="00D24C88" w:rsidRDefault="00D24C88" w:rsidP="00D24C88">
            <w:pPr>
              <w:rPr>
                <w:rFonts w:ascii="Times New Roman" w:hAnsi="Times New Roman"/>
                <w:b/>
                <w:bCs/>
                <w:sz w:val="22"/>
                <w:szCs w:val="22"/>
              </w:rPr>
            </w:pPr>
            <w:r w:rsidRPr="00D24C88">
              <w:rPr>
                <w:rFonts w:ascii="Times New Roman" w:hAnsi="Times New Roman"/>
                <w:b/>
                <w:bCs/>
                <w:sz w:val="22"/>
                <w:szCs w:val="22"/>
                <w:rtl/>
              </w:rPr>
              <w:t>באמצעות פרקליטות מחוז צפון</w:t>
            </w:r>
          </w:p>
        </w:tc>
      </w:tr>
      <w:bookmarkEnd w:id="1"/>
      <w:tr w:rsidR="00D24C88" w:rsidRPr="00D24C88" w14:paraId="076DC510" w14:textId="77777777">
        <w:tc>
          <w:tcPr>
            <w:tcW w:w="8802" w:type="dxa"/>
            <w:gridSpan w:val="3"/>
          </w:tcPr>
          <w:p w14:paraId="380797A4" w14:textId="77777777" w:rsidR="00D24C88" w:rsidRPr="00D24C88" w:rsidRDefault="00D24C88" w:rsidP="00D24C88">
            <w:pPr>
              <w:jc w:val="both"/>
              <w:rPr>
                <w:rFonts w:ascii="Arial" w:hAnsi="Arial"/>
                <w:b/>
                <w:bCs/>
                <w:sz w:val="26"/>
                <w:szCs w:val="26"/>
                <w:rtl/>
              </w:rPr>
            </w:pPr>
          </w:p>
          <w:p w14:paraId="16512EF2" w14:textId="77777777" w:rsidR="00D24C88" w:rsidRPr="00D24C88" w:rsidRDefault="00D24C88" w:rsidP="00D24C88">
            <w:pPr>
              <w:jc w:val="center"/>
              <w:rPr>
                <w:rFonts w:ascii="Arial" w:hAnsi="Arial"/>
                <w:b/>
                <w:bCs/>
                <w:sz w:val="26"/>
                <w:szCs w:val="26"/>
                <w:rtl/>
              </w:rPr>
            </w:pPr>
            <w:r w:rsidRPr="00D24C88">
              <w:rPr>
                <w:rFonts w:ascii="Arial" w:hAnsi="Arial"/>
                <w:b/>
                <w:bCs/>
                <w:sz w:val="26"/>
                <w:szCs w:val="26"/>
                <w:rtl/>
              </w:rPr>
              <w:t>נגד</w:t>
            </w:r>
          </w:p>
          <w:p w14:paraId="4382AE84" w14:textId="77777777" w:rsidR="00D24C88" w:rsidRPr="00D24C88" w:rsidRDefault="00D24C88" w:rsidP="00D24C88">
            <w:pPr>
              <w:jc w:val="center"/>
              <w:rPr>
                <w:rFonts w:ascii="Arial" w:hAnsi="Arial"/>
                <w:b/>
                <w:bCs/>
                <w:sz w:val="26"/>
                <w:szCs w:val="26"/>
              </w:rPr>
            </w:pPr>
          </w:p>
        </w:tc>
      </w:tr>
      <w:tr w:rsidR="00D24C88" w:rsidRPr="00D24C88" w14:paraId="6BA27967" w14:textId="77777777">
        <w:tc>
          <w:tcPr>
            <w:tcW w:w="2880" w:type="dxa"/>
          </w:tcPr>
          <w:p w14:paraId="192DB8C1" w14:textId="77777777" w:rsidR="00D24C88" w:rsidRPr="00D24C88" w:rsidRDefault="00D24C88" w:rsidP="00D24C88">
            <w:pPr>
              <w:ind w:left="26"/>
              <w:rPr>
                <w:rFonts w:ascii="Times New Roman" w:hAnsi="Times New Roman"/>
                <w:b/>
                <w:bCs/>
                <w:sz w:val="26"/>
                <w:szCs w:val="26"/>
              </w:rPr>
            </w:pPr>
            <w:r w:rsidRPr="00D24C88">
              <w:rPr>
                <w:rFonts w:ascii="Times New Roman" w:hAnsi="Times New Roman"/>
                <w:b/>
                <w:bCs/>
                <w:sz w:val="26"/>
                <w:szCs w:val="26"/>
                <w:rtl/>
              </w:rPr>
              <w:t>הנאשמים</w:t>
            </w:r>
          </w:p>
        </w:tc>
        <w:tc>
          <w:tcPr>
            <w:tcW w:w="5922" w:type="dxa"/>
            <w:gridSpan w:val="2"/>
          </w:tcPr>
          <w:p w14:paraId="0A157199" w14:textId="77777777" w:rsidR="00D24C88" w:rsidRPr="00D24C88" w:rsidRDefault="00D24C88" w:rsidP="00D24C88">
            <w:pPr>
              <w:rPr>
                <w:rFonts w:ascii="Times New Roman" w:hAnsi="Times New Roman"/>
                <w:b/>
                <w:bCs/>
                <w:sz w:val="26"/>
                <w:szCs w:val="26"/>
                <w:rtl/>
              </w:rPr>
            </w:pPr>
            <w:r w:rsidRPr="00D24C88">
              <w:rPr>
                <w:rFonts w:ascii="Times New Roman" w:hAnsi="Times New Roman"/>
                <w:b/>
                <w:bCs/>
                <w:sz w:val="26"/>
                <w:szCs w:val="26"/>
                <w:rtl/>
              </w:rPr>
              <w:t>1..ראמי גדיר (עציר)</w:t>
            </w:r>
          </w:p>
          <w:p w14:paraId="73B3B7DF" w14:textId="77777777" w:rsidR="00D24C88" w:rsidRPr="00D24C88" w:rsidRDefault="00D24C88" w:rsidP="00D24C88">
            <w:pPr>
              <w:rPr>
                <w:rFonts w:ascii="Times New Roman" w:hAnsi="Times New Roman"/>
                <w:b/>
                <w:bCs/>
                <w:sz w:val="26"/>
                <w:szCs w:val="26"/>
                <w:rtl/>
              </w:rPr>
            </w:pPr>
            <w:r w:rsidRPr="00D24C88">
              <w:rPr>
                <w:rFonts w:ascii="Times New Roman" w:hAnsi="Times New Roman"/>
                <w:b/>
                <w:bCs/>
                <w:sz w:val="26"/>
                <w:szCs w:val="26"/>
                <w:rtl/>
              </w:rPr>
              <w:t>3..יחיא גדיר (עציר)</w:t>
            </w:r>
          </w:p>
          <w:p w14:paraId="50A1D62E" w14:textId="77777777" w:rsidR="00D24C88" w:rsidRPr="00D24C88" w:rsidRDefault="00D24C88" w:rsidP="00D24C88">
            <w:pPr>
              <w:rPr>
                <w:rFonts w:ascii="Times New Roman" w:hAnsi="Times New Roman"/>
                <w:b/>
                <w:bCs/>
                <w:sz w:val="26"/>
                <w:szCs w:val="26"/>
              </w:rPr>
            </w:pPr>
            <w:r w:rsidRPr="00D24C88">
              <w:rPr>
                <w:rFonts w:ascii="Times New Roman" w:hAnsi="Times New Roman"/>
                <w:b/>
                <w:bCs/>
                <w:sz w:val="26"/>
                <w:szCs w:val="26"/>
                <w:rtl/>
              </w:rPr>
              <w:t>2..חוסין גדיר (עציר)</w:t>
            </w:r>
          </w:p>
        </w:tc>
      </w:tr>
    </w:tbl>
    <w:p w14:paraId="53184453" w14:textId="77777777" w:rsidR="0010408C" w:rsidRPr="00D24C88" w:rsidRDefault="0010408C">
      <w:pPr>
        <w:spacing w:line="360" w:lineRule="auto"/>
        <w:jc w:val="both"/>
        <w:rPr>
          <w:sz w:val="6"/>
          <w:szCs w:val="6"/>
          <w:rtl/>
        </w:rPr>
      </w:pPr>
      <w:r w:rsidRPr="00D24C88">
        <w:rPr>
          <w:sz w:val="6"/>
          <w:szCs w:val="6"/>
          <w:rtl/>
        </w:rPr>
        <w:t>&lt;#2#&gt;</w:t>
      </w:r>
    </w:p>
    <w:p w14:paraId="6502112C" w14:textId="77777777" w:rsidR="0010408C" w:rsidRPr="00D24C88" w:rsidRDefault="0010408C">
      <w:pPr>
        <w:pStyle w:val="12"/>
        <w:rPr>
          <w:u w:val="none"/>
          <w:rtl/>
        </w:rPr>
      </w:pPr>
      <w:r w:rsidRPr="00D24C88">
        <w:rPr>
          <w:u w:val="none"/>
          <w:rtl/>
        </w:rPr>
        <w:t>נוכחים:</w:t>
      </w:r>
    </w:p>
    <w:p w14:paraId="1B59A9D7" w14:textId="77777777" w:rsidR="0010408C" w:rsidRPr="00D24C88" w:rsidRDefault="0010408C" w:rsidP="005022A6">
      <w:pPr>
        <w:pStyle w:val="12"/>
        <w:rPr>
          <w:u w:val="none"/>
        </w:rPr>
      </w:pPr>
      <w:r w:rsidRPr="00D24C88">
        <w:rPr>
          <w:u w:val="none"/>
          <w:rtl/>
        </w:rPr>
        <w:t>מטעם המאשימה: עו"ד סימונה בן חיים</w:t>
      </w:r>
    </w:p>
    <w:p w14:paraId="59D56350" w14:textId="77777777" w:rsidR="0010408C" w:rsidRPr="00D24C88" w:rsidRDefault="0010408C" w:rsidP="005022A6">
      <w:pPr>
        <w:pStyle w:val="12"/>
        <w:rPr>
          <w:b w:val="0"/>
          <w:bCs w:val="0"/>
          <w:u w:val="none"/>
          <w:rtl/>
        </w:rPr>
      </w:pPr>
      <w:r w:rsidRPr="00D24C88">
        <w:rPr>
          <w:u w:val="none"/>
          <w:rtl/>
        </w:rPr>
        <w:t>מטעם הנאשמים 2 ו-3: הובאו וע"י ב"כ עו"ד חן רוימי ממשרד עו"ד שלומי בלומנפלד</w:t>
      </w:r>
    </w:p>
    <w:p w14:paraId="6A4FD578" w14:textId="77777777" w:rsidR="0010408C" w:rsidRDefault="0010408C" w:rsidP="00F5303C">
      <w:pPr>
        <w:spacing w:line="360" w:lineRule="auto"/>
        <w:jc w:val="both"/>
        <w:rPr>
          <w:rFonts w:hint="cs"/>
          <w:rtl/>
        </w:rPr>
      </w:pPr>
    </w:p>
    <w:p w14:paraId="13BD3B88" w14:textId="77777777" w:rsidR="006510D2" w:rsidRDefault="006510D2" w:rsidP="00F5303C">
      <w:pPr>
        <w:spacing w:line="360" w:lineRule="auto"/>
        <w:jc w:val="both"/>
        <w:rPr>
          <w:rFonts w:hint="cs"/>
          <w:rtl/>
        </w:rPr>
      </w:pPr>
    </w:p>
    <w:p w14:paraId="5DA18933" w14:textId="77777777" w:rsidR="00C26250" w:rsidRPr="00C26250" w:rsidRDefault="00C26250" w:rsidP="00C26250">
      <w:pPr>
        <w:spacing w:after="120" w:line="240" w:lineRule="exact"/>
        <w:ind w:left="283" w:hanging="283"/>
        <w:jc w:val="both"/>
        <w:rPr>
          <w:rFonts w:ascii="FrankRuehl" w:hAnsi="FrankRuehl" w:cs="FrankRuehl"/>
          <w:rtl/>
        </w:rPr>
      </w:pPr>
      <w:r w:rsidRPr="00C26250">
        <w:rPr>
          <w:rFonts w:ascii="FrankRuehl" w:hAnsi="FrankRuehl" w:cs="FrankRuehl"/>
          <w:rtl/>
        </w:rPr>
        <w:t xml:space="preserve">חקיקה שאוזכרה: </w:t>
      </w:r>
    </w:p>
    <w:p w14:paraId="19195D98" w14:textId="77777777" w:rsidR="00C26250" w:rsidRPr="00C26250" w:rsidRDefault="00C26250" w:rsidP="00C26250">
      <w:pPr>
        <w:spacing w:after="120" w:line="240" w:lineRule="exact"/>
        <w:ind w:left="283" w:hanging="283"/>
        <w:jc w:val="both"/>
        <w:rPr>
          <w:rFonts w:ascii="FrankRuehl" w:hAnsi="FrankRuehl" w:cs="FrankRuehl"/>
          <w:rtl/>
        </w:rPr>
      </w:pPr>
      <w:hyperlink r:id="rId7" w:history="1">
        <w:r w:rsidRPr="00C26250">
          <w:rPr>
            <w:rFonts w:ascii="FrankRuehl" w:hAnsi="FrankRuehl" w:cs="FrankRuehl"/>
            <w:color w:val="0000FF"/>
            <w:u w:val="single"/>
            <w:rtl/>
          </w:rPr>
          <w:t>חוק העונשין, תשל"ז-1977</w:t>
        </w:r>
      </w:hyperlink>
      <w:r w:rsidRPr="00C26250">
        <w:rPr>
          <w:rFonts w:ascii="FrankRuehl" w:hAnsi="FrankRuehl" w:cs="FrankRuehl"/>
          <w:rtl/>
        </w:rPr>
        <w:t xml:space="preserve">: סע'  </w:t>
      </w:r>
      <w:hyperlink r:id="rId8" w:history="1">
        <w:r w:rsidRPr="00C26250">
          <w:rPr>
            <w:rFonts w:ascii="FrankRuehl" w:hAnsi="FrankRuehl" w:cs="FrankRuehl"/>
            <w:color w:val="0000FF"/>
            <w:u w:val="single"/>
            <w:rtl/>
          </w:rPr>
          <w:t>29</w:t>
        </w:r>
      </w:hyperlink>
      <w:r w:rsidRPr="00C26250">
        <w:rPr>
          <w:rFonts w:ascii="FrankRuehl" w:hAnsi="FrankRuehl" w:cs="FrankRuehl"/>
          <w:rtl/>
        </w:rPr>
        <w:t xml:space="preserve">, </w:t>
      </w:r>
      <w:hyperlink r:id="rId9" w:history="1">
        <w:r w:rsidRPr="00C26250">
          <w:rPr>
            <w:rFonts w:ascii="FrankRuehl" w:hAnsi="FrankRuehl" w:cs="FrankRuehl"/>
            <w:color w:val="0000FF"/>
            <w:u w:val="single"/>
            <w:rtl/>
          </w:rPr>
          <w:t>31</w:t>
        </w:r>
      </w:hyperlink>
      <w:r w:rsidRPr="00C26250">
        <w:rPr>
          <w:rFonts w:ascii="FrankRuehl" w:hAnsi="FrankRuehl" w:cs="FrankRuehl"/>
          <w:rtl/>
        </w:rPr>
        <w:t xml:space="preserve">, </w:t>
      </w:r>
      <w:hyperlink r:id="rId10" w:history="1">
        <w:r w:rsidRPr="00C26250">
          <w:rPr>
            <w:rFonts w:ascii="FrankRuehl" w:hAnsi="FrankRuehl" w:cs="FrankRuehl"/>
            <w:color w:val="0000FF"/>
            <w:u w:val="single"/>
            <w:rtl/>
          </w:rPr>
          <w:t>114.ב</w:t>
        </w:r>
      </w:hyperlink>
      <w:r w:rsidRPr="00C26250">
        <w:rPr>
          <w:rFonts w:ascii="FrankRuehl" w:hAnsi="FrankRuehl" w:cs="FrankRuehl"/>
          <w:rtl/>
        </w:rPr>
        <w:t xml:space="preserve">, </w:t>
      </w:r>
      <w:hyperlink r:id="rId11" w:history="1">
        <w:r w:rsidRPr="00C26250">
          <w:rPr>
            <w:rFonts w:ascii="FrankRuehl" w:hAnsi="FrankRuehl" w:cs="FrankRuehl"/>
            <w:color w:val="0000FF"/>
            <w:u w:val="single"/>
            <w:rtl/>
          </w:rPr>
          <w:t>115(א)</w:t>
        </w:r>
      </w:hyperlink>
      <w:r w:rsidRPr="00C26250">
        <w:rPr>
          <w:rFonts w:ascii="FrankRuehl" w:hAnsi="FrankRuehl" w:cs="FrankRuehl"/>
          <w:rtl/>
        </w:rPr>
        <w:t xml:space="preserve">, </w:t>
      </w:r>
      <w:hyperlink r:id="rId12" w:history="1">
        <w:r w:rsidRPr="00C26250">
          <w:rPr>
            <w:rFonts w:ascii="FrankRuehl" w:hAnsi="FrankRuehl" w:cs="FrankRuehl"/>
            <w:color w:val="0000FF"/>
            <w:u w:val="single"/>
            <w:rtl/>
          </w:rPr>
          <w:t>144(א)</w:t>
        </w:r>
      </w:hyperlink>
      <w:r w:rsidRPr="00C26250">
        <w:rPr>
          <w:rFonts w:ascii="FrankRuehl" w:hAnsi="FrankRuehl" w:cs="FrankRuehl"/>
          <w:rtl/>
        </w:rPr>
        <w:t xml:space="preserve">, </w:t>
      </w:r>
      <w:hyperlink r:id="rId13" w:history="1">
        <w:r w:rsidRPr="00C26250">
          <w:rPr>
            <w:rFonts w:ascii="FrankRuehl" w:hAnsi="FrankRuehl" w:cs="FrankRuehl"/>
            <w:color w:val="0000FF"/>
            <w:u w:val="single"/>
            <w:rtl/>
          </w:rPr>
          <w:t>144.א.</w:t>
        </w:r>
      </w:hyperlink>
      <w:r w:rsidRPr="00C26250">
        <w:rPr>
          <w:rFonts w:ascii="FrankRuehl" w:hAnsi="FrankRuehl" w:cs="FrankRuehl"/>
          <w:rtl/>
        </w:rPr>
        <w:t xml:space="preserve">, </w:t>
      </w:r>
      <w:hyperlink r:id="rId14" w:history="1">
        <w:r w:rsidRPr="00C26250">
          <w:rPr>
            <w:rFonts w:ascii="FrankRuehl" w:hAnsi="FrankRuehl" w:cs="FrankRuehl"/>
            <w:color w:val="0000FF"/>
            <w:u w:val="single"/>
            <w:rtl/>
          </w:rPr>
          <w:t>(ב)</w:t>
        </w:r>
      </w:hyperlink>
      <w:r w:rsidRPr="00C26250">
        <w:rPr>
          <w:rFonts w:ascii="FrankRuehl" w:hAnsi="FrankRuehl" w:cs="FrankRuehl"/>
          <w:rtl/>
        </w:rPr>
        <w:t xml:space="preserve">, </w:t>
      </w:r>
      <w:hyperlink r:id="rId15" w:history="1">
        <w:r w:rsidRPr="00C26250">
          <w:rPr>
            <w:rFonts w:ascii="FrankRuehl" w:hAnsi="FrankRuehl" w:cs="FrankRuehl"/>
            <w:color w:val="0000FF"/>
            <w:u w:val="single"/>
            <w:rtl/>
          </w:rPr>
          <w:t>402(א)</w:t>
        </w:r>
      </w:hyperlink>
      <w:r w:rsidRPr="00C26250">
        <w:rPr>
          <w:rFonts w:ascii="FrankRuehl" w:hAnsi="FrankRuehl" w:cs="FrankRuehl"/>
          <w:rtl/>
        </w:rPr>
        <w:t xml:space="preserve">, </w:t>
      </w:r>
      <w:hyperlink r:id="rId16" w:history="1">
        <w:r w:rsidRPr="00C26250">
          <w:rPr>
            <w:rFonts w:ascii="FrankRuehl" w:hAnsi="FrankRuehl" w:cs="FrankRuehl"/>
            <w:color w:val="0000FF"/>
            <w:u w:val="single"/>
            <w:rtl/>
          </w:rPr>
          <w:t>402(ב)</w:t>
        </w:r>
      </w:hyperlink>
      <w:r w:rsidRPr="00C26250">
        <w:rPr>
          <w:rFonts w:ascii="FrankRuehl" w:hAnsi="FrankRuehl" w:cs="FrankRuehl"/>
          <w:rtl/>
        </w:rPr>
        <w:t xml:space="preserve">, </w:t>
      </w:r>
      <w:hyperlink r:id="rId17" w:history="1">
        <w:r w:rsidRPr="00C26250">
          <w:rPr>
            <w:rFonts w:ascii="FrankRuehl" w:hAnsi="FrankRuehl" w:cs="FrankRuehl"/>
            <w:color w:val="0000FF"/>
            <w:u w:val="single"/>
            <w:rtl/>
          </w:rPr>
          <w:t>499(א)(1)</w:t>
        </w:r>
      </w:hyperlink>
    </w:p>
    <w:p w14:paraId="7D28518E" w14:textId="77777777" w:rsidR="00C26250" w:rsidRPr="00C26250" w:rsidRDefault="00C26250" w:rsidP="00C26250">
      <w:pPr>
        <w:spacing w:after="120" w:line="240" w:lineRule="exact"/>
        <w:ind w:left="283" w:hanging="283"/>
        <w:jc w:val="both"/>
        <w:rPr>
          <w:rFonts w:ascii="FrankRuehl" w:hAnsi="FrankRuehl" w:cs="FrankRuehl"/>
          <w:rtl/>
        </w:rPr>
      </w:pPr>
    </w:p>
    <w:p w14:paraId="0ECD9D6A" w14:textId="77777777" w:rsidR="00C26250" w:rsidRPr="00C26250" w:rsidRDefault="00C26250" w:rsidP="00C26250">
      <w:pPr>
        <w:spacing w:line="360" w:lineRule="auto"/>
        <w:jc w:val="both"/>
        <w:rPr>
          <w:sz w:val="6"/>
          <w:szCs w:val="6"/>
          <w:rtl/>
        </w:rPr>
      </w:pPr>
      <w:bookmarkStart w:id="3" w:name="LawTable_End"/>
      <w:bookmarkEnd w:id="3"/>
    </w:p>
    <w:p w14:paraId="011CA37C" w14:textId="77777777" w:rsidR="006510D2" w:rsidRDefault="006510D2" w:rsidP="00F5303C">
      <w:pPr>
        <w:spacing w:line="360" w:lineRule="auto"/>
        <w:jc w:val="both"/>
        <w:rPr>
          <w:rFonts w:hint="cs"/>
          <w:rtl/>
        </w:rPr>
      </w:pPr>
    </w:p>
    <w:p w14:paraId="42B87376" w14:textId="77777777" w:rsidR="0010408C" w:rsidRPr="00D24C88" w:rsidRDefault="0010408C" w:rsidP="00F5303C">
      <w:pPr>
        <w:spacing w:line="360" w:lineRule="auto"/>
        <w:jc w:val="both"/>
        <w:rPr>
          <w:sz w:val="6"/>
          <w:szCs w:val="6"/>
          <w:rtl/>
        </w:rPr>
      </w:pPr>
      <w:r w:rsidRPr="00D24C88">
        <w:rPr>
          <w:sz w:val="6"/>
          <w:szCs w:val="6"/>
          <w:rtl/>
        </w:rPr>
        <w:t>&lt;#5#&gt;</w:t>
      </w:r>
    </w:p>
    <w:p w14:paraId="39323E2D" w14:textId="77777777" w:rsidR="0010408C" w:rsidRPr="00D24C88" w:rsidRDefault="0010408C">
      <w:pPr>
        <w:spacing w:line="360" w:lineRule="auto"/>
        <w:jc w:val="center"/>
        <w:rPr>
          <w:rFonts w:ascii="Arial" w:hAnsi="Arial"/>
          <w:b/>
          <w:bCs/>
          <w:sz w:val="28"/>
          <w:szCs w:val="28"/>
          <w:rtl/>
        </w:rPr>
      </w:pPr>
      <w:bookmarkStart w:id="4" w:name="PsakDin"/>
      <w:r w:rsidRPr="00D24C88">
        <w:rPr>
          <w:rFonts w:ascii="Arial" w:hAnsi="Arial"/>
          <w:b/>
          <w:bCs/>
          <w:sz w:val="28"/>
          <w:szCs w:val="28"/>
          <w:rtl/>
        </w:rPr>
        <w:t xml:space="preserve">גזר דין </w:t>
      </w:r>
      <w:bookmarkEnd w:id="4"/>
      <w:r w:rsidRPr="00D24C88">
        <w:rPr>
          <w:rFonts w:ascii="Arial" w:hAnsi="Arial"/>
          <w:b/>
          <w:bCs/>
          <w:sz w:val="28"/>
          <w:szCs w:val="28"/>
          <w:rtl/>
        </w:rPr>
        <w:t>לנאשמים 2 ו- 3</w:t>
      </w:r>
    </w:p>
    <w:p w14:paraId="57880E27" w14:textId="77777777" w:rsidR="0010408C" w:rsidRPr="00D24C88" w:rsidRDefault="0010408C" w:rsidP="00F5303C">
      <w:pPr>
        <w:spacing w:line="360" w:lineRule="auto"/>
        <w:jc w:val="both"/>
        <w:rPr>
          <w:rtl/>
        </w:rPr>
      </w:pPr>
    </w:p>
    <w:p w14:paraId="1993C4CA" w14:textId="77777777" w:rsidR="0010408C" w:rsidRPr="00D24C88" w:rsidRDefault="0010408C" w:rsidP="00F5303C">
      <w:pPr>
        <w:spacing w:line="360" w:lineRule="auto"/>
        <w:ind w:left="720" w:hanging="720"/>
        <w:jc w:val="both"/>
        <w:rPr>
          <w:rtl/>
        </w:rPr>
      </w:pPr>
      <w:r w:rsidRPr="00D24C88">
        <w:rPr>
          <w:rtl/>
        </w:rPr>
        <w:t xml:space="preserve">1. </w:t>
      </w:r>
      <w:r w:rsidRPr="00D24C88">
        <w:rPr>
          <w:rtl/>
        </w:rPr>
        <w:tab/>
        <w:t>הנאשמים 2 ו-3 (להלן ביחד: "</w:t>
      </w:r>
      <w:r w:rsidRPr="00D24C88">
        <w:rPr>
          <w:b/>
          <w:bCs/>
          <w:rtl/>
        </w:rPr>
        <w:t>הנאשמים</w:t>
      </w:r>
      <w:r w:rsidRPr="00D24C88">
        <w:rPr>
          <w:rtl/>
        </w:rPr>
        <w:t>") הורשעו, עקב הודאתם בעובדות כתב אישום מתוקן מיום 11.12.13 (מ/2) (להלן: "</w:t>
      </w:r>
      <w:r w:rsidRPr="00D24C88">
        <w:rPr>
          <w:b/>
          <w:bCs/>
          <w:rtl/>
        </w:rPr>
        <w:t>כתב-האישום</w:t>
      </w:r>
      <w:r w:rsidRPr="00D24C88">
        <w:rPr>
          <w:rtl/>
        </w:rPr>
        <w:t>"), בעבירות נשק ורכוש שיפורטו להלן.</w:t>
      </w:r>
    </w:p>
    <w:p w14:paraId="54F12BF5" w14:textId="77777777" w:rsidR="0010408C" w:rsidRPr="00D24C88" w:rsidRDefault="0010408C" w:rsidP="00F5303C">
      <w:pPr>
        <w:spacing w:line="360" w:lineRule="auto"/>
        <w:jc w:val="both"/>
        <w:rPr>
          <w:rtl/>
        </w:rPr>
      </w:pPr>
    </w:p>
    <w:p w14:paraId="43304725" w14:textId="77777777" w:rsidR="0010408C" w:rsidRPr="00D24C88" w:rsidRDefault="0010408C" w:rsidP="00F5303C">
      <w:pPr>
        <w:spacing w:line="360" w:lineRule="auto"/>
        <w:ind w:left="720"/>
        <w:jc w:val="both"/>
        <w:rPr>
          <w:rtl/>
        </w:rPr>
      </w:pPr>
      <w:bookmarkStart w:id="5" w:name="ABSTRACT_START"/>
      <w:bookmarkEnd w:id="5"/>
      <w:r w:rsidRPr="00D24C88">
        <w:rPr>
          <w:b/>
          <w:bCs/>
          <w:rtl/>
        </w:rPr>
        <w:t>נאשם 2</w:t>
      </w:r>
      <w:r w:rsidRPr="00D24C88">
        <w:rPr>
          <w:rtl/>
        </w:rPr>
        <w:t xml:space="preserve"> הורשע בעבירות של סיוע להחזקה ונשיאת נשק, לפי </w:t>
      </w:r>
      <w:hyperlink r:id="rId18" w:history="1">
        <w:r w:rsidR="006510D2" w:rsidRPr="006510D2">
          <w:rPr>
            <w:color w:val="0000FF"/>
            <w:u w:val="single"/>
            <w:rtl/>
          </w:rPr>
          <w:t>סעיף 144(א)</w:t>
        </w:r>
      </w:hyperlink>
      <w:r w:rsidRPr="00D24C88">
        <w:rPr>
          <w:rtl/>
        </w:rPr>
        <w:t xml:space="preserve"> ו-</w:t>
      </w:r>
      <w:hyperlink r:id="rId19" w:history="1">
        <w:r w:rsidR="006510D2" w:rsidRPr="006510D2">
          <w:rPr>
            <w:rStyle w:val="Hyperlink"/>
            <w:rtl/>
          </w:rPr>
          <w:t>(ב)</w:t>
        </w:r>
      </w:hyperlink>
      <w:r w:rsidRPr="00D24C88">
        <w:rPr>
          <w:rtl/>
        </w:rPr>
        <w:t xml:space="preserve"> </w:t>
      </w:r>
      <w:hyperlink r:id="rId20" w:history="1">
        <w:r w:rsidR="006510D2" w:rsidRPr="006510D2">
          <w:rPr>
            <w:rStyle w:val="Hyperlink"/>
            <w:rtl/>
          </w:rPr>
          <w:t>וסעיף 31</w:t>
        </w:r>
      </w:hyperlink>
      <w:r w:rsidRPr="00D24C88">
        <w:rPr>
          <w:rtl/>
        </w:rPr>
        <w:t xml:space="preserve"> ל</w:t>
      </w:r>
      <w:hyperlink r:id="rId21" w:history="1">
        <w:r w:rsidR="00D24C88" w:rsidRPr="00D24C88">
          <w:rPr>
            <w:color w:val="0000FF"/>
            <w:u w:val="single"/>
            <w:rtl/>
          </w:rPr>
          <w:t>חוק העונשין</w:t>
        </w:r>
      </w:hyperlink>
      <w:r w:rsidRPr="00D24C88">
        <w:rPr>
          <w:rtl/>
        </w:rPr>
        <w:t xml:space="preserve">, התשל"ז-1977 (להלן: "החוק"); וסיוע לשוד, לפי </w:t>
      </w:r>
      <w:hyperlink r:id="rId22" w:history="1">
        <w:r w:rsidR="006510D2" w:rsidRPr="006510D2">
          <w:rPr>
            <w:rStyle w:val="Hyperlink"/>
            <w:rtl/>
          </w:rPr>
          <w:t>סעיפים 402(א)</w:t>
        </w:r>
      </w:hyperlink>
      <w:r w:rsidRPr="00D24C88">
        <w:rPr>
          <w:rtl/>
        </w:rPr>
        <w:t xml:space="preserve"> ו-</w:t>
      </w:r>
      <w:hyperlink r:id="rId23" w:history="1">
        <w:r w:rsidR="00C26250" w:rsidRPr="00C26250">
          <w:rPr>
            <w:color w:val="0000FF"/>
            <w:u w:val="single"/>
            <w:rtl/>
          </w:rPr>
          <w:t>31</w:t>
        </w:r>
      </w:hyperlink>
      <w:r w:rsidRPr="00D24C88">
        <w:rPr>
          <w:rtl/>
        </w:rPr>
        <w:t xml:space="preserve"> לחוק.</w:t>
      </w:r>
    </w:p>
    <w:p w14:paraId="2E263AEC" w14:textId="77777777" w:rsidR="0010408C" w:rsidRPr="00D24C88" w:rsidRDefault="0010408C" w:rsidP="00F5303C">
      <w:pPr>
        <w:spacing w:line="360" w:lineRule="auto"/>
        <w:jc w:val="both"/>
        <w:rPr>
          <w:rtl/>
        </w:rPr>
      </w:pPr>
    </w:p>
    <w:p w14:paraId="0BAF3978" w14:textId="77777777" w:rsidR="0010408C" w:rsidRPr="00D24C88" w:rsidRDefault="0010408C" w:rsidP="00F5303C">
      <w:pPr>
        <w:spacing w:line="360" w:lineRule="auto"/>
        <w:ind w:left="720"/>
        <w:jc w:val="both"/>
        <w:rPr>
          <w:rtl/>
        </w:rPr>
      </w:pPr>
      <w:r w:rsidRPr="00D24C88">
        <w:rPr>
          <w:b/>
          <w:bCs/>
          <w:rtl/>
        </w:rPr>
        <w:t>נאשם 3</w:t>
      </w:r>
      <w:r w:rsidRPr="00D24C88">
        <w:rPr>
          <w:rtl/>
        </w:rPr>
        <w:t xml:space="preserve"> הורשע בעבירות של קשירת קשר לביצוע פשע, לפי </w:t>
      </w:r>
      <w:hyperlink r:id="rId24" w:history="1">
        <w:r w:rsidR="006510D2" w:rsidRPr="006510D2">
          <w:rPr>
            <w:rStyle w:val="Hyperlink"/>
            <w:rtl/>
          </w:rPr>
          <w:t>סעיף 499(א)(1)</w:t>
        </w:r>
      </w:hyperlink>
      <w:r w:rsidRPr="00D24C88">
        <w:rPr>
          <w:rtl/>
        </w:rPr>
        <w:t xml:space="preserve"> לחוק; שוד בנסיבות מחמירות, לפי </w:t>
      </w:r>
      <w:hyperlink r:id="rId25" w:history="1">
        <w:r w:rsidR="006510D2" w:rsidRPr="006510D2">
          <w:rPr>
            <w:rStyle w:val="Hyperlink"/>
            <w:rtl/>
          </w:rPr>
          <w:t>סעיפים 402(ב)</w:t>
        </w:r>
      </w:hyperlink>
      <w:r w:rsidRPr="00D24C88">
        <w:rPr>
          <w:rtl/>
        </w:rPr>
        <w:t xml:space="preserve"> ו-</w:t>
      </w:r>
      <w:hyperlink r:id="rId26" w:history="1">
        <w:r w:rsidR="006510D2" w:rsidRPr="006510D2">
          <w:rPr>
            <w:rStyle w:val="Hyperlink"/>
            <w:rtl/>
          </w:rPr>
          <w:t>29</w:t>
        </w:r>
      </w:hyperlink>
      <w:r w:rsidRPr="00D24C88">
        <w:rPr>
          <w:rtl/>
        </w:rPr>
        <w:t xml:space="preserve"> לחוק; החזקה ונשיאת נשק (שלוש עבירות), לפי </w:t>
      </w:r>
      <w:hyperlink r:id="rId27" w:history="1">
        <w:r w:rsidR="00C26250" w:rsidRPr="00C26250">
          <w:rPr>
            <w:color w:val="0000FF"/>
            <w:u w:val="single"/>
            <w:rtl/>
          </w:rPr>
          <w:t>סעיפים 144 (א) ו-(ב)</w:t>
        </w:r>
      </w:hyperlink>
      <w:r w:rsidRPr="00D24C88">
        <w:rPr>
          <w:rtl/>
        </w:rPr>
        <w:t xml:space="preserve"> </w:t>
      </w:r>
      <w:hyperlink r:id="rId28" w:history="1">
        <w:r w:rsidR="00C26250" w:rsidRPr="00C26250">
          <w:rPr>
            <w:color w:val="0000FF"/>
            <w:u w:val="single"/>
            <w:rtl/>
          </w:rPr>
          <w:t>וסעיף 29</w:t>
        </w:r>
      </w:hyperlink>
      <w:r w:rsidRPr="00D24C88">
        <w:rPr>
          <w:rtl/>
        </w:rPr>
        <w:t xml:space="preserve"> לחוק; וכניסה למקום צבאי (שתי עבירות), לפי </w:t>
      </w:r>
      <w:hyperlink r:id="rId29" w:history="1">
        <w:r w:rsidR="006510D2" w:rsidRPr="006510D2">
          <w:rPr>
            <w:rStyle w:val="Hyperlink"/>
            <w:rtl/>
          </w:rPr>
          <w:t>סעיפים 115(א)</w:t>
        </w:r>
      </w:hyperlink>
      <w:r w:rsidRPr="00D24C88">
        <w:rPr>
          <w:rtl/>
        </w:rPr>
        <w:t xml:space="preserve"> רישא ו-</w:t>
      </w:r>
      <w:hyperlink r:id="rId30" w:history="1">
        <w:r w:rsidR="00C26250" w:rsidRPr="00C26250">
          <w:rPr>
            <w:color w:val="0000FF"/>
            <w:u w:val="single"/>
            <w:rtl/>
          </w:rPr>
          <w:t>29</w:t>
        </w:r>
      </w:hyperlink>
      <w:r w:rsidRPr="00D24C88">
        <w:rPr>
          <w:rtl/>
        </w:rPr>
        <w:t xml:space="preserve"> לחוק.</w:t>
      </w:r>
    </w:p>
    <w:p w14:paraId="5C3C59E1" w14:textId="77777777" w:rsidR="0010408C" w:rsidRPr="00D24C88" w:rsidRDefault="0010408C" w:rsidP="00F5303C">
      <w:pPr>
        <w:spacing w:line="360" w:lineRule="auto"/>
        <w:jc w:val="both"/>
        <w:rPr>
          <w:rtl/>
        </w:rPr>
      </w:pPr>
      <w:bookmarkStart w:id="6" w:name="ABSTRACT_END"/>
      <w:bookmarkEnd w:id="6"/>
    </w:p>
    <w:p w14:paraId="1250E9CD" w14:textId="77777777" w:rsidR="0010408C" w:rsidRPr="00D24C88" w:rsidRDefault="0010408C" w:rsidP="00F5303C">
      <w:pPr>
        <w:spacing w:line="360" w:lineRule="auto"/>
        <w:ind w:left="720"/>
        <w:jc w:val="both"/>
        <w:rPr>
          <w:rtl/>
        </w:rPr>
      </w:pPr>
      <w:r w:rsidRPr="00D24C88">
        <w:rPr>
          <w:rtl/>
        </w:rPr>
        <w:t>במסגרת הסדר הטיעון הסכימו הצדדים לטעון באופן חופשי ביחס לעונש הראוי לנאשם 2, ולטעון בהסכמה לעונש של 4 וחצי שנות מאסר בפועל באשר לנאשם 3, בניכוי ימי מעצרו, כשבנוסף תהא המאשימה רשאית לעתור לעונש של מאסר מותנה וקנס כספי.</w:t>
      </w:r>
    </w:p>
    <w:p w14:paraId="452627E0" w14:textId="77777777" w:rsidR="0010408C" w:rsidRPr="00D24C88" w:rsidRDefault="0010408C" w:rsidP="00F5303C">
      <w:pPr>
        <w:spacing w:line="360" w:lineRule="auto"/>
        <w:jc w:val="both"/>
        <w:rPr>
          <w:rtl/>
        </w:rPr>
      </w:pPr>
    </w:p>
    <w:p w14:paraId="63D4A460" w14:textId="77777777" w:rsidR="0010408C" w:rsidRPr="00D24C88" w:rsidRDefault="0010408C" w:rsidP="00F5303C">
      <w:pPr>
        <w:spacing w:line="360" w:lineRule="auto"/>
        <w:jc w:val="both"/>
        <w:rPr>
          <w:b/>
          <w:bCs/>
          <w:rtl/>
        </w:rPr>
      </w:pPr>
      <w:r w:rsidRPr="00D24C88">
        <w:rPr>
          <w:b/>
          <w:bCs/>
          <w:rtl/>
        </w:rPr>
        <w:lastRenderedPageBreak/>
        <w:t>כתב-האישום</w:t>
      </w:r>
    </w:p>
    <w:p w14:paraId="6FB2D535" w14:textId="77777777" w:rsidR="0010408C" w:rsidRPr="00D24C88" w:rsidRDefault="0010408C" w:rsidP="00F5303C">
      <w:pPr>
        <w:spacing w:line="360" w:lineRule="auto"/>
        <w:ind w:left="720" w:hanging="720"/>
        <w:jc w:val="both"/>
        <w:rPr>
          <w:rtl/>
        </w:rPr>
      </w:pPr>
      <w:r w:rsidRPr="00D24C88">
        <w:rPr>
          <w:rtl/>
        </w:rPr>
        <w:t xml:space="preserve">2. </w:t>
      </w:r>
      <w:r w:rsidRPr="00D24C88">
        <w:rPr>
          <w:rtl/>
        </w:rPr>
        <w:tab/>
        <w:t>כתב האישום מפרט, כי במועדים הרלוונטיים שירת מחמוד גדיר (להלן: "</w:t>
      </w:r>
      <w:r w:rsidRPr="00D24C88">
        <w:rPr>
          <w:b/>
          <w:bCs/>
          <w:rtl/>
        </w:rPr>
        <w:t>מחמוד</w:t>
      </w:r>
      <w:r w:rsidRPr="00D24C88">
        <w:rPr>
          <w:rtl/>
        </w:rPr>
        <w:t>"), בן-דודם מקרבה שנייה של הנאשמים, כעובד כללי בבסיס "מחנה נפתלי" (להלן: "</w:t>
      </w:r>
      <w:r w:rsidRPr="00D24C88">
        <w:rPr>
          <w:b/>
          <w:bCs/>
          <w:rtl/>
        </w:rPr>
        <w:t>הבסיס</w:t>
      </w:r>
      <w:r w:rsidRPr="00D24C88">
        <w:rPr>
          <w:rtl/>
        </w:rPr>
        <w:t>"). עובר למועד הגשת כתב-האישום קשרו נאשם 3 ומחמוד קשר לגנוב מן הבסיס נשק במטרה לסחור בו ולהפיק תמורה כספית ממכירתו. הנאשם 3 ומחמוד הוציאו תוכניתם אל הפועל בשני מקרים, המפורטים בשני אישומים.</w:t>
      </w:r>
    </w:p>
    <w:p w14:paraId="3AAA4665" w14:textId="77777777" w:rsidR="0010408C" w:rsidRPr="00D24C88" w:rsidRDefault="0010408C" w:rsidP="00F5303C">
      <w:pPr>
        <w:spacing w:line="360" w:lineRule="auto"/>
        <w:jc w:val="both"/>
        <w:rPr>
          <w:rtl/>
        </w:rPr>
      </w:pPr>
    </w:p>
    <w:p w14:paraId="315B5926" w14:textId="77777777" w:rsidR="0010408C" w:rsidRPr="00D24C88" w:rsidRDefault="0010408C" w:rsidP="00F5303C">
      <w:pPr>
        <w:spacing w:line="360" w:lineRule="auto"/>
        <w:jc w:val="both"/>
        <w:rPr>
          <w:rtl/>
        </w:rPr>
      </w:pPr>
      <w:r w:rsidRPr="00D24C88">
        <w:rPr>
          <w:rtl/>
        </w:rPr>
        <w:t xml:space="preserve">3. </w:t>
      </w:r>
      <w:r w:rsidRPr="00D24C88">
        <w:rPr>
          <w:rtl/>
        </w:rPr>
        <w:tab/>
        <w:t>אישום ראשון</w:t>
      </w:r>
    </w:p>
    <w:p w14:paraId="1877D316" w14:textId="77777777" w:rsidR="0010408C" w:rsidRPr="00D24C88" w:rsidRDefault="0010408C" w:rsidP="00F5303C">
      <w:pPr>
        <w:spacing w:line="360" w:lineRule="auto"/>
        <w:ind w:left="720"/>
        <w:jc w:val="both"/>
        <w:rPr>
          <w:rtl/>
        </w:rPr>
      </w:pPr>
      <w:r w:rsidRPr="00D24C88">
        <w:rPr>
          <w:rtl/>
        </w:rPr>
        <w:t>במהלך חודש אוקטובר 2012 קשרו הנאשמים 2-3 ומחמוד להיכנס לבסיס ולגנוב מהחמ"ל נשק צבאי ותחמושת צה"לית אחרת. במסגרת הקשר סוכם, כי מחמוד ונאשם 3 יכנסו לבסיס ואילו נאשם 2 יסייע להם בעת עזיבת המקום.</w:t>
      </w:r>
    </w:p>
    <w:p w14:paraId="47E9A305" w14:textId="77777777" w:rsidR="0010408C" w:rsidRPr="00D24C88" w:rsidRDefault="0010408C" w:rsidP="00F5303C">
      <w:pPr>
        <w:spacing w:line="360" w:lineRule="auto"/>
        <w:ind w:left="720"/>
        <w:jc w:val="both"/>
        <w:rPr>
          <w:rtl/>
        </w:rPr>
      </w:pPr>
      <w:r w:rsidRPr="00D24C88">
        <w:rPr>
          <w:rtl/>
        </w:rPr>
        <w:t>לשם הוצאת הקשר אל הפועל נפגשו השלושה, בתאריך 18.10.12 בשעות הערב, והצטיידו מבעוד מועד בבגדי הסוואה, במחתך (</w:t>
      </w:r>
      <w:r w:rsidRPr="00D24C88">
        <w:t>cutter</w:t>
      </w:r>
      <w:r w:rsidRPr="00D24C88">
        <w:rPr>
          <w:rtl/>
        </w:rPr>
        <w:t>), באזיקונים ובסכין. בהמשכו של אותו ערב, לאחר חצות הליל בסמוך לשעה 03:00, נסעו השלושה מן הכפר בו הם מתגוררים לכיוון הבסיס, כשנאשם 3 נוהג ברכבו של אביו מסוג מרצדס (להלן: "</w:t>
      </w:r>
      <w:r w:rsidRPr="00D24C88">
        <w:rPr>
          <w:b/>
          <w:bCs/>
          <w:rtl/>
        </w:rPr>
        <w:t>הרכב</w:t>
      </w:r>
      <w:r w:rsidRPr="00D24C88">
        <w:rPr>
          <w:rtl/>
        </w:rPr>
        <w:t>"), אותו נטל ללא רשות. מחמוד ונאשם 3 (להלן: "</w:t>
      </w:r>
      <w:r w:rsidRPr="00D24C88">
        <w:rPr>
          <w:b/>
          <w:bCs/>
          <w:rtl/>
        </w:rPr>
        <w:t>השניים</w:t>
      </w:r>
      <w:r w:rsidRPr="00D24C88">
        <w:rPr>
          <w:rtl/>
        </w:rPr>
        <w:t>") ירדו מן הרכב באזור טורעאן והחלו לצעוד רגלית לכיוון הבסיס. נאשם 2 המתין לשניים ברכב באזור טורעאן, כפי שסוכם מראש.</w:t>
      </w:r>
    </w:p>
    <w:p w14:paraId="691FE136" w14:textId="77777777" w:rsidR="0010408C" w:rsidRPr="00D24C88" w:rsidRDefault="0010408C" w:rsidP="00F5303C">
      <w:pPr>
        <w:spacing w:line="360" w:lineRule="auto"/>
        <w:ind w:left="720"/>
        <w:jc w:val="both"/>
        <w:rPr>
          <w:rtl/>
        </w:rPr>
      </w:pPr>
      <w:r w:rsidRPr="00D24C88">
        <w:rPr>
          <w:rtl/>
        </w:rPr>
        <w:t>מחמוד ונאשם 3 הגיעו אל הבסיס ובאמצעות המחתך פרצו את הגדר ונכנסו לבסיס למרות שלא היו מוסמכים לכך. כשהם לבושים שחורים וכיסוי פנים שחור על ראשם, בחנו השניים את השטח ותצפתו לעבר החמ"ל, במטרה לוודא כי אין סיורים קרובים העלולים להביא לתפישתם. בסמוך לשעה 04:15 התקרבו השניים לחמ"ל, שם שמר באותה עת החייל אבירם לוי (להלן: "</w:t>
      </w:r>
      <w:r w:rsidRPr="00D24C88">
        <w:rPr>
          <w:b/>
          <w:bCs/>
          <w:rtl/>
        </w:rPr>
        <w:t>החייל</w:t>
      </w:r>
      <w:r w:rsidRPr="00D24C88">
        <w:rPr>
          <w:rtl/>
        </w:rPr>
        <w:t xml:space="preserve">"). מחמוד, כשסכין בידו, הכניס ידו מבעד לחלון ופתח את דלת החמ"ל ויחד עם נאשם 3 אמר לחייל להירגע ושהם הגיעו במטרה לגנוב נשק. נאשם 3 נטל את נשקו של החייל מסוג רוס"ק </w:t>
      </w:r>
      <w:r w:rsidRPr="00D24C88">
        <w:t>M-16</w:t>
      </w:r>
      <w:r w:rsidRPr="00D24C88">
        <w:rPr>
          <w:rtl/>
        </w:rPr>
        <w:t>, שהיה מונח במקום, ואיים על החייל ש"אם לא ישתוק הוא יירה בו עם הנשק", תוך שהוא מכניס מחסנית לנשק ומצביע עליו. החייל, בפחדו מן השניים, שתק, ובשלב זה הוציא מחמוד מכיס מכנסיו אזיקונים, אזק באמצעותם את ידיו ורגליו של החייל, ולאחר מכן קשר אותן בחבל.</w:t>
      </w:r>
    </w:p>
    <w:bookmarkEnd w:id="0"/>
    <w:p w14:paraId="070FD220" w14:textId="77777777" w:rsidR="0010408C" w:rsidRDefault="0010408C" w:rsidP="004A2930">
      <w:pPr>
        <w:spacing w:line="360" w:lineRule="auto"/>
        <w:ind w:left="720"/>
        <w:jc w:val="both"/>
        <w:rPr>
          <w:rtl/>
        </w:rPr>
      </w:pPr>
      <w:r>
        <w:rPr>
          <w:rtl/>
        </w:rPr>
        <w:t xml:space="preserve">לאחר מכן שבר נאשם 3, באמצעות המחתך, את מנעוליהן של שתי ארוניות בהן היו מאוחסנים כלי נשק ותחמושת, והוציא מהם 3 רובי </w:t>
      </w:r>
      <w:r>
        <w:t>M-16</w:t>
      </w:r>
      <w:r>
        <w:rPr>
          <w:rtl/>
        </w:rPr>
        <w:t xml:space="preserve"> ו-10 מחסניות. השניים הטמינו את המחסניות על גופם, תוך שהם מאיימים על החייל כי אם יצעק הם יירו בו, וכן הוסיף נאשם 3 ואמר: "אני שונא יהודים, מגיע לכם".</w:t>
      </w:r>
    </w:p>
    <w:p w14:paraId="04FCD29F" w14:textId="77777777" w:rsidR="0010408C" w:rsidRDefault="0010408C" w:rsidP="004A2930">
      <w:pPr>
        <w:spacing w:line="360" w:lineRule="auto"/>
        <w:ind w:left="720"/>
        <w:jc w:val="both"/>
        <w:rPr>
          <w:rtl/>
        </w:rPr>
      </w:pPr>
      <w:r>
        <w:rPr>
          <w:rtl/>
        </w:rPr>
        <w:t xml:space="preserve">בטרם יצאו מן החמ"ל וידא נאשם 3 כי ידיו ורגליו של החייל קשורות היטב, וביקש ממחמוד לחזק את קשר האזיקונים שהיו כרוכים סביב ידיו של החייל. מחמוד עשה כדבריו. כן נטלו השניים שלא כדין את מכשיר האיי-פון של החייל. </w:t>
      </w:r>
    </w:p>
    <w:p w14:paraId="7228CBB1" w14:textId="77777777" w:rsidR="0010408C" w:rsidRDefault="0010408C" w:rsidP="004A2930">
      <w:pPr>
        <w:spacing w:line="360" w:lineRule="auto"/>
        <w:ind w:left="720"/>
        <w:jc w:val="both"/>
        <w:rPr>
          <w:rtl/>
        </w:rPr>
      </w:pPr>
      <w:r>
        <w:rPr>
          <w:rtl/>
        </w:rPr>
        <w:t xml:space="preserve">מספר שניות לאחר שהשניים עזבו את החמ"ל עם כלי הנשק, שבו לחמ"ל, נטלו מן המקום מחסנית נוספת ונעלו את החמ"ל כשהחייל בפנים. לאחר מכן יצאו השניים דרך הפרצה שחתכו בגדר, וברחו רגלית לכיוון טורעאן. בדרכם, התקשר נאשם 3 אל נאשם 2, שהמתין </w:t>
      </w:r>
      <w:r>
        <w:rPr>
          <w:rtl/>
        </w:rPr>
        <w:lastRenderedPageBreak/>
        <w:t xml:space="preserve">להם כל אותה העת. הנאשם 2 חבר אל השניים, והשלושה שבו יחד אל כפרם, שם, בתוך מטע זיתים שבבעלות משפחתם, הטמינו את כלי הנשק והמחסניות בבור. </w:t>
      </w:r>
    </w:p>
    <w:p w14:paraId="221B2C67" w14:textId="77777777" w:rsidR="0010408C" w:rsidRDefault="0010408C" w:rsidP="004A2930">
      <w:pPr>
        <w:spacing w:line="360" w:lineRule="auto"/>
        <w:ind w:firstLine="720"/>
        <w:jc w:val="both"/>
        <w:rPr>
          <w:rtl/>
        </w:rPr>
      </w:pPr>
      <w:r>
        <w:rPr>
          <w:rtl/>
        </w:rPr>
        <w:t>נאשם 3 ומחמוד התכוונו למכור את השלל במועד מאוחר יותר.</w:t>
      </w:r>
    </w:p>
    <w:p w14:paraId="078342DD" w14:textId="77777777" w:rsidR="0010408C" w:rsidRDefault="0010408C" w:rsidP="00F5303C">
      <w:pPr>
        <w:spacing w:line="360" w:lineRule="auto"/>
        <w:jc w:val="both"/>
        <w:rPr>
          <w:rtl/>
        </w:rPr>
      </w:pPr>
    </w:p>
    <w:p w14:paraId="51A8CAC9" w14:textId="77777777" w:rsidR="0010408C" w:rsidRPr="00515CEF" w:rsidRDefault="0010408C" w:rsidP="00F5303C">
      <w:pPr>
        <w:spacing w:line="360" w:lineRule="auto"/>
        <w:jc w:val="both"/>
        <w:rPr>
          <w:u w:val="single"/>
          <w:rtl/>
        </w:rPr>
      </w:pPr>
      <w:r>
        <w:rPr>
          <w:rtl/>
        </w:rPr>
        <w:t xml:space="preserve">4. </w:t>
      </w:r>
      <w:r w:rsidRPr="004A2930">
        <w:rPr>
          <w:rtl/>
        </w:rPr>
        <w:tab/>
      </w:r>
      <w:r w:rsidRPr="00515CEF">
        <w:rPr>
          <w:u w:val="single"/>
          <w:rtl/>
        </w:rPr>
        <w:t>אישום שני</w:t>
      </w:r>
      <w:r>
        <w:rPr>
          <w:u w:val="single"/>
          <w:rtl/>
        </w:rPr>
        <w:t xml:space="preserve"> (נאשם 3 בלבד)</w:t>
      </w:r>
    </w:p>
    <w:p w14:paraId="53786B31" w14:textId="77777777" w:rsidR="0010408C" w:rsidRDefault="0010408C" w:rsidP="004A2930">
      <w:pPr>
        <w:spacing w:line="360" w:lineRule="auto"/>
        <w:ind w:left="720"/>
        <w:jc w:val="both"/>
        <w:rPr>
          <w:rtl/>
        </w:rPr>
      </w:pPr>
      <w:r>
        <w:rPr>
          <w:rtl/>
        </w:rPr>
        <w:t>במהלך חודש יוני 2013 קשרו מחמוד ונאשם 3 לגנוב נשק מהבסיס, בזמן שמחמוד יהיה במשמרת בחמ"ל.  בהתאם תכננו כי נאשם 3 יחד עם נאשם 1 יגיעו לבסיס וישדדו ממחמוד את הנשק באותו האופן בו נעשה השוד המפורט באישום הראשון, כשבפעם זו יהיה מחמוד בתפקיד "החייל הנשדד".</w:t>
      </w:r>
    </w:p>
    <w:p w14:paraId="4DB51F66" w14:textId="77777777" w:rsidR="0010408C" w:rsidRDefault="0010408C" w:rsidP="004A2930">
      <w:pPr>
        <w:spacing w:line="360" w:lineRule="auto"/>
        <w:ind w:left="720"/>
        <w:jc w:val="both"/>
        <w:rPr>
          <w:rtl/>
        </w:rPr>
      </w:pPr>
      <w:r>
        <w:rPr>
          <w:rtl/>
        </w:rPr>
        <w:t xml:space="preserve">בתאריך 14.06.13 הגיע מחמוד לבסיס על מנת לבצע משמרת בחמ"ל, בין השעות 01:00-17:00. בשעות אחה"צ באותו היום נפגשו נאשמים 1 ו-3 בכפרם, והסתובבו יחדיו ברכב מסוג סקודה אוקטביה, שהיה נהוג בידי נאשם 1. סמוך לשעה 18:00 התקשר נאשם 3, באמצעות מכשיר הטלפון הנייד של נאשם 1, אל מחמוד ווידא עימו כי הוא נמצא בבסיס. סמוך לשעה 21:40 התקשר נאשם 1 אל מחמוד ושוחח עימו, ולאחר מכן יצאו נאשמים 1 ו-3 מכפרם לכיוון טורעאן. בהגיע השניים לבסיס הם חתכו, באמצעות מחתך שהביאו עימם, חלק מהגדר ההיקפית ונכנסו פנימה. סמוך לשעה 23:30 נכנסו השניים לחמ"ל, שם שהה באותה עת מחמוד. לשם ביום אירוע השוד אזקו השניים את מחמוד בידיו וליפפו כבל של עכבר מחשב סביב רגליו. נאשם 3 אף היכה את מחמוד מכת אגרוף בפניו, על מנת שהשוד ייראה אמיתי. הנאשמים 1 ו-3 נטלו מן המקום רוס"ק </w:t>
      </w:r>
      <w:r>
        <w:t>M-16</w:t>
      </w:r>
      <w:r>
        <w:rPr>
          <w:rtl/>
        </w:rPr>
        <w:t xml:space="preserve"> ואת מכשיר הטלפון הנייד של מחמוד ונמלטו מן המקום.</w:t>
      </w:r>
    </w:p>
    <w:p w14:paraId="38827BC6" w14:textId="77777777" w:rsidR="0010408C" w:rsidRDefault="0010408C" w:rsidP="004A2930">
      <w:pPr>
        <w:spacing w:line="360" w:lineRule="auto"/>
        <w:ind w:left="720"/>
        <w:jc w:val="both"/>
        <w:rPr>
          <w:rtl/>
        </w:rPr>
      </w:pPr>
      <w:r>
        <w:rPr>
          <w:rtl/>
        </w:rPr>
        <w:t>מאוחר יותר הגיע אל המקום קצין תורן, ומחמוד "התלונן" בפניו כי נשדד על-ידי שניים וכי נשקו נלקח ממנו. הנאשמים 1 ו-3 חזרו לכפרם, שם הטמינו את הנשק הגנוב במטע זיתים, מתוך כוונה למכור אותו במועד מאוחר יותר.</w:t>
      </w:r>
    </w:p>
    <w:p w14:paraId="00D32E1B" w14:textId="77777777" w:rsidR="0010408C" w:rsidRDefault="0010408C" w:rsidP="00F5303C">
      <w:pPr>
        <w:spacing w:line="360" w:lineRule="auto"/>
        <w:jc w:val="both"/>
        <w:rPr>
          <w:b/>
          <w:bCs/>
          <w:u w:val="single"/>
          <w:rtl/>
        </w:rPr>
      </w:pPr>
    </w:p>
    <w:p w14:paraId="409C66C0" w14:textId="77777777" w:rsidR="0010408C" w:rsidRPr="00B30486" w:rsidRDefault="0010408C" w:rsidP="00F5303C">
      <w:pPr>
        <w:spacing w:line="360" w:lineRule="auto"/>
        <w:jc w:val="both"/>
        <w:rPr>
          <w:b/>
          <w:bCs/>
          <w:u w:val="single"/>
          <w:rtl/>
        </w:rPr>
      </w:pPr>
      <w:r w:rsidRPr="00B30486">
        <w:rPr>
          <w:b/>
          <w:bCs/>
          <w:u w:val="single"/>
          <w:rtl/>
        </w:rPr>
        <w:t>טיעוני המאשימה</w:t>
      </w:r>
    </w:p>
    <w:p w14:paraId="4B1E9C48" w14:textId="77777777" w:rsidR="0010408C" w:rsidRDefault="0010408C" w:rsidP="004A2930">
      <w:pPr>
        <w:spacing w:line="360" w:lineRule="auto"/>
        <w:ind w:left="720" w:hanging="720"/>
        <w:jc w:val="both"/>
        <w:rPr>
          <w:rtl/>
        </w:rPr>
      </w:pPr>
      <w:r>
        <w:rPr>
          <w:rtl/>
        </w:rPr>
        <w:t xml:space="preserve">5.  </w:t>
      </w:r>
      <w:r>
        <w:rPr>
          <w:rtl/>
        </w:rPr>
        <w:tab/>
        <w:t>המאשימה מבקשת להטיל על נאשם 2 עונש הכולל שתי שנות מאסר בפועל, מאסר על תנאי וקנס מרתיע. ביחס לנאשם 3, כאמור, המאשימה עותרת להטיל עליו עונש של 4 וחצי שנות מאסר בפועל, וכן מאסר מותנה וקנס.</w:t>
      </w:r>
    </w:p>
    <w:p w14:paraId="705E54DD" w14:textId="77777777" w:rsidR="0010408C" w:rsidRDefault="0010408C" w:rsidP="004A2930">
      <w:pPr>
        <w:spacing w:line="360" w:lineRule="auto"/>
        <w:ind w:left="720"/>
        <w:jc w:val="both"/>
        <w:rPr>
          <w:rtl/>
        </w:rPr>
      </w:pPr>
      <w:r>
        <w:rPr>
          <w:rtl/>
        </w:rPr>
        <w:t>המאשימה הצביעה בטיעוניה על עברם הנקי של נאשמים 2 ו-3, על שיתוף הפעולה שלהם עם גורמי האכיפה ועל הודאתם בבית המשפט, וציינה כי הסדר הטיעון הושג, בין היתר, על רקע קשיים ראייתיים.</w:t>
      </w:r>
    </w:p>
    <w:p w14:paraId="6DEA92E6" w14:textId="77777777" w:rsidR="0010408C" w:rsidRDefault="0010408C" w:rsidP="00F5303C">
      <w:pPr>
        <w:spacing w:line="360" w:lineRule="auto"/>
        <w:jc w:val="both"/>
        <w:rPr>
          <w:rtl/>
        </w:rPr>
      </w:pPr>
    </w:p>
    <w:p w14:paraId="5B12820E" w14:textId="77777777" w:rsidR="0010408C" w:rsidRDefault="0010408C" w:rsidP="004A2930">
      <w:pPr>
        <w:spacing w:line="360" w:lineRule="auto"/>
        <w:ind w:left="720" w:hanging="720"/>
        <w:jc w:val="both"/>
        <w:rPr>
          <w:rtl/>
        </w:rPr>
      </w:pPr>
      <w:r>
        <w:rPr>
          <w:rtl/>
        </w:rPr>
        <w:t xml:space="preserve">6. </w:t>
      </w:r>
      <w:r>
        <w:rPr>
          <w:rtl/>
        </w:rPr>
        <w:tab/>
        <w:t>לדברי המאשימה, עבירות הנשק מבטאות פגיעה בערך החברתי של שמירה על ביטחון הציבור, כאשר להבדיל מפגיעה קונקרטית בנפש או ברכוש, את מידת הפגיעה של עבירות הנשק קשה לאמוד, אולם יש לראות בעצם הפגיעה בביטחון הציבור הנובעת מן הסחר בנשק והפיכתו לאמצעי זמין, כפגיעה משמעותית וחמורה.</w:t>
      </w:r>
    </w:p>
    <w:p w14:paraId="701440B4" w14:textId="77777777" w:rsidR="0010408C" w:rsidRDefault="0010408C" w:rsidP="004A2930">
      <w:pPr>
        <w:spacing w:line="360" w:lineRule="auto"/>
        <w:ind w:left="720"/>
        <w:jc w:val="both"/>
        <w:rPr>
          <w:rtl/>
        </w:rPr>
      </w:pPr>
      <w:r>
        <w:rPr>
          <w:rtl/>
        </w:rPr>
        <w:t xml:space="preserve">במקרה דנן, נאשם 2 סייע לגנוב נשק צה"לי התקפי, הכולל לא פחות משלושה רובי </w:t>
      </w:r>
      <w:r>
        <w:t>M-16</w:t>
      </w:r>
      <w:r>
        <w:rPr>
          <w:rtl/>
        </w:rPr>
        <w:t xml:space="preserve"> ומחסניות, שלא הושבו עד היום, ונאשם 3 נטל חלק פעיל ומרכזי במעשה שוד זה וכן בשוד נוסף, אשר נעשה תוך פריצה אל הבסיס, ביום איזוקו של מחמוד ונטילת נשקו האישי.</w:t>
      </w:r>
    </w:p>
    <w:p w14:paraId="54032FA0" w14:textId="77777777" w:rsidR="0010408C" w:rsidRDefault="0010408C" w:rsidP="004A2930">
      <w:pPr>
        <w:spacing w:line="360" w:lineRule="auto"/>
        <w:ind w:left="720"/>
        <w:jc w:val="both"/>
        <w:rPr>
          <w:rtl/>
        </w:rPr>
      </w:pPr>
      <w:r>
        <w:rPr>
          <w:rtl/>
        </w:rPr>
        <w:t xml:space="preserve">למעשים המתוארים קדם תכנון, כשנאשם 2 הסכים לשמש נהג המילוט באחד ממקרי השוד, והם גרמו לסכנה ממשית לביטחון הציבור. </w:t>
      </w:r>
    </w:p>
    <w:p w14:paraId="1946FF3E" w14:textId="77777777" w:rsidR="0010408C" w:rsidRDefault="0010408C" w:rsidP="00F5303C">
      <w:pPr>
        <w:spacing w:line="360" w:lineRule="auto"/>
        <w:jc w:val="both"/>
        <w:rPr>
          <w:rtl/>
        </w:rPr>
      </w:pPr>
    </w:p>
    <w:p w14:paraId="53BAB980" w14:textId="77777777" w:rsidR="0010408C" w:rsidRDefault="0010408C" w:rsidP="004A2930">
      <w:pPr>
        <w:spacing w:line="360" w:lineRule="auto"/>
        <w:ind w:left="720" w:hanging="720"/>
        <w:jc w:val="both"/>
        <w:rPr>
          <w:rtl/>
        </w:rPr>
      </w:pPr>
      <w:r>
        <w:rPr>
          <w:rtl/>
        </w:rPr>
        <w:t xml:space="preserve">7. </w:t>
      </w:r>
      <w:r>
        <w:rPr>
          <w:rtl/>
        </w:rPr>
        <w:tab/>
        <w:t>בנסיבות אלה, המאשימה סבורה כי מתחם העונש ההולם את מעשיו של נאשם 2 נע בין שנה לשלוש שנות מאסר בפועל. לדבריה, האישום הראשון, בגינו הורשע נאשם 2, הוא החמור מבין האישומים המפורטים בכתב האישום, בשל כך שמדובר בשוד אמיתי במהלכו נאזק חייל תמים, וזאת להבדיל מביום האירוע באישום השני. לפיכך, אין מקום לגזור את עונשו של נאשם 2 כך שיעמוד על רבע מן העונש אשר נטען בהסכמה לגבי נאשם 3.</w:t>
      </w:r>
    </w:p>
    <w:p w14:paraId="3D6B4462" w14:textId="77777777" w:rsidR="0010408C" w:rsidRDefault="0010408C" w:rsidP="00F5303C">
      <w:pPr>
        <w:spacing w:line="360" w:lineRule="auto"/>
        <w:jc w:val="both"/>
        <w:rPr>
          <w:rtl/>
        </w:rPr>
      </w:pPr>
    </w:p>
    <w:p w14:paraId="572B381F" w14:textId="77777777" w:rsidR="0010408C" w:rsidRPr="00CD088A" w:rsidRDefault="0010408C" w:rsidP="00F5303C">
      <w:pPr>
        <w:spacing w:line="360" w:lineRule="auto"/>
        <w:jc w:val="both"/>
        <w:rPr>
          <w:b/>
          <w:bCs/>
          <w:u w:val="single"/>
          <w:rtl/>
        </w:rPr>
      </w:pPr>
      <w:r w:rsidRPr="00CD088A">
        <w:rPr>
          <w:b/>
          <w:bCs/>
          <w:u w:val="single"/>
          <w:rtl/>
        </w:rPr>
        <w:t>טיעוני הנאשמים</w:t>
      </w:r>
    </w:p>
    <w:p w14:paraId="3014D2E8" w14:textId="77777777" w:rsidR="0010408C" w:rsidRDefault="0010408C" w:rsidP="004A2930">
      <w:pPr>
        <w:spacing w:line="360" w:lineRule="auto"/>
        <w:ind w:left="720" w:hanging="720"/>
        <w:jc w:val="both"/>
        <w:rPr>
          <w:rtl/>
        </w:rPr>
      </w:pPr>
      <w:r>
        <w:rPr>
          <w:rtl/>
        </w:rPr>
        <w:t xml:space="preserve">8. </w:t>
      </w:r>
      <w:r>
        <w:rPr>
          <w:rtl/>
        </w:rPr>
        <w:tab/>
        <w:t>בא-כוחם של נאשמים 2 ו-3 ביקש מבית המשפט לכבד את הסדר הטיעון, בציינו כי אלמלא שיתוף הפעולה של השניים עם גורמי האכיפה, ספק רב אם היו בידי המאשימה די ראיות להגשת כתב-אישום. במצב שכזה, טען, יש לראות בשיתוף הפעולה שלהם כביטוי של חרטה אמיתית.</w:t>
      </w:r>
    </w:p>
    <w:p w14:paraId="29EBD95C" w14:textId="77777777" w:rsidR="0010408C" w:rsidRDefault="0010408C" w:rsidP="004A2930">
      <w:pPr>
        <w:spacing w:line="360" w:lineRule="auto"/>
        <w:ind w:left="720"/>
        <w:jc w:val="both"/>
        <w:rPr>
          <w:rtl/>
        </w:rPr>
      </w:pPr>
      <w:r>
        <w:rPr>
          <w:rtl/>
        </w:rPr>
        <w:t>בהתייחסו לנאשם 2, טען כי הורשע כמסייע בלבד, וזאת ביחס לעבירת שוד שאינה בנסיבות מחמירות. לדבריו, בהינתן כי המחוקק העמיד את עונשו של המסייע על מחצית עונשו של המבצע העיקרי, יש להעמיד את עונשו של נאשם 2 על רבע מהעונש לו עותרים הצדדים ביחס לנאשם 3, קרי - על 13 וחצי חודשי מאסר בפועל.</w:t>
      </w:r>
    </w:p>
    <w:p w14:paraId="57FE7869" w14:textId="77777777" w:rsidR="0010408C" w:rsidRDefault="0010408C" w:rsidP="004A2930">
      <w:pPr>
        <w:spacing w:line="360" w:lineRule="auto"/>
        <w:ind w:left="720"/>
        <w:jc w:val="both"/>
        <w:rPr>
          <w:rtl/>
        </w:rPr>
      </w:pPr>
      <w:r>
        <w:rPr>
          <w:rtl/>
        </w:rPr>
        <w:t>עוד ציין ביחס לנאשם 2, כי מדובר באדם צעיר ללא עבר פלילי, העצור זה למעלה מחצי שנה. לדבריו, נאשם 2 לא ידע על מטרת הנסיעה והשוד טרם הגיעו למקום, וחלקו הסתכם בהמתנה לנאשם 3 ולמחמוד ברכב.</w:t>
      </w:r>
    </w:p>
    <w:p w14:paraId="585E33C0" w14:textId="77777777" w:rsidR="0010408C" w:rsidRDefault="0010408C" w:rsidP="00F5303C">
      <w:pPr>
        <w:spacing w:line="360" w:lineRule="auto"/>
        <w:jc w:val="both"/>
        <w:rPr>
          <w:rtl/>
        </w:rPr>
      </w:pPr>
    </w:p>
    <w:p w14:paraId="30F44443" w14:textId="77777777" w:rsidR="0010408C" w:rsidRDefault="0010408C" w:rsidP="004A2930">
      <w:pPr>
        <w:spacing w:line="360" w:lineRule="auto"/>
        <w:ind w:left="720" w:hanging="720"/>
        <w:jc w:val="both"/>
        <w:rPr>
          <w:rtl/>
        </w:rPr>
      </w:pPr>
      <w:r>
        <w:rPr>
          <w:rtl/>
        </w:rPr>
        <w:t xml:space="preserve">9. </w:t>
      </w:r>
      <w:r>
        <w:rPr>
          <w:rtl/>
        </w:rPr>
        <w:tab/>
        <w:t>בהתייחסו לרכיב הקנס, הסנגור ביקש להימנע מהטלתו, שכמוהו, לדבריו, כהטלת עונש מאסר נוסף. לחילופין, ביקש להורות על תחילת התשלום לאחר שחרורם של הנאשמים ממאסר ועל פריסתו לתשלומים.</w:t>
      </w:r>
    </w:p>
    <w:p w14:paraId="25EB8D51" w14:textId="77777777" w:rsidR="0010408C" w:rsidRDefault="0010408C" w:rsidP="00F5303C">
      <w:pPr>
        <w:spacing w:line="360" w:lineRule="auto"/>
        <w:jc w:val="both"/>
        <w:rPr>
          <w:rtl/>
        </w:rPr>
      </w:pPr>
    </w:p>
    <w:p w14:paraId="58992122" w14:textId="77777777" w:rsidR="0010408C" w:rsidRDefault="0010408C" w:rsidP="00F5303C">
      <w:pPr>
        <w:spacing w:line="360" w:lineRule="auto"/>
        <w:jc w:val="both"/>
        <w:rPr>
          <w:rtl/>
        </w:rPr>
      </w:pPr>
      <w:r>
        <w:rPr>
          <w:rtl/>
        </w:rPr>
        <w:t xml:space="preserve">10. </w:t>
      </w:r>
      <w:r>
        <w:rPr>
          <w:rtl/>
        </w:rPr>
        <w:tab/>
        <w:t>הנאשמים הביעו בבית המשפט צער וחרטה על מעשיהם.</w:t>
      </w:r>
    </w:p>
    <w:p w14:paraId="059904D9" w14:textId="77777777" w:rsidR="0010408C" w:rsidRDefault="0010408C" w:rsidP="00F5303C">
      <w:pPr>
        <w:spacing w:line="360" w:lineRule="auto"/>
        <w:jc w:val="both"/>
        <w:rPr>
          <w:rtl/>
        </w:rPr>
      </w:pPr>
    </w:p>
    <w:p w14:paraId="5A5BB719" w14:textId="77777777" w:rsidR="0010408C" w:rsidRPr="00F461FD" w:rsidRDefault="0010408C" w:rsidP="00F5303C">
      <w:pPr>
        <w:spacing w:line="360" w:lineRule="auto"/>
        <w:jc w:val="both"/>
        <w:rPr>
          <w:b/>
          <w:bCs/>
          <w:u w:val="single"/>
          <w:rtl/>
        </w:rPr>
      </w:pPr>
      <w:r w:rsidRPr="00F461FD">
        <w:rPr>
          <w:b/>
          <w:bCs/>
          <w:u w:val="single"/>
          <w:rtl/>
        </w:rPr>
        <w:t>דיון והכרעה</w:t>
      </w:r>
    </w:p>
    <w:p w14:paraId="0B8C11C0" w14:textId="77777777" w:rsidR="0010408C" w:rsidRDefault="0010408C" w:rsidP="004A2930">
      <w:pPr>
        <w:spacing w:line="360" w:lineRule="auto"/>
        <w:ind w:left="720" w:hanging="720"/>
        <w:jc w:val="both"/>
        <w:rPr>
          <w:rtl/>
        </w:rPr>
      </w:pPr>
      <w:r>
        <w:rPr>
          <w:rtl/>
        </w:rPr>
        <w:t xml:space="preserve">11. </w:t>
      </w:r>
      <w:r>
        <w:rPr>
          <w:rtl/>
        </w:rPr>
        <w:tab/>
        <w:t>במעשים המיוחסים לנאשמים, ובפרט בכל הנוגע לנאשם 3, קיימים שלושה נדבכים של חומרה: האחד, בעצם החדירה וההתפרצות לבסיס צה"ל; השני, בביצוע עבירת השוד תוך איום בנשק, איזוקו של חייל תמים ונטילת רכוש, במקרה דנן - נשק ותחמושת, מבסיס צבאי; והשלישי, בעצם נשיאתם והחזקתם של כלי הנשק, מתוך כוונה להפיצם ולגרוף רווח כספי ממכירתם.</w:t>
      </w:r>
    </w:p>
    <w:p w14:paraId="1791BA29" w14:textId="77777777" w:rsidR="0010408C" w:rsidRDefault="0010408C" w:rsidP="004A2930">
      <w:pPr>
        <w:spacing w:line="360" w:lineRule="auto"/>
        <w:ind w:left="720"/>
        <w:jc w:val="both"/>
        <w:rPr>
          <w:rtl/>
        </w:rPr>
      </w:pPr>
      <w:r>
        <w:rPr>
          <w:rtl/>
        </w:rPr>
        <w:t xml:space="preserve">מכאן שהמעשים מבטאים, לבד מן הפגיעה בביטחון הציבור הבאה לידי ביטוי בכוונה למכור נשק שעלול למצוא דרכו לידיהם של גורמים פליליים או גורמים עוינים אחרים, גם פגיעה בביטחון המדינה ובסדרי השלטון. המדובר בפגיעה חמורה וקשה, וזאת בשים לב לכמות הנשק שנגנב וטיבו, קרי - ארבעה רובי סער התקפיים מסוג </w:t>
      </w:r>
      <w:r>
        <w:t>M-16</w:t>
      </w:r>
      <w:r>
        <w:rPr>
          <w:rtl/>
        </w:rPr>
        <w:t>, ובהינתן כי הנשק והתחמושת לא הושבו לידי צה"ל או גורמי האכיפה עד עצם היום הזה.</w:t>
      </w:r>
    </w:p>
    <w:p w14:paraId="4C9F6E57" w14:textId="77777777" w:rsidR="0010408C" w:rsidRDefault="0010408C" w:rsidP="00F5303C">
      <w:pPr>
        <w:spacing w:line="360" w:lineRule="auto"/>
        <w:jc w:val="both"/>
        <w:rPr>
          <w:rtl/>
        </w:rPr>
      </w:pPr>
    </w:p>
    <w:p w14:paraId="1B58E955" w14:textId="77777777" w:rsidR="0010408C" w:rsidRDefault="0010408C" w:rsidP="004A2930">
      <w:pPr>
        <w:spacing w:line="360" w:lineRule="auto"/>
        <w:ind w:left="720" w:hanging="720"/>
        <w:jc w:val="both"/>
        <w:rPr>
          <w:rtl/>
        </w:rPr>
      </w:pPr>
      <w:r>
        <w:rPr>
          <w:rtl/>
        </w:rPr>
        <w:t xml:space="preserve">12. </w:t>
      </w:r>
      <w:r>
        <w:rPr>
          <w:rtl/>
        </w:rPr>
        <w:tab/>
        <w:t>מעשיהם של הנאשמים נעשו בחבורה, תוך שיתופם של נאשם 1 ושל מחמוד, וקדם להם תכנון. בעניין זה אין מקום לקבל את הנטען על-ידי נאשם 2, כי לא היה מודע למטרת הנסיעה, וזאת לאור הודאתו בכך שקשר עם נאשם 3 ועם מחמוד קשר לבצע את השוד, וכאשר מכתב האישום עולה כי היה מודע לחלוקת התפקידים בין המעורבים ואף לקח חלק בהטמנת הנשקים עם החזרה לכפר.</w:t>
      </w:r>
    </w:p>
    <w:p w14:paraId="3CFC20AB" w14:textId="77777777" w:rsidR="0010408C" w:rsidRDefault="0010408C" w:rsidP="00F5303C">
      <w:pPr>
        <w:spacing w:line="360" w:lineRule="auto"/>
        <w:jc w:val="both"/>
        <w:rPr>
          <w:rtl/>
        </w:rPr>
      </w:pPr>
    </w:p>
    <w:p w14:paraId="2F7E2234" w14:textId="77777777" w:rsidR="0010408C" w:rsidRDefault="0010408C" w:rsidP="004A2930">
      <w:pPr>
        <w:spacing w:line="360" w:lineRule="auto"/>
        <w:ind w:left="720" w:hanging="720"/>
        <w:jc w:val="both"/>
        <w:rPr>
          <w:rtl/>
        </w:rPr>
      </w:pPr>
      <w:r>
        <w:rPr>
          <w:rtl/>
        </w:rPr>
        <w:t xml:space="preserve">13. </w:t>
      </w:r>
      <w:r>
        <w:rPr>
          <w:rtl/>
        </w:rPr>
        <w:tab/>
        <w:t>באשר למתחם העונש ההולם את נסיבותיו של המקרה דנן, קיים לטעמי קושי להשוות את עניינם של הנאשמים למקרים אחרים בהם הורשעו נאשמים בשוד או בסיוע לו, וזאת בשל הנסיבות הנוספות, כפי שפורטו להלן, בהן העובדה כי מדובר בחדירה לבסיס צה"ל ובביצוע עבירות נשק חמורות. נכון הוא, כי במקרה דנן לא ננקטה אלימות חמורה כלפי החייל המוזכר באישום הראשון, אולם בכך אין לבטל את החומרה הכרוכה בפריצת גדר הבסיס, האיומים לירות בחייל ונטילת הנשקים, ויש מקום ליתן ביטוי גם לנסיבות אלה בעת קביעת המתחם.</w:t>
      </w:r>
    </w:p>
    <w:p w14:paraId="14F2F5D1" w14:textId="77777777" w:rsidR="0010408C" w:rsidRDefault="0010408C" w:rsidP="00F5303C">
      <w:pPr>
        <w:spacing w:line="360" w:lineRule="auto"/>
        <w:jc w:val="both"/>
        <w:rPr>
          <w:rtl/>
        </w:rPr>
      </w:pPr>
    </w:p>
    <w:p w14:paraId="47CD0CFF" w14:textId="77777777" w:rsidR="0010408C" w:rsidRDefault="0010408C" w:rsidP="004A2930">
      <w:pPr>
        <w:spacing w:line="360" w:lineRule="auto"/>
        <w:ind w:left="720" w:hanging="720"/>
        <w:jc w:val="both"/>
        <w:rPr>
          <w:rtl/>
        </w:rPr>
      </w:pPr>
      <w:r>
        <w:rPr>
          <w:rtl/>
        </w:rPr>
        <w:t xml:space="preserve">14. </w:t>
      </w:r>
      <w:r>
        <w:rPr>
          <w:rtl/>
        </w:rPr>
        <w:tab/>
        <w:t xml:space="preserve">בהתייחס לעונשו של נאשם 3, אני סבור כי העונש לו עותרים הצדדים בהסכמה, נמצא על הרף התחתון של מתחם העונש ההולם. </w:t>
      </w:r>
    </w:p>
    <w:p w14:paraId="207863B6" w14:textId="77777777" w:rsidR="0010408C" w:rsidRDefault="0010408C" w:rsidP="00F5303C">
      <w:pPr>
        <w:spacing w:line="360" w:lineRule="auto"/>
        <w:jc w:val="both"/>
        <w:rPr>
          <w:rtl/>
        </w:rPr>
      </w:pPr>
    </w:p>
    <w:p w14:paraId="45960520" w14:textId="77777777" w:rsidR="0010408C" w:rsidRDefault="0010408C" w:rsidP="004A2930">
      <w:pPr>
        <w:spacing w:line="360" w:lineRule="auto"/>
        <w:ind w:left="720"/>
        <w:jc w:val="both"/>
        <w:rPr>
          <w:rtl/>
        </w:rPr>
      </w:pPr>
      <w:r>
        <w:rPr>
          <w:rtl/>
        </w:rPr>
        <w:t>בעניין זה רואה להפנות את הצדדים לגזר-דינו של בית-הדין הצבאי, אשר הטיל על מי שהורשע בעבירות של הוצאת נשק מרשות הצבא, שוד בנסיבות מחמירות, עבירות נשק ועבירות נוספות, עונש של לא פחות מ-10 שנות מאסר (</w:t>
      </w:r>
      <w:hyperlink r:id="rId31" w:history="1">
        <w:r w:rsidR="00D24C88" w:rsidRPr="00D24C88">
          <w:rPr>
            <w:color w:val="0000FF"/>
            <w:u w:val="single"/>
            <w:rtl/>
          </w:rPr>
          <w:t>מטכ"ל (מחוזי) 4171/09</w:t>
        </w:r>
      </w:hyperlink>
      <w:r>
        <w:rPr>
          <w:rtl/>
        </w:rPr>
        <w:t xml:space="preserve"> </w:t>
      </w:r>
      <w:r w:rsidRPr="00E8144D">
        <w:rPr>
          <w:b/>
          <w:bCs/>
          <w:rtl/>
        </w:rPr>
        <w:t>התובע הצבאי נ' לואיס מסקוטה</w:t>
      </w:r>
      <w:r>
        <w:rPr>
          <w:rtl/>
        </w:rPr>
        <w:t xml:space="preserve"> (12.12.10)). באותו מקרה דובר בחייל צה"ל שגנב מבסיס המטכ"ל אקדח וכן את כרטיס האשראי של הרמטכ"ל. כמו כן חטף הנאשם שם את נשקו האישי של חייל אחר תוך תקיפתו, והכל מתוך כוונה, שמומשה, לסחור בכלי הנשק.</w:t>
      </w:r>
    </w:p>
    <w:p w14:paraId="274F6575" w14:textId="77777777" w:rsidR="0010408C" w:rsidRDefault="0010408C" w:rsidP="00F5303C">
      <w:pPr>
        <w:spacing w:line="360" w:lineRule="auto"/>
        <w:jc w:val="both"/>
        <w:rPr>
          <w:rtl/>
        </w:rPr>
      </w:pPr>
    </w:p>
    <w:p w14:paraId="2BF40243" w14:textId="77777777" w:rsidR="0010408C" w:rsidRDefault="0010408C" w:rsidP="004A2930">
      <w:pPr>
        <w:spacing w:line="360" w:lineRule="auto"/>
        <w:ind w:left="720"/>
        <w:jc w:val="both"/>
        <w:rPr>
          <w:rtl/>
        </w:rPr>
      </w:pPr>
      <w:r>
        <w:rPr>
          <w:rtl/>
        </w:rPr>
        <w:t>ב</w:t>
      </w:r>
      <w:hyperlink r:id="rId32" w:history="1">
        <w:r w:rsidR="00D24C88" w:rsidRPr="00D24C88">
          <w:rPr>
            <w:color w:val="0000FF"/>
            <w:u w:val="single"/>
            <w:rtl/>
          </w:rPr>
          <w:t>ע"פ 4523/09</w:t>
        </w:r>
      </w:hyperlink>
      <w:r>
        <w:rPr>
          <w:rtl/>
        </w:rPr>
        <w:t xml:space="preserve"> </w:t>
      </w:r>
      <w:r w:rsidRPr="003523EC">
        <w:rPr>
          <w:b/>
          <w:bCs/>
          <w:rtl/>
        </w:rPr>
        <w:t>חזקיהו גורש נ' מדינת ישראל</w:t>
      </w:r>
      <w:r>
        <w:rPr>
          <w:rtl/>
        </w:rPr>
        <w:t xml:space="preserve"> (26.05.11) אישר בית המשפט העליון עונש של 9 שנות מאסר, אשר הוטלו על המערער שם לאחר שהורשע  בביצוע 4 עבירות של עסקה בנשק, וכן עבירות של גניבת נשק, מסירת הודעה כוזבת וקשירת קשר לביצוע פשע.</w:t>
      </w:r>
    </w:p>
    <w:p w14:paraId="4B078620" w14:textId="77777777" w:rsidR="0010408C" w:rsidRDefault="0010408C" w:rsidP="00F5303C">
      <w:pPr>
        <w:spacing w:line="360" w:lineRule="auto"/>
        <w:jc w:val="both"/>
        <w:rPr>
          <w:rtl/>
        </w:rPr>
      </w:pPr>
    </w:p>
    <w:p w14:paraId="7AB165E5" w14:textId="77777777" w:rsidR="0010408C" w:rsidRDefault="0010408C" w:rsidP="004A2930">
      <w:pPr>
        <w:spacing w:line="360" w:lineRule="auto"/>
        <w:ind w:left="720"/>
        <w:jc w:val="both"/>
        <w:rPr>
          <w:rtl/>
        </w:rPr>
      </w:pPr>
      <w:r>
        <w:rPr>
          <w:rtl/>
        </w:rPr>
        <w:t>להבדיל, ולשם השוואה, ב</w:t>
      </w:r>
      <w:hyperlink r:id="rId33" w:history="1">
        <w:r w:rsidR="00D24C88" w:rsidRPr="00D24C88">
          <w:rPr>
            <w:color w:val="0000FF"/>
            <w:u w:val="single"/>
            <w:rtl/>
          </w:rPr>
          <w:t>ע"פ 4105/11</w:t>
        </w:r>
      </w:hyperlink>
      <w:r>
        <w:rPr>
          <w:rtl/>
        </w:rPr>
        <w:t xml:space="preserve"> </w:t>
      </w:r>
      <w:r w:rsidRPr="003523EC">
        <w:rPr>
          <w:b/>
          <w:bCs/>
          <w:rtl/>
        </w:rPr>
        <w:t>ראמז זועבי נ' מדינת ישראל</w:t>
      </w:r>
      <w:r>
        <w:rPr>
          <w:rtl/>
        </w:rPr>
        <w:t xml:space="preserve"> (25.01.12) אישר בית-המשפט העליון עונש של 4 שנות מאסר בפועל, אותם גזר בית משפט זה (כב' השופטת נחמה מוניץ) על נאשם שהורשע בשתי עבירות של סחר בנשק בלבד, וזאת במסגרת פרשייה של גניבת כלי נשק וציוד צבאי מבסיס צה"ל, במסגרתה היה המערער אחראי למכירתם של שני רובים מסוג </w:t>
      </w:r>
      <w:r>
        <w:t>M-16</w:t>
      </w:r>
      <w:r>
        <w:rPr>
          <w:rtl/>
        </w:rPr>
        <w:t>.</w:t>
      </w:r>
    </w:p>
    <w:p w14:paraId="029EEE18" w14:textId="77777777" w:rsidR="0010408C" w:rsidRDefault="0010408C" w:rsidP="00F5303C">
      <w:pPr>
        <w:spacing w:line="360" w:lineRule="auto"/>
        <w:jc w:val="both"/>
        <w:rPr>
          <w:rtl/>
        </w:rPr>
      </w:pPr>
    </w:p>
    <w:p w14:paraId="2620B16A" w14:textId="77777777" w:rsidR="0010408C" w:rsidRDefault="0010408C" w:rsidP="004A2930">
      <w:pPr>
        <w:spacing w:line="360" w:lineRule="auto"/>
        <w:ind w:left="720" w:hanging="720"/>
        <w:jc w:val="both"/>
        <w:rPr>
          <w:rtl/>
        </w:rPr>
      </w:pPr>
      <w:r>
        <w:rPr>
          <w:rtl/>
        </w:rPr>
        <w:t xml:space="preserve">15. </w:t>
      </w:r>
      <w:r>
        <w:rPr>
          <w:rtl/>
        </w:rPr>
        <w:tab/>
        <w:t xml:space="preserve">מן האמור לעיל עולה, כי העונש עליו הסכימו הצדדים בהתייחס לנאשם 3 הוא עונש קל בחומרתו ביחס לעבירות בהן הורשע נאשם זה. יחד עם זאת, בהינתן הקשיים הראייתיים עליהם הצביעה המאשימה והודאתו של הנאשם 3 בעובדות כתב האישום, לא ראיתי לנכון לשנות מן ההסכמה, וזאת מתוך התרשמותי כי מדובר בעונש שאינו חורג ממתחם הענישה ההולם במקרה זה, </w:t>
      </w:r>
      <w:r w:rsidRPr="00977F91">
        <w:rPr>
          <w:b/>
          <w:bCs/>
          <w:rtl/>
        </w:rPr>
        <w:t>אשר נע בין 4 ל-8 שנות מאסר בפועל</w:t>
      </w:r>
      <w:r>
        <w:rPr>
          <w:rtl/>
        </w:rPr>
        <w:t>.</w:t>
      </w:r>
    </w:p>
    <w:p w14:paraId="4F42E6CE" w14:textId="77777777" w:rsidR="0010408C" w:rsidRDefault="0010408C" w:rsidP="00F5303C">
      <w:pPr>
        <w:spacing w:line="360" w:lineRule="auto"/>
        <w:jc w:val="both"/>
        <w:rPr>
          <w:rtl/>
        </w:rPr>
      </w:pPr>
    </w:p>
    <w:p w14:paraId="549D5FA0" w14:textId="77777777" w:rsidR="0010408C" w:rsidRDefault="0010408C" w:rsidP="004A2930">
      <w:pPr>
        <w:spacing w:line="360" w:lineRule="auto"/>
        <w:ind w:left="720" w:hanging="720"/>
        <w:jc w:val="both"/>
        <w:rPr>
          <w:rtl/>
        </w:rPr>
      </w:pPr>
      <w:r>
        <w:rPr>
          <w:rtl/>
        </w:rPr>
        <w:t xml:space="preserve">16. </w:t>
      </w:r>
      <w:r>
        <w:rPr>
          <w:rtl/>
        </w:rPr>
        <w:tab/>
        <w:t>באשר לנאשם 2, אשר הורשע, כאמור, בעבירות של סיוע לשוד ולהחזקת ונשיאת נשק, אין בידי לקבל את הנטען על-ידי הסנגור, כי יש להטיל עליו עונש המהווה רבע מעונשו של נאשם 3 בלבד. יש להידרש לכך, כנטען על-ידי המאשימה, שמשקלם של האישום הראשון והשני אינו זהה, ולראיה מהות העבירות המיוחסות לנאשם 3 בגין כל אחד מן האישומים. עבירת השוד, שנאשם 2 הורשע בסיוע לה, נזכרת באישום הראשון בלבד, ולה משקל גדול בעת קביעת מידת העונש.</w:t>
      </w:r>
    </w:p>
    <w:p w14:paraId="346A6174" w14:textId="77777777" w:rsidR="0010408C" w:rsidRDefault="0010408C" w:rsidP="00F5303C">
      <w:pPr>
        <w:spacing w:line="360" w:lineRule="auto"/>
        <w:jc w:val="both"/>
        <w:rPr>
          <w:rtl/>
        </w:rPr>
      </w:pPr>
    </w:p>
    <w:p w14:paraId="7029814B" w14:textId="77777777" w:rsidR="0010408C" w:rsidRDefault="0010408C" w:rsidP="004A2930">
      <w:pPr>
        <w:spacing w:line="360" w:lineRule="auto"/>
        <w:ind w:left="720" w:hanging="720"/>
        <w:jc w:val="both"/>
        <w:rPr>
          <w:rtl/>
        </w:rPr>
      </w:pPr>
      <w:r>
        <w:rPr>
          <w:rtl/>
        </w:rPr>
        <w:t xml:space="preserve">17. </w:t>
      </w:r>
      <w:r>
        <w:rPr>
          <w:rtl/>
        </w:rPr>
        <w:tab/>
        <w:t>באשר למתחם העונש ההולם את מעשיו של נאשם 2, מקובל עליי טווח הענישה לו טוענת המאשימה, הנע בין שנת מאסר לשלוש שנות מאסר בפועל. מתחם זה תואם את מדיניות הענישה הנוהגת לגבי מסייעים בנסיבות דומות.</w:t>
      </w:r>
    </w:p>
    <w:p w14:paraId="03521881" w14:textId="77777777" w:rsidR="0010408C" w:rsidRDefault="0010408C" w:rsidP="00F5303C">
      <w:pPr>
        <w:spacing w:line="360" w:lineRule="auto"/>
        <w:jc w:val="both"/>
        <w:rPr>
          <w:rtl/>
        </w:rPr>
      </w:pPr>
    </w:p>
    <w:p w14:paraId="7F82C2E2" w14:textId="77777777" w:rsidR="0010408C" w:rsidRDefault="0010408C" w:rsidP="004A2930">
      <w:pPr>
        <w:spacing w:line="360" w:lineRule="auto"/>
        <w:ind w:left="720"/>
        <w:jc w:val="both"/>
        <w:rPr>
          <w:rtl/>
        </w:rPr>
      </w:pPr>
      <w:r>
        <w:rPr>
          <w:rtl/>
        </w:rPr>
        <w:t>כך, למשל, ב</w:t>
      </w:r>
      <w:hyperlink r:id="rId34" w:history="1">
        <w:r w:rsidR="00D24C88" w:rsidRPr="00D24C88">
          <w:rPr>
            <w:color w:val="0000FF"/>
            <w:u w:val="single"/>
            <w:rtl/>
          </w:rPr>
          <w:t>ע"פ 5401/12</w:t>
        </w:r>
      </w:hyperlink>
      <w:r>
        <w:rPr>
          <w:rtl/>
        </w:rPr>
        <w:t xml:space="preserve"> </w:t>
      </w:r>
      <w:r w:rsidRPr="00EE00BB">
        <w:rPr>
          <w:b/>
          <w:bCs/>
          <w:rtl/>
        </w:rPr>
        <w:t>איתמר הפטר נ' מדינת ישראל</w:t>
      </w:r>
      <w:r>
        <w:rPr>
          <w:rtl/>
        </w:rPr>
        <w:t xml:space="preserve"> (26.02.13) הקל בית-המשפט העליון בעונשו של מי שהורשע בעבירות של סיוע לאחר מעשה, הונאה בכרטיס חיוב ובסיוע לתקיפה לשם גניבה, והעמידו על </w:t>
      </w:r>
      <w:r w:rsidRPr="00054CB2">
        <w:rPr>
          <w:b/>
          <w:bCs/>
          <w:rtl/>
        </w:rPr>
        <w:t>18 חודשי מאסר</w:t>
      </w:r>
      <w:r>
        <w:rPr>
          <w:rtl/>
        </w:rPr>
        <w:t>, תחת 30 החודשים שגזר בית-המשפט המחוזי על אותו מערער. באותו מקרה דובר בנאשם לו נודע, לאחר מעשה, כי שניים מחבריו נטלו חלק בעבירה מסוג פשע, לאחר שחטפו מקשישה את תיקה, וביצע יחד עימם רכישה באמצעות כרטיס האשראי שהיה בתיק.</w:t>
      </w:r>
    </w:p>
    <w:p w14:paraId="567B56E2" w14:textId="77777777" w:rsidR="0010408C" w:rsidRDefault="0010408C" w:rsidP="00F5303C">
      <w:pPr>
        <w:spacing w:line="360" w:lineRule="auto"/>
        <w:jc w:val="both"/>
        <w:rPr>
          <w:rtl/>
        </w:rPr>
      </w:pPr>
    </w:p>
    <w:p w14:paraId="54C0F38B" w14:textId="77777777" w:rsidR="0010408C" w:rsidRDefault="0010408C" w:rsidP="004A2930">
      <w:pPr>
        <w:spacing w:line="360" w:lineRule="auto"/>
        <w:ind w:left="720"/>
        <w:jc w:val="both"/>
        <w:rPr>
          <w:rtl/>
        </w:rPr>
      </w:pPr>
      <w:r>
        <w:rPr>
          <w:rtl/>
        </w:rPr>
        <w:t>ב</w:t>
      </w:r>
      <w:hyperlink r:id="rId35" w:history="1">
        <w:r w:rsidR="00D24C88" w:rsidRPr="00D24C88">
          <w:rPr>
            <w:color w:val="0000FF"/>
            <w:u w:val="single"/>
            <w:rtl/>
          </w:rPr>
          <w:t>ע"פ 5677/12</w:t>
        </w:r>
      </w:hyperlink>
      <w:r>
        <w:rPr>
          <w:rtl/>
        </w:rPr>
        <w:t xml:space="preserve"> </w:t>
      </w:r>
      <w:r w:rsidRPr="00244CD1">
        <w:rPr>
          <w:b/>
          <w:bCs/>
          <w:rtl/>
        </w:rPr>
        <w:t>מרעי מג'ד נ' מדינת ישראל</w:t>
      </w:r>
      <w:r>
        <w:rPr>
          <w:rtl/>
        </w:rPr>
        <w:t xml:space="preserve"> (31.01.13) אישר בית-המשפט העליון עונש של </w:t>
      </w:r>
      <w:r w:rsidRPr="00054CB2">
        <w:rPr>
          <w:b/>
          <w:bCs/>
          <w:rtl/>
        </w:rPr>
        <w:t>24 חודשי מאסר בפועל</w:t>
      </w:r>
      <w:r>
        <w:rPr>
          <w:rtl/>
        </w:rPr>
        <w:t>, 12 חודשי מאסר על תנאי וקנס בסך 7,500 ₪, אותם הטלתי על מי שהורשע בעבירה של נשיאת נשק בלבד, בנסיבות בהן הנאשם אבטח את נתיב נסיעתם של אחרים אשר גנבו נשק מסוג "מאג" מבסיס צה"ל.</w:t>
      </w:r>
    </w:p>
    <w:p w14:paraId="094BF45D" w14:textId="77777777" w:rsidR="0010408C" w:rsidRDefault="0010408C" w:rsidP="00F5303C">
      <w:pPr>
        <w:spacing w:line="360" w:lineRule="auto"/>
        <w:jc w:val="both"/>
        <w:rPr>
          <w:rtl/>
        </w:rPr>
      </w:pPr>
    </w:p>
    <w:p w14:paraId="41EA5798" w14:textId="77777777" w:rsidR="0010408C" w:rsidRDefault="0010408C" w:rsidP="004A2930">
      <w:pPr>
        <w:spacing w:line="360" w:lineRule="auto"/>
        <w:ind w:left="720" w:hanging="720"/>
        <w:jc w:val="both"/>
        <w:rPr>
          <w:rtl/>
        </w:rPr>
      </w:pPr>
      <w:r>
        <w:rPr>
          <w:rtl/>
        </w:rPr>
        <w:t xml:space="preserve">18. </w:t>
      </w:r>
      <w:r>
        <w:rPr>
          <w:rtl/>
        </w:rPr>
        <w:tab/>
        <w:t>באשר לנסיבותיהם האישיות של הנאשמים, פרט להיותם נעדרי עבר פלילי לא ראיתי מקום לייחס משקל לנסיבות נוספות, ובמיוחד שעה שהנשק והתחמושת שנשדדו לא הושבו לידי צה"ל. כך, גם באשר לרכיב הקנס אין לטעמי מקום להקל עם הנאשמים יתר על מידה, שכן יש להניח כי צפויים היו להפיק, אם לא הפיקו בפועל, רווח בלתי מבוטל עקב נטילת הנשק. בעניין זה שותק כתב-האישום כשם ששותקים הנאשמים.</w:t>
      </w:r>
    </w:p>
    <w:p w14:paraId="562F4AD1" w14:textId="77777777" w:rsidR="0010408C" w:rsidRDefault="0010408C" w:rsidP="00F5303C">
      <w:pPr>
        <w:spacing w:line="360" w:lineRule="auto"/>
        <w:jc w:val="both"/>
        <w:rPr>
          <w:rtl/>
        </w:rPr>
      </w:pPr>
    </w:p>
    <w:p w14:paraId="6F5623A4" w14:textId="77777777" w:rsidR="0010408C" w:rsidRDefault="0010408C" w:rsidP="00FE0AEF">
      <w:pPr>
        <w:spacing w:line="360" w:lineRule="auto"/>
        <w:jc w:val="both"/>
        <w:rPr>
          <w:rtl/>
        </w:rPr>
      </w:pPr>
      <w:r>
        <w:rPr>
          <w:rtl/>
        </w:rPr>
        <w:t xml:space="preserve">19. </w:t>
      </w:r>
      <w:r>
        <w:rPr>
          <w:rtl/>
        </w:rPr>
        <w:tab/>
        <w:t>לסיכום דבריי, אני גוזר על כל אחד מהנאשמים 2 ו- 3 את העונשים הבאים:</w:t>
      </w:r>
    </w:p>
    <w:p w14:paraId="56A2441C" w14:textId="77777777" w:rsidR="0010408C" w:rsidRDefault="0010408C" w:rsidP="00F5303C">
      <w:pPr>
        <w:spacing w:line="360" w:lineRule="auto"/>
        <w:jc w:val="both"/>
        <w:rPr>
          <w:rtl/>
        </w:rPr>
      </w:pPr>
    </w:p>
    <w:p w14:paraId="2A1BD7FD" w14:textId="77777777" w:rsidR="0010408C" w:rsidRDefault="0010408C" w:rsidP="004A2930">
      <w:pPr>
        <w:spacing w:line="360" w:lineRule="auto"/>
        <w:ind w:firstLine="720"/>
        <w:jc w:val="both"/>
        <w:rPr>
          <w:rtl/>
        </w:rPr>
      </w:pPr>
      <w:r w:rsidRPr="00FE0AEF">
        <w:rPr>
          <w:b/>
          <w:bCs/>
          <w:u w:val="single"/>
          <w:rtl/>
        </w:rPr>
        <w:t>נאשם 2</w:t>
      </w:r>
      <w:r>
        <w:rPr>
          <w:rtl/>
        </w:rPr>
        <w:t xml:space="preserve"> - </w:t>
      </w:r>
    </w:p>
    <w:p w14:paraId="0939DB62" w14:textId="77777777" w:rsidR="0010408C" w:rsidRDefault="0010408C" w:rsidP="004A2930">
      <w:pPr>
        <w:spacing w:line="360" w:lineRule="auto"/>
        <w:ind w:left="1440" w:hanging="720"/>
        <w:jc w:val="both"/>
        <w:rPr>
          <w:rtl/>
        </w:rPr>
      </w:pPr>
      <w:r>
        <w:rPr>
          <w:rtl/>
        </w:rPr>
        <w:t>א.</w:t>
      </w:r>
      <w:r>
        <w:rPr>
          <w:rtl/>
        </w:rPr>
        <w:tab/>
        <w:t>אני דן את הנאשם 2 לשלושים חודשי מאסר, מתוכם שמונה עשרה חודשים לנשיאה בפועל בניכוי ימי מעצרו, ואילו היתרה (12 חודשים) על תנאי למשך שלוש שנים, והתנאי הוא שהנאשם לא יעבור בפרק זמן זה עבירת נשק או רכוש שיורשע בגינה.</w:t>
      </w:r>
    </w:p>
    <w:p w14:paraId="0BA1E33F" w14:textId="77777777" w:rsidR="0010408C" w:rsidRDefault="0010408C" w:rsidP="00FE0AEF">
      <w:pPr>
        <w:spacing w:line="360" w:lineRule="auto"/>
        <w:ind w:left="1440" w:hanging="720"/>
        <w:jc w:val="both"/>
        <w:rPr>
          <w:rtl/>
        </w:rPr>
      </w:pPr>
      <w:r>
        <w:rPr>
          <w:rtl/>
        </w:rPr>
        <w:t xml:space="preserve">ב. </w:t>
      </w:r>
      <w:r>
        <w:rPr>
          <w:rtl/>
        </w:rPr>
        <w:tab/>
        <w:t>אני דן את הנאשם 2 לתשלום קנס בסך 7,500 ₪ או 75 ימי מאסר תמורתם. הקנס ישולם בתוך 120 ימים מהיום.</w:t>
      </w:r>
    </w:p>
    <w:p w14:paraId="5C97948B" w14:textId="77777777" w:rsidR="0010408C" w:rsidRDefault="0010408C" w:rsidP="00F5303C">
      <w:pPr>
        <w:spacing w:line="360" w:lineRule="auto"/>
        <w:jc w:val="both"/>
        <w:rPr>
          <w:rtl/>
        </w:rPr>
      </w:pPr>
    </w:p>
    <w:p w14:paraId="3E2A7C3A" w14:textId="77777777" w:rsidR="0010408C" w:rsidRDefault="0010408C" w:rsidP="004A2930">
      <w:pPr>
        <w:spacing w:line="360" w:lineRule="auto"/>
        <w:ind w:firstLine="720"/>
        <w:jc w:val="both"/>
        <w:rPr>
          <w:rtl/>
        </w:rPr>
      </w:pPr>
      <w:r w:rsidRPr="00FE0AEF">
        <w:rPr>
          <w:b/>
          <w:bCs/>
          <w:u w:val="single"/>
          <w:rtl/>
        </w:rPr>
        <w:t>נאשם 3</w:t>
      </w:r>
      <w:r>
        <w:rPr>
          <w:rtl/>
        </w:rPr>
        <w:t xml:space="preserve"> - </w:t>
      </w:r>
    </w:p>
    <w:p w14:paraId="7EEC8DD7" w14:textId="77777777" w:rsidR="0010408C" w:rsidRDefault="0010408C" w:rsidP="004A2930">
      <w:pPr>
        <w:spacing w:line="360" w:lineRule="auto"/>
        <w:ind w:left="1440" w:hanging="720"/>
        <w:jc w:val="both"/>
        <w:rPr>
          <w:rtl/>
        </w:rPr>
      </w:pPr>
      <w:r>
        <w:rPr>
          <w:rtl/>
        </w:rPr>
        <w:t>א.</w:t>
      </w:r>
      <w:r>
        <w:rPr>
          <w:rtl/>
        </w:rPr>
        <w:tab/>
        <w:t>אני דן את הנאשם 3 לשבעים ושניים חודשי מאסר, מתוכם חמישים וארבעה חודשים</w:t>
      </w:r>
      <w:r w:rsidR="00133D7B">
        <w:rPr>
          <w:rFonts w:hint="cs"/>
          <w:rtl/>
        </w:rPr>
        <w:t xml:space="preserve"> </w:t>
      </w:r>
      <w:r>
        <w:rPr>
          <w:rtl/>
        </w:rPr>
        <w:t>לנשיאה בפועל בניכוי ימי מעצרו, ואילו היתרה (18 חודשים) על תנאי למשך שלוש שנים, והתנאי הוא שהנאשם לא יעבור בפרק זמן זה עבירה מן העבירות בהן הורשע בתיק זה וכן כל עבירת נשק או רכוש שיורשע בגינה.</w:t>
      </w:r>
    </w:p>
    <w:p w14:paraId="540A69F7" w14:textId="77777777" w:rsidR="0010408C" w:rsidRDefault="0010408C" w:rsidP="00FE0AEF">
      <w:pPr>
        <w:spacing w:line="360" w:lineRule="auto"/>
        <w:ind w:left="1440" w:hanging="720"/>
        <w:jc w:val="both"/>
        <w:rPr>
          <w:rtl/>
        </w:rPr>
      </w:pPr>
      <w:r>
        <w:rPr>
          <w:rtl/>
        </w:rPr>
        <w:t>ב.</w:t>
      </w:r>
      <w:r>
        <w:rPr>
          <w:rtl/>
        </w:rPr>
        <w:tab/>
        <w:t>אני דן את הנאשם 3 לתשלום קנס בסך 40,000 ₪ או 4 חודשי מאסר תמורתם. הקנס ישולם בתוך 120 ימים מהיום.</w:t>
      </w:r>
    </w:p>
    <w:p w14:paraId="2E90021F" w14:textId="77777777" w:rsidR="0010408C" w:rsidRDefault="0010408C" w:rsidP="00F5303C">
      <w:pPr>
        <w:spacing w:line="360" w:lineRule="auto"/>
        <w:jc w:val="both"/>
        <w:rPr>
          <w:rtl/>
        </w:rPr>
      </w:pPr>
      <w:bookmarkStart w:id="7" w:name="_GoBack"/>
      <w:bookmarkEnd w:id="7"/>
    </w:p>
    <w:p w14:paraId="65AE2D7C" w14:textId="77777777" w:rsidR="0010408C" w:rsidRDefault="0010408C" w:rsidP="00F5303C">
      <w:pPr>
        <w:spacing w:line="360" w:lineRule="auto"/>
        <w:jc w:val="both"/>
        <w:rPr>
          <w:b/>
          <w:bCs/>
          <w:u w:val="single"/>
          <w:rtl/>
        </w:rPr>
      </w:pPr>
      <w:r w:rsidRPr="004A2930">
        <w:rPr>
          <w:b/>
          <w:bCs/>
          <w:u w:val="single"/>
          <w:rtl/>
        </w:rPr>
        <w:t xml:space="preserve">זכות ערעור לבית המשפט העליון בתוך 45 יום מהיום. </w:t>
      </w:r>
    </w:p>
    <w:p w14:paraId="6613E029" w14:textId="77777777" w:rsidR="00C26250" w:rsidRDefault="0010408C" w:rsidP="00F5303C">
      <w:pPr>
        <w:spacing w:line="360" w:lineRule="auto"/>
        <w:jc w:val="both"/>
        <w:rPr>
          <w:sz w:val="6"/>
          <w:szCs w:val="6"/>
          <w:rtl/>
        </w:rPr>
      </w:pPr>
      <w:r>
        <w:rPr>
          <w:b/>
          <w:bCs/>
          <w:sz w:val="6"/>
          <w:szCs w:val="6"/>
          <w:rtl/>
        </w:rPr>
        <w:t>&lt;#6#&gt;</w:t>
      </w:r>
      <w:bookmarkStart w:id="8" w:name="LawTable"/>
      <w:bookmarkEnd w:id="8"/>
    </w:p>
    <w:p w14:paraId="238B773D" w14:textId="77777777" w:rsidR="00C26250" w:rsidRPr="00C26250" w:rsidRDefault="00C26250" w:rsidP="00C26250">
      <w:pPr>
        <w:spacing w:after="120" w:line="240" w:lineRule="exact"/>
        <w:ind w:left="283" w:hanging="283"/>
        <w:jc w:val="both"/>
        <w:rPr>
          <w:rFonts w:ascii="FrankRuehl" w:hAnsi="FrankRuehl" w:cs="FrankRuehl"/>
          <w:rtl/>
        </w:rPr>
      </w:pPr>
    </w:p>
    <w:p w14:paraId="386A19AE" w14:textId="77777777" w:rsidR="00C26250" w:rsidRPr="00C26250" w:rsidRDefault="00C26250" w:rsidP="00F5303C">
      <w:pPr>
        <w:spacing w:line="360" w:lineRule="auto"/>
        <w:jc w:val="both"/>
        <w:rPr>
          <w:b/>
          <w:bCs/>
          <w:sz w:val="6"/>
          <w:szCs w:val="6"/>
          <w:rtl/>
        </w:rPr>
      </w:pPr>
    </w:p>
    <w:p w14:paraId="5967FCBB" w14:textId="77777777" w:rsidR="0010408C" w:rsidRPr="00C26250" w:rsidRDefault="0010408C" w:rsidP="00F5303C">
      <w:pPr>
        <w:spacing w:line="360" w:lineRule="auto"/>
        <w:jc w:val="both"/>
        <w:rPr>
          <w:b/>
          <w:bCs/>
          <w:sz w:val="6"/>
          <w:szCs w:val="6"/>
          <w:rtl/>
        </w:rPr>
      </w:pPr>
    </w:p>
    <w:p w14:paraId="05576795" w14:textId="77777777" w:rsidR="00C26250" w:rsidRPr="00C26250" w:rsidRDefault="00C26250">
      <w:pPr>
        <w:jc w:val="right"/>
        <w:rPr>
          <w:rtl/>
        </w:rPr>
      </w:pPr>
    </w:p>
    <w:p w14:paraId="052D63D9" w14:textId="77777777" w:rsidR="006510D2" w:rsidRDefault="006510D2">
      <w:pPr>
        <w:jc w:val="right"/>
        <w:rPr>
          <w:rtl/>
        </w:rPr>
      </w:pPr>
    </w:p>
    <w:p w14:paraId="395C2F75" w14:textId="77777777" w:rsidR="006510D2" w:rsidRPr="006510D2" w:rsidRDefault="006510D2">
      <w:pPr>
        <w:jc w:val="right"/>
        <w:rPr>
          <w:rtl/>
        </w:rPr>
      </w:pPr>
    </w:p>
    <w:p w14:paraId="20957B1D" w14:textId="77777777" w:rsidR="006510D2" w:rsidRPr="006510D2" w:rsidRDefault="006510D2">
      <w:pPr>
        <w:jc w:val="right"/>
        <w:rPr>
          <w:rtl/>
        </w:rPr>
      </w:pPr>
    </w:p>
    <w:p w14:paraId="21A0D8AF" w14:textId="77777777" w:rsidR="0010408C" w:rsidRDefault="0010408C">
      <w:pPr>
        <w:jc w:val="right"/>
        <w:rPr>
          <w:rtl/>
        </w:rPr>
      </w:pPr>
    </w:p>
    <w:p w14:paraId="32A5808D" w14:textId="77777777" w:rsidR="00D24C88" w:rsidRDefault="00D24C88" w:rsidP="00F5303C">
      <w:pPr>
        <w:spacing w:line="360" w:lineRule="auto"/>
        <w:jc w:val="both"/>
        <w:rPr>
          <w:rtl/>
        </w:rPr>
      </w:pPr>
      <w:r w:rsidRPr="00D24C88">
        <w:rPr>
          <w:b/>
          <w:bCs/>
          <w:color w:val="FFFFFF"/>
          <w:sz w:val="2"/>
          <w:szCs w:val="2"/>
          <w:rtl/>
        </w:rPr>
        <w:t>54678313</w:t>
      </w:r>
      <w:r>
        <w:rPr>
          <w:b/>
          <w:bCs/>
          <w:rtl/>
        </w:rPr>
        <w:t xml:space="preserve">ניתנה והודעה היום י"ב שבט תשע"ד, 13/01/2014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24C88" w14:paraId="71F04AF4" w14:textId="77777777">
        <w:trPr>
          <w:trHeight w:val="364"/>
          <w:jc w:val="right"/>
        </w:trPr>
        <w:tc>
          <w:tcPr>
            <w:tcW w:w="3708" w:type="dxa"/>
            <w:tcBorders>
              <w:bottom w:val="single" w:sz="4" w:space="0" w:color="auto"/>
            </w:tcBorders>
          </w:tcPr>
          <w:p w14:paraId="124165EF" w14:textId="77777777" w:rsidR="00D24C88" w:rsidRPr="00687ACB" w:rsidRDefault="00D24C88" w:rsidP="00D24C88">
            <w:pPr>
              <w:jc w:val="center"/>
              <w:rPr>
                <w:rFonts w:ascii="Times New Roman" w:hAnsi="Times New Roman" w:cs="Times New Roman"/>
              </w:rPr>
            </w:pPr>
          </w:p>
        </w:tc>
      </w:tr>
      <w:tr w:rsidR="00D24C88" w14:paraId="65B8C9CE" w14:textId="77777777">
        <w:trPr>
          <w:trHeight w:val="415"/>
          <w:jc w:val="right"/>
        </w:trPr>
        <w:tc>
          <w:tcPr>
            <w:tcW w:w="3708" w:type="dxa"/>
            <w:tcBorders>
              <w:top w:val="single" w:sz="4" w:space="0" w:color="auto"/>
            </w:tcBorders>
          </w:tcPr>
          <w:p w14:paraId="2A785745" w14:textId="77777777" w:rsidR="00D24C88" w:rsidRPr="00687ACB" w:rsidRDefault="00D24C88" w:rsidP="00D24C88">
            <w:pPr>
              <w:jc w:val="center"/>
              <w:rPr>
                <w:rFonts w:ascii="Times New Roman" w:hAnsi="Times New Roman"/>
                <w:b/>
                <w:bCs/>
              </w:rPr>
            </w:pPr>
            <w:r w:rsidRPr="00687ACB">
              <w:rPr>
                <w:rFonts w:ascii="Times New Roman" w:hAnsi="Times New Roman"/>
                <w:b/>
                <w:bCs/>
                <w:rtl/>
              </w:rPr>
              <w:t>תאופיק</w:t>
            </w:r>
            <w:r>
              <w:rPr>
                <w:rFonts w:ascii="Times New Roman" w:hAnsi="Times New Roman" w:hint="cs"/>
                <w:b/>
                <w:bCs/>
                <w:rtl/>
              </w:rPr>
              <w:t xml:space="preserve"> </w:t>
            </w:r>
            <w:r w:rsidRPr="00687ACB">
              <w:rPr>
                <w:rFonts w:ascii="Times New Roman" w:hAnsi="Times New Roman"/>
                <w:b/>
                <w:bCs/>
                <w:rtl/>
              </w:rPr>
              <w:t>כתילי, סגן נשיא</w:t>
            </w:r>
          </w:p>
        </w:tc>
      </w:tr>
    </w:tbl>
    <w:p w14:paraId="7D22D892" w14:textId="77777777" w:rsidR="00D24C88" w:rsidRPr="00D24C88" w:rsidRDefault="00D24C88" w:rsidP="00D24C88">
      <w:pPr>
        <w:keepNext/>
        <w:spacing w:line="360" w:lineRule="auto"/>
        <w:rPr>
          <w:color w:val="000000"/>
          <w:sz w:val="22"/>
          <w:szCs w:val="22"/>
          <w:rtl/>
        </w:rPr>
      </w:pPr>
    </w:p>
    <w:p w14:paraId="3CDB5918" w14:textId="77777777" w:rsidR="00D24C88" w:rsidRPr="00D24C88" w:rsidRDefault="00D24C88" w:rsidP="00D24C88">
      <w:pPr>
        <w:keepNext/>
        <w:spacing w:line="360" w:lineRule="auto"/>
        <w:rPr>
          <w:color w:val="000000"/>
          <w:sz w:val="22"/>
          <w:szCs w:val="22"/>
          <w:rtl/>
        </w:rPr>
      </w:pPr>
      <w:r w:rsidRPr="00D24C88">
        <w:rPr>
          <w:color w:val="000000"/>
          <w:sz w:val="22"/>
          <w:szCs w:val="22"/>
          <w:rtl/>
        </w:rPr>
        <w:t>תאופיק כתילי 54678313</w:t>
      </w:r>
    </w:p>
    <w:p w14:paraId="45F5B187" w14:textId="77777777" w:rsidR="00D24C88" w:rsidRDefault="00D24C88" w:rsidP="00D24C88">
      <w:pPr>
        <w:spacing w:line="360" w:lineRule="auto"/>
        <w:rPr>
          <w:rtl/>
        </w:rPr>
      </w:pPr>
      <w:r w:rsidRPr="00D24C88">
        <w:rPr>
          <w:color w:val="000000"/>
          <w:rtl/>
        </w:rPr>
        <w:t>נוסח מסמך זה כפוף לשינויי ניסוח ועריכה</w:t>
      </w:r>
    </w:p>
    <w:p w14:paraId="7DA870A4" w14:textId="77777777" w:rsidR="00D24C88" w:rsidRDefault="00D24C88" w:rsidP="00D24C88">
      <w:pPr>
        <w:spacing w:line="360" w:lineRule="auto"/>
        <w:rPr>
          <w:rtl/>
        </w:rPr>
      </w:pPr>
    </w:p>
    <w:p w14:paraId="41F6334C" w14:textId="77777777" w:rsidR="00D24C88" w:rsidRDefault="00D24C88" w:rsidP="00D24C88">
      <w:pPr>
        <w:spacing w:line="360" w:lineRule="auto"/>
        <w:jc w:val="center"/>
        <w:rPr>
          <w:color w:val="0000FF"/>
          <w:u w:val="single"/>
          <w:rtl/>
        </w:rPr>
      </w:pPr>
      <w:hyperlink r:id="rId36" w:history="1">
        <w:r>
          <w:rPr>
            <w:color w:val="0000FF"/>
            <w:u w:val="single"/>
            <w:rtl/>
          </w:rPr>
          <w:t>בעניין עריכה ושינויים במסמכי פסיקה, חקיקה ועוד באתר נבו – הקש כאן</w:t>
        </w:r>
      </w:hyperlink>
    </w:p>
    <w:p w14:paraId="1D1ABDDB" w14:textId="77777777" w:rsidR="0010408C" w:rsidRPr="00D24C88" w:rsidRDefault="0010408C" w:rsidP="00D24C88">
      <w:pPr>
        <w:spacing w:line="360" w:lineRule="auto"/>
        <w:jc w:val="center"/>
        <w:rPr>
          <w:color w:val="0000FF"/>
          <w:u w:val="single"/>
          <w:rtl/>
        </w:rPr>
      </w:pPr>
    </w:p>
    <w:sectPr w:rsidR="0010408C" w:rsidRPr="00D24C88" w:rsidSect="00D24C88">
      <w:headerReference w:type="even" r:id="rId37"/>
      <w:headerReference w:type="default" r:id="rId38"/>
      <w:footerReference w:type="even" r:id="rId39"/>
      <w:footerReference w:type="default" r:id="rId4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D79D5" w14:textId="77777777" w:rsidR="002718F2" w:rsidRDefault="002718F2">
      <w:r>
        <w:separator/>
      </w:r>
    </w:p>
  </w:endnote>
  <w:endnote w:type="continuationSeparator" w:id="0">
    <w:p w14:paraId="1C4014A3" w14:textId="77777777" w:rsidR="002718F2" w:rsidRDefault="0027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9B188" w14:textId="77777777" w:rsidR="00D24C88" w:rsidRDefault="00D24C88" w:rsidP="00D24C8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21</w:t>
    </w:r>
    <w:r>
      <w:rPr>
        <w:rFonts w:ascii="FrankRuehl" w:hAnsi="FrankRuehl" w:cs="FrankRuehl"/>
        <w:rtl/>
      </w:rPr>
      <w:fldChar w:fldCharType="end"/>
    </w:r>
  </w:p>
  <w:p w14:paraId="216C7165" w14:textId="77777777" w:rsidR="0010408C" w:rsidRPr="00D24C88" w:rsidRDefault="00D24C88" w:rsidP="00D24C88">
    <w:pPr>
      <w:pStyle w:val="a4"/>
      <w:pBdr>
        <w:top w:val="single" w:sz="4" w:space="1" w:color="auto"/>
        <w:between w:val="single" w:sz="4" w:space="0" w:color="auto"/>
      </w:pBdr>
      <w:spacing w:after="60"/>
      <w:jc w:val="center"/>
      <w:rPr>
        <w:rFonts w:ascii="FrankRuehl" w:hAnsi="FrankRuehl" w:cs="FrankRuehl"/>
        <w:color w:val="000000"/>
      </w:rPr>
    </w:pPr>
    <w:r w:rsidRPr="00D24C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EE0B0" w14:textId="77777777" w:rsidR="00D24C88" w:rsidRDefault="00D24C88" w:rsidP="00D24C8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26250">
      <w:rPr>
        <w:rFonts w:ascii="FrankRuehl" w:hAnsi="FrankRuehl" w:cs="FrankRuehl"/>
        <w:noProof/>
        <w:rtl/>
      </w:rPr>
      <w:t>1</w:t>
    </w:r>
    <w:r>
      <w:rPr>
        <w:rFonts w:ascii="FrankRuehl" w:hAnsi="FrankRuehl" w:cs="FrankRuehl"/>
        <w:rtl/>
      </w:rPr>
      <w:fldChar w:fldCharType="end"/>
    </w:r>
  </w:p>
  <w:p w14:paraId="19BE8EFD" w14:textId="77777777" w:rsidR="0010408C" w:rsidRPr="00D24C88" w:rsidRDefault="00D24C88" w:rsidP="00D24C88">
    <w:pPr>
      <w:pStyle w:val="a4"/>
      <w:pBdr>
        <w:top w:val="single" w:sz="4" w:space="1" w:color="auto"/>
        <w:between w:val="single" w:sz="4" w:space="0" w:color="auto"/>
      </w:pBdr>
      <w:spacing w:after="60"/>
      <w:jc w:val="center"/>
      <w:rPr>
        <w:rFonts w:ascii="FrankRuehl" w:hAnsi="FrankRuehl" w:cs="FrankRuehl" w:hint="cs"/>
        <w:color w:val="000000"/>
      </w:rPr>
    </w:pPr>
    <w:r w:rsidRPr="00D24C88">
      <w:rPr>
        <w:rFonts w:ascii="FrankRuehl" w:hAnsi="FrankRuehl" w:cs="FrankRuehl" w:hint="cs"/>
        <w:color w:val="000000"/>
      </w:rPr>
      <w:pict w14:anchorId="77219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A4BC9" w14:textId="77777777" w:rsidR="002718F2" w:rsidRDefault="002718F2">
      <w:r>
        <w:separator/>
      </w:r>
    </w:p>
  </w:footnote>
  <w:footnote w:type="continuationSeparator" w:id="0">
    <w:p w14:paraId="70CEED1C" w14:textId="77777777" w:rsidR="002718F2" w:rsidRDefault="00271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F88BD" w14:textId="77777777" w:rsidR="00D24C88" w:rsidRPr="00D24C88" w:rsidRDefault="00D24C88" w:rsidP="00D24C8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40188-07-13</w:t>
    </w:r>
    <w:r>
      <w:rPr>
        <w:color w:val="000000"/>
        <w:sz w:val="22"/>
        <w:szCs w:val="22"/>
        <w:rtl/>
      </w:rPr>
      <w:tab/>
      <w:t xml:space="preserve"> מדינת ישראל נ' ראמי גדיר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45020" w14:textId="77777777" w:rsidR="00D24C88" w:rsidRPr="00D24C88" w:rsidRDefault="00D24C88" w:rsidP="00D24C8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40188-07-13</w:t>
    </w:r>
    <w:r>
      <w:rPr>
        <w:color w:val="000000"/>
        <w:sz w:val="22"/>
        <w:szCs w:val="22"/>
        <w:rtl/>
      </w:rPr>
      <w:tab/>
      <w:t xml:space="preserve"> מדינת ישראל נ' ראמי גדיר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812167810">
    <w:abstractNumId w:val="14"/>
  </w:num>
  <w:num w:numId="2" w16cid:durableId="1341666435">
    <w:abstractNumId w:val="5"/>
  </w:num>
  <w:num w:numId="3" w16cid:durableId="824249706">
    <w:abstractNumId w:val="12"/>
  </w:num>
  <w:num w:numId="4" w16cid:durableId="1237206901">
    <w:abstractNumId w:val="11"/>
  </w:num>
  <w:num w:numId="5" w16cid:durableId="697049317">
    <w:abstractNumId w:val="4"/>
  </w:num>
  <w:num w:numId="6" w16cid:durableId="879585004">
    <w:abstractNumId w:val="6"/>
  </w:num>
  <w:num w:numId="7" w16cid:durableId="983778164">
    <w:abstractNumId w:val="16"/>
  </w:num>
  <w:num w:numId="8" w16cid:durableId="245042069">
    <w:abstractNumId w:val="0"/>
  </w:num>
  <w:num w:numId="9" w16cid:durableId="347219057">
    <w:abstractNumId w:val="10"/>
  </w:num>
  <w:num w:numId="10" w16cid:durableId="705523070">
    <w:abstractNumId w:val="8"/>
  </w:num>
  <w:num w:numId="11" w16cid:durableId="1222713082">
    <w:abstractNumId w:val="3"/>
  </w:num>
  <w:num w:numId="12" w16cid:durableId="411589552">
    <w:abstractNumId w:val="15"/>
  </w:num>
  <w:num w:numId="13" w16cid:durableId="763458271">
    <w:abstractNumId w:val="9"/>
  </w:num>
  <w:num w:numId="14" w16cid:durableId="923606036">
    <w:abstractNumId w:val="2"/>
  </w:num>
  <w:num w:numId="15" w16cid:durableId="1731155157">
    <w:abstractNumId w:val="13"/>
  </w:num>
  <w:num w:numId="16" w16cid:durableId="925965008">
    <w:abstractNumId w:val="1"/>
  </w:num>
  <w:num w:numId="17" w16cid:durableId="1133016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0188-07-13"/>
    <w:docVar w:name="caseId" w:val="71227627"/>
    <w:docVar w:name="deriveClass" w:val="NGCS.Protocol.BL.Client.ProtocolBLClientCriminal"/>
    <w:docVar w:name="firstPageNumber" w:val="15"/>
    <w:docVar w:name="MyInfo" w:val="This document was extracted from Nevo's site"/>
    <w:docVar w:name="NGCS.caseTypeID" w:val="10048"/>
    <w:docVar w:name="NGCS.courtID" w:val="12"/>
    <w:docVar w:name="NGCS.isReservedAddressPlace" w:val="0"/>
    <w:docVar w:name="NGCS.isReservedVoucherPlace" w:val="0"/>
    <w:docVar w:name="NGCS.proceedingID" w:val="2"/>
    <w:docVar w:name="NGCS.TemplateCategoryID" w:val="14"/>
    <w:docVar w:name="NGCS.userUPN" w:val="020443537@GOV.IL"/>
    <w:docVar w:name="privellegeId" w:val="1"/>
    <w:docVar w:name="protocolId" w:val="4425561"/>
    <w:docVar w:name="releaseSign" w:val="0"/>
    <w:docVar w:name="sittingDateTime" w:val="13/01/2014 12:00     "/>
    <w:docVar w:name="sittingId" w:val="76295731"/>
    <w:docVar w:name="sittingTypeId" w:val="2"/>
    <w:docVar w:name="WordClientAssemblyName" w:val="NGCS.Protocol.BL.Client"/>
  </w:docVars>
  <w:rsids>
    <w:rsidRoot w:val="00EB1D9D"/>
    <w:rsid w:val="00053A05"/>
    <w:rsid w:val="00054CB2"/>
    <w:rsid w:val="000555F0"/>
    <w:rsid w:val="000C7499"/>
    <w:rsid w:val="0010408C"/>
    <w:rsid w:val="00131385"/>
    <w:rsid w:val="00133D7B"/>
    <w:rsid w:val="00174C6C"/>
    <w:rsid w:val="00227A15"/>
    <w:rsid w:val="00244CD1"/>
    <w:rsid w:val="00245547"/>
    <w:rsid w:val="002718F2"/>
    <w:rsid w:val="00296868"/>
    <w:rsid w:val="002E24EE"/>
    <w:rsid w:val="002E6799"/>
    <w:rsid w:val="002F5A82"/>
    <w:rsid w:val="003523EC"/>
    <w:rsid w:val="003F6EFC"/>
    <w:rsid w:val="0041576D"/>
    <w:rsid w:val="00425351"/>
    <w:rsid w:val="004611BE"/>
    <w:rsid w:val="004A2930"/>
    <w:rsid w:val="004B3A76"/>
    <w:rsid w:val="004E5C82"/>
    <w:rsid w:val="005022A6"/>
    <w:rsid w:val="00515CEF"/>
    <w:rsid w:val="00520EE0"/>
    <w:rsid w:val="00543CD2"/>
    <w:rsid w:val="00551705"/>
    <w:rsid w:val="005D47FD"/>
    <w:rsid w:val="00606C6D"/>
    <w:rsid w:val="006110FD"/>
    <w:rsid w:val="0061652F"/>
    <w:rsid w:val="00620E3F"/>
    <w:rsid w:val="006510D2"/>
    <w:rsid w:val="00687ACB"/>
    <w:rsid w:val="00701199"/>
    <w:rsid w:val="00716775"/>
    <w:rsid w:val="007232BF"/>
    <w:rsid w:val="00770F7C"/>
    <w:rsid w:val="007900F2"/>
    <w:rsid w:val="007D71BF"/>
    <w:rsid w:val="007F4959"/>
    <w:rsid w:val="008100EF"/>
    <w:rsid w:val="00891B6D"/>
    <w:rsid w:val="008A43D1"/>
    <w:rsid w:val="00943E5D"/>
    <w:rsid w:val="009521C7"/>
    <w:rsid w:val="00977F91"/>
    <w:rsid w:val="009B2DEA"/>
    <w:rsid w:val="00A67D1A"/>
    <w:rsid w:val="00A910BF"/>
    <w:rsid w:val="00AA62C3"/>
    <w:rsid w:val="00AB2268"/>
    <w:rsid w:val="00AB40DF"/>
    <w:rsid w:val="00AC0617"/>
    <w:rsid w:val="00AC53CD"/>
    <w:rsid w:val="00AD1366"/>
    <w:rsid w:val="00AE4010"/>
    <w:rsid w:val="00B30486"/>
    <w:rsid w:val="00B350D9"/>
    <w:rsid w:val="00B709BD"/>
    <w:rsid w:val="00BD251B"/>
    <w:rsid w:val="00C26250"/>
    <w:rsid w:val="00C302F5"/>
    <w:rsid w:val="00C50277"/>
    <w:rsid w:val="00C51E69"/>
    <w:rsid w:val="00C73386"/>
    <w:rsid w:val="00CD088A"/>
    <w:rsid w:val="00CD729A"/>
    <w:rsid w:val="00D24C88"/>
    <w:rsid w:val="00D40547"/>
    <w:rsid w:val="00DC4526"/>
    <w:rsid w:val="00DF69AA"/>
    <w:rsid w:val="00E37759"/>
    <w:rsid w:val="00E4581A"/>
    <w:rsid w:val="00E65432"/>
    <w:rsid w:val="00E679BB"/>
    <w:rsid w:val="00E8144D"/>
    <w:rsid w:val="00EB1D9D"/>
    <w:rsid w:val="00EE00BB"/>
    <w:rsid w:val="00F25315"/>
    <w:rsid w:val="00F461FD"/>
    <w:rsid w:val="00F5303C"/>
    <w:rsid w:val="00F861D3"/>
    <w:rsid w:val="00F87793"/>
    <w:rsid w:val="00F91F7D"/>
    <w:rsid w:val="00FA615F"/>
    <w:rsid w:val="00FE0A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7E7AD3C7"/>
  <w15:chartTrackingRefBased/>
  <w15:docId w15:val="{8B1F501C-649A-4694-B847-9AC301A3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basedOn w:val="a0"/>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basedOn w:val="a0"/>
    <w:rPr>
      <w:rFonts w:cs="Times New Roman"/>
    </w:rPr>
  </w:style>
  <w:style w:type="character" w:styleId="aa">
    <w:name w:val="line number"/>
    <w:basedOn w:val="a0"/>
    <w:rPr>
      <w:rFonts w:cs="Arial"/>
      <w:sz w:val="20"/>
      <w:szCs w:val="20"/>
    </w:rPr>
  </w:style>
  <w:style w:type="paragraph" w:customStyle="1" w:styleId="12">
    <w:name w:val="רגיל + ‏12 נק'"/>
    <w:aliases w:val="מיושר לשני הצדדים,מרווח בין שורות:  שורה וחצי"/>
    <w:basedOn w:val="a"/>
    <w:rsid w:val="00543CD2"/>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543CD2"/>
    <w:pPr>
      <w:spacing w:line="360" w:lineRule="auto"/>
      <w:jc w:val="both"/>
    </w:pPr>
    <w:rPr>
      <w:rFonts w:ascii="Times New Roman" w:eastAsia="David" w:hAnsi="Times New Roman"/>
    </w:rPr>
  </w:style>
  <w:style w:type="character" w:styleId="Hyperlink">
    <w:name w:val="Hyperlink"/>
    <w:basedOn w:val="a0"/>
    <w:rsid w:val="00D24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29"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inks/psika/?link=&#1506;&#1508;%205401/12"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2.b" TargetMode="External"/><Relationship Id="rId20" Type="http://schemas.openxmlformats.org/officeDocument/2006/relationships/hyperlink" Target="http://www.nevo.co.il/law/70301/31" TargetMode="External"/><Relationship Id="rId29" Type="http://schemas.openxmlformats.org/officeDocument/2006/relationships/hyperlink" Target="http://www.nevo.co.il/law/70301/115.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15.a"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links/psika/?link=&#1506;&#1508;%204523/0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2.a" TargetMode="External"/><Relationship Id="rId23" Type="http://schemas.openxmlformats.org/officeDocument/2006/relationships/hyperlink" Target="http://www.nevo.co.il/law/70301/31" TargetMode="External"/><Relationship Id="rId28" Type="http://schemas.openxmlformats.org/officeDocument/2006/relationships/hyperlink" Target="http://www.nevo.co.il/law/70301/29"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14.b"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inks/psika/?link=&#1502;&#1496;%204171/09"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2.a" TargetMode="External"/><Relationship Id="rId27" Type="http://schemas.openxmlformats.org/officeDocument/2006/relationships/hyperlink" Target="http://www.nevo.co.il/law/70301/144.a.;114.b" TargetMode="External"/><Relationship Id="rId30" Type="http://schemas.openxmlformats.org/officeDocument/2006/relationships/hyperlink" Target="http://www.nevo.co.il/law/70301/29" TargetMode="External"/><Relationship Id="rId35" Type="http://schemas.openxmlformats.org/officeDocument/2006/relationships/hyperlink" Target="http://www.nevo.co.il/links/psika/?link=&#1506;&#1508;%205677/12" TargetMode="Externa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402.b" TargetMode="External"/><Relationship Id="rId33" Type="http://schemas.openxmlformats.org/officeDocument/2006/relationships/hyperlink" Target="http://www.nevo.co.il/links/psika/?link=&#1506;&#1508;%204105/1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2493</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14934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99222973</vt:i4>
      </vt:variant>
      <vt:variant>
        <vt:i4>84</vt:i4>
      </vt:variant>
      <vt:variant>
        <vt:i4>0</vt:i4>
      </vt:variant>
      <vt:variant>
        <vt:i4>5</vt:i4>
      </vt:variant>
      <vt:variant>
        <vt:lpwstr>http://www.nevo.co.il/links/psika/?link=עפ 5677/12</vt:lpwstr>
      </vt:variant>
      <vt:variant>
        <vt:lpwstr/>
      </vt:variant>
      <vt:variant>
        <vt:i4>99419577</vt:i4>
      </vt:variant>
      <vt:variant>
        <vt:i4>81</vt:i4>
      </vt:variant>
      <vt:variant>
        <vt:i4>0</vt:i4>
      </vt:variant>
      <vt:variant>
        <vt:i4>5</vt:i4>
      </vt:variant>
      <vt:variant>
        <vt:lpwstr>http://www.nevo.co.il/links/psika/?link=עפ 5401/12</vt:lpwstr>
      </vt:variant>
      <vt:variant>
        <vt:lpwstr/>
      </vt:variant>
      <vt:variant>
        <vt:i4>99550648</vt:i4>
      </vt:variant>
      <vt:variant>
        <vt:i4>78</vt:i4>
      </vt:variant>
      <vt:variant>
        <vt:i4>0</vt:i4>
      </vt:variant>
      <vt:variant>
        <vt:i4>5</vt:i4>
      </vt:variant>
      <vt:variant>
        <vt:lpwstr>http://www.nevo.co.il/links/psika/?link=עפ 4105/11</vt:lpwstr>
      </vt:variant>
      <vt:variant>
        <vt:lpwstr/>
      </vt:variant>
      <vt:variant>
        <vt:i4>98895291</vt:i4>
      </vt:variant>
      <vt:variant>
        <vt:i4>75</vt:i4>
      </vt:variant>
      <vt:variant>
        <vt:i4>0</vt:i4>
      </vt:variant>
      <vt:variant>
        <vt:i4>5</vt:i4>
      </vt:variant>
      <vt:variant>
        <vt:lpwstr>http://www.nevo.co.il/links/psika/?link=עפ 4523/09</vt:lpwstr>
      </vt:variant>
      <vt:variant>
        <vt:lpwstr/>
      </vt:variant>
      <vt:variant>
        <vt:i4>98305409</vt:i4>
      </vt:variant>
      <vt:variant>
        <vt:i4>72</vt:i4>
      </vt:variant>
      <vt:variant>
        <vt:i4>0</vt:i4>
      </vt:variant>
      <vt:variant>
        <vt:i4>5</vt:i4>
      </vt:variant>
      <vt:variant>
        <vt:lpwstr>http://www.nevo.co.il/links/psika/?link=מט 4171/09</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4849745</vt:i4>
      </vt:variant>
      <vt:variant>
        <vt:i4>66</vt:i4>
      </vt:variant>
      <vt:variant>
        <vt:i4>0</vt:i4>
      </vt:variant>
      <vt:variant>
        <vt:i4>5</vt:i4>
      </vt:variant>
      <vt:variant>
        <vt:lpwstr>http://www.nevo.co.il/law/70301/115.a</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393237</vt:i4>
      </vt:variant>
      <vt:variant>
        <vt:i4>60</vt:i4>
      </vt:variant>
      <vt:variant>
        <vt:i4>0</vt:i4>
      </vt:variant>
      <vt:variant>
        <vt:i4>5</vt:i4>
      </vt:variant>
      <vt:variant>
        <vt:lpwstr>http://www.nevo.co.il/law/70301/144.a.;114.b</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4915283</vt:i4>
      </vt:variant>
      <vt:variant>
        <vt:i4>54</vt:i4>
      </vt:variant>
      <vt:variant>
        <vt:i4>0</vt:i4>
      </vt:variant>
      <vt:variant>
        <vt:i4>5</vt:i4>
      </vt:variant>
      <vt:variant>
        <vt:lpwstr>http://www.nevo.co.il/law/70301/402.b</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4915283</vt:i4>
      </vt:variant>
      <vt:variant>
        <vt:i4>45</vt:i4>
      </vt:variant>
      <vt:variant>
        <vt:i4>0</vt:i4>
      </vt:variant>
      <vt:variant>
        <vt:i4>5</vt:i4>
      </vt:variant>
      <vt:variant>
        <vt:lpwstr>http://www.nevo.co.il/law/70301/402.a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4915283</vt:i4>
      </vt:variant>
      <vt:variant>
        <vt:i4>27</vt:i4>
      </vt:variant>
      <vt:variant>
        <vt:i4>0</vt:i4>
      </vt:variant>
      <vt:variant>
        <vt:i4>5</vt:i4>
      </vt:variant>
      <vt:variant>
        <vt:lpwstr>http://www.nevo.co.il/law/70301/402.b</vt:lpwstr>
      </vt:variant>
      <vt:variant>
        <vt:lpwstr/>
      </vt:variant>
      <vt:variant>
        <vt:i4>4915283</vt:i4>
      </vt:variant>
      <vt:variant>
        <vt:i4>24</vt:i4>
      </vt:variant>
      <vt:variant>
        <vt:i4>0</vt:i4>
      </vt:variant>
      <vt:variant>
        <vt:i4>5</vt:i4>
      </vt:variant>
      <vt:variant>
        <vt:lpwstr>http://www.nevo.co.il/law/70301/402.a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6357041</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4849745</vt:i4>
      </vt:variant>
      <vt:variant>
        <vt:i4>12</vt:i4>
      </vt:variant>
      <vt:variant>
        <vt:i4>0</vt:i4>
      </vt:variant>
      <vt:variant>
        <vt:i4>5</vt:i4>
      </vt:variant>
      <vt:variant>
        <vt:lpwstr>http://www.nevo.co.il/law/70301/115.a</vt:lpwstr>
      </vt:variant>
      <vt:variant>
        <vt:lpwstr/>
      </vt:variant>
      <vt:variant>
        <vt:i4>4849744</vt:i4>
      </vt:variant>
      <vt:variant>
        <vt:i4>9</vt:i4>
      </vt:variant>
      <vt:variant>
        <vt:i4>0</vt:i4>
      </vt:variant>
      <vt:variant>
        <vt:i4>5</vt:i4>
      </vt:variant>
      <vt:variant>
        <vt:lpwstr>http://www.nevo.co.il/law/70301/114.b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2014-01-13T10:16:00Z</cp:lastPrinted>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40188</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ראמי גדיר;יחיא גדיר;חוסין גדיר</vt:lpwstr>
  </property>
  <property fmtid="{D5CDD505-2E9C-101B-9397-08002B2CF9AE}" pid="10" name="LAWYER">
    <vt:lpwstr>חן רוימי;שלומי בלומנפלד;סימונה בן חיים</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20140113</vt:lpwstr>
  </property>
  <property fmtid="{D5CDD505-2E9C-101B-9397-08002B2CF9AE}" pid="14" name="TYPE_N_DATE">
    <vt:lpwstr>39020140113</vt:lpwstr>
  </property>
  <property fmtid="{D5CDD505-2E9C-101B-9397-08002B2CF9AE}" pid="15" name="WORDNUMPAGES">
    <vt:lpwstr>7</vt:lpwstr>
  </property>
  <property fmtid="{D5CDD505-2E9C-101B-9397-08002B2CF9AE}" pid="16" name="TYPE_ABS_DATE">
    <vt:lpwstr>390020140113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70301/029:4;031:3;115.a:2;144.a:2;144.b:2;402.a:2;402.b:2;499.a.1:2;144.a.:2;114.b:2</vt:lpwstr>
  </property>
</Properties>
</file>