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AC74AB" w:rsidRPr="003E1F2C" w14:paraId="622C3CE4" w14:textId="77777777">
        <w:trPr>
          <w:trHeight w:hRule="exact" w:val="665"/>
          <w:jc w:val="center"/>
        </w:trPr>
        <w:tc>
          <w:tcPr>
            <w:tcW w:w="8721" w:type="dxa"/>
            <w:gridSpan w:val="2"/>
          </w:tcPr>
          <w:p w14:paraId="1263FF9E" w14:textId="77777777" w:rsidR="00AC74AB" w:rsidRPr="003E1F2C" w:rsidRDefault="003E1F2C">
            <w:pPr>
              <w:pStyle w:val="a3"/>
              <w:jc w:val="center"/>
              <w:rPr>
                <w:rFonts w:ascii="Tahoma" w:hAnsi="Tahoma" w:cs="Tahoma"/>
                <w:color w:val="000080"/>
                <w:rtl/>
              </w:rPr>
            </w:pPr>
            <w:bookmarkStart w:id="0" w:name="LastJudge"/>
            <w:r w:rsidRPr="003E1F2C">
              <w:rPr>
                <w:rFonts w:ascii="Tahoma" w:hAnsi="Tahoma" w:cs="Tahoma"/>
                <w:b/>
                <w:bCs/>
                <w:color w:val="000080"/>
                <w:rtl/>
              </w:rPr>
              <w:t>בית המשפט המחוזי בירושלים</w:t>
            </w:r>
          </w:p>
          <w:p w14:paraId="2152023A" w14:textId="77777777" w:rsidR="00AC74AB" w:rsidRPr="003E1F2C" w:rsidRDefault="003E1F2C">
            <w:pPr>
              <w:pStyle w:val="a3"/>
              <w:jc w:val="center"/>
              <w:rPr>
                <w:rFonts w:ascii="Tahoma" w:hAnsi="Tahoma" w:cs="Tahoma"/>
                <w:b/>
                <w:bCs/>
                <w:color w:val="000080"/>
                <w:rtl/>
              </w:rPr>
            </w:pPr>
            <w:r w:rsidRPr="003E1F2C">
              <w:rPr>
                <w:rFonts w:ascii="Tahoma" w:hAnsi="Tahoma" w:cs="Tahoma" w:hint="cs"/>
                <w:b/>
                <w:bCs/>
                <w:color w:val="000080"/>
                <w:rtl/>
              </w:rPr>
              <w:t xml:space="preserve">לפני כב' השופט הבכיר אמנון כהן </w:t>
            </w:r>
          </w:p>
        </w:tc>
      </w:tr>
      <w:tr w:rsidR="00AC74AB" w:rsidRPr="003E1F2C" w14:paraId="7F95C597" w14:textId="77777777">
        <w:trPr>
          <w:trHeight w:val="337"/>
          <w:jc w:val="center"/>
        </w:trPr>
        <w:tc>
          <w:tcPr>
            <w:tcW w:w="5049" w:type="dxa"/>
          </w:tcPr>
          <w:p w14:paraId="5628DE27" w14:textId="77777777" w:rsidR="00AC74AB" w:rsidRPr="003E1F2C" w:rsidRDefault="003E1F2C">
            <w:pPr>
              <w:rPr>
                <w:rFonts w:cs="FrankRuehl"/>
                <w:sz w:val="28"/>
                <w:szCs w:val="28"/>
                <w:rtl/>
              </w:rPr>
            </w:pPr>
            <w:r w:rsidRPr="003E1F2C">
              <w:rPr>
                <w:rFonts w:cs="FrankRuehl"/>
                <w:sz w:val="28"/>
                <w:szCs w:val="28"/>
                <w:rtl/>
              </w:rPr>
              <w:t>ת"פ</w:t>
            </w:r>
            <w:r w:rsidRPr="003E1F2C">
              <w:rPr>
                <w:rFonts w:cs="FrankRuehl" w:hint="cs"/>
                <w:sz w:val="28"/>
                <w:szCs w:val="28"/>
                <w:rtl/>
              </w:rPr>
              <w:t xml:space="preserve"> </w:t>
            </w:r>
            <w:r w:rsidRPr="003E1F2C">
              <w:rPr>
                <w:rFonts w:cs="FrankRuehl"/>
                <w:sz w:val="28"/>
                <w:szCs w:val="28"/>
                <w:rtl/>
              </w:rPr>
              <w:t>51198-07-13</w:t>
            </w:r>
            <w:r w:rsidRPr="003E1F2C">
              <w:rPr>
                <w:rFonts w:cs="FrankRuehl" w:hint="cs"/>
                <w:sz w:val="28"/>
                <w:szCs w:val="28"/>
                <w:rtl/>
              </w:rPr>
              <w:t xml:space="preserve"> </w:t>
            </w:r>
            <w:r w:rsidRPr="003E1F2C">
              <w:rPr>
                <w:rFonts w:cs="FrankRuehl"/>
                <w:sz w:val="28"/>
                <w:szCs w:val="28"/>
                <w:rtl/>
              </w:rPr>
              <w:t>מדינת ישראל נ' דענה(עציר)</w:t>
            </w:r>
          </w:p>
          <w:p w14:paraId="78DF6A83" w14:textId="77777777" w:rsidR="00AC74AB" w:rsidRPr="003E1F2C" w:rsidRDefault="00AC74AB">
            <w:pPr>
              <w:pStyle w:val="a3"/>
              <w:rPr>
                <w:rtl/>
              </w:rPr>
            </w:pPr>
          </w:p>
          <w:p w14:paraId="2E061675" w14:textId="77777777" w:rsidR="00AC74AB" w:rsidRPr="003E1F2C" w:rsidRDefault="00AC74AB">
            <w:pPr>
              <w:pStyle w:val="a3"/>
              <w:rPr>
                <w:rFonts w:cs="FrankRuehl"/>
                <w:sz w:val="28"/>
                <w:szCs w:val="28"/>
                <w:rtl/>
              </w:rPr>
            </w:pPr>
          </w:p>
        </w:tc>
        <w:tc>
          <w:tcPr>
            <w:tcW w:w="3672" w:type="dxa"/>
          </w:tcPr>
          <w:p w14:paraId="3A984B83" w14:textId="77777777" w:rsidR="00AC74AB" w:rsidRPr="003E1F2C" w:rsidRDefault="003E1F2C">
            <w:pPr>
              <w:pStyle w:val="a3"/>
              <w:jc w:val="right"/>
              <w:rPr>
                <w:rFonts w:cs="FrankRuehl"/>
                <w:sz w:val="28"/>
                <w:szCs w:val="28"/>
                <w:rtl/>
              </w:rPr>
            </w:pPr>
            <w:r w:rsidRPr="003E1F2C">
              <w:rPr>
                <w:rFonts w:cs="FrankRuehl" w:hint="cs"/>
                <w:sz w:val="28"/>
                <w:szCs w:val="28"/>
                <w:rtl/>
              </w:rPr>
              <w:t>02 ספטמבר 2014</w:t>
            </w:r>
          </w:p>
        </w:tc>
      </w:tr>
    </w:tbl>
    <w:p w14:paraId="2FCA2C5D" w14:textId="77777777" w:rsidR="00AC74AB" w:rsidRPr="003E1F2C" w:rsidRDefault="003E1F2C">
      <w:pPr>
        <w:pStyle w:val="a3"/>
      </w:pPr>
      <w:r w:rsidRPr="003E1F2C">
        <w:rPr>
          <w:rFonts w:hint="cs"/>
          <w:rtl/>
        </w:rPr>
        <w:t xml:space="preserve"> </w:t>
      </w:r>
    </w:p>
    <w:p w14:paraId="7A14C506" w14:textId="77777777" w:rsidR="00AC74AB" w:rsidRPr="003E1F2C" w:rsidRDefault="00AC74AB">
      <w:pPr>
        <w:rPr>
          <w:rtl/>
        </w:rPr>
      </w:pPr>
    </w:p>
    <w:tbl>
      <w:tblPr>
        <w:bidiVisual/>
        <w:tblW w:w="8802" w:type="dxa"/>
        <w:tblInd w:w="-28" w:type="dxa"/>
        <w:tblLook w:val="01E0" w:firstRow="1" w:lastRow="1" w:firstColumn="1" w:lastColumn="1" w:noHBand="0" w:noVBand="0"/>
      </w:tblPr>
      <w:tblGrid>
        <w:gridCol w:w="2880"/>
        <w:gridCol w:w="5839"/>
        <w:gridCol w:w="83"/>
      </w:tblGrid>
      <w:tr w:rsidR="00AC74AB" w:rsidRPr="003E1F2C" w14:paraId="26378886" w14:textId="77777777">
        <w:trPr>
          <w:gridAfter w:val="1"/>
          <w:wAfter w:w="55" w:type="dxa"/>
        </w:trPr>
        <w:tc>
          <w:tcPr>
            <w:tcW w:w="8719" w:type="dxa"/>
            <w:gridSpan w:val="2"/>
          </w:tcPr>
          <w:p w14:paraId="09D75DD6" w14:textId="77777777" w:rsidR="00AC74AB" w:rsidRPr="003E1F2C" w:rsidRDefault="00AC74AB">
            <w:pPr>
              <w:spacing w:line="360" w:lineRule="auto"/>
              <w:jc w:val="both"/>
              <w:rPr>
                <w:rFonts w:ascii="Arial" w:hAnsi="Arial"/>
              </w:rPr>
            </w:pPr>
          </w:p>
        </w:tc>
      </w:tr>
      <w:tr w:rsidR="00AC74AB" w:rsidRPr="003E1F2C" w14:paraId="5928025F" w14:textId="77777777">
        <w:tc>
          <w:tcPr>
            <w:tcW w:w="2880" w:type="dxa"/>
          </w:tcPr>
          <w:p w14:paraId="3B7D55D8" w14:textId="77777777" w:rsidR="00AC74AB" w:rsidRPr="003E1F2C" w:rsidRDefault="003E1F2C">
            <w:pPr>
              <w:ind w:left="26"/>
              <w:rPr>
                <w:rFonts w:ascii="Franklin Gothic Medium" w:hAnsi="Franklin Gothic Medium" w:cs="FrankRuehl"/>
                <w:b/>
                <w:bCs/>
                <w:sz w:val="28"/>
                <w:szCs w:val="28"/>
              </w:rPr>
            </w:pPr>
            <w:bookmarkStart w:id="1" w:name="FirstAppellant"/>
            <w:bookmarkStart w:id="2" w:name="FirstLawyer"/>
            <w:r w:rsidRPr="003E1F2C">
              <w:rPr>
                <w:rFonts w:ascii="Franklin Gothic Medium" w:hAnsi="Franklin Gothic Medium" w:cs="FrankRuehl"/>
                <w:b/>
                <w:bCs/>
                <w:sz w:val="28"/>
                <w:szCs w:val="28"/>
                <w:rtl/>
              </w:rPr>
              <w:t>ה</w:t>
            </w:r>
            <w:r w:rsidRPr="003E1F2C">
              <w:rPr>
                <w:rFonts w:ascii="Franklin Gothic Medium" w:hAnsi="Franklin Gothic Medium" w:cs="FrankRuehl" w:hint="cs"/>
                <w:sz w:val="28"/>
                <w:szCs w:val="28"/>
                <w:rtl/>
              </w:rPr>
              <w:t>מאשימה</w:t>
            </w:r>
          </w:p>
        </w:tc>
        <w:tc>
          <w:tcPr>
            <w:tcW w:w="5922" w:type="dxa"/>
            <w:gridSpan w:val="2"/>
          </w:tcPr>
          <w:p w14:paraId="52531F27" w14:textId="77777777" w:rsidR="00AC74AB" w:rsidRPr="003E1F2C" w:rsidRDefault="003E1F2C">
            <w:pPr>
              <w:rPr>
                <w:rFonts w:ascii="Franklin Gothic Medium" w:hAnsi="Franklin Gothic Medium" w:cs="FrankRuehl"/>
                <w:b/>
                <w:bCs/>
                <w:sz w:val="28"/>
                <w:szCs w:val="28"/>
                <w:rtl/>
              </w:rPr>
            </w:pPr>
            <w:r w:rsidRPr="003E1F2C">
              <w:rPr>
                <w:rFonts w:ascii="Franklin Gothic Medium" w:hAnsi="Franklin Gothic Medium" w:cs="FrankRuehl"/>
                <w:b/>
                <w:bCs/>
                <w:sz w:val="28"/>
                <w:szCs w:val="28"/>
                <w:rtl/>
              </w:rPr>
              <w:t xml:space="preserve"> </w:t>
            </w:r>
            <w:r w:rsidRPr="003E1F2C">
              <w:rPr>
                <w:rFonts w:ascii="Franklin Gothic Medium" w:hAnsi="Franklin Gothic Medium" w:cs="FrankRuehl" w:hint="cs"/>
                <w:b/>
                <w:bCs/>
                <w:sz w:val="28"/>
                <w:szCs w:val="28"/>
                <w:rtl/>
              </w:rPr>
              <w:t>מדינת ישראל</w:t>
            </w:r>
          </w:p>
          <w:p w14:paraId="59DEF348" w14:textId="77777777" w:rsidR="00AC74AB" w:rsidRPr="003E1F2C" w:rsidRDefault="003E1F2C">
            <w:pPr>
              <w:rPr>
                <w:rFonts w:ascii="Franklin Gothic Medium" w:hAnsi="Franklin Gothic Medium" w:cs="FrankRuehl"/>
                <w:b/>
                <w:bCs/>
                <w:sz w:val="28"/>
                <w:szCs w:val="28"/>
              </w:rPr>
            </w:pPr>
            <w:r w:rsidRPr="003E1F2C">
              <w:rPr>
                <w:rFonts w:ascii="Franklin Gothic Medium" w:hAnsi="Franklin Gothic Medium" w:cs="FrankRuehl" w:hint="cs"/>
                <w:b/>
                <w:bCs/>
                <w:sz w:val="28"/>
                <w:szCs w:val="28"/>
                <w:rtl/>
              </w:rPr>
              <w:t xml:space="preserve">ע"י ב"כ </w:t>
            </w:r>
            <w:r w:rsidRPr="003E1F2C">
              <w:rPr>
                <w:rFonts w:ascii="Franklin Gothic Medium" w:hAnsi="Franklin Gothic Medium" w:cs="FrankRuehl" w:hint="eastAsia"/>
                <w:b/>
                <w:bCs/>
                <w:sz w:val="28"/>
                <w:szCs w:val="28"/>
                <w:rtl/>
              </w:rPr>
              <w:t>עו"ד</w:t>
            </w:r>
            <w:r w:rsidRPr="003E1F2C">
              <w:rPr>
                <w:rFonts w:ascii="Franklin Gothic Medium" w:hAnsi="Franklin Gothic Medium" w:cs="FrankRuehl" w:hint="cs"/>
                <w:b/>
                <w:bCs/>
                <w:sz w:val="28"/>
                <w:szCs w:val="28"/>
                <w:rtl/>
              </w:rPr>
              <w:t xml:space="preserve"> יפעת גפן </w:t>
            </w:r>
            <w:r w:rsidRPr="003E1F2C">
              <w:rPr>
                <w:rFonts w:ascii="Franklin Gothic Medium" w:hAnsi="Franklin Gothic Medium" w:cs="FrankRuehl"/>
                <w:b/>
                <w:bCs/>
                <w:sz w:val="28"/>
                <w:szCs w:val="28"/>
                <w:rtl/>
              </w:rPr>
              <w:br/>
            </w:r>
          </w:p>
        </w:tc>
      </w:tr>
      <w:bookmarkEnd w:id="1"/>
      <w:bookmarkEnd w:id="2"/>
      <w:tr w:rsidR="00AC74AB" w:rsidRPr="003E1F2C" w14:paraId="54E11CE1" w14:textId="77777777">
        <w:tc>
          <w:tcPr>
            <w:tcW w:w="8802" w:type="dxa"/>
            <w:gridSpan w:val="3"/>
          </w:tcPr>
          <w:p w14:paraId="6EEFE1F5" w14:textId="77777777" w:rsidR="00AC74AB" w:rsidRPr="003E1F2C" w:rsidRDefault="00AC74AB">
            <w:pPr>
              <w:jc w:val="both"/>
              <w:rPr>
                <w:rFonts w:ascii="Franklin Gothic Medium" w:hAnsi="Franklin Gothic Medium" w:cs="FrankRuehl"/>
                <w:b/>
                <w:bCs/>
                <w:sz w:val="28"/>
                <w:szCs w:val="28"/>
                <w:rtl/>
              </w:rPr>
            </w:pPr>
          </w:p>
          <w:p w14:paraId="03BC5FFB" w14:textId="77777777" w:rsidR="00AC74AB" w:rsidRPr="003E1F2C" w:rsidRDefault="003E1F2C">
            <w:pPr>
              <w:jc w:val="center"/>
              <w:rPr>
                <w:rFonts w:ascii="Franklin Gothic Medium" w:hAnsi="Franklin Gothic Medium" w:cs="FrankRuehl"/>
                <w:b/>
                <w:bCs/>
                <w:sz w:val="28"/>
                <w:szCs w:val="28"/>
                <w:rtl/>
              </w:rPr>
            </w:pPr>
            <w:r w:rsidRPr="003E1F2C">
              <w:rPr>
                <w:rFonts w:ascii="Franklin Gothic Medium" w:hAnsi="Franklin Gothic Medium" w:cs="FrankRuehl"/>
                <w:b/>
                <w:bCs/>
                <w:sz w:val="28"/>
                <w:szCs w:val="28"/>
                <w:rtl/>
              </w:rPr>
              <w:t>נגד</w:t>
            </w:r>
          </w:p>
          <w:p w14:paraId="6CBAC9EB" w14:textId="77777777" w:rsidR="00AC74AB" w:rsidRPr="003E1F2C" w:rsidRDefault="00AC74AB">
            <w:pPr>
              <w:jc w:val="center"/>
              <w:rPr>
                <w:rFonts w:ascii="Franklin Gothic Medium" w:hAnsi="Franklin Gothic Medium" w:cs="FrankRuehl"/>
                <w:b/>
                <w:bCs/>
                <w:sz w:val="28"/>
                <w:szCs w:val="28"/>
              </w:rPr>
            </w:pPr>
          </w:p>
        </w:tc>
      </w:tr>
      <w:tr w:rsidR="00AC74AB" w:rsidRPr="003E1F2C" w14:paraId="1FB4C7FE" w14:textId="77777777">
        <w:tc>
          <w:tcPr>
            <w:tcW w:w="2880" w:type="dxa"/>
          </w:tcPr>
          <w:p w14:paraId="5B1DBBC7" w14:textId="77777777" w:rsidR="00AC74AB" w:rsidRPr="003E1F2C" w:rsidRDefault="003E1F2C">
            <w:pPr>
              <w:ind w:left="26"/>
              <w:rPr>
                <w:rFonts w:ascii="Franklin Gothic Medium" w:hAnsi="Franklin Gothic Medium" w:cs="FrankRuehl"/>
                <w:b/>
                <w:bCs/>
                <w:sz w:val="28"/>
                <w:szCs w:val="28"/>
              </w:rPr>
            </w:pPr>
            <w:r w:rsidRPr="003E1F2C">
              <w:rPr>
                <w:rFonts w:ascii="Franklin Gothic Medium" w:hAnsi="Franklin Gothic Medium" w:cs="FrankRuehl"/>
                <w:b/>
                <w:bCs/>
                <w:sz w:val="28"/>
                <w:szCs w:val="28"/>
                <w:rtl/>
              </w:rPr>
              <w:t>הנאשם</w:t>
            </w:r>
            <w:r w:rsidRPr="003E1F2C">
              <w:rPr>
                <w:rFonts w:ascii="Franklin Gothic Medium" w:hAnsi="Franklin Gothic Medium" w:cs="FrankRuehl"/>
                <w:sz w:val="28"/>
                <w:szCs w:val="28"/>
                <w:rtl/>
              </w:rPr>
              <w:t xml:space="preserve">     </w:t>
            </w:r>
          </w:p>
        </w:tc>
        <w:tc>
          <w:tcPr>
            <w:tcW w:w="5922" w:type="dxa"/>
            <w:gridSpan w:val="2"/>
          </w:tcPr>
          <w:p w14:paraId="1EB9AB8B" w14:textId="77777777" w:rsidR="00AC74AB" w:rsidRPr="003E1F2C" w:rsidRDefault="003E1F2C">
            <w:pPr>
              <w:rPr>
                <w:rFonts w:ascii="Franklin Gothic Medium" w:hAnsi="Franklin Gothic Medium" w:cs="FrankRuehl"/>
                <w:b/>
                <w:bCs/>
                <w:sz w:val="28"/>
                <w:szCs w:val="28"/>
                <w:rtl/>
              </w:rPr>
            </w:pPr>
            <w:r w:rsidRPr="003E1F2C">
              <w:rPr>
                <w:rFonts w:ascii="Franklin Gothic Medium" w:hAnsi="Franklin Gothic Medium" w:cs="FrankRuehl"/>
                <w:b/>
                <w:bCs/>
                <w:sz w:val="28"/>
                <w:szCs w:val="28"/>
                <w:rtl/>
              </w:rPr>
              <w:t xml:space="preserve">רוחי דענה (עציר) </w:t>
            </w:r>
          </w:p>
          <w:p w14:paraId="53F6BCB3" w14:textId="77777777" w:rsidR="00AC74AB" w:rsidRPr="003E1F2C" w:rsidRDefault="003E1F2C">
            <w:pPr>
              <w:rPr>
                <w:rFonts w:ascii="Franklin Gothic Medium" w:hAnsi="Franklin Gothic Medium" w:cs="FrankRuehl"/>
                <w:b/>
                <w:bCs/>
                <w:sz w:val="28"/>
                <w:szCs w:val="28"/>
                <w:rtl/>
              </w:rPr>
            </w:pPr>
            <w:r w:rsidRPr="003E1F2C">
              <w:rPr>
                <w:rFonts w:ascii="Franklin Gothic Medium" w:hAnsi="Franklin Gothic Medium" w:cs="FrankRuehl" w:hint="cs"/>
                <w:b/>
                <w:bCs/>
                <w:sz w:val="28"/>
                <w:szCs w:val="28"/>
                <w:rtl/>
              </w:rPr>
              <w:t xml:space="preserve">ע"י ב"כ </w:t>
            </w:r>
            <w:r w:rsidRPr="003E1F2C">
              <w:rPr>
                <w:rFonts w:ascii="Franklin Gothic Medium" w:hAnsi="Franklin Gothic Medium" w:cs="FrankRuehl" w:hint="eastAsia"/>
                <w:b/>
                <w:bCs/>
                <w:sz w:val="28"/>
                <w:szCs w:val="28"/>
                <w:rtl/>
              </w:rPr>
              <w:t>עו"ד</w:t>
            </w:r>
            <w:r w:rsidRPr="003E1F2C">
              <w:rPr>
                <w:rFonts w:ascii="Franklin Gothic Medium" w:hAnsi="Franklin Gothic Medium" w:cs="FrankRuehl" w:hint="cs"/>
                <w:b/>
                <w:bCs/>
                <w:sz w:val="28"/>
                <w:szCs w:val="28"/>
                <w:rtl/>
              </w:rPr>
              <w:t xml:space="preserve"> עיסא מוחמדיה  (מטעם הסנגוריה הציבורית)</w:t>
            </w:r>
          </w:p>
          <w:p w14:paraId="3BB20AA0" w14:textId="77777777" w:rsidR="00AC74AB" w:rsidRPr="003E1F2C" w:rsidRDefault="00AC74AB">
            <w:pPr>
              <w:rPr>
                <w:rFonts w:ascii="Franklin Gothic Medium" w:hAnsi="Franklin Gothic Medium" w:cs="FrankRuehl"/>
                <w:b/>
                <w:bCs/>
                <w:sz w:val="28"/>
                <w:szCs w:val="28"/>
                <w:rtl/>
              </w:rPr>
            </w:pPr>
          </w:p>
          <w:p w14:paraId="384E6FAC" w14:textId="77777777" w:rsidR="00AC74AB" w:rsidRPr="003E1F2C" w:rsidRDefault="003E1F2C">
            <w:pPr>
              <w:rPr>
                <w:rFonts w:ascii="Franklin Gothic Medium" w:hAnsi="Franklin Gothic Medium" w:cs="FrankRuehl"/>
                <w:b/>
                <w:bCs/>
                <w:sz w:val="28"/>
                <w:szCs w:val="28"/>
                <w:rtl/>
              </w:rPr>
            </w:pPr>
            <w:r w:rsidRPr="003E1F2C">
              <w:rPr>
                <w:rFonts w:ascii="Franklin Gothic Medium" w:hAnsi="Franklin Gothic Medium" w:cs="FrankRuehl" w:hint="cs"/>
                <w:b/>
                <w:bCs/>
                <w:sz w:val="28"/>
                <w:szCs w:val="28"/>
                <w:rtl/>
              </w:rPr>
              <w:t xml:space="preserve"> </w:t>
            </w:r>
          </w:p>
          <w:p w14:paraId="341EE144" w14:textId="77777777" w:rsidR="00AC74AB" w:rsidRPr="003E1F2C" w:rsidRDefault="00AC74AB">
            <w:pPr>
              <w:rPr>
                <w:rFonts w:ascii="Franklin Gothic Medium" w:hAnsi="Franklin Gothic Medium" w:cs="FrankRuehl"/>
                <w:b/>
                <w:bCs/>
                <w:sz w:val="28"/>
                <w:szCs w:val="28"/>
              </w:rPr>
            </w:pPr>
          </w:p>
        </w:tc>
      </w:tr>
    </w:tbl>
    <w:p w14:paraId="75693064" w14:textId="77777777" w:rsidR="00174E1B" w:rsidRDefault="00174E1B">
      <w:pPr>
        <w:rPr>
          <w:rtl/>
        </w:rPr>
      </w:pPr>
      <w:bookmarkStart w:id="3" w:name="LawTable"/>
      <w:bookmarkEnd w:id="3"/>
    </w:p>
    <w:p w14:paraId="5F72535A" w14:textId="77777777" w:rsidR="00174E1B" w:rsidRPr="00174E1B" w:rsidRDefault="00174E1B" w:rsidP="00174E1B">
      <w:pPr>
        <w:spacing w:after="120" w:line="240" w:lineRule="exact"/>
        <w:ind w:left="283" w:hanging="283"/>
        <w:jc w:val="both"/>
        <w:rPr>
          <w:rFonts w:ascii="FrankRuehl" w:hAnsi="FrankRuehl" w:cs="FrankRuehl"/>
          <w:rtl/>
        </w:rPr>
      </w:pPr>
    </w:p>
    <w:p w14:paraId="3FF49A9B" w14:textId="77777777" w:rsidR="00174E1B" w:rsidRPr="00174E1B" w:rsidRDefault="00174E1B" w:rsidP="00174E1B">
      <w:pPr>
        <w:spacing w:after="120" w:line="240" w:lineRule="exact"/>
        <w:ind w:left="283" w:hanging="283"/>
        <w:jc w:val="both"/>
        <w:rPr>
          <w:rFonts w:ascii="FrankRuehl" w:hAnsi="FrankRuehl" w:cs="FrankRuehl"/>
          <w:rtl/>
        </w:rPr>
      </w:pPr>
      <w:r w:rsidRPr="00174E1B">
        <w:rPr>
          <w:rFonts w:ascii="FrankRuehl" w:hAnsi="FrankRuehl" w:cs="FrankRuehl"/>
          <w:rtl/>
        </w:rPr>
        <w:t xml:space="preserve">חקיקה שאוזכרה: </w:t>
      </w:r>
    </w:p>
    <w:p w14:paraId="25DC1044" w14:textId="77777777" w:rsidR="00174E1B" w:rsidRPr="00174E1B" w:rsidRDefault="00174E1B" w:rsidP="00174E1B">
      <w:pPr>
        <w:spacing w:after="120" w:line="240" w:lineRule="exact"/>
        <w:ind w:left="283" w:hanging="283"/>
        <w:jc w:val="both"/>
        <w:rPr>
          <w:rFonts w:ascii="FrankRuehl" w:hAnsi="FrankRuehl" w:cs="FrankRuehl"/>
          <w:rtl/>
        </w:rPr>
      </w:pPr>
      <w:hyperlink r:id="rId6" w:history="1">
        <w:r w:rsidRPr="00174E1B">
          <w:rPr>
            <w:rFonts w:ascii="FrankRuehl" w:hAnsi="FrankRuehl" w:cs="FrankRuehl"/>
            <w:color w:val="0000FF"/>
            <w:u w:val="single"/>
            <w:rtl/>
          </w:rPr>
          <w:t>חוק העונשין, תשל"ז-1977</w:t>
        </w:r>
      </w:hyperlink>
      <w:r w:rsidRPr="00174E1B">
        <w:rPr>
          <w:rFonts w:ascii="FrankRuehl" w:hAnsi="FrankRuehl" w:cs="FrankRuehl"/>
          <w:rtl/>
        </w:rPr>
        <w:t xml:space="preserve">: סע'  </w:t>
      </w:r>
      <w:hyperlink r:id="rId7" w:history="1">
        <w:r w:rsidRPr="00174E1B">
          <w:rPr>
            <w:rFonts w:ascii="FrankRuehl" w:hAnsi="FrankRuehl" w:cs="FrankRuehl"/>
            <w:color w:val="0000FF"/>
            <w:u w:val="single"/>
            <w:rtl/>
          </w:rPr>
          <w:t>144(ב)</w:t>
        </w:r>
      </w:hyperlink>
      <w:r w:rsidRPr="00174E1B">
        <w:rPr>
          <w:rFonts w:ascii="FrankRuehl" w:hAnsi="FrankRuehl" w:cs="FrankRuehl"/>
          <w:rtl/>
        </w:rPr>
        <w:t xml:space="preserve">, </w:t>
      </w:r>
      <w:hyperlink r:id="rId8" w:history="1">
        <w:r w:rsidRPr="00174E1B">
          <w:rPr>
            <w:rFonts w:ascii="FrankRuehl" w:hAnsi="FrankRuehl" w:cs="FrankRuehl"/>
            <w:color w:val="0000FF"/>
            <w:u w:val="single"/>
            <w:rtl/>
          </w:rPr>
          <w:t>329(א)(1)</w:t>
        </w:r>
      </w:hyperlink>
      <w:r w:rsidRPr="00174E1B">
        <w:rPr>
          <w:rFonts w:ascii="FrankRuehl" w:hAnsi="FrankRuehl" w:cs="FrankRuehl"/>
          <w:rtl/>
        </w:rPr>
        <w:t xml:space="preserve">, </w:t>
      </w:r>
      <w:hyperlink r:id="rId9" w:history="1">
        <w:r w:rsidRPr="00174E1B">
          <w:rPr>
            <w:rFonts w:ascii="FrankRuehl" w:hAnsi="FrankRuehl" w:cs="FrankRuehl"/>
            <w:color w:val="0000FF"/>
            <w:u w:val="single"/>
            <w:rtl/>
          </w:rPr>
          <w:t>(2)</w:t>
        </w:r>
      </w:hyperlink>
      <w:r w:rsidRPr="00174E1B">
        <w:rPr>
          <w:rFonts w:ascii="FrankRuehl" w:hAnsi="FrankRuehl" w:cs="FrankRuehl"/>
          <w:rtl/>
        </w:rPr>
        <w:t xml:space="preserve">, </w:t>
      </w:r>
      <w:hyperlink r:id="rId10" w:history="1">
        <w:r w:rsidRPr="00174E1B">
          <w:rPr>
            <w:rFonts w:ascii="FrankRuehl" w:hAnsi="FrankRuehl" w:cs="FrankRuehl"/>
            <w:color w:val="0000FF"/>
            <w:u w:val="single"/>
            <w:rtl/>
          </w:rPr>
          <w:t>340א</w:t>
        </w:r>
      </w:hyperlink>
    </w:p>
    <w:p w14:paraId="0668C005" w14:textId="77777777" w:rsidR="00174E1B" w:rsidRPr="00174E1B" w:rsidRDefault="00174E1B" w:rsidP="00174E1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74AB" w14:paraId="7600309C" w14:textId="77777777">
        <w:trPr>
          <w:trHeight w:val="355"/>
          <w:jc w:val="center"/>
        </w:trPr>
        <w:tc>
          <w:tcPr>
            <w:tcW w:w="8820" w:type="dxa"/>
            <w:tcBorders>
              <w:top w:val="nil"/>
              <w:left w:val="nil"/>
              <w:bottom w:val="nil"/>
              <w:right w:val="nil"/>
            </w:tcBorders>
          </w:tcPr>
          <w:p w14:paraId="7B9B45F2" w14:textId="77777777" w:rsidR="003E1F2C" w:rsidRPr="003E1F2C" w:rsidRDefault="003E1F2C" w:rsidP="003E1F2C">
            <w:pPr>
              <w:jc w:val="center"/>
              <w:rPr>
                <w:rFonts w:ascii="Arial" w:hAnsi="Arial" w:cs="FrankRuehl"/>
                <w:b/>
                <w:bCs/>
                <w:sz w:val="32"/>
                <w:szCs w:val="32"/>
                <w:u w:val="single"/>
                <w:rtl/>
              </w:rPr>
            </w:pPr>
            <w:bookmarkStart w:id="4" w:name="LawTable_End"/>
            <w:bookmarkStart w:id="5" w:name="PsakDin" w:colFirst="0" w:colLast="0"/>
            <w:bookmarkEnd w:id="0"/>
            <w:bookmarkEnd w:id="4"/>
            <w:r w:rsidRPr="003E1F2C">
              <w:rPr>
                <w:rFonts w:ascii="Arial" w:hAnsi="Arial" w:cs="FrankRuehl"/>
                <w:b/>
                <w:bCs/>
                <w:sz w:val="32"/>
                <w:szCs w:val="32"/>
                <w:u w:val="single"/>
                <w:rtl/>
              </w:rPr>
              <w:t>גזר דין</w:t>
            </w:r>
          </w:p>
          <w:p w14:paraId="0ED755B8" w14:textId="77777777" w:rsidR="00AC74AB" w:rsidRPr="003E1F2C" w:rsidRDefault="00AC74AB" w:rsidP="003E1F2C">
            <w:pPr>
              <w:jc w:val="center"/>
              <w:rPr>
                <w:rFonts w:ascii="Arial" w:hAnsi="Arial" w:cs="FrankRuehl"/>
                <w:bCs/>
                <w:sz w:val="32"/>
                <w:szCs w:val="32"/>
                <w:u w:val="single"/>
                <w:rtl/>
              </w:rPr>
            </w:pPr>
          </w:p>
        </w:tc>
      </w:tr>
      <w:bookmarkEnd w:id="5"/>
    </w:tbl>
    <w:p w14:paraId="0055B66E" w14:textId="77777777" w:rsidR="00AC74AB" w:rsidRDefault="00AC74AB">
      <w:pPr>
        <w:rPr>
          <w:rFonts w:ascii="Arial" w:hAnsi="Arial" w:cs="FrankRuehl"/>
          <w:sz w:val="28"/>
          <w:szCs w:val="28"/>
          <w:rtl/>
        </w:rPr>
      </w:pPr>
    </w:p>
    <w:p w14:paraId="734440D9" w14:textId="77777777" w:rsidR="00AC74AB" w:rsidRDefault="00AC74AB">
      <w:pPr>
        <w:rPr>
          <w:rFonts w:cs="FrankRuehl"/>
          <w:sz w:val="28"/>
          <w:szCs w:val="28"/>
          <w:rtl/>
        </w:rPr>
      </w:pPr>
    </w:p>
    <w:p w14:paraId="1C78A917" w14:textId="77777777" w:rsidR="00AC74AB" w:rsidRDefault="003E1F2C">
      <w:pPr>
        <w:spacing w:line="360" w:lineRule="auto"/>
        <w:jc w:val="both"/>
        <w:rPr>
          <w:rFonts w:cs="FrankRuehl"/>
          <w:sz w:val="28"/>
          <w:szCs w:val="28"/>
          <w:rtl/>
        </w:rPr>
      </w:pPr>
      <w:bookmarkStart w:id="6" w:name="ABSTRACT_START"/>
      <w:bookmarkEnd w:id="6"/>
      <w:r>
        <w:rPr>
          <w:rFonts w:cs="FrankRuehl" w:hint="cs"/>
          <w:sz w:val="28"/>
          <w:szCs w:val="28"/>
          <w:rtl/>
        </w:rPr>
        <w:t xml:space="preserve">הנאשם, כבן 45, הורשע לאחר שמיעת ראיות בעבירות של נשיאת נשק בניגוד </w:t>
      </w:r>
      <w:hyperlink r:id="rId11" w:history="1">
        <w:r w:rsidR="00174E1B" w:rsidRPr="00174E1B">
          <w:rPr>
            <w:rFonts w:cs="FrankRuehl"/>
            <w:color w:val="0000FF"/>
            <w:sz w:val="28"/>
            <w:szCs w:val="28"/>
            <w:u w:val="single"/>
            <w:rtl/>
          </w:rPr>
          <w:t>לסעיף 144(ב)</w:t>
        </w:r>
      </w:hyperlink>
      <w:r>
        <w:rPr>
          <w:rFonts w:cs="FrankRuehl" w:hint="cs"/>
          <w:sz w:val="28"/>
          <w:szCs w:val="28"/>
          <w:rtl/>
        </w:rPr>
        <w:t xml:space="preserve"> סיפא ל</w:t>
      </w:r>
      <w:hyperlink r:id="rId12" w:history="1">
        <w:r w:rsidRPr="003E1F2C">
          <w:rPr>
            <w:rFonts w:cs="FrankRuehl"/>
            <w:color w:val="0000FF"/>
            <w:sz w:val="28"/>
            <w:szCs w:val="28"/>
            <w:u w:val="single"/>
            <w:rtl/>
          </w:rPr>
          <w:t>חוק העונשין</w:t>
        </w:r>
      </w:hyperlink>
      <w:r>
        <w:rPr>
          <w:rFonts w:cs="FrankRuehl" w:hint="cs"/>
          <w:sz w:val="28"/>
          <w:szCs w:val="28"/>
          <w:rtl/>
        </w:rPr>
        <w:t xml:space="preserve"> התשל"ז-1977,  (להלן: </w:t>
      </w:r>
      <w:r>
        <w:rPr>
          <w:rFonts w:cs="FrankRuehl" w:hint="cs"/>
          <w:b/>
          <w:bCs/>
          <w:sz w:val="28"/>
          <w:szCs w:val="28"/>
          <w:rtl/>
        </w:rPr>
        <w:t>"החוק"</w:t>
      </w:r>
      <w:r>
        <w:rPr>
          <w:rFonts w:cs="FrankRuehl" w:hint="cs"/>
          <w:sz w:val="28"/>
          <w:szCs w:val="28"/>
          <w:rtl/>
        </w:rPr>
        <w:t xml:space="preserve">), בחבלה בכוונה מחמירה, בניגוד </w:t>
      </w:r>
      <w:hyperlink r:id="rId13" w:history="1">
        <w:r w:rsidR="00174E1B" w:rsidRPr="00174E1B">
          <w:rPr>
            <w:rFonts w:cs="FrankRuehl"/>
            <w:color w:val="0000FF"/>
            <w:sz w:val="28"/>
            <w:szCs w:val="28"/>
            <w:u w:val="single"/>
            <w:rtl/>
          </w:rPr>
          <w:t>לסעיף 329(א)(1)</w:t>
        </w:r>
      </w:hyperlink>
      <w:r>
        <w:rPr>
          <w:rFonts w:cs="FrankRuehl" w:hint="cs"/>
          <w:sz w:val="28"/>
          <w:szCs w:val="28"/>
          <w:rtl/>
        </w:rPr>
        <w:t xml:space="preserve"> +</w:t>
      </w:r>
      <w:hyperlink r:id="rId14" w:history="1">
        <w:r w:rsidR="00174E1B" w:rsidRPr="00174E1B">
          <w:rPr>
            <w:rFonts w:cs="FrankRuehl"/>
            <w:color w:val="0000FF"/>
            <w:sz w:val="28"/>
            <w:szCs w:val="28"/>
            <w:u w:val="single"/>
            <w:rtl/>
          </w:rPr>
          <w:t>(2)</w:t>
        </w:r>
      </w:hyperlink>
      <w:r>
        <w:rPr>
          <w:rFonts w:cs="FrankRuehl" w:hint="cs"/>
          <w:sz w:val="28"/>
          <w:szCs w:val="28"/>
          <w:rtl/>
        </w:rPr>
        <w:t xml:space="preserve"> לחוק ובירי באזור מגורים, בניגוד </w:t>
      </w:r>
      <w:hyperlink r:id="rId15" w:history="1">
        <w:r w:rsidR="00174E1B" w:rsidRPr="00174E1B">
          <w:rPr>
            <w:rFonts w:cs="FrankRuehl"/>
            <w:color w:val="0000FF"/>
            <w:sz w:val="28"/>
            <w:szCs w:val="28"/>
            <w:u w:val="single"/>
            <w:rtl/>
          </w:rPr>
          <w:t>לסעיף 340א</w:t>
        </w:r>
      </w:hyperlink>
      <w:r>
        <w:rPr>
          <w:rFonts w:cs="FrankRuehl" w:hint="cs"/>
          <w:sz w:val="28"/>
          <w:szCs w:val="28"/>
          <w:rtl/>
        </w:rPr>
        <w:t xml:space="preserve"> לחוק. </w:t>
      </w:r>
    </w:p>
    <w:p w14:paraId="5BFB9A91" w14:textId="77777777" w:rsidR="00AC74AB" w:rsidRDefault="00AC74AB">
      <w:pPr>
        <w:spacing w:line="360" w:lineRule="auto"/>
        <w:rPr>
          <w:rFonts w:cs="FrankRuehl"/>
          <w:sz w:val="28"/>
          <w:szCs w:val="28"/>
          <w:rtl/>
        </w:rPr>
      </w:pPr>
      <w:bookmarkStart w:id="7" w:name="ABSTRACT_END"/>
      <w:bookmarkEnd w:id="7"/>
    </w:p>
    <w:p w14:paraId="5E6583E4" w14:textId="77777777" w:rsidR="00AC74AB" w:rsidRDefault="003E1F2C">
      <w:pPr>
        <w:spacing w:line="360" w:lineRule="auto"/>
        <w:rPr>
          <w:rFonts w:cs="FrankRuehl"/>
          <w:sz w:val="28"/>
          <w:szCs w:val="28"/>
          <w:rtl/>
        </w:rPr>
      </w:pPr>
      <w:r>
        <w:rPr>
          <w:rFonts w:cs="FrankRuehl" w:hint="cs"/>
          <w:sz w:val="28"/>
          <w:szCs w:val="28"/>
          <w:rtl/>
        </w:rPr>
        <w:t xml:space="preserve">כפי שנקבע בהכרעת הדין, הרקע לאירוע הינו סכסוך משפחתי. </w:t>
      </w:r>
    </w:p>
    <w:p w14:paraId="7781AC26" w14:textId="77777777" w:rsidR="00AC74AB" w:rsidRDefault="00AC74AB">
      <w:pPr>
        <w:spacing w:line="360" w:lineRule="auto"/>
        <w:rPr>
          <w:rFonts w:cs="FrankRuehl"/>
          <w:sz w:val="28"/>
          <w:szCs w:val="28"/>
          <w:rtl/>
        </w:rPr>
      </w:pPr>
    </w:p>
    <w:p w14:paraId="44B62457" w14:textId="77777777" w:rsidR="00AC74AB" w:rsidRDefault="003E1F2C">
      <w:pPr>
        <w:spacing w:line="360" w:lineRule="auto"/>
        <w:jc w:val="both"/>
        <w:rPr>
          <w:rFonts w:cs="FrankRuehl"/>
          <w:sz w:val="28"/>
          <w:szCs w:val="28"/>
          <w:rtl/>
        </w:rPr>
      </w:pPr>
      <w:r>
        <w:rPr>
          <w:rFonts w:cs="FrankRuehl" w:hint="cs"/>
          <w:sz w:val="28"/>
          <w:szCs w:val="28"/>
          <w:rtl/>
        </w:rPr>
        <w:t xml:space="preserve">בעקבות ויכוח בין וואיל דענה וחלק מבני משפחתו לבין ריאד דענה, הגיע הנאשם למקום, כשהוא מחזיק אקדח וירה באוויר שתי יריות על מנת להפסיק את הוויכוח וזריקת החפצים מגג אחד הבתים. </w:t>
      </w:r>
    </w:p>
    <w:p w14:paraId="1A9D053C" w14:textId="77777777" w:rsidR="00AC74AB" w:rsidRDefault="00AC74AB">
      <w:pPr>
        <w:spacing w:line="360" w:lineRule="auto"/>
        <w:jc w:val="both"/>
        <w:rPr>
          <w:rFonts w:cs="FrankRuehl"/>
          <w:sz w:val="28"/>
          <w:szCs w:val="28"/>
          <w:rtl/>
        </w:rPr>
      </w:pPr>
    </w:p>
    <w:p w14:paraId="14DE8A4B" w14:textId="77777777" w:rsidR="00AC74AB" w:rsidRDefault="003E1F2C">
      <w:pPr>
        <w:spacing w:line="360" w:lineRule="auto"/>
        <w:jc w:val="both"/>
        <w:rPr>
          <w:rFonts w:cs="FrankRuehl"/>
          <w:sz w:val="28"/>
          <w:szCs w:val="28"/>
          <w:rtl/>
        </w:rPr>
      </w:pPr>
      <w:r>
        <w:rPr>
          <w:rFonts w:cs="FrankRuehl" w:hint="cs"/>
          <w:sz w:val="28"/>
          <w:szCs w:val="28"/>
          <w:rtl/>
        </w:rPr>
        <w:lastRenderedPageBreak/>
        <w:t xml:space="preserve">קבעתי, כי כחצי שעה לאחר מכן, יצא בלאל דענה מביתו לעבר רכבו, כאשר עיסאם דענה מלווה אותו. הנאשם התקרב לעבר בלאל, אשר החל לקללו. בתגובה, שלף הנאשם פעם נוספת את האקדח וירה לכיוונו של בלאל. </w:t>
      </w:r>
    </w:p>
    <w:p w14:paraId="386C1B44" w14:textId="77777777" w:rsidR="00AC74AB" w:rsidRDefault="00AC74AB">
      <w:pPr>
        <w:spacing w:line="360" w:lineRule="auto"/>
        <w:jc w:val="both"/>
        <w:rPr>
          <w:rFonts w:cs="FrankRuehl"/>
          <w:sz w:val="28"/>
          <w:szCs w:val="28"/>
          <w:rtl/>
        </w:rPr>
      </w:pPr>
    </w:p>
    <w:p w14:paraId="265EC623" w14:textId="77777777" w:rsidR="00AC74AB" w:rsidRDefault="003E1F2C">
      <w:pPr>
        <w:spacing w:line="360" w:lineRule="auto"/>
        <w:jc w:val="both"/>
        <w:rPr>
          <w:rFonts w:cs="FrankRuehl"/>
          <w:sz w:val="28"/>
          <w:szCs w:val="28"/>
          <w:rtl/>
        </w:rPr>
      </w:pPr>
      <w:r>
        <w:rPr>
          <w:rFonts w:cs="FrankRuehl" w:hint="cs"/>
          <w:sz w:val="28"/>
          <w:szCs w:val="28"/>
          <w:rtl/>
        </w:rPr>
        <w:t>בהמשך, כאשר הבחין עיסאם במעשיו של הנאשם, הוא אחז את ידו של הנאשם שבא החזיק את האקדח וניסה להורידה. במהלך הדברים, ירה הנאשם שלוש פעמים לכיוונו של בלאל. אחד הכדורים פגע ברגלו של בלאל, אך פגע בפלאפון שהיה בכיס הימני של מכנסיו של בלאל וכתוצאה מהירי נגרם לבלאל פצע שפשוף בירך שמאל.</w:t>
      </w:r>
    </w:p>
    <w:p w14:paraId="1CE3FCAA" w14:textId="77777777" w:rsidR="00AC74AB" w:rsidRDefault="00AC74AB">
      <w:pPr>
        <w:spacing w:line="360" w:lineRule="auto"/>
        <w:jc w:val="both"/>
        <w:rPr>
          <w:rFonts w:cs="FrankRuehl"/>
          <w:sz w:val="28"/>
          <w:szCs w:val="28"/>
          <w:rtl/>
        </w:rPr>
      </w:pPr>
    </w:p>
    <w:p w14:paraId="7160D853" w14:textId="77777777" w:rsidR="00AC74AB" w:rsidRDefault="003E1F2C">
      <w:pPr>
        <w:spacing w:line="360" w:lineRule="auto"/>
        <w:jc w:val="both"/>
        <w:rPr>
          <w:rFonts w:cs="FrankRuehl"/>
          <w:sz w:val="28"/>
          <w:szCs w:val="28"/>
          <w:rtl/>
        </w:rPr>
      </w:pPr>
      <w:r>
        <w:rPr>
          <w:rFonts w:cs="FrankRuehl" w:hint="cs"/>
          <w:sz w:val="28"/>
          <w:szCs w:val="28"/>
          <w:rtl/>
        </w:rPr>
        <w:t xml:space="preserve">בהמשך, נקבע, כי כאשר הבחין נאדר דענה במעשיו של הנאשם, הוא התקרב לנאשם וחבט בו באמצעות קסדה שהייתה בידו. הנאשם הסתובב לכיוונו של נאדר, כיוון את האקדח לרגלו של נאדר וירה פעם אחת, וגם זאת תוך שעיסה אחז בידו של הנאשם. הכדור פילח את רגלו של נאדר בירך ימין והוא פונה לבית החולים. </w:t>
      </w:r>
    </w:p>
    <w:p w14:paraId="2B57EECD" w14:textId="77777777" w:rsidR="00AC74AB" w:rsidRDefault="00AC74AB">
      <w:pPr>
        <w:spacing w:line="360" w:lineRule="auto"/>
        <w:jc w:val="both"/>
        <w:rPr>
          <w:rFonts w:cs="FrankRuehl"/>
          <w:sz w:val="28"/>
          <w:szCs w:val="28"/>
          <w:rtl/>
        </w:rPr>
      </w:pPr>
    </w:p>
    <w:p w14:paraId="6770F1AE" w14:textId="77777777" w:rsidR="00AC74AB" w:rsidRDefault="003E1F2C">
      <w:pPr>
        <w:spacing w:line="360" w:lineRule="auto"/>
        <w:jc w:val="both"/>
        <w:rPr>
          <w:rFonts w:cs="FrankRuehl"/>
          <w:sz w:val="28"/>
          <w:szCs w:val="28"/>
          <w:rtl/>
        </w:rPr>
      </w:pPr>
      <w:r>
        <w:rPr>
          <w:rFonts w:cs="FrankRuehl" w:hint="cs"/>
          <w:sz w:val="28"/>
          <w:szCs w:val="28"/>
          <w:rtl/>
        </w:rPr>
        <w:t xml:space="preserve">לאחר מכן, עזב הנאשם את המקום, תוך שהוא יורה באוויר פעמיים נוספות. </w:t>
      </w:r>
    </w:p>
    <w:p w14:paraId="72F49DCA" w14:textId="77777777" w:rsidR="00AC74AB" w:rsidRDefault="00AC74AB">
      <w:pPr>
        <w:spacing w:line="360" w:lineRule="auto"/>
        <w:jc w:val="both"/>
        <w:rPr>
          <w:rFonts w:cs="FrankRuehl"/>
          <w:sz w:val="28"/>
          <w:szCs w:val="28"/>
          <w:rtl/>
        </w:rPr>
      </w:pPr>
    </w:p>
    <w:p w14:paraId="2D5638B5" w14:textId="77777777" w:rsidR="00AC74AB" w:rsidRDefault="003E1F2C">
      <w:pPr>
        <w:spacing w:line="360" w:lineRule="auto"/>
        <w:jc w:val="both"/>
        <w:rPr>
          <w:rFonts w:cs="FrankRuehl"/>
          <w:sz w:val="28"/>
          <w:szCs w:val="28"/>
          <w:rtl/>
        </w:rPr>
      </w:pPr>
      <w:r>
        <w:rPr>
          <w:rFonts w:cs="FrankRuehl" w:hint="cs"/>
          <w:sz w:val="28"/>
          <w:szCs w:val="28"/>
          <w:rtl/>
        </w:rPr>
        <w:t>התביעה ביקשה להחמיר בענישה כדי להיאבק באלימות  "</w:t>
      </w:r>
      <w:r>
        <w:rPr>
          <w:rFonts w:cs="FrankRuehl" w:hint="cs"/>
          <w:b/>
          <w:bCs/>
          <w:sz w:val="28"/>
          <w:szCs w:val="28"/>
          <w:rtl/>
        </w:rPr>
        <w:t>הפושה ברחובות</w:t>
      </w:r>
      <w:r>
        <w:rPr>
          <w:rFonts w:cs="FrankRuehl" w:hint="cs"/>
          <w:sz w:val="28"/>
          <w:szCs w:val="28"/>
          <w:rtl/>
        </w:rPr>
        <w:t xml:space="preserve">". </w:t>
      </w:r>
    </w:p>
    <w:p w14:paraId="5FCA4800" w14:textId="77777777" w:rsidR="00AC74AB" w:rsidRDefault="00AC74AB">
      <w:pPr>
        <w:spacing w:line="360" w:lineRule="auto"/>
        <w:jc w:val="both"/>
        <w:rPr>
          <w:rFonts w:cs="FrankRuehl"/>
          <w:sz w:val="28"/>
          <w:szCs w:val="28"/>
          <w:rtl/>
        </w:rPr>
      </w:pPr>
    </w:p>
    <w:p w14:paraId="6E391671" w14:textId="77777777" w:rsidR="00AC74AB" w:rsidRDefault="003E1F2C">
      <w:pPr>
        <w:spacing w:line="360" w:lineRule="auto"/>
        <w:jc w:val="both"/>
        <w:rPr>
          <w:rFonts w:cs="FrankRuehl"/>
          <w:sz w:val="28"/>
          <w:szCs w:val="28"/>
          <w:rtl/>
        </w:rPr>
      </w:pPr>
      <w:r>
        <w:rPr>
          <w:rFonts w:cs="FrankRuehl" w:hint="cs"/>
          <w:sz w:val="28"/>
          <w:szCs w:val="28"/>
          <w:rtl/>
        </w:rPr>
        <w:t xml:space="preserve">התביעה הציגה מספר גזרי דין בהם הוטלו עונשי מאסר ממושכים בגין עבירות אלימות תוך שימוש בנשק חם או קר. אך, מאידך, הייתה התביעה ערה לכך שישנם גם גזרי דין בהם הוטלו עונשים קלים יותר. </w:t>
      </w:r>
    </w:p>
    <w:p w14:paraId="1F1EE337" w14:textId="77777777" w:rsidR="00AC74AB" w:rsidRDefault="00AC74AB">
      <w:pPr>
        <w:spacing w:line="360" w:lineRule="auto"/>
        <w:jc w:val="both"/>
        <w:rPr>
          <w:rFonts w:cs="FrankRuehl"/>
          <w:sz w:val="28"/>
          <w:szCs w:val="28"/>
          <w:rtl/>
        </w:rPr>
      </w:pPr>
    </w:p>
    <w:p w14:paraId="7EFF79B0" w14:textId="77777777" w:rsidR="00AC74AB" w:rsidRDefault="003E1F2C">
      <w:pPr>
        <w:spacing w:line="360" w:lineRule="auto"/>
        <w:jc w:val="both"/>
        <w:rPr>
          <w:rFonts w:cs="FrankRuehl"/>
          <w:sz w:val="28"/>
          <w:szCs w:val="28"/>
          <w:rtl/>
        </w:rPr>
      </w:pPr>
      <w:r>
        <w:rPr>
          <w:rFonts w:cs="FrankRuehl" w:hint="cs"/>
          <w:sz w:val="28"/>
          <w:szCs w:val="28"/>
          <w:rtl/>
        </w:rPr>
        <w:t xml:space="preserve">התביעה טענה, כי במקרה הנוכחי, יש להעמיד את מתחם העונש ההולם בין 8 ל-12 שנות מאסר בפועל. </w:t>
      </w:r>
    </w:p>
    <w:p w14:paraId="29EC446F" w14:textId="77777777" w:rsidR="00AC74AB" w:rsidRDefault="00AC74AB">
      <w:pPr>
        <w:spacing w:line="360" w:lineRule="auto"/>
        <w:jc w:val="both"/>
        <w:rPr>
          <w:rFonts w:cs="FrankRuehl"/>
          <w:sz w:val="28"/>
          <w:szCs w:val="28"/>
          <w:rtl/>
        </w:rPr>
      </w:pPr>
    </w:p>
    <w:p w14:paraId="680A1496" w14:textId="77777777" w:rsidR="00AC74AB" w:rsidRDefault="003E1F2C">
      <w:pPr>
        <w:spacing w:line="360" w:lineRule="auto"/>
        <w:jc w:val="both"/>
        <w:rPr>
          <w:rFonts w:cs="FrankRuehl"/>
          <w:sz w:val="28"/>
          <w:szCs w:val="28"/>
          <w:rtl/>
        </w:rPr>
      </w:pPr>
      <w:r>
        <w:rPr>
          <w:rFonts w:cs="FrankRuehl" w:hint="cs"/>
          <w:sz w:val="28"/>
          <w:szCs w:val="28"/>
          <w:rtl/>
        </w:rPr>
        <w:t xml:space="preserve">בעניין זה, טען ב"כ הנאשם, כי לפי הפסיקה הנוהגת, מתחם העונש ההולם במקרה דנן מתחיל ממאסר שירוצה בעבודות שירות ועד למאסר בפועל למשך שנתיים. </w:t>
      </w:r>
    </w:p>
    <w:p w14:paraId="65C4BC85" w14:textId="77777777" w:rsidR="00AC74AB" w:rsidRDefault="00AC74AB">
      <w:pPr>
        <w:spacing w:line="360" w:lineRule="auto"/>
        <w:jc w:val="both"/>
        <w:rPr>
          <w:rFonts w:cs="FrankRuehl"/>
          <w:sz w:val="28"/>
          <w:szCs w:val="28"/>
          <w:rtl/>
        </w:rPr>
      </w:pPr>
    </w:p>
    <w:p w14:paraId="47812816" w14:textId="77777777" w:rsidR="00AC74AB" w:rsidRDefault="003E1F2C">
      <w:pPr>
        <w:spacing w:line="360" w:lineRule="auto"/>
        <w:jc w:val="both"/>
        <w:rPr>
          <w:rFonts w:cs="FrankRuehl"/>
          <w:sz w:val="28"/>
          <w:szCs w:val="28"/>
          <w:rtl/>
        </w:rPr>
      </w:pPr>
      <w:r>
        <w:rPr>
          <w:rFonts w:cs="FrankRuehl" w:hint="cs"/>
          <w:sz w:val="28"/>
          <w:szCs w:val="28"/>
          <w:rtl/>
        </w:rPr>
        <w:t xml:space="preserve">כידוע, אין זהות בין מתחם העונש ההולם לבין טווח הענישה הנהוג ולפיכך, על בית המשפט לקבוע, בהתאם לתיקון 113, את מתחם העונש ההולם. </w:t>
      </w:r>
    </w:p>
    <w:p w14:paraId="40EBB1CD" w14:textId="77777777" w:rsidR="00AC74AB" w:rsidRDefault="00AC74AB">
      <w:pPr>
        <w:spacing w:line="360" w:lineRule="auto"/>
        <w:jc w:val="both"/>
        <w:rPr>
          <w:rFonts w:cs="FrankRuehl"/>
          <w:sz w:val="28"/>
          <w:szCs w:val="28"/>
          <w:rtl/>
        </w:rPr>
      </w:pPr>
    </w:p>
    <w:p w14:paraId="2D10EF33" w14:textId="77777777" w:rsidR="00AC74AB" w:rsidRDefault="003E1F2C">
      <w:pPr>
        <w:spacing w:line="360" w:lineRule="auto"/>
        <w:jc w:val="both"/>
        <w:rPr>
          <w:rFonts w:cs="FrankRuehl"/>
          <w:sz w:val="28"/>
          <w:szCs w:val="28"/>
          <w:rtl/>
        </w:rPr>
      </w:pPr>
      <w:r>
        <w:rPr>
          <w:rFonts w:cs="FrankRuehl" w:hint="cs"/>
          <w:sz w:val="28"/>
          <w:szCs w:val="28"/>
          <w:rtl/>
        </w:rPr>
        <w:t>לצורך קביעת מתחם העונש ההולם, יש להתחשב בערך החברתי שנפגע מביצוע העבירה, במידת הפגיעה בו, במדיניות הענישה הנהוגה ובנסיבות הקשורות בביצוע העבירה כאמור בסעיף 40ט לתיקון 113 ל</w:t>
      </w:r>
      <w:hyperlink r:id="rId16" w:history="1">
        <w:r w:rsidRPr="003E1F2C">
          <w:rPr>
            <w:rFonts w:cs="FrankRuehl"/>
            <w:color w:val="0000FF"/>
            <w:sz w:val="28"/>
            <w:szCs w:val="28"/>
            <w:u w:val="single"/>
            <w:rtl/>
          </w:rPr>
          <w:t>חוק העונשין</w:t>
        </w:r>
      </w:hyperlink>
      <w:r>
        <w:rPr>
          <w:rFonts w:cs="FrankRuehl" w:hint="cs"/>
          <w:sz w:val="28"/>
          <w:szCs w:val="28"/>
          <w:rtl/>
        </w:rPr>
        <w:t xml:space="preserve">. </w:t>
      </w:r>
    </w:p>
    <w:p w14:paraId="7DB53650" w14:textId="77777777" w:rsidR="00AC74AB" w:rsidRDefault="00AC74AB">
      <w:pPr>
        <w:spacing w:line="360" w:lineRule="auto"/>
        <w:jc w:val="both"/>
        <w:rPr>
          <w:rFonts w:cs="FrankRuehl"/>
          <w:sz w:val="28"/>
          <w:szCs w:val="28"/>
          <w:rtl/>
        </w:rPr>
      </w:pPr>
    </w:p>
    <w:p w14:paraId="2BF1A382" w14:textId="77777777" w:rsidR="00AC74AB" w:rsidRDefault="003E1F2C">
      <w:pPr>
        <w:spacing w:line="360" w:lineRule="auto"/>
        <w:jc w:val="both"/>
        <w:rPr>
          <w:rFonts w:cs="FrankRuehl"/>
          <w:sz w:val="28"/>
          <w:szCs w:val="28"/>
          <w:rtl/>
        </w:rPr>
      </w:pPr>
      <w:r>
        <w:rPr>
          <w:rFonts w:cs="FrankRuehl" w:hint="cs"/>
          <w:sz w:val="28"/>
          <w:szCs w:val="28"/>
          <w:rtl/>
        </w:rPr>
        <w:t xml:space="preserve">המחוקק קבע רף ענישה של עד 20 שנות מאסר על עבירה של חבלה בכוונה מחמירה, 3 שנות מאסר על החזקת נשק ושנת מאסר אחת על יריות באזור מגורים. </w:t>
      </w:r>
    </w:p>
    <w:p w14:paraId="701A8339" w14:textId="77777777" w:rsidR="00AC74AB" w:rsidRDefault="00AC74AB">
      <w:pPr>
        <w:spacing w:line="360" w:lineRule="auto"/>
        <w:jc w:val="both"/>
        <w:rPr>
          <w:rFonts w:cs="FrankRuehl"/>
          <w:sz w:val="28"/>
          <w:szCs w:val="28"/>
          <w:rtl/>
        </w:rPr>
      </w:pPr>
    </w:p>
    <w:p w14:paraId="4429091C" w14:textId="77777777" w:rsidR="00AC74AB" w:rsidRDefault="003E1F2C">
      <w:pPr>
        <w:spacing w:line="360" w:lineRule="auto"/>
        <w:jc w:val="both"/>
        <w:rPr>
          <w:rFonts w:cs="FrankRuehl"/>
          <w:sz w:val="28"/>
          <w:szCs w:val="28"/>
          <w:rtl/>
        </w:rPr>
      </w:pPr>
      <w:r>
        <w:rPr>
          <w:rFonts w:cs="FrankRuehl" w:hint="cs"/>
          <w:sz w:val="28"/>
          <w:szCs w:val="28"/>
          <w:rtl/>
        </w:rPr>
        <w:t xml:space="preserve">הערכים המוגנים במקרה דנן הינם ערך החיים ושלמות הגוף. </w:t>
      </w:r>
    </w:p>
    <w:p w14:paraId="754F441F" w14:textId="77777777" w:rsidR="00AC74AB" w:rsidRDefault="00AC74AB">
      <w:pPr>
        <w:spacing w:line="360" w:lineRule="auto"/>
        <w:jc w:val="both"/>
        <w:rPr>
          <w:rFonts w:cs="FrankRuehl"/>
          <w:sz w:val="28"/>
          <w:szCs w:val="28"/>
          <w:rtl/>
        </w:rPr>
      </w:pPr>
    </w:p>
    <w:p w14:paraId="7CF54801" w14:textId="77777777" w:rsidR="00AC74AB" w:rsidRDefault="003E1F2C">
      <w:pPr>
        <w:spacing w:line="360" w:lineRule="auto"/>
        <w:jc w:val="both"/>
        <w:rPr>
          <w:rFonts w:cs="FrankRuehl"/>
          <w:sz w:val="28"/>
          <w:szCs w:val="28"/>
          <w:rtl/>
        </w:rPr>
      </w:pPr>
      <w:r>
        <w:rPr>
          <w:rFonts w:cs="FrankRuehl" w:hint="cs"/>
          <w:sz w:val="28"/>
          <w:szCs w:val="28"/>
          <w:rtl/>
        </w:rPr>
        <w:t>לעניין הפסיקה הנוהגת, הגיש כל צד פסיקה התומכת, לטענתו בעמדתו העונשית והפערים בין פסקי הדין השונים הינם גבוהים מאוד. לעניין זה, אין לי אלא לחזור על הדברים שנאמרו ב</w:t>
      </w:r>
      <w:hyperlink r:id="rId17" w:history="1">
        <w:r w:rsidRPr="003E1F2C">
          <w:rPr>
            <w:rFonts w:cs="FrankRuehl"/>
            <w:color w:val="0000FF"/>
            <w:sz w:val="28"/>
            <w:szCs w:val="28"/>
            <w:u w:val="single"/>
            <w:rtl/>
          </w:rPr>
          <w:t>ע"פ 8855/12</w:t>
        </w:r>
      </w:hyperlink>
      <w:r>
        <w:rPr>
          <w:rFonts w:cs="FrankRuehl" w:hint="cs"/>
          <w:sz w:val="28"/>
          <w:szCs w:val="28"/>
          <w:rtl/>
        </w:rPr>
        <w:t xml:space="preserve"> </w:t>
      </w:r>
      <w:r>
        <w:rPr>
          <w:rFonts w:cs="FrankRuehl" w:hint="cs"/>
          <w:b/>
          <w:bCs/>
          <w:sz w:val="28"/>
          <w:szCs w:val="28"/>
          <w:rtl/>
        </w:rPr>
        <w:t>עזאת</w:t>
      </w:r>
      <w:r>
        <w:rPr>
          <w:rFonts w:cs="FrankRuehl" w:hint="cs"/>
          <w:sz w:val="28"/>
          <w:szCs w:val="28"/>
          <w:rtl/>
        </w:rPr>
        <w:t xml:space="preserve"> </w:t>
      </w:r>
      <w:r>
        <w:rPr>
          <w:rFonts w:cs="FrankRuehl" w:hint="cs"/>
          <w:b/>
          <w:bCs/>
          <w:sz w:val="28"/>
          <w:szCs w:val="28"/>
          <w:rtl/>
        </w:rPr>
        <w:t>אלזידאה</w:t>
      </w:r>
      <w:r>
        <w:rPr>
          <w:rFonts w:cs="FrankRuehl" w:hint="cs"/>
          <w:sz w:val="28"/>
          <w:szCs w:val="28"/>
          <w:rtl/>
        </w:rPr>
        <w:t xml:space="preserve"> נ' </w:t>
      </w:r>
      <w:r>
        <w:rPr>
          <w:rFonts w:cs="FrankRuehl" w:hint="cs"/>
          <w:b/>
          <w:bCs/>
          <w:sz w:val="28"/>
          <w:szCs w:val="28"/>
          <w:rtl/>
        </w:rPr>
        <w:t>מדינת ישראל</w:t>
      </w:r>
      <w:r>
        <w:rPr>
          <w:rFonts w:cs="FrankRuehl" w:hint="cs"/>
          <w:sz w:val="28"/>
          <w:szCs w:val="28"/>
          <w:rtl/>
        </w:rPr>
        <w:t xml:space="preserve">, מיום 24.12.13, מפי כב' השופט א' שוהם. </w:t>
      </w:r>
    </w:p>
    <w:p w14:paraId="68D83A2F" w14:textId="77777777" w:rsidR="00AC74AB" w:rsidRDefault="00AC74AB">
      <w:pPr>
        <w:spacing w:line="360" w:lineRule="auto"/>
        <w:jc w:val="both"/>
        <w:rPr>
          <w:rFonts w:cs="FrankRuehl"/>
          <w:sz w:val="28"/>
          <w:szCs w:val="28"/>
          <w:rtl/>
        </w:rPr>
      </w:pPr>
    </w:p>
    <w:p w14:paraId="4A3D0599" w14:textId="77777777" w:rsidR="00AC74AB" w:rsidRDefault="003E1F2C">
      <w:pPr>
        <w:spacing w:line="360" w:lineRule="auto"/>
        <w:jc w:val="both"/>
        <w:rPr>
          <w:rFonts w:cs="FrankRuehl"/>
          <w:sz w:val="28"/>
          <w:szCs w:val="28"/>
          <w:rtl/>
        </w:rPr>
      </w:pPr>
      <w:r>
        <w:rPr>
          <w:rFonts w:cs="FrankRuehl" w:hint="cs"/>
          <w:sz w:val="28"/>
          <w:szCs w:val="28"/>
          <w:rtl/>
        </w:rPr>
        <w:t xml:space="preserve">במסגרת ערעור על גזר דין בו הושתו 11 שנות מאסר בגין עבירות של חבלה בכוונה מחמירה ושהייה בלתי חוקית, ציין כב' השופט שוהם, כי ניתן גם להצביע על מקרים בהם הוטלו עונשים קלים יותר, אך, למרות זאת, אישר בית המשפט העליון את העונש שהושת על ידי בית המשפט המחוזי תוך מתן משקל בכורה לעיקרון הגמול וההלימה. </w:t>
      </w:r>
    </w:p>
    <w:p w14:paraId="220CA755" w14:textId="77777777" w:rsidR="00AC74AB" w:rsidRDefault="00AC74AB">
      <w:pPr>
        <w:spacing w:line="360" w:lineRule="auto"/>
        <w:jc w:val="both"/>
        <w:rPr>
          <w:rFonts w:cs="FrankRuehl"/>
          <w:sz w:val="28"/>
          <w:szCs w:val="28"/>
          <w:rtl/>
        </w:rPr>
      </w:pPr>
    </w:p>
    <w:p w14:paraId="5A7C3F2B" w14:textId="77777777" w:rsidR="00AC74AB" w:rsidRDefault="003E1F2C">
      <w:pPr>
        <w:spacing w:line="360" w:lineRule="auto"/>
        <w:jc w:val="both"/>
        <w:rPr>
          <w:rFonts w:cs="FrankRuehl"/>
          <w:sz w:val="28"/>
          <w:szCs w:val="28"/>
          <w:rtl/>
        </w:rPr>
      </w:pPr>
      <w:r>
        <w:rPr>
          <w:rFonts w:cs="FrankRuehl" w:hint="cs"/>
          <w:sz w:val="28"/>
          <w:szCs w:val="28"/>
          <w:rtl/>
        </w:rPr>
        <w:t xml:space="preserve">אשר לנסיבות הקשורות בביצוע העבירה (סעיף 40ט לתיקון 113), הרי שמדובר בתכנון מוקדם, שכן הנאשם הגיע למקום כשהוא נושא נשק, הנזק שהיה צפוי להיגרם מביצוע העבירות היה יכול להיות גדול. הנאשם היה יכול להימנע מהמעשה גם אם הייתה התגרות מסוימת מצד נפגע העבירה.  </w:t>
      </w:r>
    </w:p>
    <w:p w14:paraId="6B9045E9" w14:textId="77777777" w:rsidR="00AC74AB" w:rsidRDefault="00AC74AB">
      <w:pPr>
        <w:spacing w:line="360" w:lineRule="auto"/>
        <w:jc w:val="both"/>
        <w:rPr>
          <w:rFonts w:cs="FrankRuehl"/>
          <w:sz w:val="28"/>
          <w:szCs w:val="28"/>
          <w:rtl/>
        </w:rPr>
      </w:pPr>
    </w:p>
    <w:p w14:paraId="18D6EE10" w14:textId="77777777" w:rsidR="00AC74AB" w:rsidRDefault="003E1F2C">
      <w:pPr>
        <w:spacing w:line="360" w:lineRule="auto"/>
        <w:jc w:val="both"/>
        <w:rPr>
          <w:rFonts w:cs="FrankRuehl"/>
          <w:sz w:val="28"/>
          <w:szCs w:val="28"/>
          <w:rtl/>
        </w:rPr>
      </w:pPr>
      <w:r>
        <w:rPr>
          <w:rFonts w:cs="FrankRuehl" w:hint="cs"/>
          <w:sz w:val="28"/>
          <w:szCs w:val="28"/>
          <w:rtl/>
        </w:rPr>
        <w:t xml:space="preserve">אומנם הנזק שנגרם מביצוע העבירה לא היה רב, אך, כאמור, הנזק שהיה צפוי להיגרם היה יכול להיות פגיעה משמעותית בחיי אדם ובשלמות גופו. </w:t>
      </w:r>
    </w:p>
    <w:p w14:paraId="08779D61" w14:textId="77777777" w:rsidR="00AC74AB" w:rsidRDefault="00AC74AB">
      <w:pPr>
        <w:spacing w:line="360" w:lineRule="auto"/>
        <w:jc w:val="both"/>
        <w:rPr>
          <w:rFonts w:cs="FrankRuehl"/>
          <w:sz w:val="28"/>
          <w:szCs w:val="28"/>
          <w:rtl/>
        </w:rPr>
      </w:pPr>
    </w:p>
    <w:p w14:paraId="6FDD433D" w14:textId="77777777" w:rsidR="00AC74AB" w:rsidRDefault="003E1F2C">
      <w:pPr>
        <w:spacing w:line="360" w:lineRule="auto"/>
        <w:jc w:val="both"/>
        <w:rPr>
          <w:rFonts w:cs="FrankRuehl"/>
          <w:sz w:val="28"/>
          <w:szCs w:val="28"/>
          <w:rtl/>
        </w:rPr>
      </w:pPr>
      <w:r>
        <w:rPr>
          <w:rFonts w:cs="FrankRuehl" w:hint="cs"/>
          <w:sz w:val="28"/>
          <w:szCs w:val="28"/>
          <w:rtl/>
        </w:rPr>
        <w:t xml:space="preserve">כאמור, ב"כ הנאשם הציג גזרי דין בהם הוטלו עונשי מאסר לתקופות של עד שתי שנות מאסר וביקש ליתן משקל מסוים לסולחה שנערכה בין הצדדים. </w:t>
      </w:r>
    </w:p>
    <w:p w14:paraId="1669736C" w14:textId="77777777" w:rsidR="00AC74AB" w:rsidRDefault="00AC74AB">
      <w:pPr>
        <w:spacing w:line="360" w:lineRule="auto"/>
        <w:jc w:val="both"/>
        <w:rPr>
          <w:rFonts w:cs="FrankRuehl"/>
          <w:sz w:val="28"/>
          <w:szCs w:val="28"/>
          <w:rtl/>
        </w:rPr>
      </w:pPr>
    </w:p>
    <w:p w14:paraId="667DBE3D" w14:textId="77777777" w:rsidR="00AC74AB" w:rsidRDefault="003E1F2C">
      <w:pPr>
        <w:spacing w:line="360" w:lineRule="auto"/>
        <w:jc w:val="both"/>
        <w:rPr>
          <w:rFonts w:cs="FrankRuehl"/>
          <w:sz w:val="28"/>
          <w:szCs w:val="28"/>
          <w:rtl/>
        </w:rPr>
      </w:pPr>
      <w:r>
        <w:rPr>
          <w:rFonts w:cs="FrankRuehl" w:hint="cs"/>
          <w:sz w:val="28"/>
          <w:szCs w:val="28"/>
          <w:rtl/>
        </w:rPr>
        <w:t xml:space="preserve">במהלך העדויות שנשמעו בתיק העיקרי נטען על ידי המתלונן, כי אינו מעוניין בעטווה והכחיש כי סוכם על סולחה בין הצדדים. </w:t>
      </w:r>
    </w:p>
    <w:p w14:paraId="00F8195C" w14:textId="77777777" w:rsidR="00AC74AB" w:rsidRDefault="00AC74AB">
      <w:pPr>
        <w:spacing w:line="360" w:lineRule="auto"/>
        <w:jc w:val="both"/>
        <w:rPr>
          <w:rFonts w:cs="FrankRuehl"/>
          <w:sz w:val="28"/>
          <w:szCs w:val="28"/>
          <w:rtl/>
        </w:rPr>
      </w:pPr>
    </w:p>
    <w:p w14:paraId="48F180D0" w14:textId="77777777" w:rsidR="00AC74AB" w:rsidRDefault="003E1F2C">
      <w:pPr>
        <w:spacing w:line="360" w:lineRule="auto"/>
        <w:jc w:val="both"/>
        <w:rPr>
          <w:rFonts w:cs="FrankRuehl"/>
          <w:sz w:val="28"/>
          <w:szCs w:val="28"/>
          <w:rtl/>
        </w:rPr>
      </w:pPr>
      <w:r>
        <w:rPr>
          <w:rFonts w:cs="FrankRuehl" w:hint="cs"/>
          <w:sz w:val="28"/>
          <w:szCs w:val="28"/>
          <w:rtl/>
        </w:rPr>
        <w:t xml:space="preserve">בנסיבות אלו, אני קובע כי מתחם העונש ההולם לאירוע כולו נע בין 5 ל-10 שנות מאסר. </w:t>
      </w:r>
    </w:p>
    <w:p w14:paraId="73E793B6" w14:textId="77777777" w:rsidR="00AC74AB" w:rsidRDefault="00AC74AB">
      <w:pPr>
        <w:spacing w:line="360" w:lineRule="auto"/>
        <w:jc w:val="both"/>
        <w:rPr>
          <w:rFonts w:cs="FrankRuehl"/>
          <w:sz w:val="28"/>
          <w:szCs w:val="28"/>
          <w:rtl/>
        </w:rPr>
      </w:pPr>
    </w:p>
    <w:p w14:paraId="161AA4DB" w14:textId="77777777" w:rsidR="00AC74AB" w:rsidRDefault="003E1F2C">
      <w:pPr>
        <w:spacing w:line="360" w:lineRule="auto"/>
        <w:jc w:val="both"/>
        <w:rPr>
          <w:rFonts w:cs="FrankRuehl"/>
          <w:sz w:val="28"/>
          <w:szCs w:val="28"/>
          <w:rtl/>
        </w:rPr>
      </w:pPr>
      <w:r>
        <w:rPr>
          <w:rFonts w:cs="FrankRuehl" w:hint="cs"/>
          <w:sz w:val="28"/>
          <w:szCs w:val="28"/>
          <w:rtl/>
        </w:rPr>
        <w:t xml:space="preserve">עתה, על בית המשפט להתחשב, בתוך מתחם העונש ההולם, בנסיבות שאינן קשורות בביצוע העבירה. </w:t>
      </w:r>
    </w:p>
    <w:p w14:paraId="1733233A" w14:textId="77777777" w:rsidR="00AC74AB" w:rsidRDefault="00AC74AB">
      <w:pPr>
        <w:spacing w:line="360" w:lineRule="auto"/>
        <w:jc w:val="both"/>
        <w:rPr>
          <w:rFonts w:cs="FrankRuehl"/>
          <w:sz w:val="28"/>
          <w:szCs w:val="28"/>
          <w:rtl/>
        </w:rPr>
      </w:pPr>
    </w:p>
    <w:p w14:paraId="1FDB2E5B" w14:textId="77777777" w:rsidR="00AC74AB" w:rsidRDefault="003E1F2C">
      <w:pPr>
        <w:spacing w:line="360" w:lineRule="auto"/>
        <w:jc w:val="both"/>
        <w:rPr>
          <w:rFonts w:cs="FrankRuehl"/>
          <w:sz w:val="28"/>
          <w:szCs w:val="28"/>
          <w:rtl/>
        </w:rPr>
      </w:pPr>
      <w:r>
        <w:rPr>
          <w:rFonts w:cs="FrankRuehl" w:hint="cs"/>
          <w:sz w:val="28"/>
          <w:szCs w:val="28"/>
          <w:rtl/>
        </w:rPr>
        <w:t xml:space="preserve">לעניין זה טען ב"כ הנאשם, כי הנאשם נשוי ואב לחמישה ילדים וכי משפחתו תיפגע גם מהבחינה הכלכלית. </w:t>
      </w:r>
    </w:p>
    <w:p w14:paraId="368E1B12" w14:textId="77777777" w:rsidR="00AC74AB" w:rsidRDefault="00AC74AB">
      <w:pPr>
        <w:spacing w:line="360" w:lineRule="auto"/>
        <w:jc w:val="both"/>
        <w:rPr>
          <w:rFonts w:cs="FrankRuehl"/>
          <w:sz w:val="28"/>
          <w:szCs w:val="28"/>
          <w:rtl/>
        </w:rPr>
      </w:pPr>
    </w:p>
    <w:p w14:paraId="04B15C5B" w14:textId="77777777" w:rsidR="00AC74AB" w:rsidRDefault="003E1F2C">
      <w:pPr>
        <w:spacing w:line="360" w:lineRule="auto"/>
        <w:jc w:val="both"/>
        <w:rPr>
          <w:rFonts w:cs="FrankRuehl"/>
          <w:sz w:val="28"/>
          <w:szCs w:val="28"/>
          <w:rtl/>
        </w:rPr>
      </w:pPr>
      <w:r>
        <w:rPr>
          <w:rFonts w:cs="FrankRuehl" w:hint="cs"/>
          <w:sz w:val="28"/>
          <w:szCs w:val="28"/>
          <w:rtl/>
        </w:rPr>
        <w:t xml:space="preserve">יש להצטער, כי הנאשם לא חשב על משפחתו בטרם ביצע את העבירות הנוכחיות. הנאשם לא נטל אחריות על מעשיו ולא פיצה על הנזק שנגרם בשל מעשיו (אגב, גם בהסכם הסולחה, שנערך ושלא אושר על ידי המתלונן, לא נקבע כל מנגנון של פיצוי). </w:t>
      </w:r>
    </w:p>
    <w:p w14:paraId="2330C83B" w14:textId="77777777" w:rsidR="00AC74AB" w:rsidRDefault="00AC74AB">
      <w:pPr>
        <w:spacing w:line="360" w:lineRule="auto"/>
        <w:jc w:val="both"/>
        <w:rPr>
          <w:rFonts w:cs="FrankRuehl"/>
          <w:sz w:val="28"/>
          <w:szCs w:val="28"/>
          <w:rtl/>
        </w:rPr>
      </w:pPr>
    </w:p>
    <w:p w14:paraId="217E499D" w14:textId="77777777" w:rsidR="00AC74AB" w:rsidRDefault="003E1F2C">
      <w:pPr>
        <w:spacing w:line="360" w:lineRule="auto"/>
        <w:jc w:val="both"/>
        <w:rPr>
          <w:rFonts w:cs="FrankRuehl"/>
          <w:sz w:val="28"/>
          <w:szCs w:val="28"/>
          <w:rtl/>
        </w:rPr>
      </w:pPr>
      <w:r>
        <w:rPr>
          <w:rFonts w:cs="FrankRuehl" w:hint="cs"/>
          <w:sz w:val="28"/>
          <w:szCs w:val="28"/>
          <w:rtl/>
        </w:rPr>
        <w:t xml:space="preserve">לכך יש להוסיף את עברו הפלילי של הנאשם אשר ריצה מספר מאסרים בפועל, חלקם אף לתקופות  ממושכות. אומנם הרשעתו האחרונה של הנאשם הינה מיום 9.9.92, אך בין הרשעותיו הקודמות ניתן למצוא גם עבירות ביטחוניות, סיכון חיי אדם בנתיב תחבורה, התפרעות, ניסיון לתקיפת שוטר, מעשה מגונה שלא בכפייה ועוד. </w:t>
      </w:r>
    </w:p>
    <w:p w14:paraId="04DADF22" w14:textId="77777777" w:rsidR="00AC74AB" w:rsidRDefault="00AC74AB">
      <w:pPr>
        <w:spacing w:line="360" w:lineRule="auto"/>
        <w:jc w:val="both"/>
        <w:rPr>
          <w:rFonts w:cs="FrankRuehl"/>
          <w:sz w:val="28"/>
          <w:szCs w:val="28"/>
          <w:rtl/>
        </w:rPr>
      </w:pPr>
    </w:p>
    <w:p w14:paraId="5BAEDFAF" w14:textId="77777777" w:rsidR="00AC74AB" w:rsidRDefault="003E1F2C">
      <w:pPr>
        <w:spacing w:line="360" w:lineRule="auto"/>
        <w:jc w:val="both"/>
        <w:rPr>
          <w:rFonts w:cs="FrankRuehl"/>
          <w:sz w:val="28"/>
          <w:szCs w:val="28"/>
          <w:rtl/>
        </w:rPr>
      </w:pPr>
      <w:r>
        <w:rPr>
          <w:rFonts w:cs="FrankRuehl" w:hint="cs"/>
          <w:sz w:val="28"/>
          <w:szCs w:val="28"/>
          <w:rtl/>
        </w:rPr>
        <w:t>סוף דבר, אני גוזר על הנאשם עונש כדלקמן:</w:t>
      </w:r>
    </w:p>
    <w:p w14:paraId="5EC82F96" w14:textId="77777777" w:rsidR="00AC74AB" w:rsidRDefault="00AC74AB">
      <w:pPr>
        <w:spacing w:line="360" w:lineRule="auto"/>
        <w:jc w:val="both"/>
        <w:rPr>
          <w:rFonts w:cs="FrankRuehl"/>
          <w:sz w:val="28"/>
          <w:szCs w:val="28"/>
          <w:rtl/>
        </w:rPr>
      </w:pPr>
    </w:p>
    <w:p w14:paraId="40D686BA" w14:textId="77777777" w:rsidR="00AC74AB" w:rsidRDefault="003E1F2C">
      <w:pPr>
        <w:spacing w:line="360" w:lineRule="auto"/>
        <w:jc w:val="both"/>
        <w:rPr>
          <w:rFonts w:cs="FrankRuehl"/>
          <w:sz w:val="28"/>
          <w:szCs w:val="28"/>
          <w:rtl/>
        </w:rPr>
      </w:pPr>
      <w:r>
        <w:rPr>
          <w:rFonts w:cs="FrankRuehl" w:hint="cs"/>
          <w:sz w:val="28"/>
          <w:szCs w:val="28"/>
          <w:rtl/>
        </w:rPr>
        <w:t xml:space="preserve">מאסר לתקופה של 78 חודש, החל מיום מעצרו דהיינו מיום 22.7.13. </w:t>
      </w:r>
    </w:p>
    <w:p w14:paraId="00FB635E" w14:textId="77777777" w:rsidR="00AC74AB" w:rsidRDefault="003E1F2C">
      <w:pPr>
        <w:rPr>
          <w:rtl/>
        </w:rPr>
      </w:pPr>
      <w:r>
        <w:rPr>
          <w:rFonts w:hint="cs"/>
          <w:rtl/>
        </w:rPr>
        <w:t xml:space="preserve"> </w:t>
      </w:r>
    </w:p>
    <w:p w14:paraId="471FBFCD" w14:textId="77777777" w:rsidR="00AC74AB" w:rsidRDefault="00AC74AB">
      <w:pPr>
        <w:rPr>
          <w:rtl/>
        </w:rPr>
      </w:pPr>
    </w:p>
    <w:p w14:paraId="280DED39" w14:textId="77777777" w:rsidR="00AC74AB" w:rsidRDefault="003E1F2C">
      <w:pPr>
        <w:spacing w:line="360" w:lineRule="auto"/>
        <w:rPr>
          <w:rFonts w:cs="FrankRuehl"/>
          <w:sz w:val="28"/>
          <w:szCs w:val="28"/>
          <w:rtl/>
        </w:rPr>
      </w:pPr>
      <w:r>
        <w:rPr>
          <w:rFonts w:cs="FrankRuehl"/>
          <w:sz w:val="28"/>
          <w:szCs w:val="28"/>
          <w:rtl/>
        </w:rPr>
        <w:t xml:space="preserve">מאסר על תנאי למשך  </w:t>
      </w:r>
      <w:r>
        <w:rPr>
          <w:rFonts w:cs="FrankRuehl" w:hint="cs"/>
          <w:sz w:val="28"/>
          <w:szCs w:val="28"/>
          <w:rtl/>
        </w:rPr>
        <w:t xml:space="preserve">24 חודש </w:t>
      </w:r>
      <w:r>
        <w:rPr>
          <w:rFonts w:cs="FrankRuehl"/>
          <w:sz w:val="28"/>
          <w:szCs w:val="28"/>
          <w:rtl/>
        </w:rPr>
        <w:t>ואולם</w:t>
      </w:r>
      <w:r>
        <w:rPr>
          <w:rFonts w:cs="FrankRuehl" w:hint="cs"/>
          <w:sz w:val="28"/>
          <w:szCs w:val="28"/>
          <w:rtl/>
        </w:rPr>
        <w:t>,</w:t>
      </w:r>
      <w:r>
        <w:rPr>
          <w:rFonts w:cs="FrankRuehl"/>
          <w:sz w:val="28"/>
          <w:szCs w:val="28"/>
          <w:rtl/>
        </w:rPr>
        <w:t xml:space="preserve"> הנאשם לא ישא </w:t>
      </w:r>
      <w:r>
        <w:rPr>
          <w:rFonts w:cs="FrankRuehl" w:hint="cs"/>
          <w:sz w:val="28"/>
          <w:szCs w:val="28"/>
          <w:rtl/>
        </w:rPr>
        <w:t xml:space="preserve"> </w:t>
      </w:r>
      <w:r>
        <w:rPr>
          <w:rFonts w:cs="FrankRuehl"/>
          <w:sz w:val="28"/>
          <w:szCs w:val="28"/>
          <w:rtl/>
        </w:rPr>
        <w:t xml:space="preserve">בעונש זה אלא אם כן יעבור תוך תקופה של </w:t>
      </w:r>
      <w:r>
        <w:rPr>
          <w:rFonts w:cs="FrankRuehl" w:hint="cs"/>
          <w:sz w:val="28"/>
          <w:szCs w:val="28"/>
          <w:rtl/>
        </w:rPr>
        <w:t xml:space="preserve">שנתיים מיום שחרורו </w:t>
      </w:r>
      <w:r>
        <w:rPr>
          <w:rFonts w:cs="FrankRuehl"/>
          <w:sz w:val="28"/>
          <w:szCs w:val="28"/>
          <w:rtl/>
        </w:rPr>
        <w:t xml:space="preserve">על עבירה של </w:t>
      </w:r>
      <w:r>
        <w:rPr>
          <w:rFonts w:cs="FrankRuehl" w:hint="cs"/>
          <w:sz w:val="28"/>
          <w:szCs w:val="28"/>
          <w:rtl/>
        </w:rPr>
        <w:t xml:space="preserve">חבלה בכוונה מחמירה </w:t>
      </w:r>
      <w:r>
        <w:rPr>
          <w:rFonts w:cs="FrankRuehl"/>
          <w:sz w:val="28"/>
          <w:szCs w:val="28"/>
          <w:rtl/>
        </w:rPr>
        <w:t>ויורשע עליה.</w:t>
      </w:r>
    </w:p>
    <w:p w14:paraId="3952692B" w14:textId="77777777" w:rsidR="00AC74AB" w:rsidRDefault="00AC74AB">
      <w:pPr>
        <w:spacing w:line="360" w:lineRule="auto"/>
        <w:rPr>
          <w:rFonts w:cs="FrankRuehl"/>
          <w:sz w:val="28"/>
          <w:szCs w:val="28"/>
          <w:rtl/>
        </w:rPr>
      </w:pPr>
    </w:p>
    <w:p w14:paraId="299958B6" w14:textId="77777777" w:rsidR="00AC74AB" w:rsidRDefault="003E1F2C">
      <w:pPr>
        <w:spacing w:line="360" w:lineRule="auto"/>
        <w:rPr>
          <w:rFonts w:cs="FrankRuehl"/>
          <w:sz w:val="28"/>
          <w:szCs w:val="28"/>
          <w:rtl/>
        </w:rPr>
      </w:pPr>
      <w:r>
        <w:rPr>
          <w:rFonts w:cs="FrankRuehl"/>
          <w:sz w:val="28"/>
          <w:szCs w:val="28"/>
          <w:rtl/>
        </w:rPr>
        <w:t xml:space="preserve">מאסר על תנאי למשך  </w:t>
      </w:r>
      <w:r>
        <w:rPr>
          <w:rFonts w:cs="FrankRuehl" w:hint="cs"/>
          <w:sz w:val="28"/>
          <w:szCs w:val="28"/>
          <w:rtl/>
        </w:rPr>
        <w:t xml:space="preserve">9 חודשים </w:t>
      </w:r>
      <w:r>
        <w:rPr>
          <w:rFonts w:cs="FrankRuehl"/>
          <w:sz w:val="28"/>
          <w:szCs w:val="28"/>
          <w:rtl/>
        </w:rPr>
        <w:t>ואולם</w:t>
      </w:r>
      <w:r>
        <w:rPr>
          <w:rFonts w:cs="FrankRuehl" w:hint="cs"/>
          <w:sz w:val="28"/>
          <w:szCs w:val="28"/>
          <w:rtl/>
        </w:rPr>
        <w:t>,</w:t>
      </w:r>
      <w:r>
        <w:rPr>
          <w:rFonts w:cs="FrankRuehl"/>
          <w:sz w:val="28"/>
          <w:szCs w:val="28"/>
          <w:rtl/>
        </w:rPr>
        <w:t xml:space="preserve"> הנאשם לא ישא </w:t>
      </w:r>
      <w:r>
        <w:rPr>
          <w:rFonts w:cs="FrankRuehl" w:hint="cs"/>
          <w:sz w:val="28"/>
          <w:szCs w:val="28"/>
          <w:rtl/>
        </w:rPr>
        <w:t xml:space="preserve"> </w:t>
      </w:r>
      <w:r>
        <w:rPr>
          <w:rFonts w:cs="FrankRuehl"/>
          <w:sz w:val="28"/>
          <w:szCs w:val="28"/>
          <w:rtl/>
        </w:rPr>
        <w:t xml:space="preserve">בעונש זה אלא אם כן יעבור תוך תקופה של </w:t>
      </w:r>
      <w:r>
        <w:rPr>
          <w:rFonts w:cs="FrankRuehl" w:hint="cs"/>
          <w:sz w:val="28"/>
          <w:szCs w:val="28"/>
          <w:rtl/>
        </w:rPr>
        <w:t xml:space="preserve">שנתיים מיום שחרורו </w:t>
      </w:r>
      <w:r>
        <w:rPr>
          <w:rFonts w:cs="FrankRuehl"/>
          <w:sz w:val="28"/>
          <w:szCs w:val="28"/>
          <w:rtl/>
        </w:rPr>
        <w:t xml:space="preserve">על </w:t>
      </w:r>
      <w:r>
        <w:rPr>
          <w:rFonts w:cs="FrankRuehl" w:hint="cs"/>
          <w:sz w:val="28"/>
          <w:szCs w:val="28"/>
          <w:rtl/>
        </w:rPr>
        <w:t xml:space="preserve">עבירות בנשק, או ירי באזור מגורים  </w:t>
      </w:r>
      <w:r>
        <w:rPr>
          <w:rFonts w:cs="FrankRuehl"/>
          <w:sz w:val="28"/>
          <w:szCs w:val="28"/>
          <w:rtl/>
        </w:rPr>
        <w:t>ויורשע עליה.</w:t>
      </w:r>
    </w:p>
    <w:p w14:paraId="7AECF988" w14:textId="77777777" w:rsidR="00AC74AB" w:rsidRDefault="00AC74AB">
      <w:pPr>
        <w:spacing w:line="360" w:lineRule="auto"/>
        <w:rPr>
          <w:rFonts w:cs="FrankRuehl"/>
          <w:sz w:val="28"/>
          <w:szCs w:val="28"/>
          <w:rtl/>
        </w:rPr>
      </w:pPr>
    </w:p>
    <w:p w14:paraId="702DD82E" w14:textId="77777777" w:rsidR="00AC74AB" w:rsidRDefault="003E1F2C">
      <w:pPr>
        <w:spacing w:line="360" w:lineRule="auto"/>
        <w:rPr>
          <w:rFonts w:cs="FrankRuehl"/>
          <w:sz w:val="28"/>
          <w:szCs w:val="28"/>
          <w:rtl/>
        </w:rPr>
      </w:pPr>
      <w:r>
        <w:rPr>
          <w:rFonts w:cs="FrankRuehl" w:hint="cs"/>
          <w:sz w:val="28"/>
          <w:szCs w:val="28"/>
          <w:rtl/>
        </w:rPr>
        <w:t xml:space="preserve">אני מחייב את הנאשם לפצות את בלאל דענה בסכום של 5,000 ₪ ואת נאדר דענה בסכום של 10,000 ₪. </w:t>
      </w:r>
    </w:p>
    <w:p w14:paraId="29CB4DA1" w14:textId="77777777" w:rsidR="00AC74AB" w:rsidRDefault="00AC74AB">
      <w:pPr>
        <w:spacing w:line="360" w:lineRule="auto"/>
        <w:rPr>
          <w:rFonts w:cs="FrankRuehl"/>
          <w:sz w:val="28"/>
          <w:szCs w:val="28"/>
          <w:rtl/>
        </w:rPr>
      </w:pPr>
    </w:p>
    <w:p w14:paraId="776DE922" w14:textId="77777777" w:rsidR="00AC74AB" w:rsidRDefault="003E1F2C">
      <w:pPr>
        <w:spacing w:line="360" w:lineRule="auto"/>
        <w:rPr>
          <w:rFonts w:cs="FrankRuehl"/>
          <w:sz w:val="28"/>
          <w:szCs w:val="28"/>
          <w:rtl/>
        </w:rPr>
      </w:pPr>
      <w:r>
        <w:rPr>
          <w:rFonts w:cs="FrankRuehl" w:hint="cs"/>
          <w:sz w:val="28"/>
          <w:szCs w:val="28"/>
          <w:rtl/>
        </w:rPr>
        <w:t xml:space="preserve">הצדדים רשאים </w:t>
      </w:r>
      <w:r>
        <w:rPr>
          <w:rFonts w:cs="FrankRuehl"/>
          <w:sz w:val="28"/>
          <w:szCs w:val="28"/>
          <w:rtl/>
        </w:rPr>
        <w:t xml:space="preserve">לערער על פסק הדין בפני בית המשפט </w:t>
      </w:r>
      <w:r>
        <w:rPr>
          <w:rFonts w:cs="FrankRuehl" w:hint="cs"/>
          <w:sz w:val="28"/>
          <w:szCs w:val="28"/>
          <w:rtl/>
        </w:rPr>
        <w:t xml:space="preserve">העליון </w:t>
      </w:r>
      <w:r>
        <w:rPr>
          <w:rFonts w:cs="FrankRuehl"/>
          <w:sz w:val="28"/>
          <w:szCs w:val="28"/>
          <w:rtl/>
        </w:rPr>
        <w:t>תוך 45 יום מהיום.</w:t>
      </w:r>
    </w:p>
    <w:p w14:paraId="4E95C0C6" w14:textId="77777777" w:rsidR="00AC74AB" w:rsidRDefault="00AC74AB">
      <w:pPr>
        <w:rPr>
          <w:rFonts w:cs="FrankRuehl"/>
          <w:sz w:val="28"/>
          <w:szCs w:val="28"/>
          <w:rtl/>
        </w:rPr>
      </w:pPr>
      <w:bookmarkStart w:id="8" w:name="_GoBack"/>
      <w:bookmarkEnd w:id="8"/>
    </w:p>
    <w:p w14:paraId="62115CD8" w14:textId="77777777" w:rsidR="00AC74AB" w:rsidRPr="003E1F2C" w:rsidRDefault="003E1F2C">
      <w:pPr>
        <w:rPr>
          <w:rFonts w:cs="FrankRuehl"/>
          <w:color w:val="FFFFFF"/>
          <w:sz w:val="2"/>
          <w:szCs w:val="2"/>
          <w:rtl/>
        </w:rPr>
      </w:pPr>
      <w:r w:rsidRPr="003E1F2C">
        <w:rPr>
          <w:rFonts w:cs="FrankRuehl"/>
          <w:color w:val="FFFFFF"/>
          <w:sz w:val="2"/>
          <w:szCs w:val="2"/>
          <w:rtl/>
        </w:rPr>
        <w:t>5129371</w:t>
      </w:r>
    </w:p>
    <w:p w14:paraId="4F23C068" w14:textId="77777777" w:rsidR="00AC74AB" w:rsidRDefault="003E1F2C">
      <w:pPr>
        <w:rPr>
          <w:rFonts w:cs="FrankRuehl"/>
          <w:sz w:val="32"/>
          <w:szCs w:val="32"/>
          <w:rtl/>
        </w:rPr>
      </w:pPr>
      <w:r w:rsidRPr="003E1F2C">
        <w:rPr>
          <w:rFonts w:ascii="Arial" w:hAnsi="Arial" w:cs="FrankRuehl"/>
          <w:b/>
          <w:bCs/>
          <w:color w:val="FFFFFF"/>
          <w:sz w:val="2"/>
          <w:szCs w:val="2"/>
          <w:rtl/>
        </w:rPr>
        <w:t>54678313</w:t>
      </w:r>
      <w:r>
        <w:rPr>
          <w:rFonts w:ascii="Arial" w:hAnsi="Arial" w:cs="FrankRuehl"/>
          <w:b/>
          <w:bCs/>
          <w:sz w:val="28"/>
          <w:szCs w:val="28"/>
          <w:rtl/>
        </w:rPr>
        <w:t xml:space="preserve">ניתן היום,  ז' אלול תשע"ד, 02 ספטמבר 2014, במעמד הצדדים. </w:t>
      </w:r>
    </w:p>
    <w:p w14:paraId="29992BE0" w14:textId="77777777" w:rsidR="00AC74AB" w:rsidRDefault="00AC74AB">
      <w:pPr>
        <w:jc w:val="right"/>
      </w:pPr>
    </w:p>
    <w:p w14:paraId="7434FEE6" w14:textId="77777777" w:rsidR="00AC74AB" w:rsidRDefault="00AC74AB">
      <w:pPr>
        <w:jc w:val="right"/>
        <w:rPr>
          <w:rFonts w:ascii="Arial" w:hAnsi="Arial" w:cs="FrankRuehl"/>
          <w:sz w:val="28"/>
          <w:szCs w:val="28"/>
          <w:rtl/>
        </w:rPr>
      </w:pPr>
    </w:p>
    <w:p w14:paraId="3023A52F" w14:textId="77777777" w:rsidR="00AC74AB" w:rsidRDefault="00AC74AB">
      <w:pPr>
        <w:rPr>
          <w:rFonts w:cs="FrankRuehl"/>
          <w:sz w:val="28"/>
          <w:szCs w:val="28"/>
          <w:rtl/>
        </w:rPr>
      </w:pPr>
    </w:p>
    <w:p w14:paraId="6284B7A4" w14:textId="77777777" w:rsidR="00AC74AB" w:rsidRPr="00174E1B" w:rsidRDefault="00174E1B">
      <w:pPr>
        <w:pStyle w:val="a3"/>
        <w:jc w:val="center"/>
        <w:rPr>
          <w:color w:val="FFFFFF"/>
          <w:sz w:val="2"/>
          <w:szCs w:val="2"/>
          <w:rtl/>
        </w:rPr>
      </w:pPr>
      <w:r w:rsidRPr="00174E1B">
        <w:rPr>
          <w:color w:val="FFFFFF"/>
          <w:sz w:val="2"/>
          <w:szCs w:val="2"/>
          <w:rtl/>
        </w:rPr>
        <w:t>5129371</w:t>
      </w:r>
    </w:p>
    <w:p w14:paraId="1885F7EE" w14:textId="77777777" w:rsidR="003E1F2C" w:rsidRPr="00174E1B" w:rsidRDefault="00174E1B" w:rsidP="003E1F2C">
      <w:pPr>
        <w:keepNext/>
        <w:rPr>
          <w:rFonts w:ascii="David" w:hAnsi="David"/>
          <w:color w:val="FFFFFF"/>
          <w:sz w:val="2"/>
          <w:szCs w:val="2"/>
          <w:rtl/>
        </w:rPr>
      </w:pPr>
      <w:r w:rsidRPr="00174E1B">
        <w:rPr>
          <w:rFonts w:ascii="David" w:hAnsi="David"/>
          <w:color w:val="FFFFFF"/>
          <w:sz w:val="2"/>
          <w:szCs w:val="2"/>
          <w:rtl/>
        </w:rPr>
        <w:t>54678313</w:t>
      </w:r>
    </w:p>
    <w:p w14:paraId="668527C5" w14:textId="77777777" w:rsidR="003E1F2C" w:rsidRDefault="003E1F2C" w:rsidP="003E1F2C">
      <w:r w:rsidRPr="003E1F2C">
        <w:rPr>
          <w:color w:val="000000"/>
          <w:rtl/>
        </w:rPr>
        <w:t>נוסח מסמך זה כפוף לשינויי ניסוח ועריכה</w:t>
      </w:r>
    </w:p>
    <w:p w14:paraId="1D53A741" w14:textId="77777777" w:rsidR="003E1F2C" w:rsidRDefault="003E1F2C" w:rsidP="003E1F2C">
      <w:pPr>
        <w:rPr>
          <w:rtl/>
        </w:rPr>
      </w:pPr>
    </w:p>
    <w:p w14:paraId="2D4437AA" w14:textId="77777777" w:rsidR="003E1F2C" w:rsidRDefault="003E1F2C" w:rsidP="003E1F2C">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D184070" w14:textId="77777777" w:rsidR="00174E1B" w:rsidRPr="00174E1B" w:rsidRDefault="00174E1B" w:rsidP="00174E1B">
      <w:pPr>
        <w:keepNext/>
        <w:rPr>
          <w:rFonts w:ascii="David" w:hAnsi="David"/>
          <w:color w:val="000000"/>
          <w:sz w:val="22"/>
          <w:szCs w:val="22"/>
          <w:rtl/>
        </w:rPr>
      </w:pPr>
    </w:p>
    <w:p w14:paraId="166CCDB3" w14:textId="77777777" w:rsidR="00174E1B" w:rsidRPr="00174E1B" w:rsidRDefault="00174E1B" w:rsidP="00174E1B">
      <w:pPr>
        <w:keepNext/>
        <w:rPr>
          <w:rFonts w:ascii="David" w:hAnsi="David"/>
          <w:color w:val="000000"/>
          <w:sz w:val="22"/>
          <w:szCs w:val="22"/>
          <w:rtl/>
        </w:rPr>
      </w:pPr>
      <w:r w:rsidRPr="00174E1B">
        <w:rPr>
          <w:rFonts w:ascii="David" w:hAnsi="David"/>
          <w:color w:val="000000"/>
          <w:sz w:val="22"/>
          <w:szCs w:val="22"/>
          <w:rtl/>
        </w:rPr>
        <w:t>אמנון כהן 54678313-/</w:t>
      </w:r>
    </w:p>
    <w:sectPr w:rsidR="00174E1B" w:rsidRPr="00174E1B" w:rsidSect="00174E1B">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D2C7D" w14:textId="77777777" w:rsidR="00683E6B" w:rsidRPr="009F30B3" w:rsidRDefault="00683E6B">
      <w:pPr>
        <w:rPr>
          <w:rFonts w:cs="Arial"/>
          <w:szCs w:val="20"/>
        </w:rPr>
      </w:pPr>
      <w:r>
        <w:separator/>
      </w:r>
    </w:p>
  </w:endnote>
  <w:endnote w:type="continuationSeparator" w:id="0">
    <w:p w14:paraId="0CB497AF" w14:textId="77777777" w:rsidR="00683E6B" w:rsidRPr="009F30B3" w:rsidRDefault="00683E6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EF4C3" w14:textId="77777777" w:rsidR="00174E1B" w:rsidRDefault="00174E1B" w:rsidP="00174E1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20D3E7" w14:textId="77777777" w:rsidR="00AC74AB" w:rsidRPr="00174E1B" w:rsidRDefault="00174E1B" w:rsidP="00174E1B">
    <w:pPr>
      <w:pStyle w:val="a4"/>
      <w:pBdr>
        <w:top w:val="single" w:sz="4" w:space="1" w:color="auto"/>
        <w:between w:val="single" w:sz="4" w:space="0" w:color="auto"/>
      </w:pBdr>
      <w:spacing w:after="60"/>
      <w:jc w:val="center"/>
      <w:rPr>
        <w:rFonts w:ascii="FrankRuehl" w:hAnsi="FrankRuehl" w:cs="FrankRuehl"/>
        <w:color w:val="000000"/>
      </w:rPr>
    </w:pPr>
    <w:r w:rsidRPr="00174E1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CA2B8" w14:textId="77777777" w:rsidR="00174E1B" w:rsidRDefault="00174E1B" w:rsidP="00174E1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2000">
      <w:rPr>
        <w:rFonts w:ascii="FrankRuehl" w:hAnsi="FrankRuehl" w:cs="FrankRuehl"/>
        <w:noProof/>
        <w:rtl/>
      </w:rPr>
      <w:t>1</w:t>
    </w:r>
    <w:r>
      <w:rPr>
        <w:rFonts w:ascii="FrankRuehl" w:hAnsi="FrankRuehl" w:cs="FrankRuehl"/>
        <w:rtl/>
      </w:rPr>
      <w:fldChar w:fldCharType="end"/>
    </w:r>
  </w:p>
  <w:p w14:paraId="1F7B55F8" w14:textId="77777777" w:rsidR="00AC74AB" w:rsidRPr="00174E1B" w:rsidRDefault="00174E1B" w:rsidP="00174E1B">
    <w:pPr>
      <w:pStyle w:val="a4"/>
      <w:pBdr>
        <w:top w:val="single" w:sz="4" w:space="1" w:color="auto"/>
        <w:between w:val="single" w:sz="4" w:space="0" w:color="auto"/>
      </w:pBdr>
      <w:spacing w:after="60"/>
      <w:jc w:val="center"/>
      <w:rPr>
        <w:rFonts w:ascii="FrankRuehl" w:hAnsi="FrankRuehl" w:cs="FrankRuehl"/>
        <w:color w:val="000000"/>
      </w:rPr>
    </w:pPr>
    <w:r w:rsidRPr="00174E1B">
      <w:rPr>
        <w:rFonts w:ascii="FrankRuehl" w:hAnsi="FrankRuehl" w:cs="FrankRuehl"/>
        <w:color w:val="000000"/>
      </w:rPr>
      <w:pict w14:anchorId="59DB3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21644" w14:textId="77777777" w:rsidR="00683E6B" w:rsidRPr="009F30B3" w:rsidRDefault="00683E6B">
      <w:pPr>
        <w:rPr>
          <w:rFonts w:cs="Arial"/>
          <w:szCs w:val="20"/>
        </w:rPr>
      </w:pPr>
      <w:r>
        <w:separator/>
      </w:r>
    </w:p>
  </w:footnote>
  <w:footnote w:type="continuationSeparator" w:id="0">
    <w:p w14:paraId="4813AF55" w14:textId="77777777" w:rsidR="00683E6B" w:rsidRPr="009F30B3" w:rsidRDefault="00683E6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48548" w14:textId="77777777" w:rsidR="003E1F2C" w:rsidRPr="00174E1B" w:rsidRDefault="00174E1B" w:rsidP="00174E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51198-07-13</w:t>
    </w:r>
    <w:r>
      <w:rPr>
        <w:rFonts w:ascii="David" w:hAnsi="David"/>
        <w:color w:val="000000"/>
        <w:sz w:val="22"/>
        <w:szCs w:val="22"/>
        <w:rtl/>
      </w:rPr>
      <w:tab/>
      <w:t xml:space="preserve"> מדינת ישראל נ' רוחי דענה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8701" w14:textId="77777777" w:rsidR="003E1F2C" w:rsidRPr="00174E1B" w:rsidRDefault="00174E1B" w:rsidP="00174E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51198-07-13</w:t>
    </w:r>
    <w:r>
      <w:rPr>
        <w:rFonts w:ascii="David" w:hAnsi="David"/>
        <w:color w:val="000000"/>
        <w:sz w:val="22"/>
        <w:szCs w:val="22"/>
        <w:rtl/>
      </w:rPr>
      <w:tab/>
      <w:t xml:space="preserve"> מדינת ישראל נ' רוחי דענה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74AB"/>
    <w:rsid w:val="00174E1B"/>
    <w:rsid w:val="00191B7D"/>
    <w:rsid w:val="003E1F2C"/>
    <w:rsid w:val="00683E6B"/>
    <w:rsid w:val="00AC74AB"/>
    <w:rsid w:val="00AD7563"/>
    <w:rsid w:val="00B720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D439EE"/>
  <w15:chartTrackingRefBased/>
  <w15:docId w15:val="{91B587E3-291B-40BD-AD22-88929C4F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4A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74AB"/>
    <w:pPr>
      <w:tabs>
        <w:tab w:val="center" w:pos="4153"/>
        <w:tab w:val="right" w:pos="8306"/>
      </w:tabs>
    </w:pPr>
  </w:style>
  <w:style w:type="paragraph" w:styleId="a4">
    <w:name w:val="footer"/>
    <w:basedOn w:val="a"/>
    <w:rsid w:val="00AC74AB"/>
    <w:pPr>
      <w:tabs>
        <w:tab w:val="center" w:pos="4153"/>
        <w:tab w:val="right" w:pos="8306"/>
      </w:tabs>
    </w:pPr>
  </w:style>
  <w:style w:type="character" w:styleId="a5">
    <w:name w:val="page number"/>
    <w:basedOn w:val="a0"/>
    <w:rsid w:val="00AC74AB"/>
  </w:style>
  <w:style w:type="character" w:styleId="a6">
    <w:name w:val="line number"/>
    <w:basedOn w:val="a0"/>
    <w:rsid w:val="00AC74AB"/>
  </w:style>
  <w:style w:type="character" w:styleId="Hyperlink">
    <w:name w:val="Hyperlink"/>
    <w:basedOn w:val="a0"/>
    <w:rsid w:val="003E1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29.a.1." TargetMode="External"/><Relationship Id="rId13" Type="http://schemas.openxmlformats.org/officeDocument/2006/relationships/hyperlink" Target="http://www.nevo.co.il/law/70301/329.a.1."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581334"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fontTable" Target="fontTable.xml"/><Relationship Id="rId10" Type="http://schemas.openxmlformats.org/officeDocument/2006/relationships/hyperlink" Target="http://www.nevo.co.il/law/70301/340a"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29.a.2." TargetMode="External"/><Relationship Id="rId14" Type="http://schemas.openxmlformats.org/officeDocument/2006/relationships/hyperlink" Target="http://www.nevo.co.il/law/70301/329.a.2."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5035</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6029</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3801203</vt:i4>
      </vt:variant>
      <vt:variant>
        <vt:i4>33</vt:i4>
      </vt:variant>
      <vt:variant>
        <vt:i4>0</vt:i4>
      </vt:variant>
      <vt:variant>
        <vt:i4>5</vt:i4>
      </vt:variant>
      <vt:variant>
        <vt:lpwstr>http://www.nevo.co.il/case/5581334</vt:lpwstr>
      </vt:variant>
      <vt:variant>
        <vt:lpwstr/>
      </vt:variant>
      <vt:variant>
        <vt:i4>7995492</vt:i4>
      </vt:variant>
      <vt:variant>
        <vt:i4>30</vt:i4>
      </vt:variant>
      <vt:variant>
        <vt:i4>0</vt:i4>
      </vt:variant>
      <vt:variant>
        <vt:i4>5</vt:i4>
      </vt:variant>
      <vt:variant>
        <vt:lpwstr>http://www.nevo.co.il/law/70301</vt:lpwstr>
      </vt:variant>
      <vt:variant>
        <vt:lpwstr/>
      </vt:variant>
      <vt:variant>
        <vt:i4>86</vt:i4>
      </vt:variant>
      <vt:variant>
        <vt:i4>27</vt:i4>
      </vt:variant>
      <vt:variant>
        <vt:i4>0</vt:i4>
      </vt:variant>
      <vt:variant>
        <vt:i4>5</vt:i4>
      </vt:variant>
      <vt:variant>
        <vt:lpwstr>http://www.nevo.co.il/law/70301/340a</vt:lpwstr>
      </vt:variant>
      <vt:variant>
        <vt:lpwstr/>
      </vt:variant>
      <vt:variant>
        <vt:i4>4784140</vt:i4>
      </vt:variant>
      <vt:variant>
        <vt:i4>24</vt:i4>
      </vt:variant>
      <vt:variant>
        <vt:i4>0</vt:i4>
      </vt:variant>
      <vt:variant>
        <vt:i4>5</vt:i4>
      </vt:variant>
      <vt:variant>
        <vt:lpwstr>http://www.nevo.co.il/law/70301/329.a.2.</vt:lpwstr>
      </vt:variant>
      <vt:variant>
        <vt:lpwstr/>
      </vt:variant>
      <vt:variant>
        <vt:i4>4784143</vt:i4>
      </vt:variant>
      <vt:variant>
        <vt:i4>21</vt:i4>
      </vt:variant>
      <vt:variant>
        <vt:i4>0</vt:i4>
      </vt:variant>
      <vt:variant>
        <vt:i4>5</vt:i4>
      </vt:variant>
      <vt:variant>
        <vt:lpwstr>http://www.nevo.co.il/law/70301/329.a.1.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http://www.nevo.co.il/law/70301/144.b.</vt:lpwstr>
      </vt:variant>
      <vt:variant>
        <vt:lpwstr/>
      </vt:variant>
      <vt:variant>
        <vt:i4>86</vt:i4>
      </vt:variant>
      <vt:variant>
        <vt:i4>12</vt:i4>
      </vt:variant>
      <vt:variant>
        <vt:i4>0</vt:i4>
      </vt:variant>
      <vt:variant>
        <vt:i4>5</vt:i4>
      </vt:variant>
      <vt:variant>
        <vt:lpwstr>http://www.nevo.co.il/law/70301/340a</vt:lpwstr>
      </vt:variant>
      <vt:variant>
        <vt:lpwstr/>
      </vt:variant>
      <vt:variant>
        <vt:i4>4784140</vt:i4>
      </vt:variant>
      <vt:variant>
        <vt:i4>9</vt:i4>
      </vt:variant>
      <vt:variant>
        <vt:i4>0</vt:i4>
      </vt:variant>
      <vt:variant>
        <vt:i4>5</vt:i4>
      </vt:variant>
      <vt:variant>
        <vt:lpwstr>http://www.nevo.co.il/law/70301/329.a.2.</vt:lpwstr>
      </vt:variant>
      <vt:variant>
        <vt:lpwstr/>
      </vt:variant>
      <vt:variant>
        <vt:i4>4784143</vt:i4>
      </vt:variant>
      <vt:variant>
        <vt:i4>6</vt:i4>
      </vt:variant>
      <vt:variant>
        <vt:i4>0</vt:i4>
      </vt:variant>
      <vt:variant>
        <vt:i4>5</vt:i4>
      </vt:variant>
      <vt:variant>
        <vt:lpwstr>http://www.nevo.co.il/law/70301/329.a.1.</vt:lpwstr>
      </vt:variant>
      <vt:variant>
        <vt:lpwstr/>
      </vt:variant>
      <vt:variant>
        <vt:i4>6357042</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51198</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רוחי דענה</vt:lpwstr>
  </property>
  <property fmtid="{D5CDD505-2E9C-101B-9397-08002B2CF9AE}" pid="10" name="LAWYER">
    <vt:lpwstr>יפעת גפן;עיסא מוחמדיה</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20140902</vt:lpwstr>
  </property>
  <property fmtid="{D5CDD505-2E9C-101B-9397-08002B2CF9AE}" pid="14" name="TYPE_N_DATE">
    <vt:lpwstr>39020140902</vt:lpwstr>
  </property>
  <property fmtid="{D5CDD505-2E9C-101B-9397-08002B2CF9AE}" pid="15" name="CASESLISTTMP1">
    <vt:lpwstr>5581334</vt:lpwstr>
  </property>
  <property fmtid="{D5CDD505-2E9C-101B-9397-08002B2CF9AE}" pid="16" name="WORDNUMPAGES">
    <vt:lpwstr>5</vt:lpwstr>
  </property>
  <property fmtid="{D5CDD505-2E9C-101B-9397-08002B2CF9AE}" pid="17" name="TYPE_ABS_DATE">
    <vt:lpwstr>390020140902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70301/144.b.;329.a.1.;329.a.2.;340a</vt:lpwstr>
  </property>
</Properties>
</file>