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6"/>
        <w:gridCol w:w="3675"/>
      </w:tblGrid>
      <w:tr w:rsidR="00950F57" w:rsidRPr="00E44A9F" w14:paraId="7ECCCF39" w14:textId="77777777">
        <w:trPr>
          <w:trHeight w:hRule="exact" w:val="418"/>
          <w:jc w:val="center"/>
        </w:trPr>
        <w:tc>
          <w:tcPr>
            <w:tcW w:w="8721" w:type="dxa"/>
            <w:gridSpan w:val="2"/>
          </w:tcPr>
          <w:p w14:paraId="0A552082" w14:textId="77777777" w:rsidR="00950F57" w:rsidRPr="00E44A9F" w:rsidRDefault="00E44A9F">
            <w:pPr>
              <w:pStyle w:val="a3"/>
              <w:jc w:val="center"/>
              <w:rPr>
                <w:rFonts w:ascii="Tahoma" w:hAnsi="Tahoma" w:cs="Tahoma"/>
                <w:color w:val="000080"/>
                <w:rtl/>
              </w:rPr>
            </w:pPr>
            <w:bookmarkStart w:id="0" w:name="LastJudge"/>
            <w:r w:rsidRPr="00E44A9F">
              <w:rPr>
                <w:rFonts w:ascii="Tahoma" w:hAnsi="Tahoma" w:cs="Tahoma"/>
                <w:b/>
                <w:bCs/>
                <w:color w:val="000080"/>
                <w:rtl/>
              </w:rPr>
              <w:t>בית המשפט המחוזי בתל אביב - יפו</w:t>
            </w:r>
          </w:p>
        </w:tc>
      </w:tr>
      <w:tr w:rsidR="00950F57" w:rsidRPr="00E44A9F" w14:paraId="39DFC920" w14:textId="77777777">
        <w:trPr>
          <w:trHeight w:val="337"/>
          <w:jc w:val="center"/>
        </w:trPr>
        <w:tc>
          <w:tcPr>
            <w:tcW w:w="5046" w:type="dxa"/>
          </w:tcPr>
          <w:p w14:paraId="1236C029" w14:textId="77777777" w:rsidR="00950F57" w:rsidRPr="00E44A9F" w:rsidRDefault="00E44A9F">
            <w:pPr>
              <w:rPr>
                <w:rFonts w:cs="FrankRuehl"/>
                <w:sz w:val="28"/>
                <w:szCs w:val="28"/>
                <w:rtl/>
              </w:rPr>
            </w:pPr>
            <w:r w:rsidRPr="00E44A9F">
              <w:rPr>
                <w:rFonts w:cs="FrankRuehl"/>
                <w:sz w:val="28"/>
                <w:szCs w:val="28"/>
                <w:rtl/>
              </w:rPr>
              <w:t>ת"פ</w:t>
            </w:r>
            <w:r w:rsidRPr="00E44A9F">
              <w:rPr>
                <w:rFonts w:cs="FrankRuehl" w:hint="cs"/>
                <w:sz w:val="28"/>
                <w:szCs w:val="28"/>
                <w:rtl/>
              </w:rPr>
              <w:t xml:space="preserve"> </w:t>
            </w:r>
            <w:r w:rsidRPr="00E44A9F">
              <w:rPr>
                <w:rFonts w:cs="FrankRuehl"/>
                <w:sz w:val="28"/>
                <w:szCs w:val="28"/>
                <w:rtl/>
              </w:rPr>
              <w:t>18402-08-13</w:t>
            </w:r>
            <w:r w:rsidRPr="00E44A9F">
              <w:rPr>
                <w:rFonts w:cs="FrankRuehl" w:hint="cs"/>
                <w:sz w:val="28"/>
                <w:szCs w:val="28"/>
                <w:rtl/>
              </w:rPr>
              <w:t xml:space="preserve"> </w:t>
            </w:r>
            <w:r w:rsidRPr="00E44A9F">
              <w:rPr>
                <w:rFonts w:cs="FrankRuehl"/>
                <w:sz w:val="28"/>
                <w:szCs w:val="28"/>
                <w:rtl/>
              </w:rPr>
              <w:t>מדינת ישראל נ' מנשה(עציר)</w:t>
            </w:r>
          </w:p>
          <w:p w14:paraId="5976A183" w14:textId="77777777" w:rsidR="00950F57" w:rsidRPr="00E44A9F" w:rsidRDefault="00950F57">
            <w:pPr>
              <w:pStyle w:val="a3"/>
              <w:rPr>
                <w:rFonts w:cs="FrankRuehl"/>
                <w:sz w:val="28"/>
                <w:szCs w:val="28"/>
                <w:rtl/>
              </w:rPr>
            </w:pPr>
          </w:p>
        </w:tc>
        <w:tc>
          <w:tcPr>
            <w:tcW w:w="3675" w:type="dxa"/>
          </w:tcPr>
          <w:p w14:paraId="371EF668" w14:textId="77777777" w:rsidR="00950F57" w:rsidRPr="00E44A9F" w:rsidRDefault="00E44A9F">
            <w:pPr>
              <w:pStyle w:val="a3"/>
              <w:jc w:val="right"/>
              <w:rPr>
                <w:rFonts w:cs="FrankRuehl"/>
                <w:sz w:val="28"/>
                <w:szCs w:val="28"/>
                <w:rtl/>
              </w:rPr>
            </w:pPr>
            <w:r w:rsidRPr="00E44A9F">
              <w:rPr>
                <w:rFonts w:cs="FrankRuehl" w:hint="cs"/>
                <w:sz w:val="28"/>
                <w:szCs w:val="28"/>
                <w:rtl/>
              </w:rPr>
              <w:t>19.02.2014</w:t>
            </w:r>
          </w:p>
        </w:tc>
      </w:tr>
    </w:tbl>
    <w:p w14:paraId="5933A631" w14:textId="77777777" w:rsidR="00950F57" w:rsidRPr="00E44A9F" w:rsidRDefault="00E44A9F">
      <w:pPr>
        <w:pStyle w:val="a3"/>
        <w:rPr>
          <w:sz w:val="2"/>
          <w:szCs w:val="2"/>
          <w:rtl/>
        </w:rPr>
      </w:pPr>
      <w:r w:rsidRPr="00E44A9F">
        <w:rPr>
          <w:rFonts w:hint="cs"/>
          <w:rtl/>
        </w:rPr>
        <w:t xml:space="preserve"> </w:t>
      </w:r>
    </w:p>
    <w:p w14:paraId="2D7B9046" w14:textId="77777777" w:rsidR="00950F57" w:rsidRPr="00E44A9F" w:rsidRDefault="00950F57">
      <w:pPr>
        <w:rPr>
          <w:sz w:val="16"/>
          <w:szCs w:val="1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50F57" w:rsidRPr="00E44A9F" w14:paraId="58802360" w14:textId="77777777">
        <w:trPr>
          <w:trHeight w:val="295"/>
          <w:jc w:val="center"/>
        </w:trPr>
        <w:tc>
          <w:tcPr>
            <w:tcW w:w="923" w:type="dxa"/>
            <w:tcBorders>
              <w:top w:val="nil"/>
              <w:left w:val="nil"/>
              <w:bottom w:val="nil"/>
              <w:right w:val="nil"/>
            </w:tcBorders>
          </w:tcPr>
          <w:p w14:paraId="785AAB89" w14:textId="77777777" w:rsidR="00950F57" w:rsidRPr="00E44A9F" w:rsidRDefault="00E44A9F">
            <w:pPr>
              <w:jc w:val="both"/>
              <w:rPr>
                <w:rFonts w:ascii="Arial" w:hAnsi="Arial" w:cs="FrankRuehl"/>
                <w:sz w:val="28"/>
                <w:szCs w:val="28"/>
              </w:rPr>
            </w:pPr>
            <w:bookmarkStart w:id="1" w:name="_GoBack"/>
            <w:bookmarkEnd w:id="1"/>
            <w:r w:rsidRPr="00E44A9F">
              <w:rPr>
                <w:rFonts w:ascii="Arial" w:hAnsi="Arial" w:cs="FrankRuehl" w:hint="cs"/>
                <w:sz w:val="28"/>
                <w:szCs w:val="28"/>
                <w:rtl/>
              </w:rPr>
              <w:t>ב</w:t>
            </w:r>
            <w:r w:rsidRPr="00E44A9F">
              <w:rPr>
                <w:rFonts w:ascii="Arial" w:hAnsi="Arial" w:cs="FrankRuehl"/>
                <w:sz w:val="28"/>
                <w:szCs w:val="28"/>
                <w:rtl/>
              </w:rPr>
              <w:t xml:space="preserve">פני </w:t>
            </w:r>
          </w:p>
        </w:tc>
        <w:tc>
          <w:tcPr>
            <w:tcW w:w="7897" w:type="dxa"/>
            <w:gridSpan w:val="2"/>
            <w:tcBorders>
              <w:top w:val="nil"/>
              <w:left w:val="nil"/>
              <w:bottom w:val="nil"/>
              <w:right w:val="nil"/>
            </w:tcBorders>
          </w:tcPr>
          <w:p w14:paraId="4973AC5E" w14:textId="77777777" w:rsidR="00950F57" w:rsidRPr="00E44A9F" w:rsidRDefault="00E44A9F">
            <w:pPr>
              <w:rPr>
                <w:rFonts w:ascii="Arial" w:hAnsi="Arial"/>
                <w:b/>
                <w:bCs/>
                <w:rtl/>
              </w:rPr>
            </w:pPr>
            <w:r w:rsidRPr="00E44A9F">
              <w:rPr>
                <w:rFonts w:ascii="Arial" w:hAnsi="Arial" w:hint="cs"/>
                <w:b/>
                <w:bCs/>
                <w:rtl/>
              </w:rPr>
              <w:t>כב' ה</w:t>
            </w:r>
            <w:r w:rsidRPr="00E44A9F">
              <w:rPr>
                <w:rFonts w:hint="cs"/>
                <w:rtl/>
              </w:rPr>
              <w:t>שופטת</w:t>
            </w:r>
            <w:r w:rsidRPr="00E44A9F">
              <w:rPr>
                <w:rFonts w:ascii="Arial" w:hAnsi="Arial" w:hint="cs"/>
                <w:b/>
                <w:bCs/>
                <w:rtl/>
              </w:rPr>
              <w:t xml:space="preserve">  </w:t>
            </w:r>
            <w:r w:rsidRPr="00E44A9F">
              <w:rPr>
                <w:rFonts w:hint="cs"/>
                <w:rtl/>
              </w:rPr>
              <w:t>יהודית אמסטרדם</w:t>
            </w:r>
          </w:p>
          <w:p w14:paraId="75A866E4" w14:textId="77777777" w:rsidR="00950F57" w:rsidRPr="00E44A9F" w:rsidRDefault="00950F57">
            <w:pPr>
              <w:jc w:val="both"/>
              <w:rPr>
                <w:rFonts w:ascii="Arial" w:hAnsi="Arial" w:cs="FrankRuehl"/>
                <w:sz w:val="22"/>
                <w:szCs w:val="22"/>
              </w:rPr>
            </w:pPr>
          </w:p>
        </w:tc>
      </w:tr>
      <w:tr w:rsidR="00950F57" w:rsidRPr="00E44A9F" w14:paraId="1332C831" w14:textId="77777777">
        <w:trPr>
          <w:trHeight w:val="355"/>
          <w:jc w:val="center"/>
        </w:trPr>
        <w:tc>
          <w:tcPr>
            <w:tcW w:w="923" w:type="dxa"/>
            <w:tcBorders>
              <w:top w:val="nil"/>
              <w:left w:val="nil"/>
              <w:bottom w:val="nil"/>
              <w:right w:val="nil"/>
            </w:tcBorders>
          </w:tcPr>
          <w:p w14:paraId="46D9FF1A" w14:textId="77777777" w:rsidR="00950F57" w:rsidRPr="00E44A9F" w:rsidRDefault="00E44A9F">
            <w:pPr>
              <w:jc w:val="both"/>
              <w:rPr>
                <w:rFonts w:ascii="Arial" w:hAnsi="Arial" w:cs="FrankRuehl"/>
                <w:sz w:val="28"/>
                <w:szCs w:val="28"/>
              </w:rPr>
            </w:pPr>
            <w:bookmarkStart w:id="2" w:name="FirstAppellant"/>
            <w:bookmarkStart w:id="3" w:name="FirstLawyer"/>
            <w:r w:rsidRPr="00E44A9F">
              <w:rPr>
                <w:rFonts w:ascii="Arial" w:hAnsi="Arial" w:cs="FrankRuehl" w:hint="cs"/>
                <w:sz w:val="28"/>
                <w:szCs w:val="28"/>
                <w:rtl/>
              </w:rPr>
              <w:t>בעניין:</w:t>
            </w:r>
          </w:p>
        </w:tc>
        <w:tc>
          <w:tcPr>
            <w:tcW w:w="4126" w:type="dxa"/>
            <w:tcBorders>
              <w:top w:val="nil"/>
              <w:left w:val="nil"/>
              <w:bottom w:val="nil"/>
              <w:right w:val="nil"/>
            </w:tcBorders>
          </w:tcPr>
          <w:p w14:paraId="341C717F" w14:textId="77777777" w:rsidR="00950F57" w:rsidRPr="00E44A9F" w:rsidRDefault="00E44A9F">
            <w:pPr>
              <w:rPr>
                <w:rtl/>
              </w:rPr>
            </w:pPr>
            <w:r w:rsidRPr="00E44A9F">
              <w:rPr>
                <w:rFonts w:hint="cs"/>
                <w:b/>
                <w:bCs/>
                <w:rtl/>
              </w:rPr>
              <w:t>מדינת ישראל</w:t>
            </w:r>
          </w:p>
          <w:p w14:paraId="423AE1F0" w14:textId="77777777" w:rsidR="00950F57" w:rsidRPr="00E44A9F" w:rsidRDefault="00E44A9F">
            <w:r w:rsidRPr="00E44A9F">
              <w:rPr>
                <w:rFonts w:hint="cs"/>
                <w:rtl/>
              </w:rPr>
              <w:t>ע"י ב"כ עו"ד רוני מודריק</w:t>
            </w:r>
          </w:p>
        </w:tc>
        <w:tc>
          <w:tcPr>
            <w:tcW w:w="3771" w:type="dxa"/>
            <w:tcBorders>
              <w:top w:val="nil"/>
              <w:left w:val="nil"/>
              <w:bottom w:val="nil"/>
              <w:right w:val="nil"/>
            </w:tcBorders>
          </w:tcPr>
          <w:p w14:paraId="67FA94FE" w14:textId="77777777" w:rsidR="00950F57" w:rsidRPr="00E44A9F" w:rsidRDefault="00950F57">
            <w:pPr>
              <w:jc w:val="both"/>
              <w:rPr>
                <w:rFonts w:ascii="Arial" w:hAnsi="Arial" w:cs="FrankRuehl"/>
                <w:sz w:val="28"/>
                <w:szCs w:val="28"/>
              </w:rPr>
            </w:pPr>
          </w:p>
        </w:tc>
      </w:tr>
      <w:bookmarkEnd w:id="2"/>
      <w:bookmarkEnd w:id="3"/>
      <w:tr w:rsidR="00950F57" w:rsidRPr="00E44A9F" w14:paraId="3D86E3C9" w14:textId="77777777">
        <w:trPr>
          <w:trHeight w:val="355"/>
          <w:jc w:val="center"/>
        </w:trPr>
        <w:tc>
          <w:tcPr>
            <w:tcW w:w="923" w:type="dxa"/>
            <w:tcBorders>
              <w:top w:val="nil"/>
              <w:left w:val="nil"/>
              <w:bottom w:val="nil"/>
              <w:right w:val="nil"/>
            </w:tcBorders>
          </w:tcPr>
          <w:p w14:paraId="1E36B334" w14:textId="77777777" w:rsidR="00950F57" w:rsidRPr="00E44A9F" w:rsidRDefault="00950F57">
            <w:pPr>
              <w:jc w:val="both"/>
              <w:rPr>
                <w:rFonts w:ascii="Arial" w:hAnsi="Arial" w:cs="FrankRuehl"/>
                <w:sz w:val="28"/>
                <w:szCs w:val="28"/>
                <w:rtl/>
              </w:rPr>
            </w:pPr>
          </w:p>
        </w:tc>
        <w:tc>
          <w:tcPr>
            <w:tcW w:w="4126" w:type="dxa"/>
            <w:tcBorders>
              <w:top w:val="nil"/>
              <w:left w:val="nil"/>
              <w:bottom w:val="nil"/>
              <w:right w:val="nil"/>
            </w:tcBorders>
          </w:tcPr>
          <w:p w14:paraId="33859C98" w14:textId="77777777" w:rsidR="00950F57" w:rsidRPr="00E44A9F" w:rsidRDefault="00950F57">
            <w:pPr>
              <w:jc w:val="both"/>
              <w:rPr>
                <w:sz w:val="18"/>
                <w:szCs w:val="18"/>
                <w:rtl/>
              </w:rPr>
            </w:pPr>
          </w:p>
        </w:tc>
        <w:tc>
          <w:tcPr>
            <w:tcW w:w="3771" w:type="dxa"/>
            <w:tcBorders>
              <w:top w:val="nil"/>
              <w:left w:val="nil"/>
              <w:bottom w:val="nil"/>
              <w:right w:val="nil"/>
            </w:tcBorders>
          </w:tcPr>
          <w:p w14:paraId="27D550BB" w14:textId="77777777" w:rsidR="00950F57" w:rsidRPr="00E44A9F" w:rsidRDefault="00E44A9F">
            <w:pPr>
              <w:jc w:val="right"/>
              <w:rPr>
                <w:rFonts w:ascii="Arial" w:hAnsi="Arial" w:cs="FrankRuehl"/>
                <w:sz w:val="28"/>
                <w:szCs w:val="28"/>
                <w:rtl/>
              </w:rPr>
            </w:pPr>
            <w:r w:rsidRPr="00E44A9F">
              <w:rPr>
                <w:rFonts w:ascii="Arial" w:hAnsi="Arial" w:cs="FrankRuehl" w:hint="cs"/>
                <w:sz w:val="28"/>
                <w:szCs w:val="28"/>
                <w:rtl/>
              </w:rPr>
              <w:t>ה</w:t>
            </w:r>
            <w:r w:rsidRPr="00E44A9F">
              <w:rPr>
                <w:rFonts w:hint="cs"/>
                <w:rtl/>
              </w:rPr>
              <w:t>מאשימה</w:t>
            </w:r>
          </w:p>
        </w:tc>
      </w:tr>
      <w:tr w:rsidR="00950F57" w:rsidRPr="00E44A9F" w14:paraId="6D32FE2D" w14:textId="77777777">
        <w:trPr>
          <w:trHeight w:val="355"/>
          <w:jc w:val="center"/>
        </w:trPr>
        <w:tc>
          <w:tcPr>
            <w:tcW w:w="923" w:type="dxa"/>
            <w:tcBorders>
              <w:top w:val="nil"/>
              <w:left w:val="nil"/>
              <w:bottom w:val="nil"/>
              <w:right w:val="nil"/>
            </w:tcBorders>
          </w:tcPr>
          <w:p w14:paraId="7ADD654A" w14:textId="77777777" w:rsidR="00950F57" w:rsidRPr="00E44A9F" w:rsidRDefault="00950F57">
            <w:pPr>
              <w:jc w:val="both"/>
              <w:rPr>
                <w:rFonts w:ascii="Arial" w:hAnsi="Arial" w:cs="FrankRuehl"/>
                <w:sz w:val="28"/>
                <w:szCs w:val="28"/>
                <w:rtl/>
              </w:rPr>
            </w:pPr>
          </w:p>
        </w:tc>
        <w:tc>
          <w:tcPr>
            <w:tcW w:w="7897" w:type="dxa"/>
            <w:gridSpan w:val="2"/>
            <w:tcBorders>
              <w:top w:val="nil"/>
              <w:left w:val="nil"/>
              <w:bottom w:val="nil"/>
              <w:right w:val="nil"/>
            </w:tcBorders>
          </w:tcPr>
          <w:p w14:paraId="1A83CED5" w14:textId="77777777" w:rsidR="00950F57" w:rsidRPr="00E44A9F" w:rsidRDefault="00E44A9F">
            <w:pPr>
              <w:jc w:val="center"/>
              <w:rPr>
                <w:rFonts w:ascii="Arial" w:hAnsi="Arial" w:cs="FrankRuehl"/>
                <w:b/>
                <w:bCs/>
                <w:sz w:val="28"/>
                <w:szCs w:val="28"/>
                <w:rtl/>
              </w:rPr>
            </w:pPr>
            <w:r w:rsidRPr="00E44A9F">
              <w:rPr>
                <w:rFonts w:ascii="Arial" w:hAnsi="Arial" w:cs="FrankRuehl"/>
                <w:b/>
                <w:bCs/>
                <w:sz w:val="28"/>
                <w:szCs w:val="28"/>
                <w:rtl/>
              </w:rPr>
              <w:t>נגד</w:t>
            </w:r>
          </w:p>
          <w:p w14:paraId="4DA27A19" w14:textId="77777777" w:rsidR="00950F57" w:rsidRPr="00E44A9F" w:rsidRDefault="00950F57">
            <w:pPr>
              <w:jc w:val="both"/>
              <w:rPr>
                <w:rFonts w:ascii="Arial" w:hAnsi="Arial" w:cs="FrankRuehl"/>
                <w:sz w:val="22"/>
                <w:szCs w:val="22"/>
              </w:rPr>
            </w:pPr>
          </w:p>
        </w:tc>
      </w:tr>
      <w:tr w:rsidR="00950F57" w:rsidRPr="00E44A9F" w14:paraId="4CA9AD17" w14:textId="77777777">
        <w:trPr>
          <w:trHeight w:val="355"/>
          <w:jc w:val="center"/>
        </w:trPr>
        <w:tc>
          <w:tcPr>
            <w:tcW w:w="923" w:type="dxa"/>
            <w:tcBorders>
              <w:top w:val="nil"/>
              <w:left w:val="nil"/>
              <w:bottom w:val="nil"/>
              <w:right w:val="nil"/>
            </w:tcBorders>
          </w:tcPr>
          <w:p w14:paraId="584DF02B" w14:textId="77777777" w:rsidR="00950F57" w:rsidRPr="00E44A9F" w:rsidRDefault="00950F57">
            <w:pPr>
              <w:rPr>
                <w:rFonts w:ascii="Arial" w:hAnsi="Arial" w:cs="FrankRuehl"/>
                <w:sz w:val="28"/>
                <w:szCs w:val="28"/>
                <w:rtl/>
              </w:rPr>
            </w:pPr>
          </w:p>
        </w:tc>
        <w:tc>
          <w:tcPr>
            <w:tcW w:w="4126" w:type="dxa"/>
            <w:tcBorders>
              <w:top w:val="nil"/>
              <w:left w:val="nil"/>
              <w:bottom w:val="nil"/>
              <w:right w:val="nil"/>
            </w:tcBorders>
          </w:tcPr>
          <w:p w14:paraId="41038A25" w14:textId="77777777" w:rsidR="00950F57" w:rsidRPr="00E44A9F" w:rsidRDefault="00E44A9F">
            <w:pPr>
              <w:rPr>
                <w:rtl/>
              </w:rPr>
            </w:pPr>
            <w:r w:rsidRPr="00E44A9F">
              <w:rPr>
                <w:rFonts w:hint="cs"/>
                <w:b/>
                <w:bCs/>
                <w:rtl/>
              </w:rPr>
              <w:t>ליאור מנשה (עציר)</w:t>
            </w:r>
          </w:p>
        </w:tc>
        <w:tc>
          <w:tcPr>
            <w:tcW w:w="3771" w:type="dxa"/>
            <w:tcBorders>
              <w:top w:val="nil"/>
              <w:left w:val="nil"/>
              <w:bottom w:val="nil"/>
              <w:right w:val="nil"/>
            </w:tcBorders>
          </w:tcPr>
          <w:p w14:paraId="3FD79631" w14:textId="77777777" w:rsidR="00950F57" w:rsidRPr="00E44A9F" w:rsidRDefault="00950F57">
            <w:pPr>
              <w:jc w:val="right"/>
              <w:rPr>
                <w:rFonts w:ascii="Arial" w:hAnsi="Arial" w:cs="FrankRuehl"/>
                <w:sz w:val="28"/>
                <w:szCs w:val="28"/>
              </w:rPr>
            </w:pPr>
          </w:p>
        </w:tc>
      </w:tr>
      <w:tr w:rsidR="00950F57" w:rsidRPr="00E44A9F" w14:paraId="41AB150B" w14:textId="77777777">
        <w:trPr>
          <w:trHeight w:val="355"/>
          <w:jc w:val="center"/>
        </w:trPr>
        <w:tc>
          <w:tcPr>
            <w:tcW w:w="923" w:type="dxa"/>
            <w:tcBorders>
              <w:top w:val="nil"/>
              <w:left w:val="nil"/>
              <w:bottom w:val="nil"/>
              <w:right w:val="nil"/>
            </w:tcBorders>
          </w:tcPr>
          <w:p w14:paraId="24623CA6" w14:textId="77777777" w:rsidR="00950F57" w:rsidRPr="00E44A9F" w:rsidRDefault="00950F57">
            <w:pPr>
              <w:jc w:val="both"/>
              <w:rPr>
                <w:rFonts w:ascii="Arial" w:hAnsi="Arial" w:cs="FrankRuehl"/>
                <w:sz w:val="28"/>
                <w:szCs w:val="28"/>
                <w:rtl/>
              </w:rPr>
            </w:pPr>
          </w:p>
        </w:tc>
        <w:tc>
          <w:tcPr>
            <w:tcW w:w="4126" w:type="dxa"/>
            <w:tcBorders>
              <w:top w:val="nil"/>
              <w:left w:val="nil"/>
              <w:bottom w:val="nil"/>
              <w:right w:val="nil"/>
            </w:tcBorders>
          </w:tcPr>
          <w:p w14:paraId="67BD785B" w14:textId="77777777" w:rsidR="00950F57" w:rsidRPr="00E44A9F" w:rsidRDefault="00E44A9F">
            <w:pPr>
              <w:jc w:val="both"/>
              <w:rPr>
                <w:rtl/>
              </w:rPr>
            </w:pPr>
            <w:r w:rsidRPr="00E44A9F">
              <w:rPr>
                <w:rFonts w:hint="cs"/>
                <w:rtl/>
              </w:rPr>
              <w:t>ע"י ב"כ עו"ד אורית חיון</w:t>
            </w:r>
          </w:p>
        </w:tc>
        <w:tc>
          <w:tcPr>
            <w:tcW w:w="3771" w:type="dxa"/>
            <w:tcBorders>
              <w:top w:val="nil"/>
              <w:left w:val="nil"/>
              <w:bottom w:val="nil"/>
              <w:right w:val="nil"/>
            </w:tcBorders>
          </w:tcPr>
          <w:p w14:paraId="6ABF22E8" w14:textId="77777777" w:rsidR="00950F57" w:rsidRPr="00E44A9F" w:rsidRDefault="00E44A9F">
            <w:pPr>
              <w:jc w:val="right"/>
              <w:rPr>
                <w:rFonts w:ascii="Arial" w:hAnsi="Arial" w:cs="FrankRuehl"/>
                <w:sz w:val="28"/>
                <w:szCs w:val="28"/>
              </w:rPr>
            </w:pPr>
            <w:r w:rsidRPr="00E44A9F">
              <w:rPr>
                <w:rFonts w:ascii="Arial" w:hAnsi="Arial" w:cs="FrankRuehl" w:hint="cs"/>
                <w:sz w:val="28"/>
                <w:szCs w:val="28"/>
                <w:rtl/>
              </w:rPr>
              <w:t>ה</w:t>
            </w:r>
            <w:r w:rsidRPr="00E44A9F">
              <w:rPr>
                <w:rFonts w:hint="cs"/>
                <w:rtl/>
              </w:rPr>
              <w:t>נאשם</w:t>
            </w:r>
          </w:p>
        </w:tc>
      </w:tr>
    </w:tbl>
    <w:p w14:paraId="5B531D03" w14:textId="77777777" w:rsidR="00E350A1" w:rsidRDefault="00E350A1">
      <w:pPr>
        <w:rPr>
          <w:sz w:val="16"/>
          <w:szCs w:val="16"/>
          <w:rtl/>
        </w:rPr>
      </w:pPr>
      <w:bookmarkStart w:id="4" w:name="LawTable"/>
    </w:p>
    <w:p w14:paraId="1E8CEA03" w14:textId="77777777" w:rsidR="00E350A1" w:rsidRDefault="00E350A1" w:rsidP="00E350A1">
      <w:pPr>
        <w:spacing w:after="120" w:line="240" w:lineRule="exact"/>
        <w:ind w:left="283" w:hanging="283"/>
        <w:jc w:val="both"/>
        <w:rPr>
          <w:rFonts w:ascii="FrankRuehl" w:hAnsi="FrankRuehl" w:cs="FrankRuehl" w:hint="cs"/>
          <w:rtl/>
        </w:rPr>
      </w:pPr>
    </w:p>
    <w:p w14:paraId="1EFA3A7A" w14:textId="77777777" w:rsidR="00E350A1" w:rsidRPr="00E350A1" w:rsidRDefault="00E350A1" w:rsidP="00E350A1">
      <w:pPr>
        <w:spacing w:after="120" w:line="240" w:lineRule="exact"/>
        <w:ind w:left="283" w:hanging="283"/>
        <w:jc w:val="both"/>
        <w:rPr>
          <w:rFonts w:ascii="FrankRuehl" w:hAnsi="FrankRuehl" w:cs="FrankRuehl"/>
          <w:rtl/>
        </w:rPr>
      </w:pPr>
      <w:r w:rsidRPr="00E350A1">
        <w:rPr>
          <w:rFonts w:ascii="FrankRuehl" w:hAnsi="FrankRuehl" w:cs="FrankRuehl"/>
          <w:rtl/>
        </w:rPr>
        <w:t xml:space="preserve">חקיקה שאוזכרה: </w:t>
      </w:r>
    </w:p>
    <w:p w14:paraId="00A21571" w14:textId="77777777" w:rsidR="00E350A1" w:rsidRPr="00E350A1" w:rsidRDefault="00E350A1" w:rsidP="00E350A1">
      <w:pPr>
        <w:spacing w:after="120" w:line="240" w:lineRule="exact"/>
        <w:ind w:left="283" w:hanging="283"/>
        <w:jc w:val="both"/>
        <w:rPr>
          <w:rFonts w:ascii="FrankRuehl" w:hAnsi="FrankRuehl" w:cs="FrankRuehl"/>
          <w:rtl/>
        </w:rPr>
      </w:pPr>
      <w:hyperlink r:id="rId6" w:history="1">
        <w:r w:rsidRPr="00E350A1">
          <w:rPr>
            <w:rFonts w:ascii="FrankRuehl" w:hAnsi="FrankRuehl" w:cs="FrankRuehl"/>
            <w:color w:val="0000FF"/>
            <w:u w:val="single"/>
            <w:rtl/>
          </w:rPr>
          <w:t>חוק העונשין, תשל"ז-1977</w:t>
        </w:r>
      </w:hyperlink>
      <w:r w:rsidRPr="00E350A1">
        <w:rPr>
          <w:rFonts w:ascii="FrankRuehl" w:hAnsi="FrankRuehl" w:cs="FrankRuehl"/>
          <w:rtl/>
        </w:rPr>
        <w:t xml:space="preserve">: סע'  </w:t>
      </w:r>
      <w:hyperlink r:id="rId7" w:history="1">
        <w:r w:rsidRPr="00E350A1">
          <w:rPr>
            <w:rFonts w:ascii="FrankRuehl" w:hAnsi="FrankRuehl" w:cs="FrankRuehl"/>
            <w:color w:val="0000FF"/>
            <w:u w:val="single"/>
            <w:rtl/>
          </w:rPr>
          <w:t>31</w:t>
        </w:r>
      </w:hyperlink>
      <w:r w:rsidRPr="00E350A1">
        <w:rPr>
          <w:rFonts w:ascii="FrankRuehl" w:hAnsi="FrankRuehl" w:cs="FrankRuehl"/>
          <w:rtl/>
        </w:rPr>
        <w:t xml:space="preserve">, </w:t>
      </w:r>
      <w:hyperlink r:id="rId8" w:history="1">
        <w:r w:rsidRPr="00E350A1">
          <w:rPr>
            <w:rFonts w:ascii="FrankRuehl" w:hAnsi="FrankRuehl" w:cs="FrankRuehl"/>
            <w:color w:val="0000FF"/>
            <w:u w:val="single"/>
            <w:rtl/>
          </w:rPr>
          <w:t>144</w:t>
        </w:r>
      </w:hyperlink>
      <w:r w:rsidRPr="00E350A1">
        <w:rPr>
          <w:rFonts w:ascii="FrankRuehl" w:hAnsi="FrankRuehl" w:cs="FrankRuehl"/>
          <w:rtl/>
        </w:rPr>
        <w:t xml:space="preserve">, </w:t>
      </w:r>
      <w:hyperlink r:id="rId9" w:history="1">
        <w:r w:rsidRPr="00E350A1">
          <w:rPr>
            <w:rFonts w:ascii="FrankRuehl" w:hAnsi="FrankRuehl" w:cs="FrankRuehl"/>
            <w:color w:val="0000FF"/>
            <w:u w:val="single"/>
            <w:rtl/>
          </w:rPr>
          <w:t>144(ב2)</w:t>
        </w:r>
      </w:hyperlink>
    </w:p>
    <w:bookmarkEnd w:id="4"/>
    <w:p w14:paraId="651D4F97" w14:textId="77777777" w:rsidR="00950F57" w:rsidRPr="00E44A9F" w:rsidRDefault="00950F57">
      <w:pPr>
        <w:spacing w:line="360" w:lineRule="auto"/>
        <w:jc w:val="both"/>
        <w:rPr>
          <w:rFonts w:ascii="Arial" w:hAnsi="Aria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50F57" w14:paraId="3D7C4219" w14:textId="77777777">
        <w:trPr>
          <w:trHeight w:val="355"/>
          <w:jc w:val="center"/>
        </w:trPr>
        <w:tc>
          <w:tcPr>
            <w:tcW w:w="8820" w:type="dxa"/>
            <w:tcBorders>
              <w:top w:val="nil"/>
              <w:left w:val="nil"/>
              <w:bottom w:val="nil"/>
              <w:right w:val="nil"/>
            </w:tcBorders>
          </w:tcPr>
          <w:p w14:paraId="30832EE5" w14:textId="77777777" w:rsidR="00E44A9F" w:rsidRPr="00E44A9F" w:rsidRDefault="00E44A9F" w:rsidP="00E44A9F">
            <w:pPr>
              <w:jc w:val="center"/>
              <w:rPr>
                <w:rFonts w:ascii="Arial" w:hAnsi="Arial" w:cs="FrankRuehl"/>
                <w:b/>
                <w:bCs/>
                <w:sz w:val="32"/>
                <w:szCs w:val="32"/>
                <w:u w:val="single"/>
                <w:rtl/>
              </w:rPr>
            </w:pPr>
            <w:bookmarkStart w:id="5" w:name="PsakDin" w:colFirst="0" w:colLast="0"/>
            <w:bookmarkEnd w:id="0"/>
            <w:r w:rsidRPr="00E44A9F">
              <w:rPr>
                <w:rFonts w:ascii="Arial" w:hAnsi="Arial" w:cs="FrankRuehl"/>
                <w:b/>
                <w:bCs/>
                <w:sz w:val="32"/>
                <w:szCs w:val="32"/>
                <w:u w:val="single"/>
                <w:rtl/>
              </w:rPr>
              <w:t>גזר דין</w:t>
            </w:r>
          </w:p>
          <w:p w14:paraId="33AAE0BB" w14:textId="77777777" w:rsidR="00950F57" w:rsidRPr="00E44A9F" w:rsidRDefault="00950F57" w:rsidP="00E44A9F">
            <w:pPr>
              <w:jc w:val="center"/>
              <w:rPr>
                <w:rFonts w:ascii="Arial" w:hAnsi="Arial" w:cs="FrankRuehl"/>
                <w:bCs/>
                <w:sz w:val="32"/>
                <w:szCs w:val="32"/>
                <w:u w:val="single"/>
                <w:rtl/>
              </w:rPr>
            </w:pPr>
          </w:p>
        </w:tc>
      </w:tr>
      <w:bookmarkEnd w:id="5"/>
    </w:tbl>
    <w:p w14:paraId="63007C97" w14:textId="77777777" w:rsidR="00950F57" w:rsidRDefault="00950F57">
      <w:pPr>
        <w:spacing w:line="360" w:lineRule="auto"/>
        <w:jc w:val="both"/>
        <w:rPr>
          <w:rFonts w:ascii="Arial" w:hAnsi="Arial"/>
          <w:sz w:val="28"/>
          <w:szCs w:val="28"/>
          <w:rtl/>
        </w:rPr>
      </w:pPr>
    </w:p>
    <w:p w14:paraId="24B89FF3" w14:textId="77777777" w:rsidR="00950F57" w:rsidRDefault="00E44A9F">
      <w:pPr>
        <w:spacing w:line="360" w:lineRule="auto"/>
        <w:jc w:val="both"/>
        <w:rPr>
          <w:rFonts w:ascii="Arial" w:hAnsi="Arial"/>
          <w:rtl/>
        </w:rPr>
      </w:pPr>
      <w:r>
        <w:rPr>
          <w:rFonts w:ascii="Arial" w:hAnsi="Arial" w:hint="cs"/>
          <w:sz w:val="28"/>
          <w:szCs w:val="28"/>
          <w:rtl/>
        </w:rPr>
        <w:t>א.</w:t>
      </w:r>
      <w:r>
        <w:rPr>
          <w:rFonts w:ascii="Arial" w:hAnsi="Arial" w:hint="cs"/>
          <w:sz w:val="28"/>
          <w:szCs w:val="28"/>
          <w:rtl/>
        </w:rPr>
        <w:tab/>
      </w:r>
      <w:r>
        <w:rPr>
          <w:rFonts w:ascii="Arial" w:hAnsi="Arial" w:hint="cs"/>
          <w:b/>
          <w:bCs/>
          <w:sz w:val="28"/>
          <w:szCs w:val="28"/>
          <w:u w:val="single"/>
          <w:rtl/>
        </w:rPr>
        <w:t>פתח דבר</w:t>
      </w:r>
    </w:p>
    <w:p w14:paraId="59DCE0C0" w14:textId="77777777" w:rsidR="00950F57" w:rsidRDefault="00950F57">
      <w:pPr>
        <w:spacing w:line="360" w:lineRule="auto"/>
        <w:jc w:val="both"/>
        <w:rPr>
          <w:rFonts w:ascii="Arial" w:hAnsi="Arial"/>
          <w:sz w:val="20"/>
          <w:szCs w:val="20"/>
          <w:rtl/>
        </w:rPr>
      </w:pPr>
    </w:p>
    <w:p w14:paraId="09A71DCA" w14:textId="77777777" w:rsidR="00950F57" w:rsidRDefault="00E44A9F">
      <w:pPr>
        <w:spacing w:line="360" w:lineRule="auto"/>
        <w:ind w:left="1440" w:hanging="630"/>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 xml:space="preserve">הנאשם הורשע עפ"י הודאתו, במסגרת הסדר טיעון, בביצוע עבירה של סיוע לעסקה אחרת בנשק </w:t>
      </w:r>
      <w:r>
        <w:rPr>
          <w:rFonts w:ascii="Arial" w:hAnsi="Arial"/>
          <w:rtl/>
        </w:rPr>
        <w:t>–</w:t>
      </w:r>
      <w:r>
        <w:rPr>
          <w:rFonts w:ascii="Arial" w:hAnsi="Arial" w:hint="cs"/>
          <w:rtl/>
        </w:rPr>
        <w:t xml:space="preserve"> עבירה לפי </w:t>
      </w:r>
      <w:hyperlink r:id="rId10" w:history="1">
        <w:r w:rsidR="00E350A1" w:rsidRPr="00E350A1">
          <w:rPr>
            <w:rFonts w:ascii="Arial" w:hAnsi="Arial"/>
            <w:color w:val="0000FF"/>
            <w:u w:val="single"/>
            <w:rtl/>
          </w:rPr>
          <w:t>סעיף 144(ב2)</w:t>
        </w:r>
      </w:hyperlink>
      <w:r>
        <w:rPr>
          <w:rFonts w:ascii="Arial" w:hAnsi="Arial" w:hint="cs"/>
          <w:rtl/>
        </w:rPr>
        <w:t xml:space="preserve"> ביחד עם </w:t>
      </w:r>
      <w:hyperlink r:id="rId11" w:history="1">
        <w:r w:rsidR="00E350A1" w:rsidRPr="00E350A1">
          <w:rPr>
            <w:rFonts w:ascii="Arial" w:hAnsi="Arial"/>
            <w:color w:val="0000FF"/>
            <w:u w:val="single"/>
            <w:rtl/>
          </w:rPr>
          <w:t>סעיף 31</w:t>
        </w:r>
      </w:hyperlink>
      <w:r>
        <w:rPr>
          <w:rFonts w:ascii="Arial" w:hAnsi="Arial" w:hint="cs"/>
          <w:rtl/>
        </w:rPr>
        <w:t xml:space="preserve"> ל</w:t>
      </w:r>
      <w:hyperlink r:id="rId12" w:history="1">
        <w:r w:rsidRPr="00E44A9F">
          <w:rPr>
            <w:rFonts w:ascii="Arial" w:hAnsi="Arial"/>
            <w:color w:val="0000FF"/>
            <w:u w:val="single"/>
            <w:rtl/>
          </w:rPr>
          <w:t>חוק העונשין</w:t>
        </w:r>
      </w:hyperlink>
      <w:r>
        <w:rPr>
          <w:rFonts w:ascii="Arial" w:hAnsi="Arial" w:hint="cs"/>
          <w:rtl/>
        </w:rPr>
        <w:t>, התשל"ז-1977</w:t>
      </w:r>
      <w:bookmarkStart w:id="7" w:name="ABSTRACT_END"/>
      <w:bookmarkEnd w:id="7"/>
      <w:r>
        <w:rPr>
          <w:rFonts w:ascii="Arial" w:hAnsi="Arial" w:hint="cs"/>
          <w:rtl/>
        </w:rPr>
        <w:t xml:space="preserve"> (להלן: "</w:t>
      </w:r>
      <w:r>
        <w:rPr>
          <w:rFonts w:ascii="Arial" w:hAnsi="Arial" w:hint="cs"/>
          <w:b/>
          <w:bCs/>
          <w:rtl/>
        </w:rPr>
        <w:t>חוק העונשין</w:t>
      </w:r>
      <w:r>
        <w:rPr>
          <w:rFonts w:ascii="Arial" w:hAnsi="Arial" w:hint="cs"/>
          <w:rtl/>
        </w:rPr>
        <w:t>").</w:t>
      </w:r>
    </w:p>
    <w:p w14:paraId="6B2E8168" w14:textId="77777777" w:rsidR="00950F57" w:rsidRDefault="00950F57">
      <w:pPr>
        <w:spacing w:line="360" w:lineRule="auto"/>
        <w:ind w:left="1440" w:hanging="630"/>
        <w:jc w:val="both"/>
        <w:rPr>
          <w:rFonts w:ascii="Arial" w:hAnsi="Arial"/>
          <w:sz w:val="20"/>
          <w:szCs w:val="20"/>
          <w:rtl/>
        </w:rPr>
      </w:pPr>
    </w:p>
    <w:p w14:paraId="7227675E" w14:textId="77777777" w:rsidR="00950F57" w:rsidRDefault="00E44A9F">
      <w:pPr>
        <w:spacing w:line="360" w:lineRule="auto"/>
        <w:ind w:left="1440" w:hanging="630"/>
        <w:jc w:val="both"/>
        <w:rPr>
          <w:rFonts w:ascii="Arial" w:hAnsi="Arial"/>
          <w:rtl/>
        </w:rPr>
      </w:pPr>
      <w:r>
        <w:rPr>
          <w:rFonts w:ascii="Arial" w:hAnsi="Arial" w:hint="cs"/>
          <w:rtl/>
        </w:rPr>
        <w:t>2.</w:t>
      </w:r>
      <w:r>
        <w:rPr>
          <w:rFonts w:ascii="Arial" w:hAnsi="Arial" w:hint="cs"/>
          <w:rtl/>
        </w:rPr>
        <w:tab/>
        <w:t>הנאשם הודה בכך שבמועד בלתי ידוע במהלך החודשים ינואר-פברואר 2013  הוא קיבל מאמיר אלמליח, שהיה חייל צה"ל (להלן: "</w:t>
      </w:r>
      <w:r>
        <w:rPr>
          <w:rFonts w:ascii="Arial" w:hAnsi="Arial" w:hint="cs"/>
          <w:b/>
          <w:bCs/>
          <w:rtl/>
        </w:rPr>
        <w:t>אלמליח")</w:t>
      </w:r>
      <w:r>
        <w:rPr>
          <w:rFonts w:ascii="Arial" w:hAnsi="Arial" w:hint="cs"/>
          <w:rtl/>
        </w:rPr>
        <w:t>, חומר נפץ המכיל בתוכו חומר מסוג ציקלוניט (להלן: "</w:t>
      </w:r>
      <w:r>
        <w:rPr>
          <w:rFonts w:ascii="Arial" w:hAnsi="Arial" w:hint="cs"/>
          <w:b/>
          <w:bCs/>
          <w:rtl/>
        </w:rPr>
        <w:t>חור הנפץ</w:t>
      </w:r>
      <w:r>
        <w:rPr>
          <w:rFonts w:ascii="Arial" w:hAnsi="Arial" w:hint="cs"/>
          <w:rtl/>
        </w:rPr>
        <w:t>").</w:t>
      </w:r>
    </w:p>
    <w:p w14:paraId="6CB57343" w14:textId="77777777" w:rsidR="00950F57" w:rsidRDefault="00E44A9F">
      <w:pPr>
        <w:spacing w:line="360" w:lineRule="auto"/>
        <w:ind w:left="1440" w:hanging="630"/>
        <w:jc w:val="both"/>
        <w:rPr>
          <w:rFonts w:ascii="Arial" w:hAnsi="Arial"/>
          <w:rtl/>
        </w:rPr>
      </w:pPr>
      <w:r>
        <w:rPr>
          <w:rFonts w:ascii="Arial" w:hAnsi="Arial" w:hint="cs"/>
          <w:rtl/>
        </w:rPr>
        <w:tab/>
        <w:t xml:space="preserve">הנאשם העביר כ-133 גרם חומר של חומר הנפץ ביחד עם נפצים וחוט חשמל לחברו </w:t>
      </w:r>
      <w:r>
        <w:rPr>
          <w:rFonts w:ascii="Arial" w:hAnsi="Arial"/>
          <w:rtl/>
        </w:rPr>
        <w:t>–</w:t>
      </w:r>
      <w:r>
        <w:rPr>
          <w:rFonts w:ascii="Arial" w:hAnsi="Arial" w:hint="cs"/>
          <w:rtl/>
        </w:rPr>
        <w:t xml:space="preserve"> אדם אלגזי, וזאת תמורת 2,000 ₪ אותם העביר לאלמליח כתמורה עבור חומר הנפץ.</w:t>
      </w:r>
    </w:p>
    <w:p w14:paraId="0813C3C2" w14:textId="77777777" w:rsidR="00950F57" w:rsidRDefault="00950F57">
      <w:pPr>
        <w:spacing w:line="360" w:lineRule="auto"/>
        <w:ind w:left="1440" w:hanging="630"/>
        <w:jc w:val="both"/>
        <w:rPr>
          <w:rFonts w:ascii="Arial" w:hAnsi="Arial"/>
          <w:sz w:val="20"/>
          <w:szCs w:val="20"/>
          <w:rtl/>
        </w:rPr>
      </w:pPr>
    </w:p>
    <w:p w14:paraId="7949AB09" w14:textId="77777777" w:rsidR="00950F57" w:rsidRDefault="00E44A9F">
      <w:pPr>
        <w:spacing w:line="360" w:lineRule="auto"/>
        <w:ind w:left="1440" w:hanging="630"/>
        <w:jc w:val="both"/>
        <w:rPr>
          <w:rFonts w:ascii="Arial" w:hAnsi="Arial"/>
          <w:rtl/>
        </w:rPr>
      </w:pPr>
      <w:r>
        <w:rPr>
          <w:rFonts w:ascii="Arial" w:hAnsi="Arial" w:hint="cs"/>
          <w:rtl/>
        </w:rPr>
        <w:tab/>
        <w:t>הנאשם איפוא, סייע לביצוע עסקה אחרת בנשק שיש עמה מסירת חזקה בנשק לאחר, וזאת ללא רשות כדין לעשות הפעולה האמורה.</w:t>
      </w:r>
    </w:p>
    <w:p w14:paraId="1A337600" w14:textId="77777777" w:rsidR="00950F57" w:rsidRDefault="00950F57">
      <w:pPr>
        <w:spacing w:line="360" w:lineRule="auto"/>
        <w:jc w:val="both"/>
        <w:rPr>
          <w:rFonts w:ascii="Arial" w:hAnsi="Arial"/>
          <w:sz w:val="20"/>
          <w:szCs w:val="20"/>
          <w:rtl/>
        </w:rPr>
      </w:pPr>
    </w:p>
    <w:p w14:paraId="4342B00C" w14:textId="77777777" w:rsidR="00950F57" w:rsidRDefault="00E44A9F">
      <w:pPr>
        <w:spacing w:line="360" w:lineRule="auto"/>
        <w:jc w:val="both"/>
        <w:rPr>
          <w:rFonts w:ascii="Arial" w:hAnsi="Arial"/>
          <w:rtl/>
        </w:rPr>
      </w:pPr>
      <w:r>
        <w:rPr>
          <w:rFonts w:ascii="Arial" w:hAnsi="Arial" w:hint="cs"/>
          <w:sz w:val="28"/>
          <w:szCs w:val="28"/>
          <w:rtl/>
        </w:rPr>
        <w:t>ב.</w:t>
      </w:r>
      <w:r>
        <w:rPr>
          <w:rFonts w:ascii="Arial" w:hAnsi="Arial" w:hint="cs"/>
          <w:sz w:val="28"/>
          <w:szCs w:val="28"/>
          <w:rtl/>
        </w:rPr>
        <w:tab/>
      </w:r>
      <w:r>
        <w:rPr>
          <w:rFonts w:ascii="Arial" w:hAnsi="Arial" w:hint="cs"/>
          <w:b/>
          <w:bCs/>
          <w:sz w:val="28"/>
          <w:szCs w:val="28"/>
          <w:u w:val="single"/>
          <w:rtl/>
        </w:rPr>
        <w:t>הסדר הטיעון</w:t>
      </w:r>
    </w:p>
    <w:p w14:paraId="70689239" w14:textId="77777777" w:rsidR="00950F57" w:rsidRDefault="00950F57">
      <w:pPr>
        <w:spacing w:line="360" w:lineRule="auto"/>
        <w:jc w:val="both"/>
        <w:rPr>
          <w:rFonts w:ascii="Arial" w:hAnsi="Arial"/>
          <w:sz w:val="20"/>
          <w:szCs w:val="20"/>
          <w:rtl/>
        </w:rPr>
      </w:pPr>
    </w:p>
    <w:p w14:paraId="76BE9B0D" w14:textId="77777777" w:rsidR="00950F57" w:rsidRDefault="00E44A9F">
      <w:pPr>
        <w:spacing w:line="360" w:lineRule="auto"/>
        <w:ind w:left="1440" w:hanging="630"/>
        <w:jc w:val="both"/>
        <w:rPr>
          <w:rFonts w:ascii="Arial" w:hAnsi="Arial"/>
          <w:rtl/>
        </w:rPr>
      </w:pPr>
      <w:r>
        <w:rPr>
          <w:rFonts w:ascii="Arial" w:hAnsi="Arial" w:hint="cs"/>
          <w:rtl/>
        </w:rPr>
        <w:lastRenderedPageBreak/>
        <w:t>3.</w:t>
      </w:r>
      <w:r>
        <w:rPr>
          <w:rFonts w:ascii="Arial" w:hAnsi="Arial" w:hint="cs"/>
          <w:rtl/>
        </w:rPr>
        <w:tab/>
        <w:t>ב"כ הצדדים הגיעו להסדר טיעון, לפיו, הם עתרו במשותף לביהמ"ש להטיל על הנאשם עונש של 20 חודשי מאסר בניכוי ימי מעצרו, וכן הוסכם כי התביעה תעתור להטלת מאסר על-תנאי וקנס, וההגנה תטען ביחס לרכיבים אלו באופן חופשי.</w:t>
      </w:r>
    </w:p>
    <w:p w14:paraId="094F35CA" w14:textId="77777777" w:rsidR="00950F57" w:rsidRDefault="00950F57">
      <w:pPr>
        <w:spacing w:line="360" w:lineRule="auto"/>
        <w:jc w:val="both"/>
        <w:rPr>
          <w:rFonts w:ascii="Arial" w:hAnsi="Arial"/>
          <w:sz w:val="20"/>
          <w:szCs w:val="20"/>
          <w:rtl/>
        </w:rPr>
      </w:pPr>
    </w:p>
    <w:p w14:paraId="3ECF47CC" w14:textId="77777777" w:rsidR="00950F57" w:rsidRDefault="00E44A9F">
      <w:pPr>
        <w:spacing w:line="360" w:lineRule="auto"/>
        <w:jc w:val="both"/>
        <w:rPr>
          <w:rFonts w:ascii="Arial" w:hAnsi="Arial"/>
          <w:rtl/>
        </w:rPr>
      </w:pPr>
      <w:r>
        <w:rPr>
          <w:rFonts w:ascii="Arial" w:hAnsi="Arial" w:hint="cs"/>
          <w:sz w:val="28"/>
          <w:szCs w:val="28"/>
          <w:rtl/>
        </w:rPr>
        <w:t>ג.</w:t>
      </w:r>
      <w:r>
        <w:rPr>
          <w:rFonts w:ascii="Arial" w:hAnsi="Arial" w:hint="cs"/>
          <w:sz w:val="28"/>
          <w:szCs w:val="28"/>
          <w:rtl/>
        </w:rPr>
        <w:tab/>
      </w:r>
      <w:r>
        <w:rPr>
          <w:rFonts w:ascii="Arial" w:hAnsi="Arial" w:hint="cs"/>
          <w:b/>
          <w:bCs/>
          <w:sz w:val="28"/>
          <w:szCs w:val="28"/>
          <w:u w:val="single"/>
          <w:rtl/>
        </w:rPr>
        <w:t>טיעוני ב"כ הצדדים</w:t>
      </w:r>
    </w:p>
    <w:p w14:paraId="3102268A" w14:textId="77777777" w:rsidR="00950F57" w:rsidRDefault="00E44A9F">
      <w:pPr>
        <w:spacing w:line="360" w:lineRule="auto"/>
        <w:ind w:left="1440" w:hanging="630"/>
        <w:jc w:val="both"/>
        <w:rPr>
          <w:rFonts w:ascii="Arial" w:hAnsi="Arial"/>
          <w:rtl/>
        </w:rPr>
      </w:pPr>
      <w:r>
        <w:rPr>
          <w:rFonts w:ascii="Arial" w:hAnsi="Arial" w:hint="cs"/>
          <w:rtl/>
        </w:rPr>
        <w:t>4</w:t>
      </w:r>
      <w:r>
        <w:rPr>
          <w:rFonts w:ascii="Arial" w:hAnsi="Arial" w:hint="cs"/>
          <w:rtl/>
        </w:rPr>
        <w:tab/>
        <w:t xml:space="preserve">ב"כ המאשימה עתרה לביהמ"ש לכבד את הסדר הטיעון בעניין הטלת המאסר בפועל, וזאת נוכח חומרת העבירה </w:t>
      </w:r>
      <w:r>
        <w:rPr>
          <w:rFonts w:ascii="Arial" w:hAnsi="Arial"/>
          <w:rtl/>
        </w:rPr>
        <w:t>–</w:t>
      </w:r>
      <w:r>
        <w:rPr>
          <w:rFonts w:ascii="Arial" w:hAnsi="Arial" w:hint="cs"/>
          <w:rtl/>
        </w:rPr>
        <w:t xml:space="preserve"> סיוע לאחרים לבצע עסקת מכר של חומר נפץ תוך שהנאשם משמש חוליה מקשרת שאין בלתה.</w:t>
      </w:r>
    </w:p>
    <w:p w14:paraId="3A8D5646" w14:textId="77777777" w:rsidR="00950F57" w:rsidRDefault="00950F57">
      <w:pPr>
        <w:spacing w:line="360" w:lineRule="auto"/>
        <w:ind w:left="1440" w:hanging="630"/>
        <w:jc w:val="both"/>
        <w:rPr>
          <w:rFonts w:ascii="Arial" w:hAnsi="Arial"/>
          <w:rtl/>
        </w:rPr>
      </w:pPr>
    </w:p>
    <w:p w14:paraId="5B33829C" w14:textId="77777777" w:rsidR="00950F57" w:rsidRDefault="00E44A9F">
      <w:pPr>
        <w:spacing w:line="360" w:lineRule="auto"/>
        <w:ind w:left="1440" w:hanging="630"/>
        <w:jc w:val="both"/>
        <w:rPr>
          <w:rFonts w:ascii="Arial" w:hAnsi="Arial"/>
          <w:rtl/>
        </w:rPr>
      </w:pPr>
      <w:r>
        <w:rPr>
          <w:rFonts w:ascii="Arial" w:hAnsi="Arial" w:hint="cs"/>
          <w:rtl/>
        </w:rPr>
        <w:tab/>
        <w:t xml:space="preserve">ב"כ המאשימה הוסיפה וציינה, כי הסכנה הנובעת מחומר הנפץ כשאין לדעת איזה אופן שימוש ייעשה בו, וכאשר קיים סיכון פוטנציאלי לפגיעה באזרחים </w:t>
      </w:r>
      <w:r>
        <w:rPr>
          <w:rFonts w:ascii="Arial" w:hAnsi="Arial"/>
          <w:rtl/>
        </w:rPr>
        <w:t>–</w:t>
      </w:r>
      <w:r>
        <w:rPr>
          <w:rFonts w:ascii="Arial" w:hAnsi="Arial" w:hint="cs"/>
          <w:rtl/>
        </w:rPr>
        <w:t xml:space="preserve"> מצדיקה הטלת עונש מאסר משמעותי מאחורי סורג ובריח, גם אם בסופו של דבר, במקרה דנן, לא נגרם כל נזק.</w:t>
      </w:r>
    </w:p>
    <w:p w14:paraId="622689F0" w14:textId="77777777" w:rsidR="00950F57" w:rsidRDefault="00950F57">
      <w:pPr>
        <w:spacing w:line="360" w:lineRule="auto"/>
        <w:ind w:left="1440" w:hanging="630"/>
        <w:jc w:val="both"/>
        <w:rPr>
          <w:rFonts w:ascii="Arial" w:hAnsi="Arial"/>
          <w:sz w:val="20"/>
          <w:szCs w:val="20"/>
          <w:rtl/>
        </w:rPr>
      </w:pPr>
    </w:p>
    <w:p w14:paraId="7B86B245" w14:textId="77777777" w:rsidR="00950F57" w:rsidRDefault="00E44A9F">
      <w:pPr>
        <w:spacing w:line="360" w:lineRule="auto"/>
        <w:ind w:left="1440" w:hanging="630"/>
        <w:jc w:val="both"/>
        <w:rPr>
          <w:rFonts w:ascii="Arial" w:hAnsi="Arial"/>
          <w:rtl/>
        </w:rPr>
      </w:pPr>
      <w:r>
        <w:rPr>
          <w:rFonts w:ascii="Arial" w:hAnsi="Arial" w:hint="cs"/>
          <w:rtl/>
        </w:rPr>
        <w:tab/>
        <w:t>עוד ציינה ב"כ המאשימה כי המאשימה שקלה את הודאתו המהירה של הנאשם ונטילת האחריות על-ידו, כמו גם היעדר עבר פלילי, ועל-כן היא עותרת רק ל-20 חודשי מאסר. ברם, לדעת התביעה יש מקום להטיל מאסר על-תנאי מרתיע שיהיה תלוי כחרב מהפכת מעל ראשו של הנאשם, ואף הקנס המבוקש על-ידה כרכיב ענישה אמור להרתיעו.</w:t>
      </w:r>
    </w:p>
    <w:p w14:paraId="79720B75" w14:textId="77777777" w:rsidR="00950F57" w:rsidRDefault="00950F57">
      <w:pPr>
        <w:spacing w:line="360" w:lineRule="auto"/>
        <w:ind w:left="1440" w:hanging="630"/>
        <w:jc w:val="both"/>
        <w:rPr>
          <w:rFonts w:ascii="Arial" w:hAnsi="Arial"/>
          <w:sz w:val="20"/>
          <w:szCs w:val="20"/>
          <w:rtl/>
        </w:rPr>
      </w:pPr>
    </w:p>
    <w:p w14:paraId="272E743A" w14:textId="77777777" w:rsidR="00950F57" w:rsidRDefault="00E44A9F">
      <w:pPr>
        <w:spacing w:line="360" w:lineRule="auto"/>
        <w:ind w:left="1440" w:hanging="630"/>
        <w:jc w:val="both"/>
        <w:rPr>
          <w:rFonts w:ascii="Arial" w:hAnsi="Arial"/>
          <w:rtl/>
        </w:rPr>
      </w:pPr>
      <w:r>
        <w:rPr>
          <w:rFonts w:ascii="Arial" w:hAnsi="Arial" w:hint="cs"/>
          <w:rtl/>
        </w:rPr>
        <w:t>5.</w:t>
      </w:r>
      <w:r>
        <w:rPr>
          <w:rFonts w:ascii="Arial" w:hAnsi="Arial" w:hint="cs"/>
          <w:rtl/>
        </w:rPr>
        <w:tab/>
        <w:t>ב"כ הנאשם עתרה אף היא לביהמ"ש לכבד את הסדר הטיעון בעניין עונש המאסר. היא הדגישה כי מרשה איננו העבריין העיקרי בפרשה, והוא לא היה היוזם או המתכנן, ועבור התיווך שביצע הוא לא קיבל כל תמורה.</w:t>
      </w:r>
    </w:p>
    <w:p w14:paraId="3C2D9E20" w14:textId="77777777" w:rsidR="00950F57" w:rsidRDefault="00E44A9F">
      <w:pPr>
        <w:spacing w:line="360" w:lineRule="auto"/>
        <w:ind w:left="1440" w:hanging="630"/>
        <w:jc w:val="both"/>
        <w:rPr>
          <w:rFonts w:ascii="Arial" w:hAnsi="Arial"/>
          <w:rtl/>
        </w:rPr>
      </w:pPr>
      <w:r>
        <w:rPr>
          <w:rFonts w:ascii="Arial" w:hAnsi="Arial" w:hint="cs"/>
          <w:rtl/>
        </w:rPr>
        <w:tab/>
        <w:t>ב"כ הנאשם הוסיפה וציינה, כי כתוצאה מהאירוע נשוא כתב האישום דנן לא נגרם בסופו של יום כל נזק.</w:t>
      </w:r>
    </w:p>
    <w:p w14:paraId="3D180F49" w14:textId="77777777" w:rsidR="00950F57" w:rsidRDefault="00E44A9F">
      <w:pPr>
        <w:spacing w:line="360" w:lineRule="auto"/>
        <w:ind w:left="1440" w:hanging="630"/>
        <w:jc w:val="both"/>
        <w:rPr>
          <w:rFonts w:ascii="Arial" w:hAnsi="Arial"/>
          <w:rtl/>
        </w:rPr>
      </w:pPr>
      <w:r>
        <w:rPr>
          <w:rFonts w:ascii="Arial" w:hAnsi="Arial" w:hint="cs"/>
          <w:rtl/>
        </w:rPr>
        <w:tab/>
        <w:t xml:space="preserve">באשר להטלת הקנס </w:t>
      </w:r>
      <w:r>
        <w:rPr>
          <w:rFonts w:ascii="Arial" w:hAnsi="Arial"/>
          <w:rtl/>
        </w:rPr>
        <w:t>–</w:t>
      </w:r>
      <w:r>
        <w:rPr>
          <w:rFonts w:ascii="Arial" w:hAnsi="Arial" w:hint="cs"/>
          <w:rtl/>
        </w:rPr>
        <w:t xml:space="preserve"> היא עתרה שלא יוטל עליו כל עונש כלכלי מכביד, שכן משפחתו נאבקת בקשיי פרנסה ובעיות בריאותיות, ועול הקנס ייפול על כתפיה, שהרי הנאשם יישלח למאסר. לטענתה, הטלת קנס יכולה אף להביא לכך שהנאשם ייאלץ להתמודד עם חוב שיתפח במהלך מאסרו. ב"כ הנאשם הדגישה כי למרשה לא הייתה כל מודעות לאשר התרחש בסופו של דבר עם חומר הנפץ. </w:t>
      </w:r>
    </w:p>
    <w:p w14:paraId="5F0F3F4E" w14:textId="77777777" w:rsidR="00950F57" w:rsidRDefault="00E44A9F">
      <w:pPr>
        <w:spacing w:line="360" w:lineRule="auto"/>
        <w:ind w:left="1440" w:hanging="630"/>
        <w:jc w:val="both"/>
        <w:rPr>
          <w:rFonts w:ascii="Arial" w:hAnsi="Arial"/>
          <w:rtl/>
        </w:rPr>
      </w:pPr>
      <w:r>
        <w:rPr>
          <w:rFonts w:ascii="Arial" w:hAnsi="Arial" w:hint="cs"/>
          <w:rtl/>
        </w:rPr>
        <w:tab/>
        <w:t>עוד לדבריה, די בענישה של מאסר שתוטל על הנאשם, ואין צורך להוסיף עליה רכיבי ענישה אחרים.</w:t>
      </w:r>
    </w:p>
    <w:p w14:paraId="66FC80BB" w14:textId="77777777" w:rsidR="00950F57" w:rsidRDefault="00950F57">
      <w:pPr>
        <w:spacing w:line="360" w:lineRule="auto"/>
        <w:ind w:left="1440" w:hanging="630"/>
        <w:jc w:val="both"/>
        <w:rPr>
          <w:rFonts w:ascii="Arial" w:hAnsi="Arial"/>
          <w:sz w:val="20"/>
          <w:szCs w:val="20"/>
          <w:rtl/>
        </w:rPr>
      </w:pPr>
    </w:p>
    <w:p w14:paraId="7FE36743" w14:textId="77777777" w:rsidR="00950F57" w:rsidRDefault="00E44A9F">
      <w:pPr>
        <w:spacing w:line="360" w:lineRule="auto"/>
        <w:ind w:left="1440" w:hanging="630"/>
        <w:jc w:val="both"/>
        <w:rPr>
          <w:rFonts w:ascii="Arial" w:hAnsi="Arial"/>
          <w:rtl/>
        </w:rPr>
      </w:pPr>
      <w:r>
        <w:rPr>
          <w:rFonts w:ascii="Arial" w:hAnsi="Arial" w:hint="cs"/>
          <w:rtl/>
        </w:rPr>
        <w:t>6.</w:t>
      </w:r>
      <w:r>
        <w:rPr>
          <w:rFonts w:ascii="Arial" w:hAnsi="Arial" w:hint="cs"/>
          <w:rtl/>
        </w:rPr>
        <w:tab/>
        <w:t xml:space="preserve">ב"כ הנאשם הפנתה לאסופת פסיקה, לפיה, אף מי שהורשע עפ"י הודאתו בניסיון לסחר בנשק (בצד סחר בסמים) וניסה למכור אקדח (לא תקין ושאינו טעון רישוי) לסוכנת משטרתית סמויה, ושירות המבחן נמנע מהמלצה טיפולית בעניינו </w:t>
      </w:r>
      <w:r>
        <w:rPr>
          <w:rFonts w:ascii="Arial" w:hAnsi="Arial"/>
          <w:rtl/>
        </w:rPr>
        <w:t>–</w:t>
      </w:r>
      <w:r>
        <w:rPr>
          <w:rFonts w:ascii="Arial" w:hAnsi="Arial" w:hint="cs"/>
          <w:rtl/>
        </w:rPr>
        <w:t xml:space="preserve"> נדון </w:t>
      </w:r>
      <w:r>
        <w:rPr>
          <w:rFonts w:ascii="Arial" w:hAnsi="Arial" w:hint="cs"/>
          <w:rtl/>
        </w:rPr>
        <w:lastRenderedPageBreak/>
        <w:t>לעונש מאסר בן 14 חודשים (</w:t>
      </w:r>
      <w:hyperlink r:id="rId13" w:history="1">
        <w:r w:rsidRPr="00E44A9F">
          <w:rPr>
            <w:rFonts w:ascii="Arial" w:hAnsi="Arial"/>
            <w:color w:val="0000FF"/>
            <w:u w:val="single"/>
            <w:rtl/>
          </w:rPr>
          <w:t>ת"פ 1601-08-09</w:t>
        </w:r>
      </w:hyperlink>
      <w:r>
        <w:rPr>
          <w:rFonts w:ascii="Arial" w:hAnsi="Arial" w:hint="cs"/>
          <w:b/>
          <w:bCs/>
          <w:rtl/>
        </w:rPr>
        <w:t xml:space="preserve"> </w:t>
      </w:r>
      <w:r>
        <w:rPr>
          <w:rFonts w:ascii="Arial" w:hAnsi="Arial" w:hint="cs"/>
          <w:rtl/>
        </w:rPr>
        <w:t xml:space="preserve">[מחוזי חיפה] </w:t>
      </w:r>
      <w:r>
        <w:rPr>
          <w:rFonts w:ascii="Arial" w:hAnsi="Arial" w:hint="cs"/>
          <w:b/>
          <w:bCs/>
          <w:rtl/>
        </w:rPr>
        <w:t xml:space="preserve">מדינת ישראל נ' אמיר סגס </w:t>
      </w:r>
      <w:r>
        <w:rPr>
          <w:rFonts w:ascii="Arial" w:hAnsi="Arial" w:hint="cs"/>
          <w:rtl/>
        </w:rPr>
        <w:t>[פורסם בנבו, 27.1.07]).</w:t>
      </w:r>
    </w:p>
    <w:p w14:paraId="51FD73AB" w14:textId="77777777" w:rsidR="00950F57" w:rsidRDefault="00E44A9F">
      <w:pPr>
        <w:spacing w:line="360" w:lineRule="auto"/>
        <w:ind w:left="1440" w:hanging="630"/>
        <w:jc w:val="both"/>
        <w:rPr>
          <w:rFonts w:ascii="Arial" w:hAnsi="Arial"/>
          <w:sz w:val="20"/>
          <w:szCs w:val="20"/>
          <w:rtl/>
        </w:rPr>
      </w:pPr>
      <w:r>
        <w:rPr>
          <w:rFonts w:ascii="Arial" w:hAnsi="Arial" w:hint="cs"/>
          <w:rtl/>
        </w:rPr>
        <w:tab/>
      </w:r>
    </w:p>
    <w:p w14:paraId="034B4A8E" w14:textId="77777777" w:rsidR="00950F57" w:rsidRDefault="00E44A9F">
      <w:pPr>
        <w:spacing w:line="360" w:lineRule="auto"/>
        <w:ind w:left="1440" w:hanging="630"/>
        <w:jc w:val="both"/>
        <w:rPr>
          <w:rFonts w:ascii="Arial" w:hAnsi="Arial"/>
          <w:rtl/>
        </w:rPr>
      </w:pPr>
      <w:r>
        <w:rPr>
          <w:rFonts w:ascii="Arial" w:hAnsi="Arial" w:hint="cs"/>
          <w:rtl/>
        </w:rPr>
        <w:tab/>
        <w:t>ב</w:t>
      </w:r>
      <w:hyperlink r:id="rId14" w:history="1">
        <w:r w:rsidRPr="00E44A9F">
          <w:rPr>
            <w:rFonts w:ascii="Arial" w:hAnsi="Arial"/>
            <w:color w:val="0000FF"/>
            <w:u w:val="single"/>
            <w:rtl/>
          </w:rPr>
          <w:t>ע"פ 116/13</w:t>
        </w:r>
      </w:hyperlink>
      <w:r>
        <w:rPr>
          <w:rFonts w:ascii="Arial" w:hAnsi="Arial" w:hint="cs"/>
          <w:rtl/>
        </w:rPr>
        <w:t xml:space="preserve"> </w:t>
      </w:r>
      <w:r>
        <w:rPr>
          <w:rFonts w:ascii="Arial" w:hAnsi="Arial" w:hint="cs"/>
          <w:b/>
          <w:bCs/>
          <w:rtl/>
        </w:rPr>
        <w:t xml:space="preserve">מאור וקנין נ' מדינת ישראל </w:t>
      </w:r>
      <w:r>
        <w:rPr>
          <w:rFonts w:ascii="Arial" w:hAnsi="Arial" w:hint="cs"/>
          <w:rtl/>
        </w:rPr>
        <w:t>(פורסם בנבו, 31.7.13), שם הורשע נאשם עפ"י הודאתו בהובלת מטען חבלה מאולתר ופגז זיקוקים, ואלו נמסרו לעבריין תמורת 1,000 ₪, אף שם הוסכם ע"י נציגת המדינה שהמערער איננו העבריין העיקרי באותה פרשה, והוא נדון ל-7 חודשי מאסר, 12 חודשי מאסר על-תנאי וקנס בסך 15,000 ₪, הנאשם אחר באותה פרשה שהורשע בעבירה זהה נדון ל-17 חודשי מאסר בפועל.</w:t>
      </w:r>
    </w:p>
    <w:p w14:paraId="7A77DE7B" w14:textId="77777777" w:rsidR="00950F57" w:rsidRDefault="00950F57">
      <w:pPr>
        <w:spacing w:line="360" w:lineRule="auto"/>
        <w:ind w:left="1440" w:hanging="630"/>
        <w:jc w:val="both"/>
        <w:rPr>
          <w:rFonts w:ascii="Arial" w:hAnsi="Arial"/>
          <w:sz w:val="20"/>
          <w:szCs w:val="20"/>
          <w:rtl/>
        </w:rPr>
      </w:pPr>
    </w:p>
    <w:p w14:paraId="639F1E07" w14:textId="77777777" w:rsidR="00950F57" w:rsidRDefault="00E44A9F">
      <w:pPr>
        <w:spacing w:line="360" w:lineRule="auto"/>
        <w:ind w:left="1440" w:hanging="630"/>
        <w:jc w:val="both"/>
        <w:rPr>
          <w:rFonts w:ascii="Arial" w:hAnsi="Arial"/>
          <w:rtl/>
        </w:rPr>
      </w:pPr>
      <w:r>
        <w:rPr>
          <w:rFonts w:ascii="Arial" w:hAnsi="Arial" w:hint="cs"/>
          <w:rtl/>
        </w:rPr>
        <w:tab/>
        <w:t>ב</w:t>
      </w:r>
      <w:hyperlink r:id="rId15" w:history="1">
        <w:r w:rsidRPr="00E44A9F">
          <w:rPr>
            <w:rFonts w:ascii="Arial" w:hAnsi="Arial"/>
            <w:color w:val="0000FF"/>
            <w:u w:val="single"/>
            <w:rtl/>
          </w:rPr>
          <w:t>ת"פ [מחוזי חיפה] 4168/05</w:t>
        </w:r>
      </w:hyperlink>
      <w:r>
        <w:rPr>
          <w:rFonts w:ascii="Arial" w:hAnsi="Arial" w:hint="cs"/>
          <w:b/>
          <w:bCs/>
          <w:rtl/>
        </w:rPr>
        <w:t xml:space="preserve"> מדינת ישראל נ' עבדאללה אבו סמרה ואח'</w:t>
      </w:r>
      <w:r>
        <w:rPr>
          <w:rFonts w:ascii="Arial" w:hAnsi="Arial" w:hint="cs"/>
          <w:rtl/>
        </w:rPr>
        <w:t xml:space="preserve"> (פורסם בנבו, 30.4.06) הורשעו נאשמים עפ"י הודאתם בכך שקשרו קשר לפוצץ רכב של אחר על רקע סכסוך משפחתי, הרכיבו מטען חבלה, ואחד מהם בדק את תקינות פעילותו והצית אותו, ולאחר שהחלה האש לבעור, כיבו את האש והשליכו את בלון הגז מחוץ לדירתם. הם נדונו במסגרת הסדר טיעון ל-8 חודשי מאסר בפועל ו-12 חודשי מאסר על-תנאי.</w:t>
      </w:r>
    </w:p>
    <w:p w14:paraId="6A4FE15C" w14:textId="77777777" w:rsidR="00950F57" w:rsidRDefault="00950F57">
      <w:pPr>
        <w:spacing w:line="360" w:lineRule="auto"/>
        <w:ind w:left="1440" w:hanging="630"/>
        <w:jc w:val="both"/>
        <w:rPr>
          <w:rFonts w:ascii="Arial" w:hAnsi="Arial"/>
          <w:rtl/>
        </w:rPr>
      </w:pPr>
    </w:p>
    <w:p w14:paraId="15857911" w14:textId="77777777" w:rsidR="00950F57" w:rsidRDefault="00E44A9F">
      <w:pPr>
        <w:spacing w:line="360" w:lineRule="auto"/>
        <w:jc w:val="both"/>
        <w:rPr>
          <w:rFonts w:ascii="Arial" w:hAnsi="Arial"/>
          <w:b/>
          <w:bCs/>
          <w:sz w:val="28"/>
          <w:szCs w:val="28"/>
          <w:u w:val="single"/>
          <w:rtl/>
        </w:rPr>
      </w:pPr>
      <w:r>
        <w:rPr>
          <w:rFonts w:ascii="Arial" w:hAnsi="Arial" w:hint="cs"/>
          <w:sz w:val="28"/>
          <w:szCs w:val="28"/>
          <w:rtl/>
        </w:rPr>
        <w:t>ד.</w:t>
      </w:r>
      <w:r>
        <w:rPr>
          <w:rFonts w:ascii="Arial" w:hAnsi="Arial" w:hint="cs"/>
          <w:sz w:val="28"/>
          <w:szCs w:val="28"/>
          <w:rtl/>
        </w:rPr>
        <w:tab/>
        <w:t xml:space="preserve"> </w:t>
      </w:r>
      <w:r>
        <w:rPr>
          <w:rFonts w:ascii="Arial" w:hAnsi="Arial" w:hint="cs"/>
          <w:b/>
          <w:bCs/>
          <w:sz w:val="28"/>
          <w:szCs w:val="28"/>
          <w:u w:val="single"/>
          <w:rtl/>
        </w:rPr>
        <w:t>דברי הנאשם</w:t>
      </w:r>
    </w:p>
    <w:p w14:paraId="3C823135" w14:textId="77777777" w:rsidR="00950F57" w:rsidRDefault="00E44A9F">
      <w:pPr>
        <w:spacing w:line="360" w:lineRule="auto"/>
        <w:jc w:val="both"/>
        <w:rPr>
          <w:rFonts w:ascii="Arial" w:hAnsi="Arial"/>
          <w:sz w:val="28"/>
          <w:szCs w:val="28"/>
          <w:rtl/>
        </w:rPr>
      </w:pPr>
      <w:r>
        <w:rPr>
          <w:rFonts w:ascii="Arial" w:hAnsi="Arial" w:hint="cs"/>
          <w:sz w:val="28"/>
          <w:szCs w:val="28"/>
          <w:rtl/>
        </w:rPr>
        <w:tab/>
        <w:t xml:space="preserve"> </w:t>
      </w:r>
    </w:p>
    <w:p w14:paraId="69A68249" w14:textId="77777777" w:rsidR="00950F57" w:rsidRDefault="00E44A9F">
      <w:pPr>
        <w:spacing w:line="360" w:lineRule="auto"/>
        <w:ind w:left="1440" w:hanging="630"/>
        <w:jc w:val="both"/>
        <w:rPr>
          <w:rFonts w:ascii="Arial" w:hAnsi="Arial"/>
          <w:rtl/>
        </w:rPr>
      </w:pPr>
      <w:r>
        <w:rPr>
          <w:rFonts w:ascii="Arial" w:hAnsi="Arial" w:hint="cs"/>
          <w:rtl/>
        </w:rPr>
        <w:t>7.</w:t>
      </w:r>
      <w:r>
        <w:rPr>
          <w:rFonts w:ascii="Arial" w:hAnsi="Arial" w:hint="cs"/>
          <w:rtl/>
        </w:rPr>
        <w:tab/>
        <w:t>הנאשם נשא דברו וטען כי הוא הודה במיוחס לו, והוא מקבל עליו את העונש שיוטל. לשאלות ביהמ"ש לא הצליח הנאשם להסביר לא לעצמו ולא לביהמ"ש הכיצד פעל כפי שפעל על אף שלא קיבל כל תמורה ולמרות ששירת שירות צבאי מלא, עשה "טובה" מסוג זה לחבר.</w:t>
      </w:r>
    </w:p>
    <w:p w14:paraId="33E12807" w14:textId="77777777" w:rsidR="00950F57" w:rsidRDefault="00950F57">
      <w:pPr>
        <w:spacing w:line="360" w:lineRule="auto"/>
        <w:jc w:val="both"/>
        <w:rPr>
          <w:rFonts w:ascii="Arial" w:hAnsi="Arial"/>
          <w:sz w:val="20"/>
          <w:szCs w:val="20"/>
          <w:rtl/>
        </w:rPr>
      </w:pPr>
    </w:p>
    <w:p w14:paraId="5FC95188" w14:textId="77777777" w:rsidR="00950F57" w:rsidRDefault="00E44A9F">
      <w:pPr>
        <w:spacing w:line="360" w:lineRule="auto"/>
        <w:jc w:val="both"/>
        <w:rPr>
          <w:rFonts w:ascii="Arial" w:hAnsi="Arial"/>
          <w:rtl/>
        </w:rPr>
      </w:pPr>
      <w:r>
        <w:rPr>
          <w:rFonts w:ascii="Arial" w:hAnsi="Arial" w:hint="cs"/>
          <w:sz w:val="28"/>
          <w:szCs w:val="28"/>
          <w:rtl/>
        </w:rPr>
        <w:t>ה.</w:t>
      </w:r>
      <w:r>
        <w:rPr>
          <w:rFonts w:ascii="Arial" w:hAnsi="Arial" w:hint="cs"/>
          <w:sz w:val="28"/>
          <w:szCs w:val="28"/>
          <w:rtl/>
        </w:rPr>
        <w:tab/>
      </w:r>
      <w:r>
        <w:rPr>
          <w:rFonts w:ascii="Arial" w:hAnsi="Arial" w:hint="cs"/>
          <w:b/>
          <w:bCs/>
          <w:sz w:val="28"/>
          <w:szCs w:val="28"/>
          <w:u w:val="single"/>
          <w:rtl/>
        </w:rPr>
        <w:t>דיון</w:t>
      </w:r>
    </w:p>
    <w:p w14:paraId="4949C910" w14:textId="77777777" w:rsidR="00950F57" w:rsidRDefault="00950F57">
      <w:pPr>
        <w:spacing w:line="360" w:lineRule="auto"/>
        <w:jc w:val="both"/>
        <w:rPr>
          <w:rFonts w:ascii="Arial" w:hAnsi="Arial"/>
          <w:sz w:val="20"/>
          <w:szCs w:val="20"/>
          <w:rtl/>
        </w:rPr>
      </w:pPr>
    </w:p>
    <w:p w14:paraId="2EB351EA" w14:textId="77777777" w:rsidR="00950F57" w:rsidRDefault="00E44A9F">
      <w:pPr>
        <w:spacing w:line="360" w:lineRule="auto"/>
        <w:ind w:left="1440" w:hanging="630"/>
        <w:jc w:val="both"/>
        <w:rPr>
          <w:rFonts w:ascii="Arial" w:hAnsi="Arial"/>
          <w:rtl/>
        </w:rPr>
      </w:pPr>
      <w:r>
        <w:rPr>
          <w:rFonts w:ascii="Arial" w:hAnsi="Arial" w:hint="cs"/>
          <w:rtl/>
        </w:rPr>
        <w:t>8.</w:t>
      </w:r>
      <w:r>
        <w:rPr>
          <w:rFonts w:ascii="Arial" w:hAnsi="Arial" w:hint="cs"/>
          <w:rtl/>
        </w:rPr>
        <w:tab/>
        <w:t xml:space="preserve">אין צורך להכביר במילים לגבי עבירות הקשורות לחומר נפץ ונשק, ולא ניתן להמעיט מחומרתן. </w:t>
      </w:r>
    </w:p>
    <w:p w14:paraId="305A5573" w14:textId="77777777" w:rsidR="00950F57" w:rsidRDefault="00E44A9F">
      <w:pPr>
        <w:spacing w:line="360" w:lineRule="auto"/>
        <w:ind w:left="1440"/>
        <w:jc w:val="both"/>
        <w:rPr>
          <w:rFonts w:ascii="Arial" w:hAnsi="Arial"/>
          <w:rtl/>
        </w:rPr>
      </w:pPr>
      <w:r>
        <w:rPr>
          <w:rFonts w:ascii="Arial" w:hAnsi="Arial" w:hint="cs"/>
          <w:rtl/>
        </w:rPr>
        <w:t>עבירות אלו מסכנות את שלומו וביטחונו של הציבור, שכן חומרתן אינה מסתכמת רק במה שאירע בפועל, אלא בסיכון הפוטנציאלי הטמון בחומר המגיע לידיים עוינות או לידיים עברייניות, ואלו אינן מהססות להשתמש בו מבלי להתחשב במה שיקרה לאזרחים תמימים.</w:t>
      </w:r>
    </w:p>
    <w:p w14:paraId="148CF5A5" w14:textId="77777777" w:rsidR="00950F57" w:rsidRDefault="00E44A9F">
      <w:pPr>
        <w:spacing w:line="360" w:lineRule="auto"/>
        <w:ind w:left="1440"/>
        <w:jc w:val="both"/>
        <w:rPr>
          <w:rFonts w:ascii="Arial" w:hAnsi="Arial"/>
          <w:rtl/>
        </w:rPr>
      </w:pPr>
      <w:r>
        <w:rPr>
          <w:rFonts w:ascii="Arial" w:hAnsi="Arial" w:hint="cs"/>
          <w:rtl/>
        </w:rPr>
        <w:t xml:space="preserve">יחד עם זאת, כפי שציינתי בהחלטתי המורה על תיקון כתב האישום, לא היה קשר בין הנאשם שבפני ובין הגורמים הנוספים אליהם התגלגל חומר הנפץ מאדם אלגזי. לנאשם אין עבר פלילי והוא לא קיבל תמורה עבור המעשה. </w:t>
      </w:r>
    </w:p>
    <w:p w14:paraId="7EB87EBF" w14:textId="77777777" w:rsidR="00950F57" w:rsidRDefault="00950F57">
      <w:pPr>
        <w:spacing w:line="360" w:lineRule="auto"/>
        <w:jc w:val="both"/>
        <w:rPr>
          <w:rFonts w:ascii="Arial" w:hAnsi="Arial"/>
          <w:sz w:val="20"/>
          <w:szCs w:val="20"/>
          <w:rtl/>
        </w:rPr>
      </w:pPr>
    </w:p>
    <w:p w14:paraId="06E3745B" w14:textId="77777777" w:rsidR="00950F57" w:rsidRDefault="00E44A9F">
      <w:pPr>
        <w:spacing w:line="360" w:lineRule="auto"/>
        <w:ind w:left="1440" w:hanging="630"/>
        <w:jc w:val="both"/>
        <w:rPr>
          <w:rFonts w:ascii="Arial" w:hAnsi="Arial"/>
          <w:sz w:val="20"/>
          <w:szCs w:val="20"/>
          <w:rtl/>
        </w:rPr>
      </w:pPr>
      <w:r>
        <w:rPr>
          <w:rFonts w:ascii="Arial" w:hAnsi="Arial" w:hint="cs"/>
          <w:rtl/>
        </w:rPr>
        <w:t>9.</w:t>
      </w:r>
      <w:r>
        <w:rPr>
          <w:rFonts w:ascii="Arial" w:hAnsi="Arial" w:hint="cs"/>
          <w:rtl/>
        </w:rPr>
        <w:tab/>
        <w:t>הנאשם שבפני הינו הראשון המודה בפרשה זו, וזאת במסגרת הסדר טיעון לפיו תוקן כתב האישום ע"י המרת העבירה מ-עשיית עסקה בנשק ל-סיוע לעשיית עסקה בנשק (מחצית העונש הקבוע בחוק), ובאי-כוח הצדדים הגיעו להסדר טיעון לעניין עונש המאסר.</w:t>
      </w:r>
    </w:p>
    <w:p w14:paraId="5EF36A0C" w14:textId="77777777" w:rsidR="00950F57" w:rsidRDefault="00950F57">
      <w:pPr>
        <w:spacing w:line="360" w:lineRule="auto"/>
        <w:ind w:left="1440" w:hanging="630"/>
        <w:jc w:val="both"/>
        <w:rPr>
          <w:rFonts w:ascii="Arial" w:hAnsi="Arial"/>
          <w:sz w:val="20"/>
          <w:szCs w:val="20"/>
          <w:rtl/>
        </w:rPr>
      </w:pPr>
    </w:p>
    <w:p w14:paraId="3B3847E5" w14:textId="77777777" w:rsidR="00950F57" w:rsidRDefault="00E44A9F">
      <w:pPr>
        <w:spacing w:line="360" w:lineRule="auto"/>
        <w:ind w:left="1440" w:hanging="630"/>
        <w:jc w:val="both"/>
        <w:rPr>
          <w:rFonts w:ascii="Arial" w:hAnsi="Arial"/>
          <w:b/>
          <w:bCs/>
          <w:rtl/>
        </w:rPr>
      </w:pPr>
      <w:r>
        <w:rPr>
          <w:rFonts w:ascii="Arial" w:hAnsi="Arial" w:hint="cs"/>
          <w:rtl/>
        </w:rPr>
        <w:t>10.</w:t>
      </w:r>
      <w:r>
        <w:rPr>
          <w:rFonts w:ascii="Arial" w:hAnsi="Arial" w:hint="cs"/>
          <w:rtl/>
        </w:rPr>
        <w:tab/>
      </w:r>
      <w:r>
        <w:rPr>
          <w:rFonts w:ascii="Arial" w:hAnsi="Arial" w:hint="cs"/>
          <w:b/>
          <w:bCs/>
          <w:rtl/>
        </w:rPr>
        <w:t>הבניית שיקול הדעת השיפוטי בענישה-</w:t>
      </w:r>
    </w:p>
    <w:p w14:paraId="792AE77E" w14:textId="77777777" w:rsidR="00950F57" w:rsidRDefault="00E44A9F">
      <w:pPr>
        <w:spacing w:line="360" w:lineRule="auto"/>
        <w:ind w:left="1440"/>
        <w:jc w:val="both"/>
        <w:rPr>
          <w:rFonts w:ascii="Arial" w:hAnsi="Arial"/>
          <w:rtl/>
        </w:rPr>
      </w:pPr>
      <w:r>
        <w:rPr>
          <w:rFonts w:ascii="Arial" w:hAnsi="Arial" w:hint="cs"/>
          <w:rtl/>
        </w:rPr>
        <w:t>עסקינן בהסדר טיעון הכולל הסכמה על ענישה מוסכמת המוצעת לביהמ"ש.</w:t>
      </w:r>
    </w:p>
    <w:p w14:paraId="7DFFBBAA" w14:textId="77777777" w:rsidR="00950F57" w:rsidRDefault="00E44A9F">
      <w:pPr>
        <w:spacing w:line="360" w:lineRule="auto"/>
        <w:ind w:left="1440" w:hanging="630"/>
        <w:jc w:val="both"/>
        <w:rPr>
          <w:rFonts w:ascii="Arial" w:hAnsi="Arial"/>
          <w:rtl/>
        </w:rPr>
      </w:pPr>
      <w:r>
        <w:rPr>
          <w:rFonts w:ascii="Arial" w:hAnsi="Arial" w:hint="cs"/>
          <w:rtl/>
        </w:rPr>
        <w:tab/>
        <w:t>תיקון 113 לא קבע במפורש מהו היחס הראוי שבין מתחם הענישה לבין הסדרי טיעון, ונושא זה הושאר מחוץ לתיקון 113 על-מנת שילובן ויגובש במסגרת החוק שיעסוק בהסדרי טיעון ככאלה ונמצא עתה בדיונים בפני ועדת חוקה, חוק ומשפט של הכנסת על בסיס הצעת חוק, סדר הדין הפלילי (תיקון מס' 65) (הסדר טיעון) התש"ע-2010.</w:t>
      </w:r>
    </w:p>
    <w:p w14:paraId="56CF625E" w14:textId="77777777" w:rsidR="00950F57" w:rsidRDefault="00E44A9F">
      <w:pPr>
        <w:spacing w:line="360" w:lineRule="auto"/>
        <w:ind w:left="1440" w:hanging="630"/>
        <w:jc w:val="both"/>
        <w:rPr>
          <w:rFonts w:ascii="Arial" w:hAnsi="Arial"/>
          <w:rtl/>
        </w:rPr>
      </w:pPr>
      <w:r>
        <w:rPr>
          <w:rFonts w:ascii="Arial" w:hAnsi="Arial" w:hint="cs"/>
          <w:rtl/>
        </w:rPr>
        <w:tab/>
        <w:t>היחס שבין מנגנון גזירת העונש שנקבע במסגרת תיקון 113 ל</w:t>
      </w:r>
      <w:hyperlink r:id="rId16" w:history="1">
        <w:r w:rsidRPr="00E44A9F">
          <w:rPr>
            <w:rFonts w:ascii="Arial" w:hAnsi="Arial"/>
            <w:color w:val="0000FF"/>
            <w:u w:val="single"/>
            <w:rtl/>
          </w:rPr>
          <w:t>חוק העונשין</w:t>
        </w:r>
      </w:hyperlink>
      <w:r>
        <w:rPr>
          <w:rFonts w:ascii="Arial" w:hAnsi="Arial" w:hint="cs"/>
          <w:rtl/>
        </w:rPr>
        <w:t xml:space="preserve"> לבין המנגנון הדיוני של הסדרי הטיעון נדון ב</w:t>
      </w:r>
      <w:hyperlink r:id="rId17" w:history="1">
        <w:r w:rsidRPr="00E44A9F">
          <w:rPr>
            <w:rFonts w:ascii="Arial" w:hAnsi="Arial"/>
            <w:color w:val="0000FF"/>
            <w:u w:val="single"/>
            <w:rtl/>
          </w:rPr>
          <w:t>ע"פ 512/13</w:t>
        </w:r>
      </w:hyperlink>
      <w:r>
        <w:rPr>
          <w:rFonts w:ascii="Arial" w:hAnsi="Arial" w:hint="cs"/>
          <w:rtl/>
        </w:rPr>
        <w:t xml:space="preserve"> </w:t>
      </w:r>
      <w:r>
        <w:rPr>
          <w:rFonts w:ascii="Arial" w:hAnsi="Arial" w:hint="cs"/>
          <w:b/>
          <w:bCs/>
          <w:rtl/>
        </w:rPr>
        <w:t>פלוני נ' מדינת ישראל</w:t>
      </w:r>
      <w:r>
        <w:rPr>
          <w:rFonts w:ascii="Arial" w:hAnsi="Arial" w:hint="cs"/>
          <w:rtl/>
        </w:rPr>
        <w:t xml:space="preserve"> (פורסם במאגרים, 30.9.13) משם נלמד כי מדובר בשני מנגנונים מקבילים בעיקרם שבבסיס כל אחד יסודות ייחודיים לו:</w:t>
      </w:r>
    </w:p>
    <w:p w14:paraId="6CFD827E" w14:textId="77777777" w:rsidR="00950F57" w:rsidRDefault="00E44A9F">
      <w:pPr>
        <w:spacing w:line="360" w:lineRule="auto"/>
        <w:ind w:left="2160" w:right="720"/>
        <w:jc w:val="both"/>
        <w:rPr>
          <w:rFonts w:ascii="Arial" w:hAnsi="Arial"/>
          <w:rtl/>
        </w:rPr>
      </w:pPr>
      <w:r>
        <w:rPr>
          <w:rFonts w:ascii="Arial" w:hAnsi="Arial" w:hint="cs"/>
          <w:rtl/>
        </w:rPr>
        <w:t>"</w:t>
      </w:r>
      <w:r>
        <w:rPr>
          <w:rFonts w:ascii="Arial" w:hAnsi="Arial" w:hint="cs"/>
          <w:b/>
          <w:bCs/>
          <w:rtl/>
        </w:rPr>
        <w:t xml:space="preserve">הסדר טיעון במסגרתו נקבע לעתים טווח ענישה מוסכם, הינו הסכם בין רשויות התביעה לבין נאשם, כאשר בית המשפט איננו, כידוע, צד להסכם זה... הסדר טיעון מביא לידי ביטוי, בין היתר, את שיקולי רשויות התביעה כגון: אינטרס הציבור בענישה הולמת ומהירה למעשי עבירה, חסכון במשאבים, קשיים ראייתיים, נסיבות ספציפיות לקולא וכו'. אל מול שיקולים אלו של רשויות התביעה עומדים שיקוליו של הנאשם, המגיע להסדר עם רשויות התביעה, בין השאר בשל הרצון להביא להפחתה באישומים, או כדי להביא להקלה בעונש, או כדי להימנע מניהול הליך ארוך ויקר שלא לצורך... אין מדובר בהכרח ברשימה ממצה, אך ליבת העניין ברורה: שני הצדדים </w:t>
      </w:r>
      <w:r>
        <w:rPr>
          <w:rFonts w:ascii="Arial" w:hAnsi="Arial"/>
          <w:b/>
          <w:bCs/>
          <w:rtl/>
        </w:rPr>
        <w:t>–</w:t>
      </w:r>
      <w:r>
        <w:rPr>
          <w:rFonts w:ascii="Arial" w:hAnsi="Arial" w:hint="cs"/>
          <w:b/>
          <w:bCs/>
          <w:rtl/>
        </w:rPr>
        <w:t xml:space="preserve"> כל אחד משיקוליו שלו </w:t>
      </w:r>
      <w:r>
        <w:rPr>
          <w:rFonts w:ascii="Arial" w:hAnsi="Arial"/>
          <w:b/>
          <w:bCs/>
          <w:rtl/>
        </w:rPr>
        <w:t>–</w:t>
      </w:r>
      <w:r>
        <w:rPr>
          <w:rFonts w:ascii="Arial" w:hAnsi="Arial" w:hint="cs"/>
          <w:b/>
          <w:bCs/>
          <w:rtl/>
        </w:rPr>
        <w:t xml:space="preserve"> מגיע להסדר עם הצד השני כדי לקדם את האינטרסים הנראים חשובים בעיניו. נכון הוא כי להסדר טיעון, כהסכם המסדיר הרשעה בפלילים, יש מאפיינים יחודיים בהשוואה לחוזים אחרים... אך במהות מדובר בהסכמה בין מי שהם צדדים לדיון משפטי, על המאפיינים המיוחדים שיש בכך לנוכח השיטה המשפטית הרלבנטית. לראיה </w:t>
      </w:r>
      <w:r>
        <w:rPr>
          <w:rFonts w:ascii="Arial" w:hAnsi="Arial"/>
          <w:b/>
          <w:bCs/>
          <w:rtl/>
        </w:rPr>
        <w:t>–</w:t>
      </w:r>
      <w:r>
        <w:rPr>
          <w:rFonts w:ascii="Arial" w:hAnsi="Arial" w:hint="cs"/>
          <w:b/>
          <w:bCs/>
          <w:rtl/>
        </w:rPr>
        <w:t xml:space="preserve"> השכיחות הגבוהה של הסדרי טיעון מאפיינת בעיקר שיטות משפט אדברסריות, בהן הכוח הנתון לצדדים להשפיע על התנהלות ההליך </w:t>
      </w:r>
      <w:r>
        <w:rPr>
          <w:rFonts w:ascii="Arial" w:hAnsi="Arial"/>
          <w:b/>
          <w:bCs/>
          <w:rtl/>
        </w:rPr>
        <w:t>–</w:t>
      </w:r>
      <w:r>
        <w:rPr>
          <w:rFonts w:ascii="Arial" w:hAnsi="Arial" w:hint="cs"/>
          <w:b/>
          <w:bCs/>
          <w:rtl/>
        </w:rPr>
        <w:t xml:space="preserve"> גדול יותר באופן יחסי...</w:t>
      </w:r>
      <w:r>
        <w:rPr>
          <w:rFonts w:ascii="Arial" w:hAnsi="Arial" w:hint="cs"/>
          <w:rtl/>
        </w:rPr>
        <w:t>" (השופט מלצר, שם, עמ' 11).</w:t>
      </w:r>
    </w:p>
    <w:p w14:paraId="54840D83" w14:textId="77777777" w:rsidR="00950F57" w:rsidRDefault="00950F57">
      <w:pPr>
        <w:spacing w:line="360" w:lineRule="auto"/>
        <w:ind w:left="1440" w:hanging="630"/>
        <w:jc w:val="both"/>
        <w:rPr>
          <w:rFonts w:ascii="Arial" w:hAnsi="Arial"/>
          <w:sz w:val="20"/>
          <w:szCs w:val="20"/>
          <w:rtl/>
        </w:rPr>
      </w:pPr>
    </w:p>
    <w:p w14:paraId="6907509A" w14:textId="77777777" w:rsidR="00950F57" w:rsidRDefault="00E44A9F">
      <w:pPr>
        <w:spacing w:line="360" w:lineRule="auto"/>
        <w:ind w:left="1440"/>
        <w:jc w:val="both"/>
        <w:rPr>
          <w:rFonts w:ascii="Arial" w:hAnsi="Arial"/>
          <w:rtl/>
        </w:rPr>
      </w:pPr>
      <w:r>
        <w:rPr>
          <w:rFonts w:ascii="Arial" w:hAnsi="Arial" w:hint="cs"/>
          <w:rtl/>
        </w:rPr>
        <w:t>על רקע זה נאמר בהמשך, כי:</w:t>
      </w:r>
    </w:p>
    <w:p w14:paraId="58AC0101" w14:textId="77777777" w:rsidR="00950F57" w:rsidRDefault="00E44A9F">
      <w:pPr>
        <w:spacing w:line="360" w:lineRule="auto"/>
        <w:ind w:left="2160" w:right="720"/>
        <w:jc w:val="both"/>
        <w:rPr>
          <w:rFonts w:ascii="Arial" w:hAnsi="Arial"/>
          <w:b/>
          <w:bCs/>
          <w:rtl/>
        </w:rPr>
      </w:pPr>
      <w:r>
        <w:rPr>
          <w:rFonts w:ascii="Arial" w:hAnsi="Arial" w:hint="cs"/>
          <w:rtl/>
        </w:rPr>
        <w:t>"</w:t>
      </w:r>
      <w:r>
        <w:rPr>
          <w:rFonts w:ascii="Arial" w:hAnsi="Arial" w:hint="cs"/>
          <w:b/>
          <w:bCs/>
          <w:rtl/>
        </w:rPr>
        <w:t xml:space="preserve">טווח ענישה מוסכם במסגרת הסדר טיעון </w:t>
      </w:r>
      <w:r>
        <w:rPr>
          <w:rFonts w:ascii="Arial" w:hAnsi="Arial"/>
          <w:b/>
          <w:bCs/>
          <w:rtl/>
        </w:rPr>
        <w:t>–</w:t>
      </w:r>
      <w:r>
        <w:rPr>
          <w:rFonts w:ascii="Arial" w:hAnsi="Arial" w:hint="cs"/>
          <w:b/>
          <w:bCs/>
          <w:rtl/>
        </w:rPr>
        <w:t xml:space="preserve"> שונה ממתחם הענישה בשני מובנים עיקריים :</w:t>
      </w:r>
    </w:p>
    <w:p w14:paraId="59AF7421" w14:textId="77777777" w:rsidR="00950F57" w:rsidRDefault="00E44A9F">
      <w:pPr>
        <w:spacing w:line="360" w:lineRule="auto"/>
        <w:ind w:left="2880" w:right="720" w:hanging="720"/>
        <w:jc w:val="both"/>
        <w:rPr>
          <w:rFonts w:ascii="Arial" w:hAnsi="Arial"/>
          <w:b/>
          <w:bCs/>
          <w:rtl/>
        </w:rPr>
      </w:pPr>
      <w:r>
        <w:rPr>
          <w:rFonts w:ascii="Arial" w:hAnsi="Arial" w:hint="cs"/>
          <w:b/>
          <w:bCs/>
          <w:rtl/>
        </w:rPr>
        <w:t>(א)</w:t>
      </w:r>
      <w:r>
        <w:rPr>
          <w:rFonts w:ascii="Arial" w:hAnsi="Arial" w:hint="cs"/>
          <w:b/>
          <w:bCs/>
          <w:rtl/>
        </w:rPr>
        <w:tab/>
        <w:t xml:space="preserve">ברמה המבנית </w:t>
      </w:r>
      <w:r>
        <w:rPr>
          <w:rFonts w:ascii="Arial" w:hAnsi="Arial"/>
          <w:b/>
          <w:bCs/>
          <w:rtl/>
        </w:rPr>
        <w:t>–</w:t>
      </w:r>
      <w:r>
        <w:rPr>
          <w:rFonts w:ascii="Arial" w:hAnsi="Arial" w:hint="cs"/>
          <w:b/>
          <w:bCs/>
          <w:rtl/>
        </w:rPr>
        <w:t xml:space="preserve"> טווח ענישה מוסכם בהסדר טיעון נקבע על ידי הצדדים, בעוד שמתחם ענישה נקבע על ידי בית המשפט, בעקבות הנחיות המחוקק.</w:t>
      </w:r>
    </w:p>
    <w:p w14:paraId="3B06FDFD" w14:textId="77777777" w:rsidR="00950F57" w:rsidRDefault="00E44A9F">
      <w:pPr>
        <w:spacing w:line="360" w:lineRule="auto"/>
        <w:ind w:left="2880" w:right="720" w:hanging="720"/>
        <w:jc w:val="both"/>
        <w:rPr>
          <w:rFonts w:ascii="Arial" w:hAnsi="Arial"/>
          <w:rtl/>
        </w:rPr>
      </w:pPr>
      <w:r>
        <w:rPr>
          <w:rFonts w:ascii="Arial" w:hAnsi="Arial" w:hint="cs"/>
          <w:b/>
          <w:bCs/>
          <w:rtl/>
        </w:rPr>
        <w:t>(ב)</w:t>
      </w:r>
      <w:r>
        <w:rPr>
          <w:rFonts w:ascii="Arial" w:hAnsi="Arial" w:hint="cs"/>
          <w:b/>
          <w:bCs/>
          <w:rtl/>
        </w:rPr>
        <w:tab/>
        <w:t xml:space="preserve">ברמה המהותית </w:t>
      </w:r>
      <w:r>
        <w:rPr>
          <w:rFonts w:ascii="Arial" w:hAnsi="Arial"/>
          <w:b/>
          <w:bCs/>
          <w:rtl/>
        </w:rPr>
        <w:t>–</w:t>
      </w:r>
      <w:r>
        <w:rPr>
          <w:rFonts w:ascii="Arial" w:hAnsi="Arial" w:hint="cs"/>
          <w:b/>
          <w:bCs/>
          <w:rtl/>
        </w:rPr>
        <w:t xml:space="preserve"> טווח ענישה מוסכם בהסדר טיעון הוא תוצאה של מיצוי כוח המיקוח של כל אחד מהצדדים להליך, בשים לב לכלל נסיבות התיק ולכן הוא משקף בעיקר את האינטרסים המידיים של שני הצדדים (תוך התחשבות בעובדה כי רשויות התביעה מייצגות אינטרס ציבורי רחב יותר)</w:t>
      </w:r>
      <w:r>
        <w:rPr>
          <w:rFonts w:ascii="Arial" w:hAnsi="Arial" w:hint="cs"/>
          <w:rtl/>
        </w:rPr>
        <w:t>" (שם, עמ' 12-13).</w:t>
      </w:r>
    </w:p>
    <w:p w14:paraId="164AB13F" w14:textId="77777777" w:rsidR="00950F57" w:rsidRDefault="00950F57">
      <w:pPr>
        <w:spacing w:line="360" w:lineRule="auto"/>
        <w:ind w:right="720"/>
        <w:jc w:val="both"/>
        <w:rPr>
          <w:rFonts w:ascii="Arial" w:hAnsi="Arial"/>
          <w:b/>
          <w:bCs/>
          <w:rtl/>
        </w:rPr>
      </w:pPr>
    </w:p>
    <w:p w14:paraId="4A7E8BA9" w14:textId="77777777" w:rsidR="00950F57" w:rsidRDefault="00E44A9F">
      <w:pPr>
        <w:spacing w:line="360" w:lineRule="auto"/>
        <w:ind w:right="720"/>
        <w:jc w:val="both"/>
        <w:rPr>
          <w:rFonts w:ascii="Arial" w:hAnsi="Arial"/>
          <w:rtl/>
        </w:rPr>
      </w:pPr>
      <w:r>
        <w:rPr>
          <w:rFonts w:ascii="Arial" w:hAnsi="Arial" w:hint="cs"/>
          <w:rtl/>
        </w:rPr>
        <w:tab/>
      </w:r>
      <w:r>
        <w:rPr>
          <w:rFonts w:ascii="Arial" w:hAnsi="Arial" w:hint="cs"/>
          <w:rtl/>
        </w:rPr>
        <w:tab/>
        <w:t>פועל יוצא מכל האמור לעיל:</w:t>
      </w:r>
    </w:p>
    <w:p w14:paraId="73C0C110" w14:textId="77777777" w:rsidR="00950F57" w:rsidRDefault="00E44A9F">
      <w:pPr>
        <w:spacing w:line="360" w:lineRule="auto"/>
        <w:ind w:left="2160" w:right="720"/>
        <w:jc w:val="both"/>
        <w:rPr>
          <w:rFonts w:ascii="Arial" w:hAnsi="Arial"/>
          <w:rtl/>
        </w:rPr>
      </w:pPr>
      <w:r>
        <w:rPr>
          <w:rFonts w:ascii="Arial" w:hAnsi="Arial" w:hint="cs"/>
          <w:rtl/>
        </w:rPr>
        <w:t>"</w:t>
      </w:r>
      <w:r>
        <w:rPr>
          <w:rFonts w:ascii="Arial" w:hAnsi="Arial" w:hint="cs"/>
          <w:b/>
          <w:bCs/>
          <w:rtl/>
        </w:rPr>
        <w:t xml:space="preserve">... כאשר נקבע טווח ענישה מוסכם בהסדר טיעון (בו בעת שמתחם הענישה רחב, כמובן, יותר) </w:t>
      </w:r>
      <w:r>
        <w:rPr>
          <w:rFonts w:ascii="Arial" w:hAnsi="Arial"/>
          <w:b/>
          <w:bCs/>
          <w:rtl/>
        </w:rPr>
        <w:t>–</w:t>
      </w:r>
      <w:r>
        <w:rPr>
          <w:rFonts w:ascii="Arial" w:hAnsi="Arial" w:hint="cs"/>
          <w:b/>
          <w:bCs/>
          <w:rtl/>
        </w:rPr>
        <w:t xml:space="preserve"> עדיין בית המשפט, אם הוא מקבל את הסדר הטיעון, צריך לפסוק, ככלל, במסגרת טווח הענישה המוסכם (עד גבול קצוותיו), ולא בהטיה כלשהי ל"רצפה" או ל"תקרה" שמעבר לו, המותווים במתחם הענישה</w:t>
      </w:r>
      <w:r>
        <w:rPr>
          <w:rFonts w:ascii="Arial" w:hAnsi="Arial" w:hint="cs"/>
          <w:rtl/>
        </w:rPr>
        <w:t>".</w:t>
      </w:r>
    </w:p>
    <w:p w14:paraId="44BB6784" w14:textId="77777777" w:rsidR="00950F57" w:rsidRDefault="00950F57">
      <w:pPr>
        <w:spacing w:line="360" w:lineRule="auto"/>
        <w:ind w:left="1440" w:hanging="630"/>
        <w:jc w:val="both"/>
        <w:rPr>
          <w:rFonts w:ascii="Arial" w:hAnsi="Arial"/>
          <w:rtl/>
        </w:rPr>
      </w:pPr>
    </w:p>
    <w:p w14:paraId="647F1196" w14:textId="77777777" w:rsidR="00950F57" w:rsidRDefault="00950F57">
      <w:pPr>
        <w:spacing w:line="360" w:lineRule="auto"/>
        <w:ind w:left="1440" w:hanging="630"/>
        <w:jc w:val="both"/>
        <w:rPr>
          <w:rFonts w:ascii="Arial" w:hAnsi="Arial"/>
          <w:rtl/>
        </w:rPr>
      </w:pPr>
    </w:p>
    <w:p w14:paraId="79D29123" w14:textId="77777777" w:rsidR="00950F57" w:rsidRDefault="00E44A9F">
      <w:pPr>
        <w:spacing w:line="360" w:lineRule="auto"/>
        <w:ind w:left="1440" w:hanging="630"/>
        <w:jc w:val="both"/>
        <w:rPr>
          <w:rFonts w:ascii="Arial" w:hAnsi="Arial"/>
          <w:rtl/>
        </w:rPr>
      </w:pPr>
      <w:r>
        <w:rPr>
          <w:rFonts w:ascii="Arial" w:hAnsi="Arial" w:hint="cs"/>
          <w:rtl/>
        </w:rPr>
        <w:t>11.</w:t>
      </w:r>
      <w:r>
        <w:rPr>
          <w:rFonts w:ascii="Arial" w:hAnsi="Arial" w:hint="cs"/>
          <w:rtl/>
        </w:rPr>
        <w:tab/>
        <w:t>לאחר ששקלתי את הטיעונים לחומרא לעומת השיקולים לקולא, הגעתי למסקנה שבמסגרת הסדר הטיעון בתיק דנן לא נפגע האינטרס הציבורי, ואני מטילה על הנאשם כדלקמן:</w:t>
      </w:r>
    </w:p>
    <w:p w14:paraId="1E16F044" w14:textId="77777777" w:rsidR="00950F57" w:rsidRDefault="00950F57">
      <w:pPr>
        <w:spacing w:line="360" w:lineRule="auto"/>
        <w:ind w:left="1440" w:hanging="630"/>
        <w:jc w:val="both"/>
        <w:rPr>
          <w:rFonts w:ascii="Arial" w:hAnsi="Arial"/>
          <w:sz w:val="20"/>
          <w:szCs w:val="20"/>
          <w:rtl/>
        </w:rPr>
      </w:pPr>
    </w:p>
    <w:p w14:paraId="710C209D" w14:textId="77777777" w:rsidR="00950F57" w:rsidRDefault="00E44A9F">
      <w:pPr>
        <w:spacing w:line="360" w:lineRule="auto"/>
        <w:ind w:left="1440" w:hanging="630"/>
        <w:jc w:val="both"/>
        <w:rPr>
          <w:rFonts w:ascii="Arial" w:hAnsi="Arial"/>
          <w:rtl/>
        </w:rPr>
      </w:pPr>
      <w:r>
        <w:rPr>
          <w:rFonts w:ascii="Arial" w:hAnsi="Arial" w:hint="cs"/>
          <w:rtl/>
        </w:rPr>
        <w:tab/>
        <w:t>א)</w:t>
      </w:r>
      <w:r>
        <w:rPr>
          <w:rFonts w:ascii="Arial" w:hAnsi="Arial" w:hint="cs"/>
          <w:rtl/>
        </w:rPr>
        <w:tab/>
        <w:t xml:space="preserve"> 20 חודשי מאסר החל מיום מעצרו בתאריך 6.8.2013.</w:t>
      </w:r>
    </w:p>
    <w:p w14:paraId="794C24E9" w14:textId="77777777" w:rsidR="00950F57" w:rsidRDefault="00950F57">
      <w:pPr>
        <w:spacing w:line="360" w:lineRule="auto"/>
        <w:ind w:left="1440" w:hanging="630"/>
        <w:jc w:val="both"/>
        <w:rPr>
          <w:rFonts w:ascii="Arial" w:hAnsi="Arial"/>
          <w:sz w:val="20"/>
          <w:szCs w:val="20"/>
          <w:rtl/>
        </w:rPr>
      </w:pPr>
    </w:p>
    <w:p w14:paraId="793104D7" w14:textId="77777777" w:rsidR="00950F57" w:rsidRDefault="00E44A9F">
      <w:pPr>
        <w:spacing w:line="360" w:lineRule="auto"/>
        <w:ind w:left="2160" w:hanging="720"/>
        <w:jc w:val="both"/>
        <w:rPr>
          <w:rFonts w:ascii="Arial" w:hAnsi="Arial"/>
          <w:rtl/>
        </w:rPr>
      </w:pPr>
      <w:r>
        <w:rPr>
          <w:rFonts w:ascii="Arial" w:hAnsi="Arial" w:hint="cs"/>
          <w:rtl/>
        </w:rPr>
        <w:t>ב)</w:t>
      </w:r>
      <w:r>
        <w:rPr>
          <w:rFonts w:ascii="Arial" w:hAnsi="Arial" w:hint="cs"/>
          <w:rtl/>
        </w:rPr>
        <w:tab/>
        <w:t xml:space="preserve">15 חודשי מאסר על-תנאי, והתנאי הוא שלא יעבור העבירה בה הורשע או כל עבירה לפי </w:t>
      </w:r>
      <w:hyperlink r:id="rId18" w:history="1">
        <w:r w:rsidR="00E350A1" w:rsidRPr="00E350A1">
          <w:rPr>
            <w:rFonts w:ascii="Arial" w:hAnsi="Arial"/>
            <w:color w:val="0000FF"/>
            <w:u w:val="single"/>
            <w:rtl/>
          </w:rPr>
          <w:t>סעיף 144</w:t>
        </w:r>
      </w:hyperlink>
      <w:r>
        <w:rPr>
          <w:rFonts w:ascii="Arial" w:hAnsi="Arial" w:hint="cs"/>
          <w:rtl/>
        </w:rPr>
        <w:t xml:space="preserve"> ל</w:t>
      </w:r>
      <w:hyperlink r:id="rId19" w:history="1">
        <w:r w:rsidRPr="00E44A9F">
          <w:rPr>
            <w:rFonts w:ascii="Arial" w:hAnsi="Arial"/>
            <w:color w:val="0000FF"/>
            <w:u w:val="single"/>
            <w:rtl/>
          </w:rPr>
          <w:t>חוק העונשין</w:t>
        </w:r>
      </w:hyperlink>
      <w:r>
        <w:rPr>
          <w:rFonts w:ascii="Arial" w:hAnsi="Arial" w:hint="cs"/>
          <w:rtl/>
        </w:rPr>
        <w:t>, וזאת תוך 3 שנים מיום שחרורו ממאסר.</w:t>
      </w:r>
    </w:p>
    <w:p w14:paraId="6893923B" w14:textId="77777777" w:rsidR="00950F57" w:rsidRDefault="00950F57">
      <w:pPr>
        <w:spacing w:line="360" w:lineRule="auto"/>
        <w:ind w:left="2160" w:hanging="720"/>
        <w:jc w:val="both"/>
        <w:rPr>
          <w:rFonts w:ascii="Arial" w:hAnsi="Arial"/>
          <w:sz w:val="20"/>
          <w:szCs w:val="20"/>
          <w:rtl/>
        </w:rPr>
      </w:pPr>
    </w:p>
    <w:p w14:paraId="005DD175" w14:textId="77777777" w:rsidR="00950F57" w:rsidRDefault="00950F57">
      <w:pPr>
        <w:spacing w:line="360" w:lineRule="auto"/>
        <w:ind w:left="2160" w:hanging="720"/>
        <w:jc w:val="both"/>
        <w:rPr>
          <w:rFonts w:ascii="Arial" w:hAnsi="Arial"/>
          <w:sz w:val="20"/>
          <w:szCs w:val="20"/>
          <w:rtl/>
        </w:rPr>
      </w:pPr>
    </w:p>
    <w:p w14:paraId="2A3917D3" w14:textId="77777777" w:rsidR="00950F57" w:rsidRDefault="00950F57">
      <w:pPr>
        <w:spacing w:line="360" w:lineRule="auto"/>
        <w:ind w:left="2160" w:hanging="720"/>
        <w:jc w:val="both"/>
        <w:rPr>
          <w:rFonts w:ascii="Arial" w:hAnsi="Arial"/>
          <w:sz w:val="20"/>
          <w:szCs w:val="20"/>
          <w:rtl/>
        </w:rPr>
      </w:pPr>
    </w:p>
    <w:p w14:paraId="6B53B478" w14:textId="77777777" w:rsidR="00950F57" w:rsidRDefault="00E44A9F">
      <w:pPr>
        <w:spacing w:line="360" w:lineRule="auto"/>
        <w:ind w:left="2160" w:hanging="720"/>
        <w:jc w:val="both"/>
        <w:rPr>
          <w:rFonts w:ascii="Arial" w:hAnsi="Arial"/>
          <w:rtl/>
        </w:rPr>
      </w:pPr>
      <w:r>
        <w:rPr>
          <w:rFonts w:ascii="Arial" w:hAnsi="Arial" w:hint="cs"/>
          <w:rtl/>
        </w:rPr>
        <w:t>ג)</w:t>
      </w:r>
      <w:r>
        <w:rPr>
          <w:rFonts w:ascii="Arial" w:hAnsi="Arial" w:hint="cs"/>
          <w:rtl/>
        </w:rPr>
        <w:tab/>
        <w:t xml:space="preserve">מאחר והטלת קנס תוטל על שכמה של משפחת הנאשם ולא עליו, שהרי הוא נשלח למאסר בפועל מאחורי סורג ובריח, על כן החלטתי שלא יוטל קנס על הנאשם, אבל הוא יחתום על התחייבות בסך 50,000 ₪ להימנע מביצוע עבירה לפי </w:t>
      </w:r>
      <w:hyperlink r:id="rId20" w:history="1">
        <w:r w:rsidR="00E350A1" w:rsidRPr="00E350A1">
          <w:rPr>
            <w:rFonts w:ascii="Arial" w:hAnsi="Arial"/>
            <w:color w:val="0000FF"/>
            <w:u w:val="single"/>
            <w:rtl/>
          </w:rPr>
          <w:t>סעיף 144</w:t>
        </w:r>
      </w:hyperlink>
      <w:r>
        <w:rPr>
          <w:rFonts w:ascii="Arial" w:hAnsi="Arial" w:hint="cs"/>
          <w:rtl/>
        </w:rPr>
        <w:t xml:space="preserve"> ל</w:t>
      </w:r>
      <w:hyperlink r:id="rId21" w:history="1">
        <w:r w:rsidRPr="00E44A9F">
          <w:rPr>
            <w:rFonts w:ascii="Arial" w:hAnsi="Arial"/>
            <w:color w:val="0000FF"/>
            <w:u w:val="single"/>
            <w:rtl/>
          </w:rPr>
          <w:t>חוק העונשין</w:t>
        </w:r>
      </w:hyperlink>
      <w:r>
        <w:rPr>
          <w:rFonts w:ascii="Arial" w:hAnsi="Arial" w:hint="cs"/>
          <w:rtl/>
        </w:rPr>
        <w:t xml:space="preserve"> תוך שנתיים מיום שחרורו ממאסר.</w:t>
      </w:r>
    </w:p>
    <w:p w14:paraId="053F5E60" w14:textId="77777777" w:rsidR="00950F57" w:rsidRDefault="00E44A9F">
      <w:pPr>
        <w:spacing w:line="360" w:lineRule="auto"/>
        <w:ind w:left="2160" w:hanging="720"/>
        <w:jc w:val="both"/>
        <w:rPr>
          <w:rFonts w:ascii="Arial" w:hAnsi="Arial"/>
          <w:rtl/>
        </w:rPr>
      </w:pPr>
      <w:r>
        <w:rPr>
          <w:rFonts w:ascii="Arial" w:hAnsi="Arial" w:hint="cs"/>
          <w:rtl/>
        </w:rPr>
        <w:tab/>
        <w:t xml:space="preserve">לא תיחתם ההתחייבות </w:t>
      </w:r>
      <w:r>
        <w:rPr>
          <w:rFonts w:ascii="Arial" w:hAnsi="Arial"/>
          <w:rtl/>
        </w:rPr>
        <w:t>–</w:t>
      </w:r>
      <w:r>
        <w:rPr>
          <w:rFonts w:ascii="Arial" w:hAnsi="Arial" w:hint="cs"/>
          <w:rtl/>
        </w:rPr>
        <w:t xml:space="preserve"> ייאסר הנאשם ל-100 ימים.</w:t>
      </w:r>
    </w:p>
    <w:p w14:paraId="6B14493C" w14:textId="77777777" w:rsidR="00950F57" w:rsidRDefault="00950F57">
      <w:pPr>
        <w:spacing w:line="360" w:lineRule="auto"/>
        <w:jc w:val="both"/>
        <w:rPr>
          <w:rFonts w:ascii="Arial" w:hAnsi="Arial"/>
          <w:sz w:val="20"/>
          <w:szCs w:val="20"/>
          <w:rtl/>
        </w:rPr>
      </w:pPr>
    </w:p>
    <w:p w14:paraId="044A8421" w14:textId="77777777" w:rsidR="00950F57" w:rsidRDefault="00E44A9F">
      <w:pPr>
        <w:spacing w:line="360" w:lineRule="auto"/>
        <w:jc w:val="both"/>
        <w:rPr>
          <w:rFonts w:ascii="Arial" w:hAnsi="Arial"/>
          <w:rtl/>
        </w:rPr>
      </w:pPr>
      <w:r>
        <w:rPr>
          <w:rFonts w:ascii="Arial" w:hAnsi="Arial" w:hint="cs"/>
          <w:rtl/>
        </w:rPr>
        <w:t>הודע לנאשם על זכותו לערער על גזר-הדין לביהמ"ש העליון, וזאת תוך 45 ימים מהיום</w:t>
      </w:r>
    </w:p>
    <w:p w14:paraId="39BB86E2" w14:textId="77777777" w:rsidR="00950F57" w:rsidRDefault="00E44A9F">
      <w:pPr>
        <w:spacing w:line="360" w:lineRule="auto"/>
        <w:ind w:left="1440" w:hanging="630"/>
        <w:jc w:val="both"/>
        <w:rPr>
          <w:rFonts w:ascii="Arial" w:hAnsi="Arial"/>
          <w:rtl/>
        </w:rPr>
      </w:pPr>
      <w:r>
        <w:rPr>
          <w:rFonts w:ascii="Arial" w:hAnsi="Arial" w:hint="cs"/>
          <w:rtl/>
        </w:rPr>
        <w:tab/>
      </w:r>
    </w:p>
    <w:p w14:paraId="6A325BF9" w14:textId="77777777" w:rsidR="00950F57" w:rsidRDefault="00E44A9F">
      <w:r>
        <w:rPr>
          <w:rFonts w:ascii="Arial" w:hAnsi="Arial"/>
          <w:b/>
          <w:bCs/>
          <w:rtl/>
        </w:rPr>
        <w:t xml:space="preserve">ניתן היום,  19 פברואר 2014, בנוכחות הצדדים.    </w:t>
      </w:r>
    </w:p>
    <w:tbl>
      <w:tblPr>
        <w:tblpPr w:leftFromText="180" w:rightFromText="180" w:vertAnchor="page" w:horzAnchor="page" w:tblpX="2218" w:tblpY="7636"/>
        <w:bidiVisual/>
        <w:tblW w:w="0" w:type="auto"/>
        <w:tblLook w:val="01E0" w:firstRow="1" w:lastRow="1" w:firstColumn="1" w:lastColumn="1" w:noHBand="0" w:noVBand="0"/>
      </w:tblPr>
      <w:tblGrid>
        <w:gridCol w:w="2708"/>
      </w:tblGrid>
      <w:tr w:rsidR="00950F57" w14:paraId="65E380A3" w14:textId="77777777">
        <w:trPr>
          <w:trHeight w:val="2157"/>
        </w:trPr>
        <w:tc>
          <w:tcPr>
            <w:tcW w:w="2708" w:type="dxa"/>
            <w:tcBorders>
              <w:top w:val="nil"/>
              <w:left w:val="nil"/>
              <w:bottom w:val="single" w:sz="4" w:space="0" w:color="auto"/>
              <w:right w:val="nil"/>
            </w:tcBorders>
            <w:vAlign w:val="center"/>
          </w:tcPr>
          <w:p w14:paraId="28FF516D" w14:textId="77777777" w:rsidR="00950F57" w:rsidRDefault="00950F57">
            <w:pPr>
              <w:jc w:val="center"/>
              <w:rPr>
                <w:rFonts w:ascii="Courier New" w:hAnsi="Courier New"/>
                <w:b/>
                <w:bCs/>
                <w:sz w:val="20"/>
                <w:szCs w:val="20"/>
              </w:rPr>
            </w:pPr>
          </w:p>
        </w:tc>
      </w:tr>
      <w:tr w:rsidR="00950F57" w14:paraId="0E8E8E91" w14:textId="77777777">
        <w:tc>
          <w:tcPr>
            <w:tcW w:w="2708" w:type="dxa"/>
            <w:tcBorders>
              <w:top w:val="single" w:sz="4" w:space="0" w:color="auto"/>
              <w:left w:val="nil"/>
              <w:bottom w:val="nil"/>
              <w:right w:val="nil"/>
            </w:tcBorders>
          </w:tcPr>
          <w:p w14:paraId="63CAD656" w14:textId="77777777" w:rsidR="00950F57" w:rsidRDefault="00E44A9F">
            <w:pPr>
              <w:jc w:val="center"/>
              <w:rPr>
                <w:rFonts w:ascii="Courier New" w:hAnsi="Courier New"/>
                <w:b/>
                <w:bCs/>
                <w:rtl/>
              </w:rPr>
            </w:pPr>
            <w:r>
              <w:rPr>
                <w:rFonts w:ascii="Courier New" w:hAnsi="Courier New" w:hint="cs"/>
                <w:b/>
                <w:bCs/>
                <w:rtl/>
              </w:rPr>
              <w:t>יהודית אמסטרדם, שופטת</w:t>
            </w:r>
          </w:p>
          <w:p w14:paraId="778D9B5F" w14:textId="77777777" w:rsidR="00950F57" w:rsidRDefault="00950F57">
            <w:pPr>
              <w:jc w:val="center"/>
              <w:rPr>
                <w:rFonts w:ascii="Courier New" w:hAnsi="Courier New"/>
                <w:b/>
                <w:bCs/>
              </w:rPr>
            </w:pPr>
          </w:p>
        </w:tc>
      </w:tr>
    </w:tbl>
    <w:p w14:paraId="0DFFF851" w14:textId="77777777" w:rsidR="00950F57" w:rsidRDefault="00E44A9F">
      <w:pPr>
        <w:bidi w:val="0"/>
        <w:jc w:val="center"/>
        <w:rPr>
          <w:rFonts w:ascii="Arial" w:hAnsi="Arial" w:cs="FrankRuehl"/>
          <w:sz w:val="28"/>
          <w:szCs w:val="28"/>
        </w:rPr>
      </w:pPr>
      <w:r>
        <w:rPr>
          <w:rFonts w:ascii="Arial" w:hAnsi="Arial" w:cs="FrankRuehl"/>
          <w:sz w:val="28"/>
          <w:szCs w:val="28"/>
        </w:rPr>
        <w:tab/>
      </w:r>
      <w:r>
        <w:rPr>
          <w:rFonts w:ascii="Arial" w:hAnsi="Arial" w:cs="FrankRuehl"/>
          <w:sz w:val="28"/>
          <w:szCs w:val="28"/>
        </w:rPr>
        <w:tab/>
      </w:r>
      <w:r>
        <w:rPr>
          <w:rFonts w:ascii="Arial" w:hAnsi="Arial" w:cs="FrankRuehl"/>
          <w:sz w:val="28"/>
          <w:szCs w:val="28"/>
        </w:rPr>
        <w:tab/>
      </w:r>
      <w:r>
        <w:rPr>
          <w:rFonts w:ascii="Arial" w:hAnsi="Arial" w:cs="FrankRuehl"/>
          <w:sz w:val="28"/>
          <w:szCs w:val="28"/>
        </w:rPr>
        <w:tab/>
      </w:r>
      <w:r>
        <w:rPr>
          <w:rFonts w:ascii="Arial" w:hAnsi="Arial" w:cs="FrankRuehl"/>
          <w:sz w:val="28"/>
          <w:szCs w:val="28"/>
        </w:rPr>
        <w:tab/>
      </w:r>
    </w:p>
    <w:p w14:paraId="2FE5F246" w14:textId="77777777" w:rsidR="00950F57" w:rsidRDefault="00950F57">
      <w:pPr>
        <w:bidi w:val="0"/>
        <w:rPr>
          <w:rFonts w:ascii="Arial" w:hAnsi="Arial" w:cs="FrankRuehl"/>
          <w:sz w:val="28"/>
          <w:szCs w:val="28"/>
        </w:rPr>
      </w:pPr>
    </w:p>
    <w:p w14:paraId="238C3FC6" w14:textId="77777777" w:rsidR="00950F57" w:rsidRDefault="00950F57">
      <w:pPr>
        <w:bidi w:val="0"/>
        <w:rPr>
          <w:rFonts w:ascii="Arial" w:hAnsi="Arial" w:cs="FrankRuehl"/>
          <w:sz w:val="28"/>
          <w:szCs w:val="28"/>
        </w:rPr>
      </w:pPr>
    </w:p>
    <w:p w14:paraId="56774853" w14:textId="77777777" w:rsidR="00950F57" w:rsidRDefault="00950F57">
      <w:pPr>
        <w:bidi w:val="0"/>
        <w:rPr>
          <w:rFonts w:ascii="Arial" w:hAnsi="Arial" w:cs="FrankRuehl"/>
          <w:sz w:val="28"/>
          <w:szCs w:val="28"/>
        </w:rPr>
      </w:pPr>
    </w:p>
    <w:p w14:paraId="391E773D" w14:textId="77777777" w:rsidR="00950F57" w:rsidRDefault="00950F57">
      <w:pPr>
        <w:bidi w:val="0"/>
        <w:rPr>
          <w:rFonts w:ascii="Arial" w:hAnsi="Arial" w:cs="FrankRuehl"/>
          <w:sz w:val="28"/>
          <w:szCs w:val="28"/>
        </w:rPr>
      </w:pPr>
    </w:p>
    <w:p w14:paraId="60D125E4" w14:textId="77777777" w:rsidR="00950F57" w:rsidRDefault="00950F57">
      <w:pPr>
        <w:bidi w:val="0"/>
        <w:rPr>
          <w:rFonts w:ascii="Arial" w:hAnsi="Arial" w:cs="FrankRuehl"/>
          <w:sz w:val="28"/>
          <w:szCs w:val="28"/>
        </w:rPr>
      </w:pPr>
    </w:p>
    <w:p w14:paraId="52A787A6" w14:textId="77777777" w:rsidR="00950F57" w:rsidRDefault="00950F57">
      <w:pPr>
        <w:bidi w:val="0"/>
        <w:rPr>
          <w:rFonts w:ascii="Arial" w:hAnsi="Arial" w:cs="FrankRuehl"/>
          <w:sz w:val="28"/>
          <w:szCs w:val="28"/>
        </w:rPr>
      </w:pPr>
    </w:p>
    <w:p w14:paraId="000BD3C2" w14:textId="77777777" w:rsidR="00950F57" w:rsidRDefault="00950F57">
      <w:pPr>
        <w:bidi w:val="0"/>
        <w:rPr>
          <w:rFonts w:ascii="Arial" w:hAnsi="Arial" w:cs="FrankRuehl"/>
          <w:sz w:val="28"/>
          <w:szCs w:val="28"/>
        </w:rPr>
      </w:pPr>
    </w:p>
    <w:p w14:paraId="60C774E5" w14:textId="77777777" w:rsidR="00950F57" w:rsidRDefault="00950F57">
      <w:pPr>
        <w:bidi w:val="0"/>
        <w:rPr>
          <w:rFonts w:ascii="Arial" w:hAnsi="Arial" w:cs="FrankRuehl"/>
          <w:sz w:val="28"/>
          <w:szCs w:val="28"/>
        </w:rPr>
      </w:pPr>
    </w:p>
    <w:p w14:paraId="5EDC509B" w14:textId="77777777" w:rsidR="00950F57" w:rsidRDefault="00950F57">
      <w:pPr>
        <w:bidi w:val="0"/>
        <w:rPr>
          <w:rFonts w:ascii="Arial" w:hAnsi="Arial" w:cs="FrankRuehl"/>
          <w:sz w:val="28"/>
          <w:szCs w:val="28"/>
        </w:rPr>
      </w:pPr>
    </w:p>
    <w:p w14:paraId="450D2280" w14:textId="77777777" w:rsidR="00950F57" w:rsidRDefault="00950F57">
      <w:pPr>
        <w:bidi w:val="0"/>
        <w:rPr>
          <w:rFonts w:ascii="Arial" w:hAnsi="Arial" w:cs="FrankRuehl"/>
          <w:sz w:val="28"/>
          <w:szCs w:val="28"/>
        </w:rPr>
      </w:pPr>
    </w:p>
    <w:p w14:paraId="23F15A53" w14:textId="77777777" w:rsidR="00950F57" w:rsidRDefault="00950F57">
      <w:pPr>
        <w:bidi w:val="0"/>
        <w:rPr>
          <w:rFonts w:ascii="Arial" w:hAnsi="Arial" w:cs="FrankRuehl"/>
          <w:sz w:val="28"/>
          <w:szCs w:val="28"/>
        </w:rPr>
      </w:pPr>
    </w:p>
    <w:p w14:paraId="7D22E31D" w14:textId="77777777" w:rsidR="00950F57" w:rsidRPr="00E44A9F" w:rsidRDefault="00E44A9F">
      <w:pPr>
        <w:bidi w:val="0"/>
        <w:rPr>
          <w:rFonts w:ascii="Arial" w:hAnsi="Arial" w:cs="FrankRuehl"/>
          <w:color w:val="FFFFFF"/>
          <w:sz w:val="2"/>
          <w:szCs w:val="2"/>
        </w:rPr>
      </w:pPr>
      <w:r w:rsidRPr="00E44A9F">
        <w:rPr>
          <w:rFonts w:ascii="Arial" w:hAnsi="Arial" w:cs="FrankRuehl"/>
          <w:color w:val="FFFFFF"/>
          <w:sz w:val="2"/>
          <w:szCs w:val="2"/>
        </w:rPr>
        <w:t>5129371</w:t>
      </w:r>
    </w:p>
    <w:p w14:paraId="3E6FBBE2" w14:textId="77777777" w:rsidR="00950F57" w:rsidRPr="00E44A9F" w:rsidRDefault="00E44A9F">
      <w:pPr>
        <w:bidi w:val="0"/>
        <w:rPr>
          <w:rFonts w:ascii="Arial" w:hAnsi="Arial" w:cs="FrankRuehl"/>
          <w:color w:val="FFFFFF"/>
          <w:sz w:val="2"/>
          <w:szCs w:val="2"/>
        </w:rPr>
      </w:pPr>
      <w:r w:rsidRPr="00E44A9F">
        <w:rPr>
          <w:rFonts w:ascii="Arial" w:hAnsi="Arial" w:cs="FrankRuehl"/>
          <w:color w:val="FFFFFF"/>
          <w:sz w:val="2"/>
          <w:szCs w:val="2"/>
        </w:rPr>
        <w:t>54678313</w:t>
      </w:r>
    </w:p>
    <w:p w14:paraId="5F8799C0" w14:textId="77777777" w:rsidR="00950F57" w:rsidRDefault="00950F57">
      <w:pPr>
        <w:bidi w:val="0"/>
        <w:rPr>
          <w:rFonts w:ascii="Arial" w:hAnsi="Arial" w:cs="FrankRuehl"/>
          <w:sz w:val="28"/>
          <w:szCs w:val="28"/>
        </w:rPr>
      </w:pPr>
    </w:p>
    <w:p w14:paraId="702253FB" w14:textId="77777777" w:rsidR="00950F57" w:rsidRDefault="00950F57">
      <w:pPr>
        <w:bidi w:val="0"/>
        <w:rPr>
          <w:rFonts w:ascii="Arial" w:hAnsi="Arial" w:cs="FrankRuehl"/>
          <w:sz w:val="28"/>
          <w:szCs w:val="28"/>
        </w:rPr>
      </w:pPr>
    </w:p>
    <w:p w14:paraId="6FFCC056" w14:textId="77777777" w:rsidR="00950F57" w:rsidRDefault="00950F57">
      <w:pPr>
        <w:bidi w:val="0"/>
        <w:rPr>
          <w:rFonts w:ascii="Arial" w:hAnsi="Arial" w:cs="FrankRuehl"/>
          <w:sz w:val="28"/>
          <w:szCs w:val="28"/>
        </w:rPr>
      </w:pPr>
    </w:p>
    <w:p w14:paraId="4E6BA2B2" w14:textId="77777777" w:rsidR="00950F57" w:rsidRDefault="00E44A9F">
      <w:pPr>
        <w:tabs>
          <w:tab w:val="left" w:pos="7680"/>
        </w:tabs>
        <w:bidi w:val="0"/>
        <w:rPr>
          <w:rFonts w:ascii="Arial" w:hAnsi="Arial" w:cs="FrankRuehl"/>
          <w:sz w:val="28"/>
          <w:szCs w:val="28"/>
          <w:rtl/>
        </w:rPr>
      </w:pPr>
      <w:r>
        <w:rPr>
          <w:rFonts w:ascii="Arial" w:hAnsi="Arial" w:cs="FrankRuehl"/>
          <w:sz w:val="28"/>
          <w:szCs w:val="28"/>
        </w:rPr>
        <w:tab/>
      </w:r>
    </w:p>
    <w:p w14:paraId="124D5F75" w14:textId="77777777" w:rsidR="00E44A9F" w:rsidRPr="00E44A9F" w:rsidRDefault="00E44A9F" w:rsidP="00E44A9F">
      <w:pPr>
        <w:keepNext/>
        <w:rPr>
          <w:rFonts w:ascii="David" w:hAnsi="David"/>
          <w:color w:val="000000"/>
          <w:sz w:val="22"/>
          <w:szCs w:val="22"/>
          <w:rtl/>
        </w:rPr>
      </w:pPr>
    </w:p>
    <w:p w14:paraId="3D53C859" w14:textId="77777777" w:rsidR="00E44A9F" w:rsidRPr="00E44A9F" w:rsidRDefault="00E44A9F" w:rsidP="00E44A9F">
      <w:pPr>
        <w:keepNext/>
        <w:rPr>
          <w:rFonts w:ascii="David" w:hAnsi="David"/>
          <w:color w:val="000000"/>
          <w:sz w:val="22"/>
          <w:szCs w:val="22"/>
          <w:rtl/>
        </w:rPr>
      </w:pPr>
      <w:r w:rsidRPr="00E44A9F">
        <w:rPr>
          <w:rFonts w:ascii="David" w:hAnsi="David"/>
          <w:color w:val="000000"/>
          <w:sz w:val="22"/>
          <w:szCs w:val="22"/>
          <w:rtl/>
        </w:rPr>
        <w:t>יהודית אמסטרדם 54678313</w:t>
      </w:r>
    </w:p>
    <w:p w14:paraId="5239C4B0" w14:textId="77777777" w:rsidR="00E44A9F" w:rsidRDefault="00E44A9F" w:rsidP="00E44A9F">
      <w:r w:rsidRPr="00E44A9F">
        <w:rPr>
          <w:color w:val="000000"/>
          <w:rtl/>
        </w:rPr>
        <w:t>נוסח מסמך זה כפוף לשינויי ניסוח ועריכה</w:t>
      </w:r>
    </w:p>
    <w:p w14:paraId="0D3B8349" w14:textId="77777777" w:rsidR="00E44A9F" w:rsidRDefault="00E44A9F" w:rsidP="00E44A9F">
      <w:pPr>
        <w:rPr>
          <w:rtl/>
        </w:rPr>
      </w:pPr>
    </w:p>
    <w:p w14:paraId="3F2837D9" w14:textId="77777777" w:rsidR="00E44A9F" w:rsidRDefault="00E44A9F" w:rsidP="00E44A9F">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04F35FBF" w14:textId="77777777" w:rsidR="00950F57" w:rsidRPr="00E44A9F" w:rsidRDefault="00950F57" w:rsidP="00E44A9F">
      <w:pPr>
        <w:jc w:val="center"/>
        <w:rPr>
          <w:color w:val="0000FF"/>
          <w:u w:val="single"/>
        </w:rPr>
      </w:pPr>
    </w:p>
    <w:sectPr w:rsidR="00950F57" w:rsidRPr="00E44A9F" w:rsidSect="00E44A9F">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F568D" w14:textId="77777777" w:rsidR="00EF1452" w:rsidRPr="00014869" w:rsidRDefault="00EF1452">
      <w:pPr>
        <w:rPr>
          <w:rFonts w:cs="Arial"/>
          <w:szCs w:val="20"/>
        </w:rPr>
      </w:pPr>
      <w:r>
        <w:separator/>
      </w:r>
    </w:p>
  </w:endnote>
  <w:endnote w:type="continuationSeparator" w:id="0">
    <w:p w14:paraId="14EFFF4C" w14:textId="77777777" w:rsidR="00EF1452" w:rsidRPr="00014869" w:rsidRDefault="00EF145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239DE" w14:textId="77777777" w:rsidR="00E44A9F" w:rsidRDefault="00E44A9F" w:rsidP="00E44A9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B92C1CF" w14:textId="77777777" w:rsidR="00950F57" w:rsidRPr="00E44A9F" w:rsidRDefault="00E44A9F" w:rsidP="00E44A9F">
    <w:pPr>
      <w:pStyle w:val="a4"/>
      <w:pBdr>
        <w:top w:val="single" w:sz="4" w:space="1" w:color="auto"/>
        <w:between w:val="single" w:sz="4" w:space="0" w:color="auto"/>
      </w:pBdr>
      <w:spacing w:after="60"/>
      <w:jc w:val="center"/>
      <w:rPr>
        <w:rFonts w:ascii="FrankRuehl" w:hAnsi="FrankRuehl" w:cs="FrankRuehl"/>
        <w:color w:val="000000"/>
      </w:rPr>
    </w:pPr>
    <w:r w:rsidRPr="00E44A9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944D2" w14:textId="77777777" w:rsidR="00E44A9F" w:rsidRDefault="00E44A9F" w:rsidP="00E44A9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76019">
      <w:rPr>
        <w:rFonts w:ascii="FrankRuehl" w:hAnsi="FrankRuehl" w:cs="FrankRuehl"/>
        <w:noProof/>
        <w:rtl/>
      </w:rPr>
      <w:t>1</w:t>
    </w:r>
    <w:r>
      <w:rPr>
        <w:rFonts w:ascii="FrankRuehl" w:hAnsi="FrankRuehl" w:cs="FrankRuehl"/>
        <w:rtl/>
      </w:rPr>
      <w:fldChar w:fldCharType="end"/>
    </w:r>
  </w:p>
  <w:p w14:paraId="66F21530" w14:textId="77777777" w:rsidR="00950F57" w:rsidRPr="00E44A9F" w:rsidRDefault="00E44A9F" w:rsidP="00E44A9F">
    <w:pPr>
      <w:pStyle w:val="a4"/>
      <w:pBdr>
        <w:top w:val="single" w:sz="4" w:space="1" w:color="auto"/>
        <w:between w:val="single" w:sz="4" w:space="0" w:color="auto"/>
      </w:pBdr>
      <w:spacing w:after="60"/>
      <w:jc w:val="center"/>
      <w:rPr>
        <w:rFonts w:ascii="FrankRuehl" w:hAnsi="FrankRuehl" w:cs="FrankRuehl"/>
        <w:color w:val="000000"/>
      </w:rPr>
    </w:pPr>
    <w:r w:rsidRPr="00E44A9F">
      <w:rPr>
        <w:rFonts w:ascii="FrankRuehl" w:hAnsi="FrankRuehl" w:cs="FrankRuehl"/>
        <w:color w:val="000000"/>
      </w:rPr>
      <w:pict w14:anchorId="1DCF1B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B57211" w14:textId="77777777" w:rsidR="00EF1452" w:rsidRPr="00014869" w:rsidRDefault="00EF1452">
      <w:pPr>
        <w:rPr>
          <w:rFonts w:cs="Arial"/>
          <w:szCs w:val="20"/>
        </w:rPr>
      </w:pPr>
      <w:r>
        <w:separator/>
      </w:r>
    </w:p>
  </w:footnote>
  <w:footnote w:type="continuationSeparator" w:id="0">
    <w:p w14:paraId="5878DD02" w14:textId="77777777" w:rsidR="00EF1452" w:rsidRPr="00014869" w:rsidRDefault="00EF145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9C9A4" w14:textId="77777777" w:rsidR="00E44A9F" w:rsidRPr="00E44A9F" w:rsidRDefault="00E44A9F" w:rsidP="00E44A9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18402-08-13</w:t>
    </w:r>
    <w:r>
      <w:rPr>
        <w:rFonts w:ascii="David" w:hAnsi="David"/>
        <w:color w:val="000000"/>
        <w:sz w:val="22"/>
        <w:szCs w:val="22"/>
        <w:rtl/>
      </w:rPr>
      <w:tab/>
      <w:t xml:space="preserve"> מדינת ישראל נ' ליאור מנשה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D29A5" w14:textId="77777777" w:rsidR="00E44A9F" w:rsidRPr="00E44A9F" w:rsidRDefault="00E44A9F" w:rsidP="00E44A9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18402-08-13</w:t>
    </w:r>
    <w:r>
      <w:rPr>
        <w:rFonts w:ascii="David" w:hAnsi="David"/>
        <w:color w:val="000000"/>
        <w:sz w:val="22"/>
        <w:szCs w:val="22"/>
        <w:rtl/>
      </w:rPr>
      <w:tab/>
      <w:t xml:space="preserve"> מדינת ישראל נ' ליאור מנשה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50F57"/>
    <w:rsid w:val="003C6D36"/>
    <w:rsid w:val="00562182"/>
    <w:rsid w:val="00950F57"/>
    <w:rsid w:val="00976019"/>
    <w:rsid w:val="00E350A1"/>
    <w:rsid w:val="00E44A9F"/>
    <w:rsid w:val="00EF14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8313988"/>
  <w15:chartTrackingRefBased/>
  <w15:docId w15:val="{6E92405A-CF15-4703-8159-1707DF727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0F57"/>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50F57"/>
    <w:pPr>
      <w:tabs>
        <w:tab w:val="center" w:pos="4153"/>
        <w:tab w:val="right" w:pos="8306"/>
      </w:tabs>
    </w:pPr>
  </w:style>
  <w:style w:type="paragraph" w:styleId="a4">
    <w:name w:val="footer"/>
    <w:basedOn w:val="a"/>
    <w:rsid w:val="00950F57"/>
    <w:pPr>
      <w:tabs>
        <w:tab w:val="center" w:pos="4153"/>
        <w:tab w:val="right" w:pos="8306"/>
      </w:tabs>
    </w:pPr>
  </w:style>
  <w:style w:type="character" w:styleId="a5">
    <w:name w:val="page number"/>
    <w:basedOn w:val="a0"/>
    <w:rsid w:val="00950F57"/>
  </w:style>
  <w:style w:type="character" w:styleId="Hyperlink">
    <w:name w:val="Hyperlink"/>
    <w:basedOn w:val="a0"/>
    <w:rsid w:val="00E44A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 TargetMode="External"/><Relationship Id="rId13" Type="http://schemas.openxmlformats.org/officeDocument/2006/relationships/hyperlink" Target="http://www.nevo.co.il/links/psika/?NEWPROC=&#1514;&#1508;&amp;NEWPARTA=1601&amp;NEWPARTB=08&amp;NEWPARTC=09" TargetMode="External"/><Relationship Id="rId18" Type="http://schemas.openxmlformats.org/officeDocument/2006/relationships/hyperlink" Target="http://www.nevo.co.il/law/70301/144"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70301" TargetMode="External"/><Relationship Id="rId7" Type="http://schemas.openxmlformats.org/officeDocument/2006/relationships/hyperlink" Target="http://www.nevo.co.il/law/70301/31" TargetMode="External"/><Relationship Id="rId12" Type="http://schemas.openxmlformats.org/officeDocument/2006/relationships/hyperlink" Target="http://www.nevo.co.il/law/70301" TargetMode="External"/><Relationship Id="rId17" Type="http://schemas.openxmlformats.org/officeDocument/2006/relationships/hyperlink" Target="http://www.nevo.co.il/links/psika/?link=&#1506;&#1508;%20512/13"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0301/144"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1"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inks/psika/?link=&#1514;&#1508;%204168/05"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144.b2" TargetMode="External"/><Relationship Id="rId19"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144.b2" TargetMode="External"/><Relationship Id="rId14" Type="http://schemas.openxmlformats.org/officeDocument/2006/relationships/hyperlink" Target="http://www.nevo.co.il/links/psika/?link=&#1506;&#1508;%20116/13"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1513</Words>
  <Characters>7569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9064</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7995492</vt:i4>
      </vt:variant>
      <vt:variant>
        <vt:i4>45</vt:i4>
      </vt:variant>
      <vt:variant>
        <vt:i4>0</vt:i4>
      </vt:variant>
      <vt:variant>
        <vt:i4>5</vt:i4>
      </vt:variant>
      <vt:variant>
        <vt:lpwstr>http://www.nevo.co.il/law/70301</vt:lpwstr>
      </vt:variant>
      <vt:variant>
        <vt:lpwstr/>
      </vt:variant>
      <vt:variant>
        <vt:i4>6357092</vt:i4>
      </vt:variant>
      <vt:variant>
        <vt:i4>42</vt:i4>
      </vt:variant>
      <vt:variant>
        <vt:i4>0</vt:i4>
      </vt:variant>
      <vt:variant>
        <vt:i4>5</vt:i4>
      </vt:variant>
      <vt:variant>
        <vt:lpwstr>http://www.nevo.co.il/law/70301/144</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6357092</vt:i4>
      </vt:variant>
      <vt:variant>
        <vt:i4>36</vt:i4>
      </vt:variant>
      <vt:variant>
        <vt:i4>0</vt:i4>
      </vt:variant>
      <vt:variant>
        <vt:i4>5</vt:i4>
      </vt:variant>
      <vt:variant>
        <vt:lpwstr>http://www.nevo.co.il/law/70301/144</vt:lpwstr>
      </vt:variant>
      <vt:variant>
        <vt:lpwstr/>
      </vt:variant>
      <vt:variant>
        <vt:i4>96667027</vt:i4>
      </vt:variant>
      <vt:variant>
        <vt:i4>33</vt:i4>
      </vt:variant>
      <vt:variant>
        <vt:i4>0</vt:i4>
      </vt:variant>
      <vt:variant>
        <vt:i4>5</vt:i4>
      </vt:variant>
      <vt:variant>
        <vt:lpwstr>http://www.nevo.co.il/links/psika/?link=עפ 512/13</vt:lpwstr>
      </vt:variant>
      <vt:variant>
        <vt:lpwstr/>
      </vt:variant>
      <vt:variant>
        <vt:i4>7995492</vt:i4>
      </vt:variant>
      <vt:variant>
        <vt:i4>30</vt:i4>
      </vt:variant>
      <vt:variant>
        <vt:i4>0</vt:i4>
      </vt:variant>
      <vt:variant>
        <vt:i4>5</vt:i4>
      </vt:variant>
      <vt:variant>
        <vt:lpwstr>http://www.nevo.co.il/law/70301</vt:lpwstr>
      </vt:variant>
      <vt:variant>
        <vt:lpwstr/>
      </vt:variant>
      <vt:variant>
        <vt:i4>99419580</vt:i4>
      </vt:variant>
      <vt:variant>
        <vt:i4>27</vt:i4>
      </vt:variant>
      <vt:variant>
        <vt:i4>0</vt:i4>
      </vt:variant>
      <vt:variant>
        <vt:i4>5</vt:i4>
      </vt:variant>
      <vt:variant>
        <vt:lpwstr>http://www.nevo.co.il/links/psika/?link=תפ 4168/05</vt:lpwstr>
      </vt:variant>
      <vt:variant>
        <vt:lpwstr/>
      </vt:variant>
      <vt:variant>
        <vt:i4>96667027</vt:i4>
      </vt:variant>
      <vt:variant>
        <vt:i4>24</vt:i4>
      </vt:variant>
      <vt:variant>
        <vt:i4>0</vt:i4>
      </vt:variant>
      <vt:variant>
        <vt:i4>5</vt:i4>
      </vt:variant>
      <vt:variant>
        <vt:lpwstr>http://www.nevo.co.il/links/psika/?link=עפ 116/13</vt:lpwstr>
      </vt:variant>
      <vt:variant>
        <vt:lpwstr/>
      </vt:variant>
      <vt:variant>
        <vt:i4>99354080</vt:i4>
      </vt:variant>
      <vt:variant>
        <vt:i4>21</vt:i4>
      </vt:variant>
      <vt:variant>
        <vt:i4>0</vt:i4>
      </vt:variant>
      <vt:variant>
        <vt:i4>5</vt:i4>
      </vt:variant>
      <vt:variant>
        <vt:lpwstr>http://www.nevo.co.il/links/psika/?NEWPROC=תפ&amp;NEWPARTA=1601&amp;NEWPARTB=08&amp;NEWPARTC=09</vt:lpwstr>
      </vt:variant>
      <vt:variant>
        <vt:lpwstr/>
      </vt:variant>
      <vt:variant>
        <vt:i4>7995492</vt:i4>
      </vt:variant>
      <vt:variant>
        <vt:i4>18</vt:i4>
      </vt:variant>
      <vt:variant>
        <vt:i4>0</vt:i4>
      </vt:variant>
      <vt:variant>
        <vt:i4>5</vt:i4>
      </vt:variant>
      <vt:variant>
        <vt:lpwstr>http://www.nevo.co.il/law/70301</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2025-01-19T15:49:00Z</dcterms:created>
  <dcterms:modified xsi:type="dcterms:W3CDTF">2025-01-19T15:49:00Z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18402</vt:lpwstr>
  </property>
  <property fmtid="{D5CDD505-2E9C-101B-9397-08002B2CF9AE}" pid="6" name="NEWPARTB">
    <vt:lpwstr>08</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ליאור מנשה</vt:lpwstr>
  </property>
  <property fmtid="{D5CDD505-2E9C-101B-9397-08002B2CF9AE}" pid="10" name="LAWYER">
    <vt:lpwstr>רוני מודריק;אורית חיון</vt:lpwstr>
  </property>
  <property fmtid="{D5CDD505-2E9C-101B-9397-08002B2CF9AE}" pid="11" name="JUDGE">
    <vt:lpwstr>יהודית אמסטרדם</vt:lpwstr>
  </property>
  <property fmtid="{D5CDD505-2E9C-101B-9397-08002B2CF9AE}" pid="12" name="CITY">
    <vt:lpwstr>ת"א</vt:lpwstr>
  </property>
  <property fmtid="{D5CDD505-2E9C-101B-9397-08002B2CF9AE}" pid="13" name="DATE">
    <vt:lpwstr>20140219</vt:lpwstr>
  </property>
  <property fmtid="{D5CDD505-2E9C-101B-9397-08002B2CF9AE}" pid="14" name="TYPE_N_DATE">
    <vt:lpwstr>39020140219</vt:lpwstr>
  </property>
  <property fmtid="{D5CDD505-2E9C-101B-9397-08002B2CF9AE}" pid="15" name="WORDNUMPAGES">
    <vt:lpwstr>6</vt:lpwstr>
  </property>
  <property fmtid="{D5CDD505-2E9C-101B-9397-08002B2CF9AE}" pid="16" name="TYPE_ABS_DATE">
    <vt:lpwstr>390020140219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70301/144.b2;031;144</vt:lpwstr>
  </property>
</Properties>
</file>