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D27746" w:rsidRPr="00827C85" w14:paraId="6DCE7673" w14:textId="77777777">
        <w:trPr>
          <w:trHeight w:hRule="exact" w:val="418"/>
          <w:jc w:val="center"/>
        </w:trPr>
        <w:tc>
          <w:tcPr>
            <w:tcW w:w="8721" w:type="dxa"/>
            <w:gridSpan w:val="2"/>
          </w:tcPr>
          <w:p w14:paraId="402530D0" w14:textId="77777777" w:rsidR="00D27746" w:rsidRPr="00827C85" w:rsidRDefault="00827C85">
            <w:pPr>
              <w:pStyle w:val="a3"/>
              <w:jc w:val="center"/>
              <w:rPr>
                <w:rFonts w:ascii="Tahoma" w:hAnsi="Tahoma" w:cs="Tahoma"/>
                <w:color w:val="000080"/>
                <w:rtl/>
              </w:rPr>
            </w:pPr>
            <w:r w:rsidRPr="00827C85">
              <w:rPr>
                <w:rFonts w:ascii="Tahoma" w:hAnsi="Tahoma" w:cs="Tahoma"/>
                <w:b/>
                <w:bCs/>
                <w:color w:val="000080"/>
                <w:rtl/>
              </w:rPr>
              <w:t>בית המשפט המחוזי בבאר שבע</w:t>
            </w:r>
          </w:p>
        </w:tc>
      </w:tr>
      <w:tr w:rsidR="00D27746" w:rsidRPr="004235C1" w14:paraId="4ED51385" w14:textId="77777777">
        <w:trPr>
          <w:trHeight w:val="337"/>
          <w:jc w:val="center"/>
        </w:trPr>
        <w:tc>
          <w:tcPr>
            <w:tcW w:w="5048" w:type="dxa"/>
          </w:tcPr>
          <w:p w14:paraId="24A30048" w14:textId="77777777" w:rsidR="00D27746" w:rsidRPr="004235C1" w:rsidRDefault="00827C85">
            <w:pPr>
              <w:rPr>
                <w:rFonts w:ascii="Arial" w:hAnsi="Arial" w:cs="Arial"/>
                <w:b/>
                <w:bCs/>
              </w:rPr>
            </w:pPr>
            <w:r w:rsidRPr="004235C1">
              <w:rPr>
                <w:rFonts w:ascii="Arial" w:hAnsi="Arial" w:cs="Arial"/>
                <w:b/>
                <w:bCs/>
                <w:sz w:val="28"/>
                <w:szCs w:val="28"/>
                <w:rtl/>
              </w:rPr>
              <w:t>בפני:</w:t>
            </w:r>
            <w:r w:rsidRPr="004235C1">
              <w:rPr>
                <w:rFonts w:cs="FrankRuehl" w:hint="cs"/>
                <w:b/>
                <w:bCs/>
                <w:sz w:val="28"/>
                <w:szCs w:val="28"/>
                <w:rtl/>
              </w:rPr>
              <w:t xml:space="preserve"> </w:t>
            </w:r>
            <w:r w:rsidRPr="004235C1">
              <w:rPr>
                <w:rFonts w:ascii="Arial" w:hAnsi="Arial" w:cs="Arial"/>
                <w:b/>
                <w:bCs/>
                <w:rtl/>
              </w:rPr>
              <w:t>כב' ס. הנשיא השופטת ר. יפה-כ"ץ,</w:t>
            </w:r>
            <w:r w:rsidRPr="004235C1">
              <w:rPr>
                <w:rFonts w:ascii="Arial" w:hAnsi="Arial" w:cs="Arial" w:hint="cs"/>
                <w:b/>
                <w:bCs/>
                <w:rtl/>
              </w:rPr>
              <w:t xml:space="preserve"> </w:t>
            </w:r>
            <w:r w:rsidRPr="004235C1">
              <w:rPr>
                <w:rFonts w:ascii="Arial" w:hAnsi="Arial" w:cs="Arial"/>
                <w:b/>
                <w:bCs/>
                <w:rtl/>
              </w:rPr>
              <w:t>אב"ד</w:t>
            </w:r>
          </w:p>
          <w:p w14:paraId="1C4E9037" w14:textId="77777777" w:rsidR="00D27746" w:rsidRPr="004235C1" w:rsidRDefault="00827C85">
            <w:pPr>
              <w:rPr>
                <w:rFonts w:ascii="Arial" w:hAnsi="Arial" w:cs="Arial"/>
                <w:b/>
                <w:bCs/>
                <w:rtl/>
              </w:rPr>
            </w:pPr>
            <w:r w:rsidRPr="004235C1">
              <w:rPr>
                <w:rFonts w:ascii="Arial" w:hAnsi="Arial" w:cs="Arial" w:hint="cs"/>
                <w:b/>
                <w:bCs/>
                <w:rtl/>
              </w:rPr>
              <w:t xml:space="preserve">         </w:t>
            </w:r>
            <w:r w:rsidRPr="004235C1">
              <w:rPr>
                <w:rFonts w:ascii="Arial" w:hAnsi="Arial" w:cs="Arial"/>
                <w:b/>
                <w:bCs/>
                <w:rtl/>
              </w:rPr>
              <w:t>כב' השופט א. ואגו</w:t>
            </w:r>
          </w:p>
          <w:p w14:paraId="0CFF6174" w14:textId="77777777" w:rsidR="00D27746" w:rsidRPr="004235C1" w:rsidRDefault="00827C85">
            <w:pPr>
              <w:pStyle w:val="a3"/>
              <w:rPr>
                <w:rFonts w:cs="FrankRuehl"/>
                <w:b/>
                <w:bCs/>
                <w:sz w:val="28"/>
                <w:szCs w:val="28"/>
                <w:rtl/>
              </w:rPr>
            </w:pPr>
            <w:r w:rsidRPr="004235C1">
              <w:rPr>
                <w:rFonts w:ascii="Arial" w:hAnsi="Arial" w:cs="Arial" w:hint="cs"/>
                <w:b/>
                <w:bCs/>
                <w:rtl/>
              </w:rPr>
              <w:t xml:space="preserve">         </w:t>
            </w:r>
            <w:r w:rsidRPr="004235C1">
              <w:rPr>
                <w:rFonts w:ascii="Arial" w:hAnsi="Arial" w:cs="Arial"/>
                <w:b/>
                <w:bCs/>
                <w:rtl/>
              </w:rPr>
              <w:t>כב' השופט י. צלקובניק</w:t>
            </w:r>
          </w:p>
        </w:tc>
        <w:tc>
          <w:tcPr>
            <w:tcW w:w="3673" w:type="dxa"/>
          </w:tcPr>
          <w:p w14:paraId="3C4A5FF4" w14:textId="77777777" w:rsidR="004235C1" w:rsidRDefault="00827C85" w:rsidP="004235C1">
            <w:pPr>
              <w:pStyle w:val="a3"/>
              <w:tabs>
                <w:tab w:val="clear" w:pos="4153"/>
                <w:tab w:val="clear" w:pos="8306"/>
              </w:tabs>
              <w:jc w:val="right"/>
              <w:rPr>
                <w:rFonts w:ascii="Arial" w:hAnsi="Arial" w:cs="Arial" w:hint="cs"/>
                <w:b/>
                <w:bCs/>
                <w:rtl/>
              </w:rPr>
            </w:pPr>
            <w:r w:rsidRPr="004235C1">
              <w:rPr>
                <w:b/>
                <w:bCs/>
                <w:rtl/>
              </w:rPr>
              <w:t>12 ינואר 2015</w:t>
            </w:r>
            <w:r w:rsidRPr="004235C1">
              <w:rPr>
                <w:rFonts w:ascii="Arial" w:hAnsi="Arial" w:cs="Arial"/>
                <w:b/>
                <w:bCs/>
                <w:rtl/>
              </w:rPr>
              <w:tab/>
            </w:r>
            <w:r w:rsidRPr="004235C1">
              <w:rPr>
                <w:rFonts w:ascii="Arial" w:hAnsi="Arial" w:cs="Arial" w:hint="cs"/>
                <w:b/>
                <w:bCs/>
                <w:rtl/>
              </w:rPr>
              <w:t xml:space="preserve">           </w:t>
            </w:r>
          </w:p>
          <w:p w14:paraId="0C4FF20E" w14:textId="77777777" w:rsidR="00D27746" w:rsidRPr="004235C1" w:rsidRDefault="00827C85" w:rsidP="004235C1">
            <w:pPr>
              <w:pStyle w:val="a3"/>
              <w:tabs>
                <w:tab w:val="clear" w:pos="4153"/>
                <w:tab w:val="clear" w:pos="8306"/>
              </w:tabs>
              <w:jc w:val="right"/>
              <w:rPr>
                <w:rFonts w:ascii="Arial" w:hAnsi="Arial" w:cs="Arial"/>
                <w:b/>
                <w:bCs/>
                <w:rtl/>
              </w:rPr>
            </w:pPr>
            <w:r w:rsidRPr="004235C1">
              <w:rPr>
                <w:rFonts w:ascii="Arial" w:hAnsi="Arial" w:cs="Arial" w:hint="cs"/>
                <w:b/>
                <w:bCs/>
                <w:rtl/>
              </w:rPr>
              <w:t>תפ"ח 26481-08-13</w:t>
            </w:r>
          </w:p>
          <w:p w14:paraId="7205B177" w14:textId="77777777" w:rsidR="00D27746" w:rsidRPr="004235C1" w:rsidRDefault="00D27746">
            <w:pPr>
              <w:jc w:val="right"/>
              <w:rPr>
                <w:rFonts w:ascii="Arial" w:hAnsi="Arial" w:cs="Arial"/>
                <w:b/>
                <w:bCs/>
                <w:rtl/>
              </w:rPr>
            </w:pPr>
          </w:p>
          <w:p w14:paraId="5F760CC7" w14:textId="77777777" w:rsidR="00D27746" w:rsidRPr="004235C1" w:rsidRDefault="00D27746">
            <w:pPr>
              <w:pStyle w:val="a3"/>
              <w:jc w:val="right"/>
              <w:rPr>
                <w:rFonts w:ascii="Arial" w:hAnsi="Arial" w:cs="Arial"/>
                <w:b/>
                <w:bCs/>
                <w:rtl/>
              </w:rPr>
            </w:pPr>
          </w:p>
        </w:tc>
      </w:tr>
    </w:tbl>
    <w:p w14:paraId="5F5ABE5D" w14:textId="77777777" w:rsidR="00D27746" w:rsidRPr="004235C1" w:rsidRDefault="00827C85">
      <w:pPr>
        <w:pStyle w:val="a3"/>
        <w:rPr>
          <w:b/>
          <w:bCs/>
        </w:rPr>
      </w:pPr>
      <w:bookmarkStart w:id="0" w:name="LastJudge"/>
      <w:bookmarkEnd w:id="0"/>
      <w:r w:rsidRPr="004235C1">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120"/>
        <w:gridCol w:w="1777"/>
      </w:tblGrid>
      <w:tr w:rsidR="00D27746" w:rsidRPr="004235C1" w14:paraId="6745808A" w14:textId="77777777">
        <w:trPr>
          <w:trHeight w:val="295"/>
          <w:jc w:val="center"/>
        </w:trPr>
        <w:tc>
          <w:tcPr>
            <w:tcW w:w="923" w:type="dxa"/>
            <w:tcBorders>
              <w:top w:val="nil"/>
              <w:left w:val="nil"/>
              <w:bottom w:val="nil"/>
              <w:right w:val="nil"/>
            </w:tcBorders>
          </w:tcPr>
          <w:p w14:paraId="3745E8F3" w14:textId="77777777" w:rsidR="00D27746" w:rsidRPr="004235C1" w:rsidRDefault="00827C85">
            <w:pPr>
              <w:jc w:val="both"/>
              <w:rPr>
                <w:rFonts w:ascii="Arial" w:hAnsi="Arial" w:cs="Arial"/>
                <w:b/>
                <w:bCs/>
              </w:rPr>
            </w:pPr>
            <w:bookmarkStart w:id="1" w:name="FirstAppellant"/>
            <w:r w:rsidRPr="004235C1">
              <w:rPr>
                <w:rFonts w:ascii="Arial" w:hAnsi="Arial" w:cs="Arial"/>
                <w:b/>
                <w:bCs/>
                <w:rtl/>
              </w:rPr>
              <w:t>בעניין:</w:t>
            </w:r>
          </w:p>
        </w:tc>
        <w:tc>
          <w:tcPr>
            <w:tcW w:w="7897" w:type="dxa"/>
            <w:gridSpan w:val="2"/>
            <w:tcBorders>
              <w:top w:val="nil"/>
              <w:left w:val="nil"/>
              <w:bottom w:val="nil"/>
              <w:right w:val="nil"/>
            </w:tcBorders>
          </w:tcPr>
          <w:p w14:paraId="10069317" w14:textId="77777777" w:rsidR="00D27746" w:rsidRPr="004235C1" w:rsidRDefault="00827C85">
            <w:pPr>
              <w:jc w:val="both"/>
              <w:rPr>
                <w:rFonts w:ascii="Arial" w:hAnsi="Arial" w:cs="Arial"/>
                <w:b/>
                <w:bCs/>
              </w:rPr>
            </w:pPr>
            <w:r w:rsidRPr="004235C1">
              <w:rPr>
                <w:rFonts w:ascii="Arial" w:hAnsi="Arial" w:cs="Arial"/>
                <w:b/>
                <w:bCs/>
                <w:rtl/>
              </w:rPr>
              <w:t>מדינת ישראל</w:t>
            </w:r>
          </w:p>
        </w:tc>
      </w:tr>
      <w:tr w:rsidR="00D27746" w:rsidRPr="004235C1" w14:paraId="66B54F6E" w14:textId="77777777">
        <w:trPr>
          <w:trHeight w:val="355"/>
          <w:jc w:val="center"/>
        </w:trPr>
        <w:tc>
          <w:tcPr>
            <w:tcW w:w="923" w:type="dxa"/>
            <w:tcBorders>
              <w:top w:val="nil"/>
              <w:left w:val="nil"/>
              <w:bottom w:val="nil"/>
              <w:right w:val="nil"/>
            </w:tcBorders>
          </w:tcPr>
          <w:p w14:paraId="70612E42" w14:textId="77777777" w:rsidR="00D27746" w:rsidRPr="004235C1" w:rsidRDefault="00D27746">
            <w:pPr>
              <w:jc w:val="both"/>
              <w:rPr>
                <w:rFonts w:ascii="Arial" w:hAnsi="Arial" w:cs="Arial"/>
                <w:b/>
                <w:bCs/>
                <w:rtl/>
              </w:rPr>
            </w:pPr>
            <w:bookmarkStart w:id="2" w:name="FirstLawyer"/>
            <w:bookmarkEnd w:id="1"/>
          </w:p>
        </w:tc>
        <w:tc>
          <w:tcPr>
            <w:tcW w:w="6120" w:type="dxa"/>
            <w:tcBorders>
              <w:top w:val="nil"/>
              <w:left w:val="nil"/>
              <w:bottom w:val="nil"/>
              <w:right w:val="nil"/>
            </w:tcBorders>
          </w:tcPr>
          <w:p w14:paraId="5B388B0B" w14:textId="77777777" w:rsidR="00D27746" w:rsidRPr="004235C1" w:rsidRDefault="00827C85">
            <w:pPr>
              <w:rPr>
                <w:rFonts w:ascii="Arial" w:hAnsi="Arial" w:cs="Arial"/>
                <w:b/>
                <w:bCs/>
              </w:rPr>
            </w:pPr>
            <w:r w:rsidRPr="004235C1">
              <w:rPr>
                <w:rFonts w:ascii="Arial" w:hAnsi="Arial" w:cs="Arial" w:hint="cs"/>
                <w:b/>
                <w:bCs/>
                <w:rtl/>
              </w:rPr>
              <w:t>ע"י ב"כ עו"ד ל' לוי-סיגל</w:t>
            </w:r>
          </w:p>
          <w:p w14:paraId="233B0295" w14:textId="77777777" w:rsidR="00D27746" w:rsidRPr="004235C1" w:rsidRDefault="00D27746">
            <w:pPr>
              <w:jc w:val="both"/>
              <w:rPr>
                <w:rFonts w:ascii="Arial" w:hAnsi="Arial" w:cs="Arial"/>
                <w:b/>
                <w:bCs/>
                <w:rtl/>
              </w:rPr>
            </w:pPr>
          </w:p>
        </w:tc>
        <w:tc>
          <w:tcPr>
            <w:tcW w:w="1777" w:type="dxa"/>
            <w:tcBorders>
              <w:top w:val="nil"/>
              <w:left w:val="nil"/>
              <w:bottom w:val="nil"/>
              <w:right w:val="nil"/>
            </w:tcBorders>
          </w:tcPr>
          <w:p w14:paraId="29DEE2F3" w14:textId="77777777" w:rsidR="00D27746" w:rsidRPr="004235C1" w:rsidRDefault="00827C85">
            <w:pPr>
              <w:jc w:val="both"/>
              <w:rPr>
                <w:rFonts w:ascii="Arial" w:hAnsi="Arial" w:cs="Arial"/>
                <w:b/>
                <w:bCs/>
              </w:rPr>
            </w:pPr>
            <w:r w:rsidRPr="004235C1">
              <w:rPr>
                <w:rFonts w:ascii="Arial" w:hAnsi="Arial" w:cs="Arial" w:hint="cs"/>
                <w:b/>
                <w:bCs/>
                <w:rtl/>
              </w:rPr>
              <w:t>המאשימה</w:t>
            </w:r>
          </w:p>
        </w:tc>
      </w:tr>
      <w:bookmarkEnd w:id="2"/>
      <w:tr w:rsidR="00D27746" w:rsidRPr="004235C1" w14:paraId="21B75AC7" w14:textId="77777777">
        <w:trPr>
          <w:trHeight w:val="355"/>
          <w:jc w:val="center"/>
        </w:trPr>
        <w:tc>
          <w:tcPr>
            <w:tcW w:w="923" w:type="dxa"/>
            <w:tcBorders>
              <w:top w:val="nil"/>
              <w:left w:val="nil"/>
              <w:bottom w:val="nil"/>
              <w:right w:val="nil"/>
            </w:tcBorders>
          </w:tcPr>
          <w:p w14:paraId="54B50FEB" w14:textId="77777777" w:rsidR="00D27746" w:rsidRPr="004235C1" w:rsidRDefault="00D27746">
            <w:pPr>
              <w:jc w:val="both"/>
              <w:rPr>
                <w:rFonts w:ascii="Arial" w:hAnsi="Arial" w:cs="Arial"/>
                <w:b/>
                <w:bCs/>
                <w:rtl/>
              </w:rPr>
            </w:pPr>
          </w:p>
        </w:tc>
        <w:tc>
          <w:tcPr>
            <w:tcW w:w="6120" w:type="dxa"/>
            <w:tcBorders>
              <w:top w:val="nil"/>
              <w:left w:val="nil"/>
              <w:bottom w:val="nil"/>
              <w:right w:val="nil"/>
            </w:tcBorders>
          </w:tcPr>
          <w:p w14:paraId="413085DC" w14:textId="77777777" w:rsidR="00D27746" w:rsidRPr="004235C1" w:rsidRDefault="00D27746">
            <w:pPr>
              <w:jc w:val="center"/>
              <w:rPr>
                <w:rFonts w:ascii="Arial" w:hAnsi="Arial" w:cs="Arial"/>
                <w:b/>
                <w:bCs/>
                <w:rtl/>
              </w:rPr>
            </w:pPr>
          </w:p>
          <w:p w14:paraId="7D8C1A71" w14:textId="77777777" w:rsidR="00D27746" w:rsidRPr="004235C1" w:rsidRDefault="00827C85">
            <w:pPr>
              <w:jc w:val="center"/>
              <w:rPr>
                <w:rFonts w:ascii="Arial" w:hAnsi="Arial" w:cs="Arial"/>
                <w:b/>
                <w:bCs/>
                <w:rtl/>
              </w:rPr>
            </w:pPr>
            <w:r w:rsidRPr="004235C1">
              <w:rPr>
                <w:rFonts w:ascii="Arial" w:hAnsi="Arial" w:cs="Arial"/>
                <w:b/>
                <w:bCs/>
                <w:rtl/>
              </w:rPr>
              <w:t>נגד</w:t>
            </w:r>
          </w:p>
          <w:p w14:paraId="02DF52DF" w14:textId="77777777" w:rsidR="00D27746" w:rsidRPr="004235C1" w:rsidRDefault="00D27746">
            <w:pPr>
              <w:jc w:val="both"/>
              <w:rPr>
                <w:rFonts w:ascii="Arial" w:hAnsi="Arial" w:cs="Arial"/>
                <w:b/>
                <w:bCs/>
              </w:rPr>
            </w:pPr>
          </w:p>
        </w:tc>
        <w:tc>
          <w:tcPr>
            <w:tcW w:w="1777" w:type="dxa"/>
            <w:tcBorders>
              <w:top w:val="nil"/>
              <w:left w:val="nil"/>
              <w:bottom w:val="nil"/>
              <w:right w:val="nil"/>
            </w:tcBorders>
          </w:tcPr>
          <w:p w14:paraId="4C7AE531" w14:textId="77777777" w:rsidR="00D27746" w:rsidRPr="004235C1" w:rsidRDefault="00D27746">
            <w:pPr>
              <w:jc w:val="right"/>
              <w:rPr>
                <w:rFonts w:ascii="Arial" w:hAnsi="Arial" w:cs="Arial"/>
                <w:b/>
                <w:bCs/>
                <w:rtl/>
              </w:rPr>
            </w:pPr>
          </w:p>
        </w:tc>
      </w:tr>
      <w:tr w:rsidR="00D27746" w:rsidRPr="004235C1" w14:paraId="25225FF3" w14:textId="77777777">
        <w:trPr>
          <w:trHeight w:val="355"/>
          <w:jc w:val="center"/>
        </w:trPr>
        <w:tc>
          <w:tcPr>
            <w:tcW w:w="923" w:type="dxa"/>
            <w:tcBorders>
              <w:top w:val="nil"/>
              <w:left w:val="nil"/>
              <w:bottom w:val="nil"/>
              <w:right w:val="nil"/>
            </w:tcBorders>
          </w:tcPr>
          <w:p w14:paraId="122243D6" w14:textId="77777777" w:rsidR="00D27746" w:rsidRPr="004235C1" w:rsidRDefault="00D27746">
            <w:pPr>
              <w:jc w:val="both"/>
              <w:rPr>
                <w:rFonts w:ascii="Arial" w:hAnsi="Arial" w:cs="Arial"/>
                <w:b/>
                <w:bCs/>
                <w:rtl/>
              </w:rPr>
            </w:pPr>
          </w:p>
        </w:tc>
        <w:tc>
          <w:tcPr>
            <w:tcW w:w="7897" w:type="dxa"/>
            <w:gridSpan w:val="2"/>
            <w:tcBorders>
              <w:top w:val="nil"/>
              <w:left w:val="nil"/>
              <w:bottom w:val="nil"/>
              <w:right w:val="nil"/>
            </w:tcBorders>
          </w:tcPr>
          <w:p w14:paraId="47911D6B" w14:textId="77777777" w:rsidR="00D27746" w:rsidRPr="004235C1" w:rsidRDefault="00827C85">
            <w:pPr>
              <w:jc w:val="both"/>
              <w:rPr>
                <w:rFonts w:ascii="Arial" w:hAnsi="Arial" w:cs="Arial"/>
                <w:b/>
                <w:bCs/>
                <w:rtl/>
              </w:rPr>
            </w:pPr>
            <w:r w:rsidRPr="004235C1">
              <w:rPr>
                <w:rFonts w:ascii="Arial" w:hAnsi="Arial" w:cs="Arial" w:hint="cs"/>
                <w:b/>
                <w:bCs/>
                <w:rtl/>
              </w:rPr>
              <w:t>מחמד שחאדה</w:t>
            </w:r>
          </w:p>
        </w:tc>
      </w:tr>
      <w:tr w:rsidR="00D27746" w:rsidRPr="004235C1" w14:paraId="1BE0635B" w14:textId="77777777">
        <w:trPr>
          <w:trHeight w:val="355"/>
          <w:jc w:val="center"/>
        </w:trPr>
        <w:tc>
          <w:tcPr>
            <w:tcW w:w="923" w:type="dxa"/>
            <w:tcBorders>
              <w:top w:val="nil"/>
              <w:left w:val="nil"/>
              <w:bottom w:val="nil"/>
              <w:right w:val="nil"/>
            </w:tcBorders>
          </w:tcPr>
          <w:p w14:paraId="32C7AB18" w14:textId="77777777" w:rsidR="00D27746" w:rsidRPr="004235C1" w:rsidRDefault="00D27746">
            <w:pPr>
              <w:jc w:val="both"/>
              <w:rPr>
                <w:rFonts w:ascii="Arial" w:hAnsi="Arial" w:cs="Arial"/>
                <w:b/>
                <w:bCs/>
                <w:rtl/>
              </w:rPr>
            </w:pPr>
          </w:p>
        </w:tc>
        <w:tc>
          <w:tcPr>
            <w:tcW w:w="6120" w:type="dxa"/>
            <w:tcBorders>
              <w:top w:val="nil"/>
              <w:left w:val="nil"/>
              <w:bottom w:val="nil"/>
              <w:right w:val="nil"/>
            </w:tcBorders>
          </w:tcPr>
          <w:p w14:paraId="30FB8BF0" w14:textId="77777777" w:rsidR="00D27746" w:rsidRPr="004235C1" w:rsidRDefault="00827C85">
            <w:pPr>
              <w:jc w:val="both"/>
              <w:rPr>
                <w:rFonts w:ascii="Arial" w:hAnsi="Arial" w:cs="Arial"/>
                <w:b/>
                <w:bCs/>
                <w:rtl/>
              </w:rPr>
            </w:pPr>
            <w:r w:rsidRPr="004235C1">
              <w:rPr>
                <w:rFonts w:ascii="Arial" w:hAnsi="Arial" w:cs="Arial" w:hint="cs"/>
                <w:b/>
                <w:bCs/>
                <w:rtl/>
              </w:rPr>
              <w:t xml:space="preserve">ע"י </w:t>
            </w:r>
            <w:r w:rsidRPr="004235C1">
              <w:rPr>
                <w:rFonts w:ascii="Arial" w:hAnsi="Arial" w:cs="Arial"/>
                <w:b/>
                <w:bCs/>
                <w:rtl/>
              </w:rPr>
              <w:t>ב"כ עו"ד</w:t>
            </w:r>
            <w:r w:rsidRPr="004235C1">
              <w:rPr>
                <w:rFonts w:ascii="Arial" w:hAnsi="Arial" w:cs="Arial" w:hint="cs"/>
                <w:b/>
                <w:bCs/>
                <w:rtl/>
              </w:rPr>
              <w:t xml:space="preserve"> ע' אבו עאמר</w:t>
            </w:r>
          </w:p>
        </w:tc>
        <w:tc>
          <w:tcPr>
            <w:tcW w:w="1777" w:type="dxa"/>
            <w:tcBorders>
              <w:top w:val="nil"/>
              <w:left w:val="nil"/>
              <w:bottom w:val="nil"/>
              <w:right w:val="nil"/>
            </w:tcBorders>
          </w:tcPr>
          <w:p w14:paraId="3D345652" w14:textId="77777777" w:rsidR="00D27746" w:rsidRPr="004235C1" w:rsidRDefault="00827C85">
            <w:pPr>
              <w:rPr>
                <w:rFonts w:ascii="Arial" w:hAnsi="Arial" w:cs="Arial"/>
                <w:b/>
                <w:bCs/>
              </w:rPr>
            </w:pPr>
            <w:r w:rsidRPr="004235C1">
              <w:rPr>
                <w:rFonts w:ascii="Arial" w:hAnsi="Arial" w:cs="Arial"/>
                <w:b/>
                <w:bCs/>
                <w:rtl/>
              </w:rPr>
              <w:t>הנאשם</w:t>
            </w:r>
          </w:p>
        </w:tc>
      </w:tr>
    </w:tbl>
    <w:p w14:paraId="0A504C30" w14:textId="77777777" w:rsidR="004235C1" w:rsidRDefault="004235C1" w:rsidP="005028B6">
      <w:pPr>
        <w:spacing w:after="120" w:line="240" w:lineRule="exact"/>
        <w:ind w:left="283" w:hanging="283"/>
        <w:jc w:val="both"/>
        <w:rPr>
          <w:rFonts w:ascii="FrankRuehl" w:hAnsi="FrankRuehl" w:cs="FrankRuehl"/>
          <w:rtl/>
        </w:rPr>
      </w:pPr>
      <w:bookmarkStart w:id="3" w:name="LawTable"/>
      <w:bookmarkEnd w:id="3"/>
    </w:p>
    <w:p w14:paraId="458794C5" w14:textId="77777777" w:rsidR="004235C1" w:rsidRPr="004235C1" w:rsidRDefault="004235C1" w:rsidP="004235C1">
      <w:pPr>
        <w:spacing w:after="120" w:line="240" w:lineRule="exact"/>
        <w:ind w:left="283" w:hanging="283"/>
        <w:jc w:val="both"/>
        <w:rPr>
          <w:rFonts w:ascii="FrankRuehl" w:hAnsi="FrankRuehl" w:cs="FrankRuehl"/>
          <w:rtl/>
        </w:rPr>
      </w:pPr>
      <w:r w:rsidRPr="004235C1">
        <w:rPr>
          <w:rFonts w:ascii="FrankRuehl" w:hAnsi="FrankRuehl" w:cs="FrankRuehl"/>
          <w:rtl/>
        </w:rPr>
        <w:t xml:space="preserve">חקיקה שאוזכרה: </w:t>
      </w:r>
    </w:p>
    <w:p w14:paraId="7D632068" w14:textId="77777777" w:rsidR="004235C1" w:rsidRPr="004235C1" w:rsidRDefault="004235C1" w:rsidP="004235C1">
      <w:pPr>
        <w:spacing w:after="120" w:line="240" w:lineRule="exact"/>
        <w:ind w:left="283" w:hanging="283"/>
        <w:jc w:val="both"/>
        <w:rPr>
          <w:rFonts w:ascii="FrankRuehl" w:hAnsi="FrankRuehl" w:cs="FrankRuehl"/>
          <w:rtl/>
        </w:rPr>
      </w:pPr>
      <w:hyperlink r:id="rId7" w:history="1">
        <w:r w:rsidRPr="004235C1">
          <w:rPr>
            <w:rFonts w:ascii="FrankRuehl" w:hAnsi="FrankRuehl" w:cs="FrankRuehl"/>
            <w:color w:val="0000FF"/>
            <w:u w:val="single"/>
            <w:rtl/>
          </w:rPr>
          <w:t>תקנות ההגנה (שעת-חירום), 1945</w:t>
        </w:r>
      </w:hyperlink>
      <w:r w:rsidRPr="004235C1">
        <w:rPr>
          <w:rFonts w:ascii="FrankRuehl" w:hAnsi="FrankRuehl" w:cs="FrankRuehl"/>
          <w:rtl/>
        </w:rPr>
        <w:t xml:space="preserve">: סע'  </w:t>
      </w:r>
      <w:hyperlink r:id="rId8" w:history="1">
        <w:r w:rsidRPr="004235C1">
          <w:rPr>
            <w:rFonts w:ascii="FrankRuehl" w:hAnsi="FrankRuehl" w:cs="FrankRuehl"/>
            <w:color w:val="0000FF"/>
            <w:u w:val="single"/>
            <w:rtl/>
          </w:rPr>
          <w:t>85(1)(א)</w:t>
        </w:r>
      </w:hyperlink>
      <w:r w:rsidRPr="004235C1">
        <w:rPr>
          <w:rFonts w:ascii="FrankRuehl" w:hAnsi="FrankRuehl" w:cs="FrankRuehl"/>
          <w:rtl/>
        </w:rPr>
        <w:t xml:space="preserve">, </w:t>
      </w:r>
      <w:hyperlink r:id="rId9" w:history="1">
        <w:r w:rsidRPr="004235C1">
          <w:rPr>
            <w:rFonts w:ascii="FrankRuehl" w:hAnsi="FrankRuehl" w:cs="FrankRuehl"/>
            <w:color w:val="0000FF"/>
            <w:u w:val="single"/>
            <w:rtl/>
          </w:rPr>
          <w:t>499 (א)(1)</w:t>
        </w:r>
      </w:hyperlink>
    </w:p>
    <w:p w14:paraId="5EDF23A0" w14:textId="77777777" w:rsidR="004235C1" w:rsidRPr="004235C1" w:rsidRDefault="004235C1" w:rsidP="004235C1">
      <w:pPr>
        <w:spacing w:after="120" w:line="240" w:lineRule="exact"/>
        <w:ind w:left="283" w:hanging="283"/>
        <w:jc w:val="both"/>
        <w:rPr>
          <w:rFonts w:ascii="FrankRuehl" w:hAnsi="FrankRuehl" w:cs="FrankRuehl"/>
          <w:rtl/>
        </w:rPr>
      </w:pPr>
      <w:hyperlink r:id="rId10" w:history="1">
        <w:r w:rsidRPr="004235C1">
          <w:rPr>
            <w:rFonts w:ascii="FrankRuehl" w:hAnsi="FrankRuehl" w:cs="FrankRuehl"/>
            <w:color w:val="0000FF"/>
            <w:u w:val="single"/>
            <w:rtl/>
          </w:rPr>
          <w:t>חוק העונשין, תשל"ז-1977</w:t>
        </w:r>
      </w:hyperlink>
      <w:r w:rsidRPr="004235C1">
        <w:rPr>
          <w:rFonts w:ascii="FrankRuehl" w:hAnsi="FrankRuehl" w:cs="FrankRuehl"/>
          <w:rtl/>
        </w:rPr>
        <w:t xml:space="preserve">: סע'  </w:t>
      </w:r>
      <w:hyperlink r:id="rId11" w:history="1">
        <w:r w:rsidRPr="004235C1">
          <w:rPr>
            <w:rFonts w:ascii="FrankRuehl" w:hAnsi="FrankRuehl" w:cs="FrankRuehl"/>
            <w:color w:val="0000FF"/>
            <w:u w:val="single"/>
            <w:rtl/>
          </w:rPr>
          <w:t>144(ב)</w:t>
        </w:r>
      </w:hyperlink>
      <w:r w:rsidRPr="004235C1">
        <w:rPr>
          <w:rFonts w:ascii="FrankRuehl" w:hAnsi="FrankRuehl" w:cs="FrankRuehl"/>
          <w:rtl/>
        </w:rPr>
        <w:t xml:space="preserve">, </w:t>
      </w:r>
      <w:hyperlink r:id="rId12" w:history="1">
        <w:r w:rsidRPr="004235C1">
          <w:rPr>
            <w:rFonts w:ascii="FrankRuehl" w:hAnsi="FrankRuehl" w:cs="FrankRuehl"/>
            <w:color w:val="0000FF"/>
            <w:u w:val="single"/>
            <w:rtl/>
          </w:rPr>
          <w:t>499(א)(1)</w:t>
        </w:r>
      </w:hyperlink>
    </w:p>
    <w:p w14:paraId="3166960E" w14:textId="77777777" w:rsidR="004235C1" w:rsidRPr="004235C1" w:rsidRDefault="004235C1" w:rsidP="004235C1">
      <w:pPr>
        <w:spacing w:after="120" w:line="240" w:lineRule="exact"/>
        <w:ind w:left="283" w:hanging="283"/>
        <w:jc w:val="both"/>
        <w:rPr>
          <w:rFonts w:ascii="FrankRuehl" w:hAnsi="FrankRuehl" w:cs="FrankRuehl"/>
          <w:rtl/>
        </w:rPr>
      </w:pPr>
      <w:hyperlink r:id="rId13" w:history="1">
        <w:r w:rsidRPr="004235C1">
          <w:rPr>
            <w:rFonts w:ascii="FrankRuehl" w:hAnsi="FrankRuehl" w:cs="FrankRuehl"/>
            <w:color w:val="0000FF"/>
            <w:u w:val="single"/>
            <w:rtl/>
          </w:rPr>
          <w:t>חוק למניעת הסתננות (עבירות ושיפוט), תשי"ד-1954</w:t>
        </w:r>
      </w:hyperlink>
      <w:r w:rsidRPr="004235C1">
        <w:rPr>
          <w:rFonts w:ascii="FrankRuehl" w:hAnsi="FrankRuehl" w:cs="FrankRuehl"/>
          <w:rtl/>
        </w:rPr>
        <w:t xml:space="preserve">: סע'  </w:t>
      </w:r>
      <w:hyperlink r:id="rId14" w:history="1">
        <w:r w:rsidRPr="004235C1">
          <w:rPr>
            <w:rFonts w:ascii="FrankRuehl" w:hAnsi="FrankRuehl" w:cs="FrankRuehl"/>
            <w:color w:val="0000FF"/>
            <w:u w:val="single"/>
            <w:rtl/>
          </w:rPr>
          <w:t>2</w:t>
        </w:r>
      </w:hyperlink>
    </w:p>
    <w:p w14:paraId="47976443" w14:textId="77777777" w:rsidR="004235C1" w:rsidRPr="004235C1" w:rsidRDefault="004235C1" w:rsidP="004235C1">
      <w:pPr>
        <w:spacing w:after="120" w:line="240" w:lineRule="exact"/>
        <w:ind w:left="283" w:hanging="283"/>
        <w:jc w:val="both"/>
        <w:rPr>
          <w:rFonts w:ascii="FrankRuehl" w:hAnsi="FrankRuehl" w:cs="FrankRuehl"/>
          <w:rtl/>
        </w:rPr>
      </w:pPr>
    </w:p>
    <w:p w14:paraId="15EE3BA1" w14:textId="77777777" w:rsidR="004235C1" w:rsidRDefault="004235C1" w:rsidP="004235C1">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LawTable_End"/>
      <w:bookmarkStart w:id="5" w:name="ABSTRACT_START"/>
      <w:bookmarkEnd w:id="4"/>
      <w:bookmarkEnd w:id="5"/>
      <w:r>
        <w:rPr>
          <w:rFonts w:ascii="Times New Roman" w:hAnsi="Times New Roman" w:cs="FrankRuehl"/>
          <w:sz w:val="24"/>
          <w:szCs w:val="26"/>
          <w:rtl/>
        </w:rPr>
        <w:t>מיני-רציו:</w:t>
      </w:r>
    </w:p>
    <w:p w14:paraId="6F72486E" w14:textId="77777777" w:rsidR="004235C1" w:rsidRPr="004235C1" w:rsidRDefault="004235C1" w:rsidP="004235C1">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4235C1">
        <w:rPr>
          <w:rFonts w:ascii="Times New Roman" w:hAnsi="Times New Roman" w:cs="FrankRuehl" w:hint="cs"/>
          <w:sz w:val="24"/>
          <w:szCs w:val="26"/>
          <w:rtl/>
        </w:rPr>
        <w:t xml:space="preserve">הנאשם, שהורשע במסגרת הסדר טיעון בעבירות כנגד בטחון המדינה, נידון ל- 8 שנות מאסר ו- 18 חודשי </w:t>
      </w:r>
      <w:r w:rsidRPr="004235C1">
        <w:rPr>
          <w:rFonts w:ascii="Times New Roman" w:hAnsi="Times New Roman" w:cs="FrankRuehl"/>
          <w:sz w:val="24"/>
          <w:szCs w:val="26"/>
          <w:rtl/>
        </w:rPr>
        <w:t>מאסר מותנים</w:t>
      </w:r>
      <w:r w:rsidRPr="004235C1">
        <w:rPr>
          <w:rFonts w:ascii="Times New Roman" w:hAnsi="Times New Roman" w:cs="FrankRuehl" w:hint="cs"/>
          <w:sz w:val="24"/>
          <w:szCs w:val="26"/>
          <w:rtl/>
        </w:rPr>
        <w:t>.</w:t>
      </w:r>
    </w:p>
    <w:p w14:paraId="0E51A5F7" w14:textId="77777777" w:rsidR="004235C1" w:rsidRDefault="004235C1" w:rsidP="004235C1">
      <w:pPr>
        <w:pStyle w:val="a7"/>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מדיניות ענישה: עבירות ביטחון</w:t>
      </w:r>
    </w:p>
    <w:p w14:paraId="6D58ADE6" w14:textId="77777777" w:rsidR="004235C1" w:rsidRDefault="004235C1" w:rsidP="004235C1">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שיקולי ענישה</w:t>
      </w:r>
    </w:p>
    <w:p w14:paraId="7E144118" w14:textId="77777777" w:rsidR="004235C1" w:rsidRDefault="004235C1" w:rsidP="004235C1">
      <w:pPr>
        <w:pStyle w:val="a7"/>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6A122F53" w14:textId="77777777" w:rsidR="004B161C" w:rsidRPr="004235C1" w:rsidRDefault="004B161C" w:rsidP="004235C1">
      <w:pPr>
        <w:pBdr>
          <w:top w:val="single" w:sz="4" w:space="1" w:color="auto"/>
          <w:bottom w:val="single" w:sz="4" w:space="1" w:color="auto"/>
        </w:pBdr>
        <w:spacing w:after="120" w:line="320" w:lineRule="exact"/>
        <w:jc w:val="both"/>
        <w:rPr>
          <w:rFonts w:cs="FrankRuehl" w:hint="cs"/>
          <w:szCs w:val="26"/>
          <w:rtl/>
        </w:rPr>
      </w:pPr>
      <w:r w:rsidRPr="004235C1">
        <w:rPr>
          <w:rFonts w:cs="FrankRuehl"/>
          <w:szCs w:val="26"/>
          <w:rtl/>
        </w:rPr>
        <w:t xml:space="preserve">הנאשם, תושב עזה, הורשע במסגרת הסדר טיעון שכלל הסכמה למסגרת ענישה, </w:t>
      </w:r>
      <w:r w:rsidRPr="004235C1">
        <w:rPr>
          <w:rFonts w:cs="FrankRuehl" w:hint="cs"/>
          <w:szCs w:val="26"/>
          <w:rtl/>
        </w:rPr>
        <w:t>ב</w:t>
      </w:r>
      <w:r w:rsidRPr="004235C1">
        <w:rPr>
          <w:rFonts w:cs="FrankRuehl"/>
          <w:szCs w:val="26"/>
          <w:rtl/>
        </w:rPr>
        <w:t>עבירות ביטחון</w:t>
      </w:r>
      <w:r w:rsidRPr="004235C1">
        <w:rPr>
          <w:rFonts w:cs="FrankRuehl" w:hint="cs"/>
          <w:szCs w:val="26"/>
          <w:rtl/>
        </w:rPr>
        <w:t xml:space="preserve"> בגין מעורבותו בחפירת מנהרות, השתתפות באימון צבאי של חמאס, הצטרפות לחוליה שפעלה לשמירות חמושות נגד כוחות צה"ל והסתננות לישראל.</w:t>
      </w:r>
    </w:p>
    <w:p w14:paraId="56AE7BDC" w14:textId="77777777" w:rsidR="004235C1" w:rsidRDefault="004235C1" w:rsidP="004235C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ED298A9" w14:textId="77777777" w:rsidR="004B161C" w:rsidRPr="004235C1" w:rsidRDefault="004B161C" w:rsidP="004235C1">
      <w:pPr>
        <w:pBdr>
          <w:top w:val="single" w:sz="4" w:space="1" w:color="auto"/>
          <w:bottom w:val="single" w:sz="4" w:space="1" w:color="auto"/>
        </w:pBdr>
        <w:spacing w:after="120" w:line="320" w:lineRule="exact"/>
        <w:jc w:val="both"/>
        <w:rPr>
          <w:rFonts w:cs="FrankRuehl" w:hint="cs"/>
          <w:szCs w:val="26"/>
          <w:rtl/>
        </w:rPr>
      </w:pPr>
      <w:r w:rsidRPr="004235C1">
        <w:rPr>
          <w:rFonts w:cs="FrankRuehl"/>
          <w:szCs w:val="26"/>
          <w:rtl/>
        </w:rPr>
        <w:t>בית המשפט המחוזי</w:t>
      </w:r>
      <w:r w:rsidRPr="004235C1">
        <w:rPr>
          <w:rFonts w:cs="FrankRuehl" w:hint="cs"/>
          <w:szCs w:val="26"/>
          <w:rtl/>
        </w:rPr>
        <w:t xml:space="preserve"> גזר את הדין ופסק:</w:t>
      </w:r>
    </w:p>
    <w:p w14:paraId="70378141" w14:textId="77777777" w:rsidR="004B161C" w:rsidRPr="004235C1" w:rsidRDefault="004B161C" w:rsidP="004235C1">
      <w:pPr>
        <w:pBdr>
          <w:top w:val="single" w:sz="4" w:space="1" w:color="auto"/>
          <w:bottom w:val="single" w:sz="4" w:space="1" w:color="auto"/>
        </w:pBdr>
        <w:spacing w:after="120" w:line="320" w:lineRule="exact"/>
        <w:jc w:val="both"/>
        <w:rPr>
          <w:rFonts w:cs="FrankRuehl" w:hint="cs"/>
          <w:szCs w:val="26"/>
          <w:rtl/>
        </w:rPr>
      </w:pPr>
      <w:r w:rsidRPr="004235C1">
        <w:rPr>
          <w:rFonts w:cs="FrankRuehl"/>
          <w:szCs w:val="26"/>
          <w:rtl/>
        </w:rPr>
        <w:t>הפסיקה בעניינן של עבירות כנגד ביטחון המדינה, קובעת כי יש ליתן משקל בכורה לשיקולי הגמול וההרתעה, נוכח צרכי ההגנה על ביטחון תושבי מדינת ישראל</w:t>
      </w:r>
      <w:r w:rsidRPr="004235C1">
        <w:rPr>
          <w:rFonts w:cs="FrankRuehl" w:hint="cs"/>
          <w:szCs w:val="26"/>
          <w:rtl/>
        </w:rPr>
        <w:t xml:space="preserve">. </w:t>
      </w:r>
      <w:r w:rsidRPr="004235C1">
        <w:rPr>
          <w:rFonts w:cs="FrankRuehl"/>
          <w:szCs w:val="26"/>
          <w:rtl/>
        </w:rPr>
        <w:t xml:space="preserve">מתחם הענישה הראוי בגין פעילות בארגון טרור וביצוע אימונים צבאיים מטעם הארגון הינו בין 3 ל-5 שנות מאסר, ובגין ביצוע שמירות חמושות שתכליתן "התרעה וירי לעבר חיילים באזור הגבול", </w:t>
      </w:r>
      <w:r w:rsidRPr="004235C1">
        <w:rPr>
          <w:rFonts w:cs="FrankRuehl" w:hint="cs"/>
          <w:szCs w:val="26"/>
          <w:rtl/>
        </w:rPr>
        <w:t>נע</w:t>
      </w:r>
      <w:r w:rsidRPr="004235C1">
        <w:rPr>
          <w:rFonts w:cs="FrankRuehl"/>
          <w:szCs w:val="26"/>
          <w:rtl/>
        </w:rPr>
        <w:t xml:space="preserve"> בין 6 ל-10 שנות מאסר בפועל</w:t>
      </w:r>
      <w:r w:rsidRPr="004235C1">
        <w:rPr>
          <w:rFonts w:cs="FrankRuehl" w:hint="cs"/>
          <w:szCs w:val="26"/>
          <w:rtl/>
        </w:rPr>
        <w:t xml:space="preserve">. במקרה זה, </w:t>
      </w:r>
      <w:r w:rsidRPr="004235C1">
        <w:rPr>
          <w:rFonts w:cs="FrankRuehl"/>
          <w:szCs w:val="26"/>
          <w:rtl/>
        </w:rPr>
        <w:t xml:space="preserve">מתחם העונש שראוי להטיל בגין </w:t>
      </w:r>
      <w:r w:rsidRPr="004235C1">
        <w:rPr>
          <w:rFonts w:cs="FrankRuehl" w:hint="cs"/>
          <w:szCs w:val="26"/>
          <w:rtl/>
        </w:rPr>
        <w:t>חפירת המנהרות</w:t>
      </w:r>
      <w:r w:rsidRPr="004235C1">
        <w:rPr>
          <w:rFonts w:cs="FrankRuehl"/>
          <w:szCs w:val="26"/>
          <w:rtl/>
        </w:rPr>
        <w:t>, הכולל גם עבירה של קשירת קשר עם אחרים לביצוע המעשים, נע בין חמש לשמונה שנות מאסר לריצוי בפועל.</w:t>
      </w:r>
      <w:r w:rsidRPr="004235C1">
        <w:rPr>
          <w:rFonts w:cs="FrankRuehl" w:hint="cs"/>
          <w:szCs w:val="26"/>
          <w:rtl/>
        </w:rPr>
        <w:t xml:space="preserve"> בנסיבות העניין, ונוכח המתווה העונשי בהסדר הטיעון, נגזרו על הנאשם 8 שנות מאסר ו- 18 חודשי </w:t>
      </w:r>
      <w:r w:rsidRPr="004235C1">
        <w:rPr>
          <w:rFonts w:cs="FrankRuehl"/>
          <w:szCs w:val="26"/>
          <w:rtl/>
        </w:rPr>
        <w:t>מאסר מותנים</w:t>
      </w:r>
      <w:r w:rsidRPr="004235C1">
        <w:rPr>
          <w:rFonts w:cs="FrankRuehl" w:hint="cs"/>
          <w:szCs w:val="26"/>
          <w:rtl/>
        </w:rPr>
        <w:t>.</w:t>
      </w:r>
    </w:p>
    <w:p w14:paraId="1C66902E" w14:textId="77777777" w:rsidR="005028B6" w:rsidRPr="00827C85" w:rsidRDefault="005028B6">
      <w:pPr>
        <w:rPr>
          <w:rFonts w:ascii="Arial" w:hAnsi="Arial" w:cs="Arial"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7746" w:rsidRPr="00827C85" w14:paraId="4E938B5E" w14:textId="77777777">
        <w:trPr>
          <w:trHeight w:val="355"/>
          <w:jc w:val="center"/>
        </w:trPr>
        <w:tc>
          <w:tcPr>
            <w:tcW w:w="8820" w:type="dxa"/>
            <w:tcBorders>
              <w:top w:val="nil"/>
              <w:left w:val="nil"/>
              <w:bottom w:val="nil"/>
              <w:right w:val="nil"/>
            </w:tcBorders>
          </w:tcPr>
          <w:p w14:paraId="25B5E80A" w14:textId="77777777" w:rsidR="00D27746" w:rsidRPr="00827C85" w:rsidRDefault="00827C85">
            <w:pPr>
              <w:jc w:val="center"/>
              <w:rPr>
                <w:rFonts w:ascii="Arial" w:hAnsi="Arial" w:cs="Arial"/>
                <w:sz w:val="28"/>
                <w:szCs w:val="28"/>
                <w:rtl/>
              </w:rPr>
            </w:pPr>
            <w:bookmarkStart w:id="7" w:name="PsakDin"/>
            <w:r w:rsidRPr="00827C85">
              <w:rPr>
                <w:rFonts w:ascii="Arial" w:hAnsi="Arial" w:cs="Arial"/>
                <w:b/>
                <w:bCs/>
                <w:sz w:val="28"/>
                <w:szCs w:val="28"/>
                <w:rtl/>
              </w:rPr>
              <w:t>ג</w:t>
            </w:r>
            <w:r w:rsidRPr="00827C85">
              <w:rPr>
                <w:rFonts w:ascii="Arial" w:hAnsi="Arial" w:cs="Arial" w:hint="cs"/>
                <w:b/>
                <w:bCs/>
                <w:sz w:val="28"/>
                <w:szCs w:val="28"/>
                <w:rtl/>
              </w:rPr>
              <w:t xml:space="preserve"> </w:t>
            </w:r>
            <w:r w:rsidRPr="00827C85">
              <w:rPr>
                <w:rFonts w:ascii="Arial" w:hAnsi="Arial" w:cs="Arial"/>
                <w:b/>
                <w:bCs/>
                <w:sz w:val="28"/>
                <w:szCs w:val="28"/>
                <w:rtl/>
              </w:rPr>
              <w:t>ז</w:t>
            </w:r>
            <w:r w:rsidRPr="00827C85">
              <w:rPr>
                <w:rFonts w:ascii="Arial" w:hAnsi="Arial" w:cs="Arial" w:hint="cs"/>
                <w:b/>
                <w:bCs/>
                <w:sz w:val="28"/>
                <w:szCs w:val="28"/>
                <w:rtl/>
              </w:rPr>
              <w:t xml:space="preserve"> </w:t>
            </w:r>
            <w:r w:rsidRPr="00827C85">
              <w:rPr>
                <w:rFonts w:ascii="Arial" w:hAnsi="Arial" w:cs="Arial"/>
                <w:b/>
                <w:bCs/>
                <w:sz w:val="28"/>
                <w:szCs w:val="28"/>
                <w:rtl/>
              </w:rPr>
              <w:t xml:space="preserve">ר </w:t>
            </w:r>
            <w:r w:rsidR="004235C1">
              <w:rPr>
                <w:rFonts w:ascii="Arial" w:hAnsi="Arial" w:cs="Arial" w:hint="cs"/>
                <w:b/>
                <w:bCs/>
                <w:sz w:val="28"/>
                <w:szCs w:val="28"/>
                <w:rtl/>
              </w:rPr>
              <w:t xml:space="preserve"> – </w:t>
            </w:r>
            <w:r w:rsidRPr="00827C85">
              <w:rPr>
                <w:rFonts w:ascii="Arial" w:hAnsi="Arial" w:cs="Arial" w:hint="cs"/>
                <w:b/>
                <w:bCs/>
                <w:sz w:val="28"/>
                <w:szCs w:val="28"/>
                <w:rtl/>
              </w:rPr>
              <w:t xml:space="preserve"> </w:t>
            </w:r>
            <w:r w:rsidRPr="00827C85">
              <w:rPr>
                <w:rFonts w:ascii="Arial" w:hAnsi="Arial" w:cs="Arial"/>
                <w:b/>
                <w:bCs/>
                <w:sz w:val="28"/>
                <w:szCs w:val="28"/>
                <w:rtl/>
              </w:rPr>
              <w:t>ד</w:t>
            </w:r>
            <w:r w:rsidRPr="00827C85">
              <w:rPr>
                <w:rFonts w:ascii="Arial" w:hAnsi="Arial" w:cs="Arial" w:hint="cs"/>
                <w:b/>
                <w:bCs/>
                <w:sz w:val="28"/>
                <w:szCs w:val="28"/>
                <w:rtl/>
              </w:rPr>
              <w:t xml:space="preserve"> </w:t>
            </w:r>
            <w:r w:rsidRPr="00827C85">
              <w:rPr>
                <w:rFonts w:ascii="Arial" w:hAnsi="Arial" w:cs="Arial"/>
                <w:b/>
                <w:bCs/>
                <w:sz w:val="28"/>
                <w:szCs w:val="28"/>
                <w:rtl/>
              </w:rPr>
              <w:t>י</w:t>
            </w:r>
            <w:r w:rsidRPr="00827C85">
              <w:rPr>
                <w:rFonts w:ascii="Arial" w:hAnsi="Arial" w:cs="Arial" w:hint="cs"/>
                <w:b/>
                <w:bCs/>
                <w:sz w:val="28"/>
                <w:szCs w:val="28"/>
                <w:rtl/>
              </w:rPr>
              <w:t xml:space="preserve"> </w:t>
            </w:r>
            <w:bookmarkEnd w:id="7"/>
            <w:r w:rsidRPr="00827C85">
              <w:rPr>
                <w:rFonts w:ascii="Arial" w:hAnsi="Arial" w:cs="Arial"/>
                <w:b/>
                <w:bCs/>
                <w:sz w:val="28"/>
                <w:szCs w:val="28"/>
                <w:rtl/>
              </w:rPr>
              <w:t>ן</w:t>
            </w:r>
          </w:p>
        </w:tc>
      </w:tr>
    </w:tbl>
    <w:p w14:paraId="0D5676C9" w14:textId="77777777" w:rsidR="00D27746" w:rsidRPr="00827C85" w:rsidRDefault="00D27746">
      <w:pPr>
        <w:rPr>
          <w:rFonts w:ascii="Arial" w:hAnsi="Arial" w:cs="Arial"/>
          <w:rtl/>
        </w:rPr>
      </w:pPr>
    </w:p>
    <w:p w14:paraId="4917A422" w14:textId="77777777" w:rsidR="00D27746" w:rsidRPr="00827C85" w:rsidRDefault="00827C85">
      <w:pPr>
        <w:rPr>
          <w:rFonts w:ascii="Arial" w:hAnsi="Arial" w:cs="Arial"/>
          <w:b/>
          <w:bCs/>
          <w:rtl/>
        </w:rPr>
      </w:pPr>
      <w:r w:rsidRPr="00827C85">
        <w:rPr>
          <w:rFonts w:ascii="Arial" w:hAnsi="Arial" w:cs="Arial" w:hint="cs"/>
          <w:b/>
          <w:bCs/>
          <w:rtl/>
        </w:rPr>
        <w:t>השופט י. צלקובניק:</w:t>
      </w:r>
    </w:p>
    <w:p w14:paraId="2B007F26" w14:textId="77777777" w:rsidR="00D27746" w:rsidRPr="00827C85" w:rsidRDefault="00D27746">
      <w:pPr>
        <w:rPr>
          <w:rFonts w:ascii="Arial" w:hAnsi="Arial" w:cs="Arial"/>
          <w:b/>
          <w:bCs/>
          <w:rtl/>
        </w:rPr>
      </w:pPr>
    </w:p>
    <w:p w14:paraId="4D1AA3A1" w14:textId="77777777" w:rsidR="00D27746" w:rsidRPr="00827C85" w:rsidRDefault="00827C85">
      <w:pPr>
        <w:spacing w:line="360" w:lineRule="auto"/>
        <w:jc w:val="both"/>
        <w:rPr>
          <w:rFonts w:ascii="Arial" w:hAnsi="Arial" w:cs="Arial"/>
          <w:rtl/>
        </w:rPr>
      </w:pPr>
      <w:r w:rsidRPr="00827C85">
        <w:rPr>
          <w:rFonts w:ascii="Arial" w:hAnsi="Arial" w:cs="Arial"/>
          <w:rtl/>
        </w:rPr>
        <w:t>הנאשם, יליד 1991, תושב עזה, הורשע, במסגרת הסדר טיעון, שכלל גם הסכמה למסגרת ענישה, בעובדות כתב אישום מתוקן, הכולל ארבעה אישומים, שעניינם עבירות כנגד ביטחון המדינה.</w:t>
      </w:r>
    </w:p>
    <w:p w14:paraId="120434A1" w14:textId="77777777" w:rsidR="00D27746" w:rsidRPr="00827C85" w:rsidRDefault="00D27746">
      <w:pPr>
        <w:spacing w:line="360" w:lineRule="auto"/>
        <w:jc w:val="both"/>
        <w:rPr>
          <w:rFonts w:ascii="Arial" w:hAnsi="Arial" w:cs="Arial"/>
          <w:rtl/>
        </w:rPr>
      </w:pPr>
    </w:p>
    <w:p w14:paraId="4663AF7F" w14:textId="77777777" w:rsidR="00D27746" w:rsidRDefault="00827C85">
      <w:pPr>
        <w:spacing w:line="360" w:lineRule="auto"/>
        <w:jc w:val="both"/>
        <w:rPr>
          <w:rFonts w:ascii="Arial" w:hAnsi="Arial" w:cs="Arial"/>
          <w:rtl/>
        </w:rPr>
      </w:pPr>
      <w:r>
        <w:rPr>
          <w:rFonts w:ascii="Arial" w:hAnsi="Arial" w:cs="Arial"/>
          <w:rtl/>
        </w:rPr>
        <w:t>על פי העובדות בהן הודה, במועד לא ידוע, במהלך שנת 2009, נענה הנאשם להצעת נאדר אבו עואד, פעיל "גדודי עז א-דין אלקסאם" הזרוע צבאית של החמאס, שהוכרז כארגון טרור וכהתאחדות בלתי מותרת (להלן: הגדודים), להתגייס לארגון; סמוך לאחר גיוסו, הצטרף הנאשם לקבוצות ללימוד דת ("אוסרה"); הנאשם השתתף כשנה, ב"אוסרת חמאס", במסגד יאסין שברצועת עזה, שבראשה עמד אחמד אבו ג'לאל, פעיל הגדודים (להלן: אבו ג'לאל); במסגרת זאת למד אודות תנועת החמאס, וכן השתתף בשיעורי דת וקוראן.</w:t>
      </w:r>
      <w:r>
        <w:rPr>
          <w:rFonts w:ascii="Arial" w:hAnsi="Arial" w:cs="Arial"/>
          <w:b/>
          <w:bCs/>
          <w:rtl/>
        </w:rPr>
        <w:t xml:space="preserve"> </w:t>
      </w:r>
    </w:p>
    <w:p w14:paraId="79507F03" w14:textId="77777777" w:rsidR="00D27746" w:rsidRDefault="00D27746">
      <w:pPr>
        <w:spacing w:line="360" w:lineRule="auto"/>
        <w:jc w:val="both"/>
        <w:rPr>
          <w:rtl/>
        </w:rPr>
      </w:pPr>
    </w:p>
    <w:p w14:paraId="20259B2A" w14:textId="77777777" w:rsidR="00D27746" w:rsidRDefault="00827C85">
      <w:pPr>
        <w:spacing w:line="360" w:lineRule="auto"/>
        <w:jc w:val="both"/>
        <w:rPr>
          <w:rtl/>
        </w:rPr>
      </w:pPr>
      <w:r>
        <w:rPr>
          <w:rFonts w:ascii="Arial" w:hAnsi="Arial" w:cs="Arial"/>
          <w:rtl/>
        </w:rPr>
        <w:t xml:space="preserve">על פי </w:t>
      </w:r>
      <w:r>
        <w:rPr>
          <w:rFonts w:ascii="Arial" w:hAnsi="Arial" w:cs="Arial"/>
          <w:u w:val="single"/>
          <w:rtl/>
        </w:rPr>
        <w:t>האישום הראשון</w:t>
      </w:r>
      <w:r>
        <w:rPr>
          <w:rFonts w:ascii="Arial" w:hAnsi="Arial" w:cs="Arial"/>
          <w:rtl/>
        </w:rPr>
        <w:t>, במסגרת הפעילות שתוארה לעיל, במועד לא ידוע, במהלך שנת 2010, הצטרף הנאשם לאימון צבאי, שנערך במוצב "אצדאא", השייך לחמאס, בחאן יונס.</w:t>
      </w:r>
      <w:r>
        <w:rPr>
          <w:rFonts w:ascii="Arial" w:hAnsi="Arial" w:cs="Arial"/>
          <w:b/>
          <w:bCs/>
          <w:rtl/>
        </w:rPr>
        <w:t xml:space="preserve"> </w:t>
      </w:r>
      <w:r>
        <w:rPr>
          <w:rFonts w:ascii="Arial" w:hAnsi="Arial" w:cs="Arial"/>
          <w:rtl/>
        </w:rPr>
        <w:t>האימונים נמשכו פעמיים בשבוע, במשך חודש ימים; באימון השתתפו עשרה פעילים נוספים; בגין פעילות זו, הורשע הנאשם בעבירה של</w:t>
      </w:r>
      <w:r>
        <w:rPr>
          <w:rtl/>
        </w:rPr>
        <w:t xml:space="preserve"> </w:t>
      </w:r>
      <w:r>
        <w:rPr>
          <w:rFonts w:cs="Miriam" w:hint="eastAsia"/>
          <w:rtl/>
        </w:rPr>
        <w:t>חברות</w:t>
      </w:r>
      <w:r>
        <w:rPr>
          <w:rFonts w:cs="Miriam"/>
          <w:rtl/>
        </w:rPr>
        <w:t xml:space="preserve"> </w:t>
      </w:r>
      <w:r>
        <w:rPr>
          <w:rFonts w:cs="Miriam" w:hint="eastAsia"/>
          <w:rtl/>
        </w:rPr>
        <w:t>ופעילות</w:t>
      </w:r>
      <w:r>
        <w:rPr>
          <w:rFonts w:cs="Miriam"/>
          <w:rtl/>
        </w:rPr>
        <w:t xml:space="preserve"> </w:t>
      </w:r>
      <w:r>
        <w:rPr>
          <w:rFonts w:cs="Miriam" w:hint="eastAsia"/>
          <w:rtl/>
        </w:rPr>
        <w:t>בהתאחדות</w:t>
      </w:r>
      <w:r>
        <w:rPr>
          <w:rFonts w:cs="Miriam"/>
          <w:rtl/>
        </w:rPr>
        <w:t xml:space="preserve"> </w:t>
      </w:r>
      <w:r>
        <w:rPr>
          <w:rFonts w:cs="Miriam" w:hint="eastAsia"/>
          <w:rtl/>
        </w:rPr>
        <w:t>בלתי</w:t>
      </w:r>
      <w:r>
        <w:rPr>
          <w:rFonts w:cs="Miriam"/>
          <w:rtl/>
        </w:rPr>
        <w:t xml:space="preserve"> </w:t>
      </w:r>
      <w:r>
        <w:rPr>
          <w:rFonts w:cs="Miriam" w:hint="eastAsia"/>
          <w:rtl/>
        </w:rPr>
        <w:t>מותרת</w:t>
      </w:r>
      <w:r>
        <w:rPr>
          <w:rFonts w:ascii="Arial" w:hAnsi="Arial" w:cs="Arial"/>
          <w:rtl/>
        </w:rPr>
        <w:t>,</w:t>
      </w:r>
      <w:r>
        <w:rPr>
          <w:rtl/>
        </w:rPr>
        <w:t xml:space="preserve"> </w:t>
      </w:r>
      <w:r>
        <w:rPr>
          <w:rFonts w:ascii="Arial" w:hAnsi="Arial" w:cs="Arial"/>
          <w:rtl/>
        </w:rPr>
        <w:t xml:space="preserve">לפי </w:t>
      </w:r>
      <w:hyperlink r:id="rId15" w:history="1">
        <w:r w:rsidR="005028B6" w:rsidRPr="005028B6">
          <w:rPr>
            <w:rFonts w:ascii="Arial" w:hAnsi="Arial" w:cs="Arial"/>
            <w:color w:val="0000FF"/>
            <w:u w:val="single"/>
            <w:rtl/>
          </w:rPr>
          <w:t>סעיף 85(1)(א)</w:t>
        </w:r>
      </w:hyperlink>
      <w:r>
        <w:rPr>
          <w:rFonts w:ascii="Arial" w:hAnsi="Arial" w:cs="Arial"/>
          <w:rtl/>
        </w:rPr>
        <w:t xml:space="preserve"> ל</w:t>
      </w:r>
      <w:hyperlink r:id="rId16" w:history="1">
        <w:r w:rsidRPr="00827C85">
          <w:rPr>
            <w:rFonts w:ascii="Arial" w:hAnsi="Arial" w:cs="Arial"/>
            <w:color w:val="0000FF"/>
            <w:u w:val="single"/>
            <w:rtl/>
          </w:rPr>
          <w:t>תקנות ההגנה (שעת חירום)</w:t>
        </w:r>
      </w:hyperlink>
      <w:r>
        <w:rPr>
          <w:rFonts w:ascii="Arial" w:hAnsi="Arial" w:cs="Arial"/>
          <w:rtl/>
        </w:rPr>
        <w:t xml:space="preserve"> 1945 (להלן:</w:t>
      </w:r>
      <w:r>
        <w:rPr>
          <w:rtl/>
        </w:rPr>
        <w:t xml:space="preserve"> </w:t>
      </w:r>
      <w:r>
        <w:rPr>
          <w:rFonts w:cs="Miriam" w:hint="eastAsia"/>
          <w:rtl/>
        </w:rPr>
        <w:t>התקנות</w:t>
      </w:r>
      <w:r>
        <w:rPr>
          <w:rFonts w:ascii="Arial" w:hAnsi="Arial" w:cs="Arial"/>
          <w:rtl/>
        </w:rPr>
        <w:t xml:space="preserve">). </w:t>
      </w:r>
    </w:p>
    <w:p w14:paraId="5DBE6483" w14:textId="77777777" w:rsidR="00D27746" w:rsidRDefault="00D27746">
      <w:pPr>
        <w:spacing w:line="360" w:lineRule="auto"/>
        <w:jc w:val="both"/>
        <w:rPr>
          <w:rtl/>
        </w:rPr>
      </w:pPr>
    </w:p>
    <w:p w14:paraId="6C22CFA7" w14:textId="77777777" w:rsidR="00D27746" w:rsidRDefault="00827C85">
      <w:pPr>
        <w:spacing w:line="360" w:lineRule="auto"/>
        <w:jc w:val="both"/>
        <w:rPr>
          <w:rFonts w:ascii="Arial" w:hAnsi="Arial" w:cs="Arial"/>
          <w:rtl/>
        </w:rPr>
      </w:pPr>
      <w:r>
        <w:rPr>
          <w:rFonts w:ascii="Arial" w:hAnsi="Arial" w:cs="Arial"/>
          <w:rtl/>
        </w:rPr>
        <w:t xml:space="preserve">על פי </w:t>
      </w:r>
      <w:r>
        <w:rPr>
          <w:rFonts w:ascii="Arial" w:hAnsi="Arial" w:cs="Arial"/>
          <w:u w:val="single"/>
          <w:rtl/>
        </w:rPr>
        <w:t>האישום השני</w:t>
      </w:r>
      <w:r>
        <w:rPr>
          <w:rFonts w:ascii="Arial" w:hAnsi="Arial" w:cs="Arial"/>
          <w:rtl/>
        </w:rPr>
        <w:t xml:space="preserve">, במועד לא ידוע, במהלך שנת 2010 ועד תחילת שנת 2011, או סמוך לכך, לאחר סיום האימון הצבאי המתואר באישום הראשון, הצטרף הנאשם ליחידת המנהרות השייכת לחמאס, תחת אחריותו של ראאד שריחי, המשמש כאחראי על יחידת המנהרות באזור מעאזי. </w:t>
      </w:r>
    </w:p>
    <w:p w14:paraId="0E852040" w14:textId="77777777" w:rsidR="00D27746" w:rsidRDefault="00D27746">
      <w:pPr>
        <w:spacing w:line="360" w:lineRule="auto"/>
        <w:jc w:val="both"/>
        <w:rPr>
          <w:rFonts w:ascii="Arial" w:hAnsi="Arial" w:cs="Arial"/>
          <w:rtl/>
        </w:rPr>
      </w:pPr>
    </w:p>
    <w:p w14:paraId="2432DDFD" w14:textId="77777777" w:rsidR="00D27746" w:rsidRDefault="00827C85">
      <w:pPr>
        <w:spacing w:line="360" w:lineRule="auto"/>
        <w:jc w:val="both"/>
        <w:rPr>
          <w:rFonts w:ascii="Arial" w:hAnsi="Arial" w:cs="Arial"/>
          <w:rtl/>
        </w:rPr>
      </w:pPr>
      <w:r>
        <w:rPr>
          <w:rFonts w:ascii="Arial" w:hAnsi="Arial" w:cs="Arial"/>
          <w:rtl/>
        </w:rPr>
        <w:t xml:space="preserve">במהלך פעילותו ביחידת המנהרות, קשר הנאשם קשר עם שישה פעילי גדודים נוספים, לחפור מנהרות לצורך פעילות צבאית של החמאס באזור מעאזי, כנגד חיילי צה"ל. לנאשם ולשותפיו לקשר, נמסר, כי למנהרות אלו שלוש מטרות עיקריות, בפעילות כנגד בטחון מדינת ישראל: לשמש מקום מסתור לטילים של הגדודים בטרם שיגורם לעבר ישראל; לשמש נקודות מארב של פעילי הגדודים, שישמשו אותם לתקיפה מאחור, בהפתעה, של כוחות צה"ל שייכנסו לאזור מעאזי; לשמש מקום מסתור לפעילי חמאס בכירים מפני חיילי צה"ל, ביניהם עזאלדין ריאן, אחראי זרוע בגדודים, השיח סלאמה ומוסא אלע'בן, אחראי יחידת המנהרות. </w:t>
      </w:r>
    </w:p>
    <w:p w14:paraId="4E7B093A" w14:textId="77777777" w:rsidR="00D27746" w:rsidRDefault="00827C85">
      <w:pPr>
        <w:spacing w:line="360" w:lineRule="auto"/>
        <w:jc w:val="both"/>
        <w:rPr>
          <w:rFonts w:ascii="Arial" w:hAnsi="Arial" w:cs="Arial"/>
          <w:rtl/>
        </w:rPr>
      </w:pPr>
      <w:r>
        <w:rPr>
          <w:rFonts w:ascii="Arial" w:hAnsi="Arial" w:cs="Arial"/>
          <w:rtl/>
        </w:rPr>
        <w:t xml:space="preserve">הנאשם פעל כחבר ביחידת המנהרות כשנה. הוא השתתף בחפירת שבע מנהרות שונות, באזור מעאזי; אורך המנהרות היה בין  300 ל- </w:t>
      </w:r>
      <w:smartTag w:uri="urn:schemas-microsoft-com:office:smarttags" w:element="country-region">
        <w:smartTagPr>
          <w:attr w:name="ProductID" w:val="500 מ'"/>
        </w:smartTagPr>
        <w:r>
          <w:rPr>
            <w:rFonts w:ascii="Arial" w:hAnsi="Arial" w:cs="Arial"/>
            <w:rtl/>
          </w:rPr>
          <w:t>500 מ'</w:t>
        </w:r>
      </w:smartTag>
      <w:r>
        <w:rPr>
          <w:rFonts w:ascii="Arial" w:hAnsi="Arial" w:cs="Arial"/>
          <w:rtl/>
        </w:rPr>
        <w:t xml:space="preserve">, גובהן – </w:t>
      </w:r>
      <w:smartTag w:uri="urn:schemas-microsoft-com:office:smarttags" w:element="country-region">
        <w:smartTagPr>
          <w:attr w:name="ProductID" w:val="1.20 מ'"/>
        </w:smartTagPr>
        <w:r>
          <w:rPr>
            <w:rFonts w:ascii="Arial" w:hAnsi="Arial" w:cs="Arial"/>
            <w:rtl/>
          </w:rPr>
          <w:t>1.20 מ'</w:t>
        </w:r>
      </w:smartTag>
      <w:r>
        <w:rPr>
          <w:rFonts w:ascii="Arial" w:hAnsi="Arial" w:cs="Arial"/>
          <w:rtl/>
        </w:rPr>
        <w:t>, ועומק פתחן כ-</w:t>
      </w:r>
      <w:smartTag w:uri="urn:schemas-microsoft-com:office:smarttags" w:element="country-region">
        <w:smartTagPr>
          <w:attr w:name="ProductID" w:val="12 מ'"/>
        </w:smartTagPr>
        <w:r>
          <w:rPr>
            <w:rFonts w:ascii="Arial" w:hAnsi="Arial" w:cs="Arial"/>
            <w:rtl/>
          </w:rPr>
          <w:t>12 מ'</w:t>
        </w:r>
      </w:smartTag>
      <w:r>
        <w:rPr>
          <w:rFonts w:ascii="Arial" w:hAnsi="Arial" w:cs="Arial"/>
          <w:rtl/>
        </w:rPr>
        <w:t xml:space="preserve">. בתוך המנהרות הותקן צינור חמצן, ששימש את חופרי המנהרות. </w:t>
      </w:r>
    </w:p>
    <w:p w14:paraId="611DD980" w14:textId="77777777" w:rsidR="00D27746" w:rsidRDefault="00827C85">
      <w:pPr>
        <w:spacing w:line="360" w:lineRule="auto"/>
        <w:jc w:val="both"/>
        <w:rPr>
          <w:rFonts w:ascii="Arial" w:hAnsi="Arial" w:cs="Arial"/>
          <w:rtl/>
        </w:rPr>
      </w:pPr>
      <w:r>
        <w:rPr>
          <w:rFonts w:ascii="Arial" w:hAnsi="Arial" w:cs="Arial"/>
          <w:rtl/>
        </w:rPr>
        <w:t>בחפירת כל מנהרה, באמצעות כלי קידוח, השתתפו בו זמנית, כשמונה פעילים, שעשו שימוש במנועים לסחיבת העפר אל מחוץ למנהרה.</w:t>
      </w:r>
      <w:r>
        <w:rPr>
          <w:rFonts w:ascii="Arial" w:hAnsi="Arial" w:cs="Arial"/>
          <w:b/>
          <w:bCs/>
          <w:rtl/>
        </w:rPr>
        <w:t xml:space="preserve"> </w:t>
      </w:r>
      <w:r>
        <w:rPr>
          <w:rFonts w:ascii="Arial" w:hAnsi="Arial" w:cs="Arial"/>
          <w:rtl/>
        </w:rPr>
        <w:t xml:space="preserve">תפקידו של הנאשם היה בהוצאת שקי עפר </w:t>
      </w:r>
      <w:r>
        <w:rPr>
          <w:rFonts w:ascii="Arial" w:hAnsi="Arial" w:cs="Arial"/>
          <w:rtl/>
        </w:rPr>
        <w:lastRenderedPageBreak/>
        <w:t xml:space="preserve">מהמנהרות, באמצעות מנוע חשמלי; התזת מים מחוץ למנהרות, לצורך מניעת אבק, ואספקת עצים לחיזוק המנהרות, ממפעל עצים באיזור. </w:t>
      </w:r>
    </w:p>
    <w:p w14:paraId="512DDEC3" w14:textId="77777777" w:rsidR="00D27746" w:rsidRDefault="00827C85">
      <w:pPr>
        <w:spacing w:line="360" w:lineRule="auto"/>
        <w:jc w:val="both"/>
        <w:rPr>
          <w:u w:val="single"/>
          <w:rtl/>
        </w:rPr>
      </w:pPr>
      <w:r>
        <w:rPr>
          <w:rFonts w:ascii="Arial" w:hAnsi="Arial" w:cs="Arial"/>
          <w:rtl/>
        </w:rPr>
        <w:t>בגין מעשים אלה, הורשע הנאשם בעבירות של</w:t>
      </w:r>
      <w:r>
        <w:rPr>
          <w:rtl/>
        </w:rPr>
        <w:t xml:space="preserve"> </w:t>
      </w:r>
      <w:r>
        <w:rPr>
          <w:rFonts w:cs="Miriam" w:hint="eastAsia"/>
          <w:rtl/>
        </w:rPr>
        <w:t>פעילות</w:t>
      </w:r>
      <w:r>
        <w:rPr>
          <w:rFonts w:cs="Miriam"/>
          <w:rtl/>
        </w:rPr>
        <w:t xml:space="preserve"> </w:t>
      </w:r>
      <w:r>
        <w:rPr>
          <w:rFonts w:cs="Miriam" w:hint="eastAsia"/>
          <w:rtl/>
        </w:rPr>
        <w:t>בהתאחדות</w:t>
      </w:r>
      <w:r>
        <w:rPr>
          <w:rFonts w:cs="Miriam"/>
          <w:rtl/>
        </w:rPr>
        <w:t xml:space="preserve"> </w:t>
      </w:r>
      <w:r>
        <w:rPr>
          <w:rFonts w:cs="Miriam" w:hint="eastAsia"/>
          <w:rtl/>
        </w:rPr>
        <w:t>בלתי</w:t>
      </w:r>
      <w:r>
        <w:rPr>
          <w:rFonts w:cs="Miriam"/>
          <w:rtl/>
        </w:rPr>
        <w:t xml:space="preserve"> </w:t>
      </w:r>
      <w:r>
        <w:rPr>
          <w:rFonts w:cs="Miriam" w:hint="eastAsia"/>
          <w:rtl/>
        </w:rPr>
        <w:t>מותרת</w:t>
      </w:r>
      <w:r>
        <w:rPr>
          <w:rFonts w:ascii="Arial" w:hAnsi="Arial" w:cs="Arial"/>
          <w:rtl/>
        </w:rPr>
        <w:t>,</w:t>
      </w:r>
      <w:r>
        <w:rPr>
          <w:rtl/>
        </w:rPr>
        <w:t xml:space="preserve"> </w:t>
      </w:r>
      <w:r>
        <w:rPr>
          <w:rFonts w:ascii="Arial" w:hAnsi="Arial" w:cs="Arial"/>
          <w:rtl/>
        </w:rPr>
        <w:t xml:space="preserve">לפי </w:t>
      </w:r>
      <w:hyperlink r:id="rId17" w:history="1">
        <w:r w:rsidR="005028B6" w:rsidRPr="005028B6">
          <w:rPr>
            <w:rFonts w:ascii="Arial" w:hAnsi="Arial" w:cs="Arial"/>
            <w:color w:val="0000FF"/>
            <w:u w:val="single"/>
            <w:rtl/>
          </w:rPr>
          <w:t>סעיף 85(1)(א)</w:t>
        </w:r>
      </w:hyperlink>
      <w:r>
        <w:rPr>
          <w:rFonts w:ascii="Arial" w:hAnsi="Arial" w:cs="Arial"/>
          <w:rtl/>
        </w:rPr>
        <w:t xml:space="preserve"> לתקנות; ו</w:t>
      </w:r>
      <w:r>
        <w:rPr>
          <w:rFonts w:cs="Miriam" w:hint="eastAsia"/>
          <w:rtl/>
        </w:rPr>
        <w:t>קשירת</w:t>
      </w:r>
      <w:r>
        <w:rPr>
          <w:rFonts w:cs="Miriam"/>
          <w:rtl/>
        </w:rPr>
        <w:t xml:space="preserve"> </w:t>
      </w:r>
      <w:r>
        <w:rPr>
          <w:rFonts w:cs="Miriam" w:hint="eastAsia"/>
          <w:rtl/>
        </w:rPr>
        <w:t>קשר</w:t>
      </w:r>
      <w:r>
        <w:rPr>
          <w:rFonts w:cs="Miriam"/>
          <w:rtl/>
        </w:rPr>
        <w:t xml:space="preserve"> </w:t>
      </w:r>
      <w:r>
        <w:rPr>
          <w:rFonts w:cs="Miriam" w:hint="eastAsia"/>
          <w:rtl/>
        </w:rPr>
        <w:t>לפשע</w:t>
      </w:r>
      <w:r>
        <w:rPr>
          <w:rFonts w:ascii="Arial" w:hAnsi="Arial" w:cs="Arial"/>
          <w:rtl/>
        </w:rPr>
        <w:t xml:space="preserve">, לפי </w:t>
      </w:r>
      <w:hyperlink r:id="rId18" w:history="1">
        <w:r w:rsidR="005028B6" w:rsidRPr="005028B6">
          <w:rPr>
            <w:rFonts w:ascii="Arial" w:hAnsi="Arial" w:cs="Arial"/>
            <w:color w:val="0000FF"/>
            <w:u w:val="single"/>
            <w:rtl/>
          </w:rPr>
          <w:t>סעיף 499 (א)(1)</w:t>
        </w:r>
      </w:hyperlink>
      <w:r>
        <w:rPr>
          <w:rFonts w:ascii="Arial" w:hAnsi="Arial" w:cs="Arial"/>
          <w:rtl/>
        </w:rPr>
        <w:t xml:space="preserve"> לחוק.</w:t>
      </w:r>
      <w:r>
        <w:rPr>
          <w:rtl/>
        </w:rPr>
        <w:t xml:space="preserve"> </w:t>
      </w:r>
    </w:p>
    <w:p w14:paraId="67C7C1D1" w14:textId="77777777" w:rsidR="00D27746" w:rsidRDefault="00D27746">
      <w:pPr>
        <w:spacing w:line="360" w:lineRule="auto"/>
        <w:jc w:val="both"/>
        <w:rPr>
          <w:rtl/>
        </w:rPr>
      </w:pPr>
    </w:p>
    <w:p w14:paraId="75636D1A" w14:textId="77777777" w:rsidR="00D27746" w:rsidRDefault="00827C85">
      <w:pPr>
        <w:spacing w:line="360" w:lineRule="auto"/>
        <w:jc w:val="both"/>
        <w:rPr>
          <w:rFonts w:ascii="Arial" w:hAnsi="Arial" w:cs="Arial"/>
          <w:rtl/>
        </w:rPr>
      </w:pPr>
      <w:r>
        <w:rPr>
          <w:rFonts w:ascii="Arial" w:hAnsi="Arial" w:cs="Arial"/>
          <w:rtl/>
        </w:rPr>
        <w:t xml:space="preserve">על פי </w:t>
      </w:r>
      <w:r>
        <w:rPr>
          <w:rFonts w:ascii="Arial" w:hAnsi="Arial" w:cs="Arial"/>
          <w:u w:val="single"/>
          <w:rtl/>
        </w:rPr>
        <w:t>האישום השלישי,</w:t>
      </w:r>
      <w:r>
        <w:rPr>
          <w:rFonts w:ascii="Arial" w:hAnsi="Arial" w:cs="Arial"/>
          <w:rtl/>
        </w:rPr>
        <w:t xml:space="preserve"> במועד לא ידוע, במהלך שנת 2011, סמוך לאחר שסיים הנאשם את פעילותו ביחידת המנהרות, הצטרף הנאשם לחולייה בגדודים, שתפקידה היה לבצע שמירות חמושות כנגד כניסת כוחות צה"ל לאזור מעאזי. במסגרת פעילותו, קשר הנאשם קשר עם שבעה חברי חוליה נוספים, כולם פעילי הגדודים, לגרום למותם של חיילי צה"ל, באשר הם ישראלים, באם אלו יגיעו לאזור בו בוצעו השמירות. </w:t>
      </w:r>
    </w:p>
    <w:p w14:paraId="025D7A28" w14:textId="77777777" w:rsidR="00D27746" w:rsidRDefault="00827C85">
      <w:pPr>
        <w:spacing w:line="360" w:lineRule="auto"/>
        <w:jc w:val="both"/>
        <w:rPr>
          <w:rFonts w:ascii="Arial" w:hAnsi="Arial" w:cs="Arial"/>
          <w:rtl/>
        </w:rPr>
      </w:pPr>
      <w:r>
        <w:rPr>
          <w:rFonts w:ascii="Arial" w:hAnsi="Arial" w:cs="Arial"/>
          <w:rtl/>
        </w:rPr>
        <w:t xml:space="preserve">לנאשם וחברי חולייתו, ניתנה הנחיה, על ידי אבו איוב אבו אג'לאל אחמד, שהיה אחראי על השמירות החמושות, כי אם ייכנסו כוחות צה"ל לאזור בו מבוצעות השמירות, עליהם לפתוח לעברם באש, במטרה להרוג את החיילים. במהלך ביצוע השמירות, בשעות הלילה, בימי שבת וראשון, במשך תקופה של כחודשיים ימים, נשאו הנאשם ושני חברי חוליה נוספים, על גופם, אפודי מגן ורובי קלאצ'ניקוב, שתי מחסניות ושלושה רימוני יד; בסופו של דבר, לא הגיעו חיילי צה"ל לאזור בו בוצעו השמירות וכך נמנעה פגיעה. </w:t>
      </w:r>
    </w:p>
    <w:p w14:paraId="5723FFCF" w14:textId="77777777" w:rsidR="00D27746" w:rsidRDefault="00827C85">
      <w:pPr>
        <w:spacing w:line="360" w:lineRule="auto"/>
        <w:jc w:val="both"/>
        <w:rPr>
          <w:rtl/>
        </w:rPr>
      </w:pPr>
      <w:r>
        <w:rPr>
          <w:rFonts w:ascii="Arial" w:hAnsi="Arial" w:cs="Arial"/>
          <w:rtl/>
        </w:rPr>
        <w:t>בגין המעשים המתוארים, הורשע הנאשם בעבירות של</w:t>
      </w:r>
      <w:r>
        <w:rPr>
          <w:rtl/>
        </w:rPr>
        <w:t xml:space="preserve"> </w:t>
      </w:r>
      <w:r>
        <w:rPr>
          <w:rFonts w:cs="Miriam" w:hint="eastAsia"/>
          <w:rtl/>
        </w:rPr>
        <w:t>פעילות</w:t>
      </w:r>
      <w:r>
        <w:rPr>
          <w:rFonts w:cs="Miriam"/>
          <w:rtl/>
        </w:rPr>
        <w:t xml:space="preserve"> </w:t>
      </w:r>
      <w:r>
        <w:rPr>
          <w:rFonts w:cs="Miriam" w:hint="eastAsia"/>
          <w:rtl/>
        </w:rPr>
        <w:t>בהתאחדות</w:t>
      </w:r>
      <w:r>
        <w:rPr>
          <w:rFonts w:cs="Miriam"/>
          <w:rtl/>
        </w:rPr>
        <w:t xml:space="preserve"> </w:t>
      </w:r>
      <w:r>
        <w:rPr>
          <w:rFonts w:cs="Miriam" w:hint="eastAsia"/>
          <w:rtl/>
        </w:rPr>
        <w:t>בלתי</w:t>
      </w:r>
      <w:r>
        <w:rPr>
          <w:rFonts w:cs="Miriam"/>
          <w:rtl/>
        </w:rPr>
        <w:t xml:space="preserve"> </w:t>
      </w:r>
      <w:r>
        <w:rPr>
          <w:rFonts w:cs="Miriam" w:hint="eastAsia"/>
          <w:rtl/>
        </w:rPr>
        <w:t>מותרת</w:t>
      </w:r>
      <w:r>
        <w:rPr>
          <w:rFonts w:ascii="Arial" w:hAnsi="Arial" w:cs="Arial"/>
          <w:rtl/>
        </w:rPr>
        <w:t>,</w:t>
      </w:r>
      <w:r>
        <w:rPr>
          <w:rtl/>
        </w:rPr>
        <w:t xml:space="preserve"> </w:t>
      </w:r>
      <w:r>
        <w:rPr>
          <w:rFonts w:ascii="Arial" w:hAnsi="Arial" w:cs="Arial"/>
          <w:rtl/>
        </w:rPr>
        <w:t xml:space="preserve">לפי </w:t>
      </w:r>
      <w:hyperlink r:id="rId19" w:history="1">
        <w:r w:rsidR="005028B6" w:rsidRPr="005028B6">
          <w:rPr>
            <w:rFonts w:ascii="Arial" w:hAnsi="Arial" w:cs="Arial"/>
            <w:color w:val="0000FF"/>
            <w:u w:val="single"/>
            <w:rtl/>
          </w:rPr>
          <w:t>סעיף 85(1)(א)</w:t>
        </w:r>
      </w:hyperlink>
      <w:r>
        <w:rPr>
          <w:rFonts w:ascii="Arial" w:hAnsi="Arial" w:cs="Arial"/>
          <w:rtl/>
        </w:rPr>
        <w:t xml:space="preserve"> לתקנות;</w:t>
      </w:r>
      <w:r>
        <w:rPr>
          <w:rtl/>
        </w:rPr>
        <w:t xml:space="preserve"> </w:t>
      </w:r>
      <w:r>
        <w:rPr>
          <w:rFonts w:cs="Miriam" w:hint="eastAsia"/>
          <w:rtl/>
        </w:rPr>
        <w:t>קשירת</w:t>
      </w:r>
      <w:r>
        <w:rPr>
          <w:rFonts w:cs="Miriam"/>
          <w:rtl/>
        </w:rPr>
        <w:t xml:space="preserve"> </w:t>
      </w:r>
      <w:r>
        <w:rPr>
          <w:rFonts w:cs="Miriam" w:hint="eastAsia"/>
          <w:rtl/>
        </w:rPr>
        <w:t>קשר</w:t>
      </w:r>
      <w:r>
        <w:rPr>
          <w:rFonts w:cs="Miriam"/>
          <w:rtl/>
        </w:rPr>
        <w:t xml:space="preserve"> </w:t>
      </w:r>
      <w:r>
        <w:rPr>
          <w:rFonts w:cs="Miriam" w:hint="eastAsia"/>
          <w:rtl/>
        </w:rPr>
        <w:t>לפשע</w:t>
      </w:r>
      <w:r>
        <w:rPr>
          <w:rFonts w:cs="Miriam"/>
          <w:rtl/>
        </w:rPr>
        <w:t xml:space="preserve"> (</w:t>
      </w:r>
      <w:r>
        <w:rPr>
          <w:rFonts w:cs="Miriam" w:hint="eastAsia"/>
          <w:rtl/>
        </w:rPr>
        <w:t>רצח</w:t>
      </w:r>
      <w:r>
        <w:rPr>
          <w:rFonts w:cs="Miriam"/>
          <w:rtl/>
        </w:rPr>
        <w:t>)</w:t>
      </w:r>
      <w:r>
        <w:rPr>
          <w:rFonts w:ascii="Arial" w:hAnsi="Arial" w:cs="Arial"/>
          <w:rtl/>
        </w:rPr>
        <w:t xml:space="preserve">, לפי </w:t>
      </w:r>
      <w:hyperlink r:id="rId20" w:history="1">
        <w:r w:rsidR="005028B6" w:rsidRPr="005028B6">
          <w:rPr>
            <w:rFonts w:ascii="Arial" w:hAnsi="Arial" w:cs="Arial"/>
            <w:color w:val="0000FF"/>
            <w:u w:val="single"/>
            <w:rtl/>
          </w:rPr>
          <w:t>סעיף 499(א)(1)</w:t>
        </w:r>
      </w:hyperlink>
      <w:r>
        <w:rPr>
          <w:rFonts w:ascii="Arial" w:hAnsi="Arial" w:cs="Arial"/>
          <w:rtl/>
        </w:rPr>
        <w:t xml:space="preserve"> לחוק; </w:t>
      </w:r>
      <w:r>
        <w:rPr>
          <w:rFonts w:cs="Miriam" w:hint="eastAsia"/>
          <w:rtl/>
        </w:rPr>
        <w:t>עבירות</w:t>
      </w:r>
      <w:r>
        <w:rPr>
          <w:rFonts w:cs="Miriam"/>
          <w:rtl/>
        </w:rPr>
        <w:t xml:space="preserve"> </w:t>
      </w:r>
      <w:r>
        <w:rPr>
          <w:rFonts w:cs="Miriam" w:hint="eastAsia"/>
          <w:rtl/>
        </w:rPr>
        <w:t>נשק</w:t>
      </w:r>
      <w:r>
        <w:rPr>
          <w:rFonts w:cs="Miriam"/>
          <w:rtl/>
        </w:rPr>
        <w:t xml:space="preserve"> (</w:t>
      </w:r>
      <w:r>
        <w:rPr>
          <w:rFonts w:cs="Miriam" w:hint="eastAsia"/>
          <w:rtl/>
        </w:rPr>
        <w:t>נשיאת</w:t>
      </w:r>
      <w:r>
        <w:rPr>
          <w:rFonts w:cs="Miriam"/>
          <w:rtl/>
        </w:rPr>
        <w:t xml:space="preserve"> </w:t>
      </w:r>
      <w:r>
        <w:rPr>
          <w:rFonts w:cs="Miriam" w:hint="eastAsia"/>
          <w:rtl/>
        </w:rPr>
        <w:t>נשק</w:t>
      </w:r>
      <w:r>
        <w:rPr>
          <w:rFonts w:cs="Miriam"/>
          <w:rtl/>
        </w:rPr>
        <w:t xml:space="preserve"> </w:t>
      </w:r>
      <w:r>
        <w:rPr>
          <w:rFonts w:cs="Miriam" w:hint="eastAsia"/>
          <w:rtl/>
        </w:rPr>
        <w:t>ותחמושת</w:t>
      </w:r>
      <w:r>
        <w:rPr>
          <w:rFonts w:cs="Miriam"/>
          <w:rtl/>
        </w:rPr>
        <w:t>)</w:t>
      </w:r>
      <w:r>
        <w:rPr>
          <w:rFonts w:ascii="Arial" w:hAnsi="Arial" w:cs="Arial"/>
          <w:rtl/>
        </w:rPr>
        <w:t xml:space="preserve">, לפי </w:t>
      </w:r>
      <w:hyperlink r:id="rId21" w:history="1">
        <w:r w:rsidR="005028B6" w:rsidRPr="005028B6">
          <w:rPr>
            <w:rFonts w:ascii="Arial" w:hAnsi="Arial" w:cs="Arial"/>
            <w:color w:val="0000FF"/>
            <w:u w:val="single"/>
            <w:rtl/>
          </w:rPr>
          <w:t>סעיף 144(ב)</w:t>
        </w:r>
      </w:hyperlink>
      <w:r>
        <w:rPr>
          <w:rFonts w:ascii="Arial" w:hAnsi="Arial" w:cs="Arial"/>
          <w:rtl/>
        </w:rPr>
        <w:t xml:space="preserve"> לחוק. </w:t>
      </w:r>
    </w:p>
    <w:p w14:paraId="1B1999A5" w14:textId="77777777" w:rsidR="00D27746" w:rsidRDefault="00D27746">
      <w:pPr>
        <w:spacing w:line="360" w:lineRule="auto"/>
        <w:jc w:val="both"/>
        <w:rPr>
          <w:rtl/>
        </w:rPr>
      </w:pPr>
    </w:p>
    <w:p w14:paraId="40281992" w14:textId="77777777" w:rsidR="00D27746" w:rsidRDefault="00827C85">
      <w:pPr>
        <w:spacing w:line="360" w:lineRule="auto"/>
        <w:jc w:val="both"/>
        <w:rPr>
          <w:rFonts w:ascii="Arial" w:hAnsi="Arial" w:cs="Arial"/>
          <w:rtl/>
        </w:rPr>
      </w:pPr>
      <w:r>
        <w:rPr>
          <w:rFonts w:ascii="Arial" w:hAnsi="Arial" w:cs="Arial"/>
          <w:rtl/>
        </w:rPr>
        <w:t xml:space="preserve">על פי </w:t>
      </w:r>
      <w:r>
        <w:rPr>
          <w:rFonts w:ascii="Arial" w:hAnsi="Arial" w:cs="Arial"/>
          <w:u w:val="single"/>
          <w:rtl/>
        </w:rPr>
        <w:t>האישום הרביעי</w:t>
      </w:r>
      <w:r>
        <w:rPr>
          <w:rFonts w:ascii="Arial" w:hAnsi="Arial" w:cs="Arial"/>
          <w:rtl/>
        </w:rPr>
        <w:t xml:space="preserve">, ביום 23.07.2013, בשעה 21:45 לערך, הגיע הנאשם עם שניים נוספים, ראיד בורדיני וג'מיל שקורה, לאזור גדר המערכת, בגבול ישראל רצועת עזה, סמוך למחסום כיסופים; הנאשם ושותפיו קפצו מעל הגדר ונכנסו לישראל שלא כדין. כוח צה"ל שהוזעק למקום, הבחין בהם ועצר אותם. </w:t>
      </w:r>
    </w:p>
    <w:p w14:paraId="5D69CC94" w14:textId="77777777" w:rsidR="00D27746" w:rsidRDefault="00827C85">
      <w:pPr>
        <w:spacing w:line="360" w:lineRule="auto"/>
        <w:jc w:val="both"/>
        <w:rPr>
          <w:rFonts w:ascii="Arial" w:hAnsi="Arial" w:cs="Arial"/>
          <w:rtl/>
        </w:rPr>
      </w:pPr>
      <w:r>
        <w:rPr>
          <w:rFonts w:ascii="Arial" w:hAnsi="Arial" w:cs="Arial"/>
          <w:rtl/>
        </w:rPr>
        <w:t>בגין כך, הורשע הנאשם בעבירה של</w:t>
      </w:r>
      <w:r>
        <w:rPr>
          <w:rtl/>
        </w:rPr>
        <w:t xml:space="preserve"> </w:t>
      </w:r>
      <w:r>
        <w:rPr>
          <w:rFonts w:cs="Miriam" w:hint="eastAsia"/>
          <w:rtl/>
        </w:rPr>
        <w:t>הסתננות</w:t>
      </w:r>
      <w:r>
        <w:rPr>
          <w:rFonts w:ascii="Arial" w:hAnsi="Arial" w:cs="Arial"/>
          <w:rtl/>
        </w:rPr>
        <w:t xml:space="preserve">, לפי </w:t>
      </w:r>
      <w:hyperlink r:id="rId22" w:history="1">
        <w:r w:rsidR="005028B6" w:rsidRPr="005028B6">
          <w:rPr>
            <w:rFonts w:ascii="Arial" w:hAnsi="Arial" w:cs="Arial"/>
            <w:color w:val="0000FF"/>
            <w:u w:val="single"/>
            <w:rtl/>
          </w:rPr>
          <w:t>סעיף 2</w:t>
        </w:r>
      </w:hyperlink>
      <w:r>
        <w:rPr>
          <w:rFonts w:ascii="Arial" w:hAnsi="Arial" w:cs="Arial"/>
          <w:rtl/>
        </w:rPr>
        <w:t xml:space="preserve"> ל</w:t>
      </w:r>
      <w:hyperlink r:id="rId23" w:history="1">
        <w:r w:rsidRPr="00827C85">
          <w:rPr>
            <w:rFonts w:ascii="Arial" w:hAnsi="Arial" w:cs="Arial"/>
            <w:color w:val="0000FF"/>
            <w:u w:val="single"/>
            <w:rtl/>
          </w:rPr>
          <w:t>חוק למניעת הסתננות (עבירות ושיפוט)</w:t>
        </w:r>
      </w:hyperlink>
      <w:r>
        <w:rPr>
          <w:rFonts w:ascii="Arial" w:hAnsi="Arial" w:cs="Arial"/>
          <w:rtl/>
        </w:rPr>
        <w:t xml:space="preserve"> תשי"ד-1954. </w:t>
      </w:r>
    </w:p>
    <w:p w14:paraId="3EDA421A" w14:textId="77777777" w:rsidR="00D27746" w:rsidRDefault="00D27746">
      <w:pPr>
        <w:spacing w:line="360" w:lineRule="auto"/>
        <w:jc w:val="both"/>
        <w:rPr>
          <w:rtl/>
        </w:rPr>
      </w:pPr>
    </w:p>
    <w:p w14:paraId="5626AE58" w14:textId="77777777" w:rsidR="00D27746" w:rsidRDefault="00827C85">
      <w:pPr>
        <w:spacing w:line="360" w:lineRule="auto"/>
        <w:jc w:val="both"/>
        <w:rPr>
          <w:rFonts w:ascii="Arial" w:hAnsi="Arial" w:cs="Arial"/>
          <w:rtl/>
        </w:rPr>
      </w:pPr>
      <w:r>
        <w:rPr>
          <w:rFonts w:ascii="Arial" w:hAnsi="Arial" w:cs="Arial"/>
          <w:rtl/>
        </w:rPr>
        <w:t xml:space="preserve">במסגרת הסדר הטיעון, הוסכם בין הצדדים, כי המאשימה תעתור להטלת עונש מאסר בפועל שלא יעלה על 8 שנים ו-3 חדשים, וטיעונה של ההגנה יהא חופשי. הוסכם, בנוסף, כי יוטל על הנאשם מאסר מותנה, לתקופה שתקבע על ידי בית המשפט. </w:t>
      </w:r>
    </w:p>
    <w:p w14:paraId="24FB4A13" w14:textId="77777777" w:rsidR="00D27746" w:rsidRDefault="00D27746">
      <w:pPr>
        <w:spacing w:line="360" w:lineRule="auto"/>
        <w:jc w:val="both"/>
        <w:rPr>
          <w:rtl/>
        </w:rPr>
      </w:pPr>
    </w:p>
    <w:p w14:paraId="57558827" w14:textId="77777777" w:rsidR="00D27746" w:rsidRDefault="00827C85">
      <w:pPr>
        <w:spacing w:line="360" w:lineRule="auto"/>
        <w:jc w:val="both"/>
        <w:rPr>
          <w:rFonts w:ascii="Arial" w:hAnsi="Arial" w:cs="Arial"/>
          <w:rtl/>
        </w:rPr>
      </w:pPr>
      <w:r>
        <w:rPr>
          <w:rFonts w:ascii="Arial" w:hAnsi="Arial" w:cs="Arial"/>
          <w:rtl/>
        </w:rPr>
        <w:t>ב"כ המאשימה עמדה בטיעוניה לעונש, על חומרת ביצוען של עבירות כנגד ביטחון המדינה, הסכנה הנשקפת מהן, ועל צרכי ההרתעה המחייבים ענישה הולמת. נטען, כי פעילותו של הנאשם נמשכה לאורך זמן; הנאשם היווה חלק משרשרת הטרור, ופעל במסגרת מערך המנהרות המשמש את החמאס בלחימה מול ישראל, באופנים שונים וקטלניים, כפי שאף הוברר במסגרת מבצע "צוק איתן", לאחרונה. עוד צוין, כי העיסוק במנהרות הינו שכיח ורווח אצל תושבי עזה, וכי צה"ל משקיע מאמצים ומשאבים רבים לאיתור המנהרות ומניעת חפירתן, וכי במסגרת פעילות זו, קיפחו חיילים וקצינים את חייהם.</w:t>
      </w:r>
    </w:p>
    <w:p w14:paraId="0755246D" w14:textId="77777777" w:rsidR="00D27746" w:rsidRDefault="00D27746">
      <w:pPr>
        <w:spacing w:line="360" w:lineRule="auto"/>
        <w:jc w:val="both"/>
        <w:rPr>
          <w:rFonts w:ascii="Arial" w:hAnsi="Arial" w:cs="Arial"/>
          <w:rtl/>
        </w:rPr>
      </w:pPr>
    </w:p>
    <w:p w14:paraId="68631E6C" w14:textId="77777777" w:rsidR="00D27746" w:rsidRDefault="00827C85">
      <w:pPr>
        <w:spacing w:line="360" w:lineRule="auto"/>
        <w:jc w:val="both"/>
        <w:rPr>
          <w:rFonts w:ascii="Arial" w:hAnsi="Arial" w:cs="Arial"/>
          <w:rtl/>
        </w:rPr>
      </w:pPr>
      <w:r>
        <w:rPr>
          <w:rFonts w:ascii="Arial" w:hAnsi="Arial" w:cs="Arial"/>
          <w:rtl/>
        </w:rPr>
        <w:t xml:space="preserve">ב"כ המאשימה הפנתה לשני פסקי דין; האחד, </w:t>
      </w:r>
      <w:hyperlink r:id="rId24" w:history="1">
        <w:r w:rsidRPr="00827C85">
          <w:rPr>
            <w:rFonts w:ascii="Arial" w:hAnsi="Arial" w:cs="Arial"/>
            <w:color w:val="0000FF"/>
            <w:u w:val="single"/>
            <w:rtl/>
          </w:rPr>
          <w:t>ע"פ 3883/09</w:t>
        </w:r>
      </w:hyperlink>
      <w:r>
        <w:rPr>
          <w:rFonts w:ascii="Arial" w:hAnsi="Arial" w:cs="Arial"/>
          <w:rtl/>
        </w:rPr>
        <w:t xml:space="preserve"> </w:t>
      </w:r>
      <w:r>
        <w:rPr>
          <w:rFonts w:ascii="Arial" w:hAnsi="Arial" w:cs="Arial"/>
          <w:u w:val="single"/>
          <w:rtl/>
        </w:rPr>
        <w:t xml:space="preserve">כאמל שלוף נ' מדינת ישראל </w:t>
      </w:r>
      <w:r w:rsidR="004235C1" w:rsidRPr="004235C1">
        <w:rPr>
          <w:sz w:val="22"/>
          <w:rtl/>
        </w:rPr>
        <w:t xml:space="preserve">[פורסם בנבו] </w:t>
      </w:r>
      <w:r>
        <w:rPr>
          <w:rFonts w:ascii="Arial" w:hAnsi="Arial" w:cs="Arial"/>
          <w:rtl/>
        </w:rPr>
        <w:t>(ניתן ביום 5.1.201</w:t>
      </w:r>
      <w:r>
        <w:rPr>
          <w:rFonts w:ascii="Arial" w:hAnsi="Arial" w:cs="Arial" w:hint="cs"/>
          <w:rtl/>
        </w:rPr>
        <w:t>0</w:t>
      </w:r>
      <w:r>
        <w:rPr>
          <w:rFonts w:ascii="Arial" w:hAnsi="Arial" w:cs="Arial"/>
          <w:rtl/>
        </w:rPr>
        <w:t xml:space="preserve">), בו אושר עונש של תשע שנות מאסר, על המערער, שהורשע על פי הודאתו, בעבירות שונות ובכללן, היה שותף לקשר לחפור מנהרה מרפיח למצרים, תוך ידיעה כי זו תשמש, בין היתר, להברחת אמצעי לחימה לעזה, הגם שהמנהרה לא הושלמה; השני, </w:t>
      </w:r>
      <w:hyperlink r:id="rId25" w:history="1">
        <w:r w:rsidR="004235C1" w:rsidRPr="004235C1">
          <w:rPr>
            <w:rFonts w:ascii="Arial" w:hAnsi="Arial" w:cs="Arial"/>
            <w:color w:val="0000FF"/>
            <w:u w:val="single"/>
            <w:rtl/>
          </w:rPr>
          <w:t>ע"פ 6328/09</w:t>
        </w:r>
      </w:hyperlink>
      <w:r>
        <w:rPr>
          <w:rFonts w:ascii="Arial" w:hAnsi="Arial" w:cs="Arial"/>
          <w:rtl/>
        </w:rPr>
        <w:t xml:space="preserve"> </w:t>
      </w:r>
      <w:r>
        <w:rPr>
          <w:rFonts w:ascii="Arial" w:hAnsi="Arial" w:cs="Arial"/>
          <w:u w:val="single"/>
          <w:rtl/>
        </w:rPr>
        <w:t>מוחמד אלנג'אר נ' מדינת ישראל</w:t>
      </w:r>
      <w:r>
        <w:rPr>
          <w:rFonts w:ascii="Arial" w:hAnsi="Arial" w:cs="Arial"/>
          <w:rtl/>
        </w:rPr>
        <w:t xml:space="preserve"> </w:t>
      </w:r>
      <w:r w:rsidR="004235C1" w:rsidRPr="004235C1">
        <w:rPr>
          <w:sz w:val="22"/>
          <w:rtl/>
        </w:rPr>
        <w:t xml:space="preserve">[פורסם בנבו] </w:t>
      </w:r>
      <w:r>
        <w:rPr>
          <w:rFonts w:ascii="Arial" w:hAnsi="Arial" w:cs="Arial"/>
          <w:rtl/>
        </w:rPr>
        <w:t xml:space="preserve">(ניתן ביום 22.6.2010), לפיו דחה בית המשפט העליון ערעור כנגד עונש של עשר שנות מאסר, שהוטל על המערער שהיה שותף לחפירת מנהרה ולהברחת תחמושת. </w:t>
      </w:r>
    </w:p>
    <w:p w14:paraId="3D92F13F" w14:textId="77777777" w:rsidR="00D27746" w:rsidRDefault="00D27746">
      <w:pPr>
        <w:spacing w:line="360" w:lineRule="auto"/>
        <w:jc w:val="both"/>
        <w:rPr>
          <w:rFonts w:ascii="Arial" w:hAnsi="Arial" w:cs="Arial"/>
          <w:rtl/>
        </w:rPr>
      </w:pPr>
    </w:p>
    <w:p w14:paraId="493DD9D3" w14:textId="77777777" w:rsidR="00D27746" w:rsidRDefault="00827C85">
      <w:pPr>
        <w:spacing w:line="360" w:lineRule="auto"/>
        <w:jc w:val="both"/>
        <w:rPr>
          <w:rFonts w:ascii="Arial" w:hAnsi="Arial" w:cs="Arial"/>
          <w:rtl/>
        </w:rPr>
      </w:pPr>
      <w:r>
        <w:rPr>
          <w:rFonts w:ascii="Arial" w:hAnsi="Arial" w:cs="Arial"/>
          <w:rtl/>
        </w:rPr>
        <w:t xml:space="preserve">בנסיבות אלה, עותרת ב"כ המאשימה להטיל על הנאשם את העונש המירבי, שהוצג על ידי המאשימה, במסגרת הסדר הטיעון, וכן מאסר מותנה ארוך ומרתיע. </w:t>
      </w:r>
    </w:p>
    <w:p w14:paraId="64DA489E" w14:textId="77777777" w:rsidR="00D27746" w:rsidRDefault="00D27746">
      <w:pPr>
        <w:spacing w:line="360" w:lineRule="auto"/>
        <w:jc w:val="both"/>
        <w:rPr>
          <w:rFonts w:ascii="Arial" w:hAnsi="Arial" w:cs="Arial"/>
          <w:rtl/>
        </w:rPr>
      </w:pPr>
    </w:p>
    <w:p w14:paraId="2520D4DA" w14:textId="77777777" w:rsidR="00D27746" w:rsidRDefault="00D27746">
      <w:pPr>
        <w:spacing w:line="360" w:lineRule="auto"/>
        <w:jc w:val="both"/>
        <w:rPr>
          <w:rtl/>
        </w:rPr>
      </w:pPr>
    </w:p>
    <w:p w14:paraId="779287E8" w14:textId="77777777" w:rsidR="00D27746" w:rsidRDefault="00827C85">
      <w:pPr>
        <w:spacing w:line="360" w:lineRule="auto"/>
        <w:jc w:val="both"/>
        <w:rPr>
          <w:rFonts w:ascii="Arial" w:hAnsi="Arial" w:cs="Arial"/>
          <w:rtl/>
        </w:rPr>
      </w:pPr>
      <w:r>
        <w:rPr>
          <w:rFonts w:ascii="Arial" w:hAnsi="Arial" w:cs="Arial"/>
          <w:rtl/>
        </w:rPr>
        <w:t xml:space="preserve">ב"כ הנאשם ציין כי יש להתחשב לקולא, בכך שהנאשם ביצע את העבירות על גבול קטינות, בהיותו כבן 18 שנים; הוא גדל במשפחה ענייה מאוד, ומרובת ילדים, שאף יוחס לה שיתוף פעולה עם ישראל; הנאשם פעל למעשה, מתוך כורח וחוסר ברירה, ופעילותו לא הובילה לפגיעה בנפש. הנאשם נדרש ליטול חלק בלימודי דת, על אף שאינו דתי, וכן לעבוד בעבודות סבלות של פינוי חול מהמנהרות, והעברת מוצרים מוברחים, ולא היה מעורב כלל בתכנון מבנה המנהרות או בקביעת מיקומן. עוד צוין, כי לא הבחין מעולם בהעברת כלי נשק, באמצעות המנהרות, ורק בשלב מאוחר שמע כי המנהרות משמשות לצרכים צבאיים. </w:t>
      </w:r>
    </w:p>
    <w:p w14:paraId="4B74D1E2" w14:textId="77777777" w:rsidR="00D27746" w:rsidRDefault="00827C85">
      <w:pPr>
        <w:spacing w:line="360" w:lineRule="auto"/>
        <w:jc w:val="both"/>
        <w:rPr>
          <w:rFonts w:ascii="Arial" w:hAnsi="Arial" w:cs="Arial"/>
          <w:rtl/>
        </w:rPr>
      </w:pPr>
      <w:r>
        <w:rPr>
          <w:rFonts w:ascii="Arial" w:hAnsi="Arial" w:cs="Arial"/>
          <w:rtl/>
        </w:rPr>
        <w:t>עוד נטען, כי באחת מתקיפות צה"ל על המנהרות, נהרגו 45 אנשי חמאס, וכי רק הנאשם לבדו, ניצל, ובעקבות פחדיו החליט להפסיק פעילותו האמורה. נוכח העובדה שנותר בחיים ולאחר שניתק קשריו עם החמאס, נחשד הנאשם בשיתוף פעולה עם ישראל, ומספר פעמים אף נחקר, עונה ונכלא על ידי החמאס; בשלב מסוים, הואשם בעבירות של סחר בסמים, וחויב לשלם קנסות וערבויות שגרמו לו לנזק כלכלי קשה; בנסיבות אלה, החליט לברוח מעזה  ולהסתנן לישראל. עוד נטען, כי עלה מחקירתו של המערער בשב"כ, כי מטרתו הייתה לברוח מעזה, ולא יותר מכך, וכי גם אחיו נאלץ לברוח למצרים.</w:t>
      </w:r>
    </w:p>
    <w:p w14:paraId="5BA495A7" w14:textId="77777777" w:rsidR="00D27746" w:rsidRDefault="00827C85">
      <w:pPr>
        <w:spacing w:line="360" w:lineRule="auto"/>
        <w:jc w:val="both"/>
        <w:rPr>
          <w:rFonts w:ascii="Arial" w:hAnsi="Arial" w:cs="Arial"/>
          <w:rtl/>
        </w:rPr>
      </w:pPr>
      <w:r>
        <w:rPr>
          <w:rFonts w:ascii="Arial" w:hAnsi="Arial" w:cs="Arial"/>
          <w:rtl/>
        </w:rPr>
        <w:t xml:space="preserve">נוכח נסיבות אלה, וחלוף הזמן, עותר ב"כ הנאשם להטלת עונש מתון על הנאשם, במסגרת ההסדר. </w:t>
      </w:r>
    </w:p>
    <w:p w14:paraId="540E1D9B" w14:textId="77777777" w:rsidR="00D27746" w:rsidRDefault="00D27746">
      <w:pPr>
        <w:spacing w:line="360" w:lineRule="auto"/>
        <w:jc w:val="both"/>
        <w:rPr>
          <w:rFonts w:ascii="Arial" w:hAnsi="Arial" w:cs="Arial"/>
          <w:rtl/>
        </w:rPr>
      </w:pPr>
    </w:p>
    <w:p w14:paraId="3C929967" w14:textId="77777777" w:rsidR="00D27746" w:rsidRDefault="00827C85">
      <w:pPr>
        <w:spacing w:line="360" w:lineRule="auto"/>
        <w:jc w:val="both"/>
        <w:rPr>
          <w:rFonts w:ascii="Arial" w:hAnsi="Arial" w:cs="Arial"/>
          <w:rtl/>
        </w:rPr>
      </w:pPr>
      <w:r>
        <w:rPr>
          <w:rFonts w:ascii="Arial" w:hAnsi="Arial" w:cs="Arial"/>
          <w:rtl/>
        </w:rPr>
        <w:t xml:space="preserve">בדברו האחרון, הביע הנאשם צער על מעשיו. </w:t>
      </w:r>
    </w:p>
    <w:p w14:paraId="5F13D2F1" w14:textId="77777777" w:rsidR="00D27746" w:rsidRDefault="00D27746">
      <w:pPr>
        <w:spacing w:line="360" w:lineRule="auto"/>
        <w:jc w:val="both"/>
        <w:rPr>
          <w:rtl/>
        </w:rPr>
      </w:pPr>
    </w:p>
    <w:p w14:paraId="16904F2E" w14:textId="77777777" w:rsidR="00D27746" w:rsidRDefault="00827C85">
      <w:pPr>
        <w:spacing w:line="360" w:lineRule="auto"/>
        <w:jc w:val="both"/>
        <w:rPr>
          <w:rFonts w:ascii="Arial" w:hAnsi="Arial" w:cs="Arial"/>
          <w:u w:val="single"/>
          <w:rtl/>
        </w:rPr>
      </w:pPr>
      <w:r>
        <w:rPr>
          <w:rFonts w:ascii="Arial" w:hAnsi="Arial" w:cs="Arial"/>
          <w:u w:val="single"/>
          <w:rtl/>
        </w:rPr>
        <w:t>דיון</w:t>
      </w:r>
    </w:p>
    <w:p w14:paraId="393A5334" w14:textId="77777777" w:rsidR="00D27746" w:rsidRDefault="00D27746">
      <w:pPr>
        <w:spacing w:line="360" w:lineRule="auto"/>
        <w:jc w:val="both"/>
        <w:rPr>
          <w:rFonts w:ascii="Arial" w:hAnsi="Arial" w:cs="Arial"/>
          <w:u w:val="single"/>
          <w:rtl/>
        </w:rPr>
      </w:pPr>
    </w:p>
    <w:p w14:paraId="0D96D446" w14:textId="77777777" w:rsidR="00D27746" w:rsidRDefault="00827C85">
      <w:pPr>
        <w:spacing w:line="360" w:lineRule="auto"/>
        <w:jc w:val="both"/>
        <w:rPr>
          <w:rFonts w:ascii="Arial" w:hAnsi="Arial" w:cs="Arial"/>
          <w:rtl/>
        </w:rPr>
      </w:pPr>
      <w:r>
        <w:rPr>
          <w:rFonts w:ascii="Arial" w:hAnsi="Arial" w:cs="Arial"/>
          <w:rtl/>
        </w:rPr>
        <w:t xml:space="preserve">הפסיקה המושרשת בעניינן של עבירות המכוונות כנגד ביטחון המדינה, קובעת, כי יש ליתן משקל בכורה לשיקולי הגמול וההרתעה, נוכח צרכי ההגנה על ביטחון תושבי מדינת ישראל; </w:t>
      </w:r>
      <w:bookmarkStart w:id="8" w:name="Text1"/>
    </w:p>
    <w:p w14:paraId="6E5A47DC" w14:textId="77777777" w:rsidR="00D27746" w:rsidRDefault="00D27746">
      <w:pPr>
        <w:spacing w:line="360" w:lineRule="auto"/>
        <w:jc w:val="both"/>
        <w:rPr>
          <w:rFonts w:ascii="Arial" w:hAnsi="Arial" w:cs="Arial"/>
          <w:rtl/>
        </w:rPr>
      </w:pPr>
    </w:p>
    <w:p w14:paraId="1883B93D" w14:textId="77777777" w:rsidR="00D27746" w:rsidRDefault="00827C85" w:rsidP="004235C1">
      <w:pPr>
        <w:spacing w:line="360" w:lineRule="auto"/>
        <w:jc w:val="both"/>
        <w:rPr>
          <w:rFonts w:ascii="Arial" w:hAnsi="Arial" w:cs="Arial"/>
          <w:rtl/>
        </w:rPr>
      </w:pPr>
      <w:r>
        <w:rPr>
          <w:rFonts w:ascii="Arial" w:hAnsi="Arial" w:cs="Arial"/>
          <w:rtl/>
        </w:rPr>
        <w:t xml:space="preserve">כך נקבע למשל, ב- </w:t>
      </w:r>
      <w:hyperlink r:id="rId26" w:history="1">
        <w:r w:rsidRPr="00827C85">
          <w:rPr>
            <w:rFonts w:ascii="Arial" w:hAnsi="Arial" w:cs="Arial"/>
            <w:color w:val="0000FF"/>
            <w:u w:val="single"/>
            <w:rtl/>
          </w:rPr>
          <w:t>עפ 3528/14</w:t>
        </w:r>
      </w:hyperlink>
      <w:r>
        <w:rPr>
          <w:rFonts w:ascii="Arial" w:hAnsi="Arial" w:cs="Arial"/>
          <w:color w:val="000000"/>
          <w:rtl/>
        </w:rPr>
        <w:t xml:space="preserve"> ‏‏ </w:t>
      </w:r>
      <w:r>
        <w:rPr>
          <w:rFonts w:ascii="Arial" w:hAnsi="Arial" w:cs="Arial"/>
          <w:color w:val="000000"/>
          <w:u w:val="single"/>
          <w:rtl/>
        </w:rPr>
        <w:t>דאוד בכיראת נ' מדינת ישראל</w:t>
      </w:r>
      <w:bookmarkEnd w:id="8"/>
      <w:r w:rsidR="004235C1">
        <w:rPr>
          <w:rFonts w:ascii="Arial" w:hAnsi="Arial" w:cs="Arial" w:hint="cs"/>
          <w:rtl/>
        </w:rPr>
        <w:t xml:space="preserve">, </w:t>
      </w:r>
      <w:r w:rsidR="004235C1" w:rsidRPr="004235C1">
        <w:rPr>
          <w:sz w:val="22"/>
          <w:rtl/>
        </w:rPr>
        <w:t>[פורסם בנבו]</w:t>
      </w:r>
      <w:r>
        <w:rPr>
          <w:rFonts w:ascii="Arial" w:hAnsi="Arial" w:cs="Arial"/>
          <w:rtl/>
        </w:rPr>
        <w:t xml:space="preserve">, 22.9.2014: </w:t>
      </w:r>
    </w:p>
    <w:p w14:paraId="10660572" w14:textId="77777777" w:rsidR="00D27746" w:rsidRDefault="00D27746">
      <w:pPr>
        <w:spacing w:line="360" w:lineRule="auto"/>
        <w:jc w:val="both"/>
        <w:rPr>
          <w:rFonts w:ascii="Arial" w:hAnsi="Arial" w:cs="Arial"/>
          <w:rtl/>
        </w:rPr>
      </w:pPr>
    </w:p>
    <w:p w14:paraId="34EBA74E" w14:textId="77777777" w:rsidR="00D27746" w:rsidRDefault="00827C85">
      <w:pPr>
        <w:spacing w:line="360" w:lineRule="auto"/>
        <w:ind w:left="793" w:right="851"/>
        <w:jc w:val="both"/>
        <w:rPr>
          <w:rFonts w:ascii="Arial" w:hAnsi="Arial" w:cs="Arial"/>
          <w:b/>
          <w:bCs/>
          <w:sz w:val="22"/>
          <w:szCs w:val="22"/>
          <w:rtl/>
        </w:rPr>
      </w:pPr>
      <w:r>
        <w:rPr>
          <w:rFonts w:ascii="Arial" w:hAnsi="Arial" w:cs="Arial"/>
          <w:b/>
          <w:bCs/>
          <w:sz w:val="22"/>
          <w:szCs w:val="22"/>
          <w:rtl/>
        </w:rPr>
        <w:t xml:space="preserve">"בית משפט זה נקט קו מחמיר בעבירות בתחום פעילותם של ארגוני טרור </w:t>
      </w:r>
      <w:r>
        <w:rPr>
          <w:rFonts w:ascii="Arial" w:hAnsi="Arial" w:cs="Arial"/>
          <w:b/>
          <w:bCs/>
          <w:color w:val="000000"/>
          <w:sz w:val="22"/>
          <w:szCs w:val="22"/>
          <w:rtl/>
        </w:rPr>
        <w:t>(</w:t>
      </w:r>
      <w:hyperlink r:id="rId27" w:history="1">
        <w:r w:rsidRPr="00827C85">
          <w:rPr>
            <w:rFonts w:ascii="Arial" w:hAnsi="Arial" w:cs="Arial"/>
            <w:b/>
            <w:bCs/>
            <w:color w:val="0000FF"/>
            <w:sz w:val="22"/>
            <w:szCs w:val="22"/>
            <w:u w:val="single"/>
            <w:rtl/>
          </w:rPr>
          <w:t>ע"פ 6274/12</w:t>
        </w:r>
      </w:hyperlink>
      <w:r>
        <w:rPr>
          <w:rFonts w:ascii="Arial" w:hAnsi="Arial" w:cs="Arial" w:hint="cs"/>
          <w:b/>
          <w:bCs/>
          <w:sz w:val="22"/>
          <w:szCs w:val="22"/>
          <w:rtl/>
        </w:rPr>
        <w:t xml:space="preserve"> </w:t>
      </w:r>
      <w:r>
        <w:rPr>
          <w:rFonts w:ascii="Arial" w:hAnsi="Arial" w:cs="Arial"/>
          <w:b/>
          <w:bCs/>
          <w:sz w:val="22"/>
          <w:szCs w:val="22"/>
          <w:rtl/>
        </w:rPr>
        <w:t>גראבה נ' מדינת ישראל [פורסם בנבו] (</w:t>
      </w:r>
      <w:r>
        <w:rPr>
          <w:rFonts w:ascii="Arial" w:hAnsi="Arial" w:cs="Arial"/>
          <w:b/>
          <w:bCs/>
          <w:color w:val="000000"/>
          <w:sz w:val="22"/>
          <w:szCs w:val="22"/>
          <w:rtl/>
        </w:rPr>
        <w:t xml:space="preserve">2013); </w:t>
      </w:r>
      <w:hyperlink r:id="rId28" w:history="1">
        <w:r w:rsidRPr="00827C85">
          <w:rPr>
            <w:rFonts w:ascii="Arial" w:hAnsi="Arial" w:cs="Arial"/>
            <w:b/>
            <w:bCs/>
            <w:color w:val="0000FF"/>
            <w:sz w:val="22"/>
            <w:szCs w:val="22"/>
            <w:u w:val="single"/>
            <w:rtl/>
          </w:rPr>
          <w:t>ע"פ 2651/10</w:t>
        </w:r>
      </w:hyperlink>
      <w:r>
        <w:rPr>
          <w:rFonts w:ascii="Arial" w:hAnsi="Arial" w:cs="Arial" w:hint="cs"/>
          <w:b/>
          <w:bCs/>
          <w:sz w:val="22"/>
          <w:szCs w:val="22"/>
          <w:rtl/>
        </w:rPr>
        <w:t xml:space="preserve"> </w:t>
      </w:r>
      <w:r>
        <w:rPr>
          <w:rFonts w:ascii="Arial" w:hAnsi="Arial" w:cs="Arial"/>
          <w:b/>
          <w:bCs/>
          <w:sz w:val="22"/>
          <w:szCs w:val="22"/>
          <w:rtl/>
        </w:rPr>
        <w:t xml:space="preserve">פלוני נ' מדינת ישראל [פורסם בנבו] (2011); </w:t>
      </w:r>
      <w:hyperlink r:id="rId29" w:history="1">
        <w:r w:rsidRPr="00827C85">
          <w:rPr>
            <w:rFonts w:ascii="Arial" w:hAnsi="Arial" w:cs="Arial"/>
            <w:b/>
            <w:bCs/>
            <w:color w:val="0000FF"/>
            <w:sz w:val="22"/>
            <w:szCs w:val="22"/>
            <w:u w:val="single"/>
            <w:rtl/>
          </w:rPr>
          <w:t>ע"פ 3577/12</w:t>
        </w:r>
      </w:hyperlink>
      <w:r>
        <w:rPr>
          <w:rFonts w:ascii="Arial" w:hAnsi="Arial" w:cs="Arial" w:hint="cs"/>
          <w:b/>
          <w:bCs/>
          <w:sz w:val="22"/>
          <w:szCs w:val="22"/>
          <w:rtl/>
        </w:rPr>
        <w:t xml:space="preserve"> </w:t>
      </w:r>
      <w:r>
        <w:rPr>
          <w:rFonts w:ascii="Arial" w:hAnsi="Arial" w:cs="Arial"/>
          <w:b/>
          <w:bCs/>
          <w:sz w:val="22"/>
          <w:szCs w:val="22"/>
          <w:rtl/>
        </w:rPr>
        <w:t>פריח נ' מדינת ישראל [פורסם בנבו] (2014)), "הואיל וגלום בהן פוטנציאל סיכון לתושבי ישראל וכוחות הביטחון" (</w:t>
      </w:r>
      <w:hyperlink r:id="rId30" w:history="1">
        <w:r w:rsidRPr="00827C85">
          <w:rPr>
            <w:rFonts w:ascii="Arial" w:hAnsi="Arial" w:cs="Arial"/>
            <w:b/>
            <w:bCs/>
            <w:color w:val="0000FF"/>
            <w:sz w:val="22"/>
            <w:szCs w:val="22"/>
            <w:u w:val="single"/>
            <w:rtl/>
          </w:rPr>
          <w:t>ע"פ 3883/09</w:t>
        </w:r>
      </w:hyperlink>
      <w:r>
        <w:rPr>
          <w:rFonts w:ascii="Arial" w:hAnsi="Arial" w:cs="Arial" w:hint="cs"/>
          <w:b/>
          <w:bCs/>
          <w:sz w:val="22"/>
          <w:szCs w:val="22"/>
          <w:rtl/>
        </w:rPr>
        <w:t xml:space="preserve"> </w:t>
      </w:r>
      <w:r>
        <w:rPr>
          <w:rFonts w:ascii="Arial" w:hAnsi="Arial" w:cs="Arial"/>
          <w:b/>
          <w:bCs/>
          <w:sz w:val="22"/>
          <w:szCs w:val="22"/>
          <w:rtl/>
        </w:rPr>
        <w:t xml:space="preserve">שלוף נ' מדינת ישראל [פורסם בנבו] (2010) (השופט לוי), פסקה 3), וביסודן מחויבות לפגיעה בישראל, בגדרי ארגון כזה או אחר". </w:t>
      </w:r>
    </w:p>
    <w:p w14:paraId="4F7E1A5A" w14:textId="77777777" w:rsidR="00D27746" w:rsidRDefault="00D27746">
      <w:pPr>
        <w:spacing w:line="360" w:lineRule="auto"/>
        <w:jc w:val="both"/>
        <w:rPr>
          <w:rtl/>
        </w:rPr>
      </w:pPr>
    </w:p>
    <w:p w14:paraId="33C5BF52" w14:textId="77777777" w:rsidR="00D27746" w:rsidRDefault="00827C85">
      <w:pPr>
        <w:spacing w:line="360" w:lineRule="auto"/>
        <w:jc w:val="both"/>
        <w:rPr>
          <w:rFonts w:ascii="Arial" w:hAnsi="Arial" w:cs="Arial"/>
          <w:sz w:val="22"/>
          <w:szCs w:val="22"/>
          <w:rtl/>
        </w:rPr>
      </w:pPr>
      <w:r>
        <w:rPr>
          <w:rFonts w:ascii="Arial" w:hAnsi="Arial" w:cs="Arial"/>
          <w:rtl/>
        </w:rPr>
        <w:t xml:space="preserve">צרכי ענישה אלה אינם מותנים בהצלחת המעשים בפועל; נסיבותיהם האישיות של נאשמים, גילם הצעיר ומניעיהם לביצוע העבירות, אינם בעלי משקל רב, נוכח חומרת המעשים ופוטנציאל הפגיעה הגלום בהם: </w:t>
      </w:r>
      <w:r>
        <w:rPr>
          <w:rFonts w:ascii="Arial" w:hAnsi="Arial" w:cs="Arial"/>
          <w:b/>
          <w:bCs/>
          <w:sz w:val="22"/>
          <w:szCs w:val="22"/>
          <w:rtl/>
        </w:rPr>
        <w:t xml:space="preserve">"למול גילו הצעיר ועברו הנקי של </w:t>
      </w:r>
      <w:r>
        <w:rPr>
          <w:rFonts w:ascii="Arial" w:hAnsi="Arial" w:cs="Arial"/>
          <w:sz w:val="22"/>
          <w:szCs w:val="22"/>
          <w:rtl/>
        </w:rPr>
        <w:t>(נאשם, זה או אחר)</w:t>
      </w:r>
      <w:r>
        <w:rPr>
          <w:rFonts w:ascii="Arial" w:hAnsi="Arial" w:cs="Arial"/>
          <w:b/>
          <w:bCs/>
          <w:sz w:val="22"/>
          <w:szCs w:val="22"/>
          <w:rtl/>
        </w:rPr>
        <w:t xml:space="preserve">...ניצבות במלוא קומתן חומרת העבירות והשלכותיהן" </w:t>
      </w:r>
      <w:r>
        <w:rPr>
          <w:rFonts w:ascii="Arial" w:hAnsi="Arial" w:cs="Arial"/>
          <w:sz w:val="22"/>
          <w:szCs w:val="22"/>
          <w:rtl/>
        </w:rPr>
        <w:t>(</w:t>
      </w:r>
      <w:hyperlink r:id="rId31" w:history="1">
        <w:r w:rsidRPr="00827C85">
          <w:rPr>
            <w:rFonts w:ascii="Arial" w:hAnsi="Arial" w:cs="Arial"/>
            <w:color w:val="0000FF"/>
            <w:sz w:val="22"/>
            <w:szCs w:val="22"/>
            <w:u w:val="single"/>
            <w:rtl/>
          </w:rPr>
          <w:t>ע"פ 3528/14</w:t>
        </w:r>
      </w:hyperlink>
      <w:r>
        <w:rPr>
          <w:rFonts w:ascii="Arial" w:hAnsi="Arial" w:cs="Arial"/>
          <w:sz w:val="22"/>
          <w:szCs w:val="22"/>
          <w:rtl/>
        </w:rPr>
        <w:t xml:space="preserve"> הנ"ל).</w:t>
      </w:r>
    </w:p>
    <w:p w14:paraId="44497159" w14:textId="77777777" w:rsidR="00D27746" w:rsidRDefault="00D27746">
      <w:pPr>
        <w:spacing w:line="360" w:lineRule="auto"/>
        <w:jc w:val="both"/>
        <w:rPr>
          <w:rtl/>
        </w:rPr>
      </w:pPr>
    </w:p>
    <w:p w14:paraId="508E44E3" w14:textId="77777777" w:rsidR="00D27746" w:rsidRDefault="00827C85">
      <w:pPr>
        <w:spacing w:line="360" w:lineRule="auto"/>
        <w:jc w:val="both"/>
        <w:rPr>
          <w:rFonts w:ascii="Arial" w:hAnsi="Arial" w:cs="Arial"/>
          <w:rtl/>
        </w:rPr>
      </w:pPr>
      <w:r>
        <w:rPr>
          <w:rFonts w:ascii="Arial" w:hAnsi="Arial" w:cs="Arial"/>
          <w:rtl/>
        </w:rPr>
        <w:t>בית המשפט זה נדרש, לא אחת, במסגרת תיקון 113 ל</w:t>
      </w:r>
      <w:hyperlink r:id="rId32" w:history="1">
        <w:r w:rsidRPr="00827C85">
          <w:rPr>
            <w:rFonts w:ascii="Arial" w:hAnsi="Arial" w:cs="Arial"/>
            <w:color w:val="0000FF"/>
            <w:u w:val="single"/>
            <w:rtl/>
          </w:rPr>
          <w:t>חוק העונשין</w:t>
        </w:r>
      </w:hyperlink>
      <w:r>
        <w:rPr>
          <w:rFonts w:ascii="Arial" w:hAnsi="Arial" w:cs="Arial"/>
          <w:rtl/>
        </w:rPr>
        <w:t xml:space="preserve">, לקביעת מתחמי ענישה בגינן של עבירות המתבצעות במסגרת ארגוני טרור, שמידת חומרתן, מטבע הדברים, עשויה להשתנות ממקרה זה או אחר. </w:t>
      </w:r>
      <w:r>
        <w:rPr>
          <w:rFonts w:ascii="Arial" w:hAnsi="Arial" w:cs="Arial" w:hint="cs"/>
          <w:rtl/>
        </w:rPr>
        <w:t>ודוק: מתחמי ענישה אלה נקבעים במנותק מצרכי הרתעת הרבים, כפי שגם הובהר לאחרונה, ב</w:t>
      </w:r>
      <w:hyperlink r:id="rId33" w:history="1">
        <w:r w:rsidRPr="00827C85">
          <w:rPr>
            <w:rFonts w:ascii="Arial" w:hAnsi="Arial" w:cs="Arial"/>
            <w:color w:val="0000FF"/>
            <w:u w:val="single"/>
            <w:rtl/>
          </w:rPr>
          <w:t>ע"פ 2626/13</w:t>
        </w:r>
      </w:hyperlink>
      <w:r>
        <w:rPr>
          <w:rFonts w:ascii="Arial" w:hAnsi="Arial" w:cs="Arial" w:hint="cs"/>
          <w:rtl/>
        </w:rPr>
        <w:t xml:space="preserve"> </w:t>
      </w:r>
      <w:r>
        <w:rPr>
          <w:rFonts w:ascii="Arial" w:hAnsi="Arial" w:cs="Arial" w:hint="cs"/>
          <w:u w:val="single"/>
          <w:rtl/>
        </w:rPr>
        <w:t>אחמד אל צופי נ' מדינת ישראל</w:t>
      </w:r>
      <w:r>
        <w:rPr>
          <w:rFonts w:ascii="Arial" w:hAnsi="Arial" w:cs="Arial" w:hint="cs"/>
          <w:rtl/>
        </w:rPr>
        <w:t xml:space="preserve"> </w:t>
      </w:r>
      <w:r w:rsidR="004235C1" w:rsidRPr="004235C1">
        <w:rPr>
          <w:sz w:val="22"/>
          <w:rtl/>
        </w:rPr>
        <w:t xml:space="preserve">[פורסם בנבו] </w:t>
      </w:r>
      <w:r>
        <w:rPr>
          <w:rFonts w:ascii="Arial" w:hAnsi="Arial" w:cs="Arial" w:hint="cs"/>
          <w:rtl/>
        </w:rPr>
        <w:t xml:space="preserve">(פסקה 15, ניתן ביום 6.1.2015). </w:t>
      </w:r>
    </w:p>
    <w:p w14:paraId="7CF5A555" w14:textId="77777777" w:rsidR="00D27746" w:rsidRDefault="00D27746">
      <w:pPr>
        <w:spacing w:line="360" w:lineRule="auto"/>
        <w:jc w:val="both"/>
        <w:rPr>
          <w:rFonts w:ascii="Arial" w:hAnsi="Arial" w:cs="Arial"/>
          <w:rtl/>
        </w:rPr>
      </w:pPr>
    </w:p>
    <w:p w14:paraId="76D4AB28" w14:textId="77777777" w:rsidR="00D27746" w:rsidRDefault="00827C85">
      <w:pPr>
        <w:spacing w:line="360" w:lineRule="auto"/>
        <w:jc w:val="both"/>
        <w:rPr>
          <w:rFonts w:ascii="Arial" w:hAnsi="Arial" w:cs="Arial"/>
          <w:rtl/>
        </w:rPr>
      </w:pPr>
      <w:r>
        <w:rPr>
          <w:rFonts w:ascii="Arial" w:hAnsi="Arial" w:cs="Arial"/>
          <w:rtl/>
        </w:rPr>
        <w:t xml:space="preserve">כך נקבע על ידינו בעבר, בתפ"ח 1010/09, בעניינו של חוסאם עטאר, כי מתחם הענישה הראוי בגין פעילות בארגון טרור וביצוע אימונים צבאיים מטעם הארגון הינו בין 3 ל-5 שנות מאסר, ובגין ביצוע שמירות חמושות שתכליתן "התרעה וירי לעבר חיילים באזור הגבול", נקבע מתחם שבין 6 ל-10 שנות מאסר לריצוי בפועל. (לאחרונה דן בית המשפט העליון בערעור בעניינו של </w:t>
      </w:r>
      <w:r>
        <w:rPr>
          <w:rFonts w:ascii="Arial" w:hAnsi="Arial" w:cs="Miriam"/>
          <w:rtl/>
        </w:rPr>
        <w:t>חוסאם עטאר</w:t>
      </w:r>
      <w:r>
        <w:rPr>
          <w:rFonts w:ascii="Arial" w:hAnsi="Arial" w:cs="Arial"/>
          <w:rtl/>
        </w:rPr>
        <w:t xml:space="preserve">, ב- </w:t>
      </w:r>
      <w:hyperlink r:id="rId34" w:history="1">
        <w:r w:rsidRPr="00827C85">
          <w:rPr>
            <w:rFonts w:ascii="Arial" w:hAnsi="Arial" w:cs="Arial"/>
            <w:color w:val="0000FF"/>
            <w:u w:val="single"/>
            <w:rtl/>
          </w:rPr>
          <w:t>ע"פ 3614/13</w:t>
        </w:r>
      </w:hyperlink>
      <w:r>
        <w:rPr>
          <w:rFonts w:ascii="Arial" w:hAnsi="Arial" w:cs="Arial"/>
          <w:rtl/>
        </w:rPr>
        <w:t xml:space="preserve">, </w:t>
      </w:r>
      <w:r w:rsidR="004235C1" w:rsidRPr="004235C1">
        <w:rPr>
          <w:sz w:val="22"/>
          <w:rtl/>
        </w:rPr>
        <w:t xml:space="preserve">[פורסם בנבו] </w:t>
      </w:r>
      <w:r>
        <w:rPr>
          <w:rFonts w:ascii="Arial" w:hAnsi="Arial" w:cs="Arial"/>
          <w:rtl/>
        </w:rPr>
        <w:t>ניתן ביום 28.12.2014</w:t>
      </w:r>
      <w:r>
        <w:rPr>
          <w:rFonts w:ascii="Arial" w:hAnsi="Arial" w:cs="Arial" w:hint="cs"/>
          <w:rtl/>
        </w:rPr>
        <w:t>,</w:t>
      </w:r>
      <w:r>
        <w:rPr>
          <w:rFonts w:ascii="Arial" w:hAnsi="Arial" w:cs="Arial"/>
          <w:rtl/>
        </w:rPr>
        <w:t xml:space="preserve"> ראו לעניין מתחם הענישה, פסקה 9; יצוין, כי העונש הכולל שהוטל בבית משפט זה, בגין העבירות שצוינו ובגין עבירות נוספות, אושר על ידי בית המשפט העליון). </w:t>
      </w:r>
    </w:p>
    <w:p w14:paraId="57B71258" w14:textId="77777777" w:rsidR="00D27746" w:rsidRDefault="00D27746">
      <w:pPr>
        <w:spacing w:line="360" w:lineRule="auto"/>
        <w:jc w:val="both"/>
        <w:rPr>
          <w:rFonts w:ascii="Arial" w:hAnsi="Arial" w:cs="Arial"/>
          <w:rtl/>
        </w:rPr>
      </w:pPr>
    </w:p>
    <w:p w14:paraId="25479AB4" w14:textId="77777777" w:rsidR="00D27746" w:rsidRDefault="00827C85">
      <w:pPr>
        <w:spacing w:line="360" w:lineRule="auto"/>
        <w:jc w:val="both"/>
        <w:rPr>
          <w:rFonts w:ascii="Arial" w:hAnsi="Arial" w:cs="Arial"/>
          <w:rtl/>
        </w:rPr>
      </w:pPr>
      <w:r>
        <w:rPr>
          <w:rFonts w:ascii="Arial" w:hAnsi="Arial" w:cs="Arial"/>
          <w:rtl/>
        </w:rPr>
        <w:t xml:space="preserve">הקמת מערך המנהרות, הינו יסוד מוסד בפעילות הטרור המתקיימת בעזה. אם בעבר, נדונו בפסיקה בעיקר, מקרים, שבהם שימשו המנהרות את צרכי ארגוני הטרור, "רק" לצורך הברחת סחורות וחומרי לחימה בין מצרים לעזה, הרי שלאחרונה, בעקבות המבצע הצבאי האחרון שנכפה על ישראל לאחר ירי הטילים מעזה, הסתבר כי מערך המנהרות הינו בבחינת נשק ואיום אסטרטגי ישיר, בעל חשיבות מכרעת, על פי תפיסת ארגוני המחבלים, בפעילות הטרור המתבצעת נגד ישראל. כתב האישום כנגד הנאשם שבפנינו, המציין את ייעודן הצבאי של המנהרות, במסגרת פעילות המחבלים, כפי שאף הובהר לנאשם, שנמנה על יחידת המנהרות בחמאס, מדבר בעד עצמו, ואינו צריך הבהרות מיותרות, בדבר האיום הכבד הנשקף לחיילי צה"ל ולאזרחי ישראל, מאותן מנהרות לחימה ההולכות ומתרבות. </w:t>
      </w:r>
    </w:p>
    <w:p w14:paraId="4706B1F9" w14:textId="77777777" w:rsidR="00D27746" w:rsidRDefault="00D27746">
      <w:pPr>
        <w:spacing w:line="360" w:lineRule="auto"/>
        <w:jc w:val="both"/>
        <w:rPr>
          <w:rFonts w:ascii="Arial" w:hAnsi="Arial" w:cs="Arial"/>
          <w:rtl/>
        </w:rPr>
      </w:pPr>
    </w:p>
    <w:p w14:paraId="66E67B57" w14:textId="77777777" w:rsidR="00D27746" w:rsidRDefault="00D27746">
      <w:pPr>
        <w:spacing w:line="360" w:lineRule="auto"/>
        <w:jc w:val="both"/>
        <w:rPr>
          <w:rFonts w:ascii="Arial" w:hAnsi="Arial" w:cs="Arial"/>
          <w:rtl/>
        </w:rPr>
      </w:pPr>
    </w:p>
    <w:p w14:paraId="3316A94C" w14:textId="77777777" w:rsidR="00D27746" w:rsidRDefault="00827C85" w:rsidP="004235C1">
      <w:pPr>
        <w:spacing w:line="360" w:lineRule="auto"/>
        <w:jc w:val="both"/>
        <w:rPr>
          <w:rFonts w:ascii="Arial" w:hAnsi="Arial" w:cs="Arial"/>
          <w:sz w:val="22"/>
          <w:szCs w:val="22"/>
          <w:rtl/>
        </w:rPr>
      </w:pPr>
      <w:r>
        <w:rPr>
          <w:rFonts w:ascii="Arial" w:hAnsi="Arial" w:cs="Arial"/>
          <w:rtl/>
        </w:rPr>
        <w:t xml:space="preserve">אל מול הטענה כי הנאשם היה בעל תפקיד ביצועי בסיסי במלאכת הקמת המנהרות, נציין רק כי עסק בלא פחות מחפירת שבע מנהרות שונות, ויש להניח כי צבר מיומנות לא קטנה והביא תועלת רבה במלאכת הקמת המנהרות, וכבר נאמר לא אחת </w:t>
      </w:r>
      <w:r>
        <w:rPr>
          <w:rFonts w:ascii="Arial" w:hAnsi="Arial" w:cs="Arial"/>
          <w:b/>
          <w:bCs/>
          <w:spacing w:val="10"/>
          <w:sz w:val="22"/>
          <w:szCs w:val="22"/>
          <w:rtl/>
        </w:rPr>
        <w:t>"כי המאבק של מדינת ישראל בטרור הרצחני אינו מאבק רק במפגעים או במשלחיהם, אלא גם בכל מי "שמשמן" בצורה זו או אחרת את גלגלי הטרור, ובכל מי שמהווה חלק מ"שרשרת המוות". כל רמה מרמות הפעילות של ארגוני הטרור צריכה למצוא מענה משפטי הולם במסגרת המלחמה בטרור"</w:t>
      </w:r>
      <w:r>
        <w:rPr>
          <w:rFonts w:ascii="Arial" w:hAnsi="Arial" w:cs="Arial"/>
          <w:sz w:val="22"/>
          <w:szCs w:val="22"/>
          <w:rtl/>
        </w:rPr>
        <w:t xml:space="preserve"> (</w:t>
      </w:r>
      <w:hyperlink r:id="rId35" w:history="1">
        <w:r w:rsidRPr="00827C85">
          <w:rPr>
            <w:rFonts w:ascii="Arial" w:hAnsi="Arial" w:cs="Arial"/>
            <w:color w:val="0000FF"/>
            <w:sz w:val="22"/>
            <w:szCs w:val="22"/>
            <w:u w:val="single"/>
            <w:rtl/>
          </w:rPr>
          <w:t>ע"פ 4352/08</w:t>
        </w:r>
      </w:hyperlink>
      <w:r>
        <w:rPr>
          <w:rFonts w:ascii="Arial" w:hAnsi="Arial" w:cs="Arial" w:hint="cs"/>
          <w:sz w:val="22"/>
          <w:szCs w:val="22"/>
          <w:rtl/>
        </w:rPr>
        <w:t xml:space="preserve"> </w:t>
      </w:r>
      <w:r>
        <w:rPr>
          <w:rFonts w:ascii="Arial" w:hAnsi="Arial" w:cs="Arial"/>
          <w:sz w:val="22"/>
          <w:szCs w:val="22"/>
          <w:u w:val="single"/>
          <w:rtl/>
        </w:rPr>
        <w:t>פלוני נ. מדינת ישראל</w:t>
      </w:r>
      <w:r w:rsidR="004235C1">
        <w:rPr>
          <w:rFonts w:ascii="Arial" w:hAnsi="Arial" w:cs="Arial" w:hint="cs"/>
          <w:sz w:val="22"/>
          <w:szCs w:val="22"/>
          <w:u w:val="single"/>
          <w:rtl/>
        </w:rPr>
        <w:t xml:space="preserve">, </w:t>
      </w:r>
      <w:r w:rsidR="004235C1" w:rsidRPr="004235C1">
        <w:rPr>
          <w:sz w:val="22"/>
          <w:rtl/>
        </w:rPr>
        <w:t>[פורסם בנבו]</w:t>
      </w:r>
      <w:r>
        <w:rPr>
          <w:rFonts w:ascii="Arial" w:hAnsi="Arial" w:cs="Arial"/>
          <w:sz w:val="22"/>
          <w:szCs w:val="22"/>
          <w:u w:val="single"/>
          <w:rtl/>
        </w:rPr>
        <w:t>,</w:t>
      </w:r>
      <w:r>
        <w:rPr>
          <w:rFonts w:ascii="Arial" w:hAnsi="Arial" w:cs="Arial"/>
          <w:sz w:val="22"/>
          <w:szCs w:val="22"/>
          <w:rtl/>
        </w:rPr>
        <w:t xml:space="preserve"> 23.3.2009). </w:t>
      </w:r>
    </w:p>
    <w:p w14:paraId="0769A9A5" w14:textId="77777777" w:rsidR="00D27746" w:rsidRDefault="00D27746">
      <w:pPr>
        <w:spacing w:line="360" w:lineRule="auto"/>
        <w:jc w:val="both"/>
        <w:rPr>
          <w:rtl/>
        </w:rPr>
      </w:pPr>
    </w:p>
    <w:p w14:paraId="7B9DDB08" w14:textId="77777777" w:rsidR="00D27746" w:rsidRDefault="00827C85">
      <w:pPr>
        <w:spacing w:line="360" w:lineRule="auto"/>
        <w:jc w:val="both"/>
        <w:rPr>
          <w:rFonts w:ascii="Arial" w:hAnsi="Arial" w:cs="Arial"/>
          <w:color w:val="000000"/>
          <w:sz w:val="28"/>
          <w:rtl/>
        </w:rPr>
      </w:pPr>
      <w:r>
        <w:rPr>
          <w:rFonts w:ascii="Arial" w:hAnsi="Arial" w:cs="Arial"/>
          <w:rtl/>
        </w:rPr>
        <w:t>רמת הענישה הנוגעת ל"תפעול" מנהרות המיועדות להברחת חומרי לחימה, כעולה עד כה  מהפסיקה, אינה אחידה, וכך אף הדעות לגבי מידת החומרה שיש לנהוג בסוג פעילות טרור זו, כפי שעולה מהדיון בעניין זה ב-</w:t>
      </w:r>
      <w:r>
        <w:rPr>
          <w:rFonts w:ascii="Arial" w:hAnsi="Arial" w:cs="Arial"/>
          <w:color w:val="000000"/>
          <w:rtl/>
        </w:rPr>
        <w:t xml:space="preserve"> </w:t>
      </w:r>
      <w:hyperlink r:id="rId36" w:history="1">
        <w:r w:rsidRPr="00827C85">
          <w:rPr>
            <w:rFonts w:ascii="Arial" w:hAnsi="Arial" w:cs="Arial"/>
            <w:color w:val="0000FF"/>
            <w:u w:val="single"/>
            <w:rtl/>
          </w:rPr>
          <w:t>ע"פ 8620/10</w:t>
        </w:r>
      </w:hyperlink>
      <w:r>
        <w:rPr>
          <w:rFonts w:ascii="Arial" w:hAnsi="Arial" w:cs="Arial"/>
          <w:color w:val="000000"/>
          <w:rtl/>
        </w:rPr>
        <w:t xml:space="preserve"> ‏</w:t>
      </w:r>
      <w:r>
        <w:rPr>
          <w:rFonts w:ascii="Arial" w:hAnsi="Arial" w:cs="Arial"/>
          <w:color w:val="000000"/>
          <w:u w:val="single"/>
          <w:rtl/>
        </w:rPr>
        <w:t>פלוני נ' מדינת ישראל</w:t>
      </w:r>
      <w:r>
        <w:rPr>
          <w:rFonts w:ascii="Arial" w:hAnsi="Arial" w:cs="Arial"/>
          <w:color w:val="000000"/>
          <w:rtl/>
        </w:rPr>
        <w:t xml:space="preserve"> </w:t>
      </w:r>
      <w:r w:rsidR="004235C1" w:rsidRPr="004235C1">
        <w:rPr>
          <w:sz w:val="22"/>
          <w:rtl/>
        </w:rPr>
        <w:t xml:space="preserve">[פורסם בנבו] </w:t>
      </w:r>
      <w:r>
        <w:rPr>
          <w:rFonts w:ascii="Arial" w:hAnsi="Arial" w:cs="Arial"/>
          <w:color w:val="000000"/>
          <w:rtl/>
        </w:rPr>
        <w:t>(פסקה 24, ניתן ביום 16.1.2013).</w:t>
      </w:r>
      <w:r>
        <w:rPr>
          <w:rFonts w:ascii="Arial" w:hAnsi="Arial" w:cs="Arial"/>
          <w:color w:val="000000"/>
          <w:sz w:val="28"/>
          <w:rtl/>
        </w:rPr>
        <w:t xml:space="preserve"> </w:t>
      </w:r>
      <w:r>
        <w:rPr>
          <w:rFonts w:ascii="Arial" w:hAnsi="Arial" w:cs="Arial"/>
          <w:rtl/>
        </w:rPr>
        <w:t xml:space="preserve">דעתי היא כי במקרה שבפנינו, נוכח תרומתו הממשית של הנאשם, לאורך זמן, לכינונן של מספר ניכר של מנהרות, ותוך מתן הדעת כי לא היה מרכיב מרכזי בהקמתן, הרי שמתחם העונש שראוי להטיל בגין אישום זה, הכולל גם עבירה של קשירת קשר עם אחרים לביצוע המעשים, נע בין חמש לשמונה שנות מאסר לריצוי בפועל. </w:t>
      </w:r>
    </w:p>
    <w:p w14:paraId="71E8B5AB" w14:textId="77777777" w:rsidR="00D27746" w:rsidRDefault="00D27746">
      <w:pPr>
        <w:spacing w:line="360" w:lineRule="auto"/>
        <w:jc w:val="both"/>
        <w:rPr>
          <w:rFonts w:ascii="Arial" w:hAnsi="Arial" w:cs="Arial"/>
          <w:rtl/>
        </w:rPr>
      </w:pPr>
    </w:p>
    <w:p w14:paraId="078E5364" w14:textId="77777777" w:rsidR="00D27746" w:rsidRDefault="00827C85">
      <w:pPr>
        <w:spacing w:line="360" w:lineRule="auto"/>
        <w:jc w:val="both"/>
        <w:rPr>
          <w:rFonts w:ascii="Arial" w:hAnsi="Arial" w:cs="Arial"/>
          <w:rtl/>
        </w:rPr>
      </w:pPr>
      <w:r>
        <w:rPr>
          <w:rFonts w:ascii="Arial" w:hAnsi="Arial" w:cs="Arial"/>
          <w:rtl/>
        </w:rPr>
        <w:t>לבסוף, אין להתעלם משיקולי החומרה העומדים גם בעניין עבירת ההסתננות אותה ביצע הנאשם; הנאשם חבר לשניים נוספים, לחציית גדר הגבול המפרידה בין עזה לישראל, באופן שהצריך הזנקת כוחות צבאיים לצורך איתורם ומעצרם של המסתננים, גם אם אלה לא הגיעו לישראל מתוך מטרה לפגוע בביטחון; גם כאשר עבירת הסתננות, מתבצעת למטרה "תמימה" יחסית, בלבד, ומשעומדת ברקע הרגישות הביטחונית הגבוהה הקשורה במעבר אסור של הגבול מעזה, הרי שכפי שקבענו במקרים אחרים, מתחם העונש הראוי ינוע על ציר של שנת מאסר עד שתי שנות מאסר לריצוי בפועל (השוו בעניין זה רמת הענישה, ב</w:t>
      </w:r>
      <w:hyperlink r:id="rId37" w:history="1">
        <w:r w:rsidRPr="00827C85">
          <w:rPr>
            <w:rFonts w:ascii="Arial" w:hAnsi="Arial" w:cs="Arial"/>
            <w:color w:val="0000FF"/>
            <w:u w:val="single"/>
            <w:rtl/>
          </w:rPr>
          <w:t>ע"פ  1674/14</w:t>
        </w:r>
      </w:hyperlink>
      <w:r>
        <w:rPr>
          <w:rFonts w:ascii="Arial" w:hAnsi="Arial" w:cs="Arial"/>
          <w:rtl/>
        </w:rPr>
        <w:t xml:space="preserve"> </w:t>
      </w:r>
      <w:r>
        <w:rPr>
          <w:rFonts w:ascii="Arial" w:hAnsi="Arial" w:cs="Arial"/>
          <w:u w:val="single"/>
          <w:rtl/>
        </w:rPr>
        <w:t>סעיד נ. מדינת ישראל</w:t>
      </w:r>
      <w:r>
        <w:rPr>
          <w:rFonts w:ascii="Arial" w:hAnsi="Arial" w:cs="Arial"/>
          <w:rtl/>
        </w:rPr>
        <w:t xml:space="preserve">, </w:t>
      </w:r>
      <w:r w:rsidR="004235C1" w:rsidRPr="004235C1">
        <w:rPr>
          <w:sz w:val="22"/>
          <w:rtl/>
        </w:rPr>
        <w:t xml:space="preserve">[פורסם בנבו] </w:t>
      </w:r>
      <w:r>
        <w:rPr>
          <w:rFonts w:ascii="Arial" w:hAnsi="Arial" w:cs="Arial"/>
          <w:rtl/>
        </w:rPr>
        <w:t xml:space="preserve">ניתן ביום 6.10.2014). </w:t>
      </w:r>
    </w:p>
    <w:p w14:paraId="7A21D6F3" w14:textId="77777777" w:rsidR="00D27746" w:rsidRDefault="00D27746">
      <w:pPr>
        <w:spacing w:line="360" w:lineRule="auto"/>
        <w:jc w:val="both"/>
        <w:rPr>
          <w:rtl/>
        </w:rPr>
      </w:pPr>
    </w:p>
    <w:p w14:paraId="7F402E3F" w14:textId="77777777" w:rsidR="00D27746" w:rsidRDefault="00827C85">
      <w:pPr>
        <w:spacing w:line="360" w:lineRule="auto"/>
        <w:jc w:val="both"/>
        <w:rPr>
          <w:rFonts w:ascii="Arial" w:hAnsi="Arial" w:cs="Arial"/>
          <w:rtl/>
        </w:rPr>
      </w:pPr>
      <w:r>
        <w:rPr>
          <w:rFonts w:ascii="Arial" w:hAnsi="Arial" w:cs="Arial"/>
          <w:rtl/>
        </w:rPr>
        <w:t xml:space="preserve">נדרשים אנו להטלת עונש במסגרתו של הסדר הטיעון שהוצג בפנינו, כמתואר, וכידוע, הסדרי טיעון יש ככלל, לכבד, ואלה מגלמים בחובם בענייננו, גם את הודאת הנאשם, הבעת החרטה, ואף את העובדה כי הנאשם ניתק – בנסיבות עלומות, יש לומר – את קשריו עם החמאס, ואף נמלט מפניו לישראל, כפי שנטען על ידי סנגורו. עוד יש להביא לידי ביטוי את גילו הצעיר של הנאשם, בעת ביצוע המעשים. </w:t>
      </w:r>
    </w:p>
    <w:p w14:paraId="5C3B1E65" w14:textId="77777777" w:rsidR="00D27746" w:rsidRDefault="00D27746">
      <w:pPr>
        <w:spacing w:line="360" w:lineRule="auto"/>
        <w:jc w:val="both"/>
        <w:rPr>
          <w:rFonts w:ascii="Arial" w:hAnsi="Arial" w:cs="Arial"/>
          <w:rtl/>
        </w:rPr>
      </w:pPr>
    </w:p>
    <w:p w14:paraId="6309FE1A" w14:textId="77777777" w:rsidR="00D27746" w:rsidRDefault="00827C85">
      <w:pPr>
        <w:spacing w:line="360" w:lineRule="auto"/>
        <w:jc w:val="both"/>
        <w:rPr>
          <w:rFonts w:ascii="Arial" w:hAnsi="Arial" w:cs="Arial"/>
          <w:rtl/>
        </w:rPr>
      </w:pPr>
      <w:r>
        <w:rPr>
          <w:rFonts w:ascii="Arial" w:hAnsi="Arial" w:cs="Arial"/>
          <w:rtl/>
        </w:rPr>
        <w:t xml:space="preserve">נוכח האמור, ובשים לב למתווה העונשי שצוין לגבי העבירות השונות, ולנוכח שיקולי החומרה והקולא שנמנו, גוזרים אנו על הנאשם עונש של </w:t>
      </w:r>
      <w:r>
        <w:rPr>
          <w:rFonts w:ascii="Arial" w:hAnsi="Arial" w:cs="Arial" w:hint="cs"/>
          <w:rtl/>
        </w:rPr>
        <w:t>שמונה</w:t>
      </w:r>
      <w:r>
        <w:rPr>
          <w:rFonts w:ascii="Arial" w:hAnsi="Arial" w:cs="Arial"/>
          <w:rtl/>
        </w:rPr>
        <w:t xml:space="preserve"> שנות מאסר בפועל, שתחילתן מיום מעצרו של הנאשם, 24.7.2013.</w:t>
      </w:r>
    </w:p>
    <w:p w14:paraId="11661D7D" w14:textId="77777777" w:rsidR="00D27746" w:rsidRDefault="00D27746">
      <w:pPr>
        <w:spacing w:line="360" w:lineRule="auto"/>
        <w:jc w:val="both"/>
        <w:rPr>
          <w:rFonts w:ascii="Arial" w:hAnsi="Arial" w:cs="Arial"/>
          <w:rtl/>
        </w:rPr>
      </w:pPr>
    </w:p>
    <w:p w14:paraId="1586096C" w14:textId="77777777" w:rsidR="00D27746" w:rsidRDefault="00827C85">
      <w:pPr>
        <w:spacing w:line="360" w:lineRule="auto"/>
        <w:jc w:val="both"/>
        <w:rPr>
          <w:rFonts w:ascii="Arial" w:hAnsi="Arial" w:cs="Arial"/>
          <w:rtl/>
        </w:rPr>
      </w:pPr>
      <w:r>
        <w:rPr>
          <w:rFonts w:ascii="Arial" w:hAnsi="Arial" w:cs="Arial"/>
          <w:rtl/>
        </w:rPr>
        <w:t>בנוסף מוטלים על הנאשם 18 חדשי מאסר מותנים למשך שלוש שנים, החל מיום שחרורו של הנאשם ממאסר, שלא יעבור עבירת פשע כנגד הביטחון.</w:t>
      </w:r>
    </w:p>
    <w:p w14:paraId="522432E0" w14:textId="77777777" w:rsidR="00D27746" w:rsidRDefault="00D27746">
      <w:pPr>
        <w:spacing w:line="360" w:lineRule="auto"/>
        <w:jc w:val="both"/>
        <w:rPr>
          <w:rFonts w:ascii="Arial" w:hAnsi="Arial" w:cs="Arial"/>
          <w:rtl/>
        </w:rPr>
      </w:pPr>
    </w:p>
    <w:p w14:paraId="51C08F85" w14:textId="77777777" w:rsidR="00D27746" w:rsidRDefault="00D27746">
      <w:pPr>
        <w:spacing w:line="360" w:lineRule="auto"/>
        <w:jc w:val="both"/>
        <w:rPr>
          <w:rFonts w:ascii="Arial" w:hAnsi="Arial" w:cs="Arial"/>
          <w:rtl/>
        </w:rPr>
      </w:pPr>
    </w:p>
    <w:p w14:paraId="634EBA7B" w14:textId="77777777" w:rsidR="00D27746" w:rsidRDefault="00827C85">
      <w:pPr>
        <w:spacing w:line="360" w:lineRule="auto"/>
        <w:jc w:val="both"/>
        <w:rPr>
          <w:rFonts w:ascii="Arial" w:hAnsi="Arial" w:cs="Arial"/>
          <w:b/>
          <w:bCs/>
          <w:rtl/>
        </w:rPr>
      </w:pPr>
      <w:r>
        <w:rPr>
          <w:rFonts w:ascii="Arial" w:hAnsi="Arial" w:cs="Arial"/>
          <w:b/>
          <w:bCs/>
          <w:rtl/>
        </w:rPr>
        <w:t xml:space="preserve">זכות ערעור תוך 45 יום מהיום לבית המשפט העליון. </w:t>
      </w:r>
    </w:p>
    <w:p w14:paraId="5E54E05E" w14:textId="77777777" w:rsidR="00D27746" w:rsidRDefault="00D27746">
      <w:pPr>
        <w:spacing w:line="360" w:lineRule="auto"/>
        <w:jc w:val="both"/>
        <w:rPr>
          <w:rFonts w:ascii="Arial" w:hAnsi="Arial" w:cs="Arial"/>
          <w:b/>
          <w:bCs/>
          <w:rtl/>
        </w:rPr>
      </w:pPr>
    </w:p>
    <w:p w14:paraId="79304E43" w14:textId="77777777" w:rsidR="00D27746" w:rsidRDefault="00D27746">
      <w:pPr>
        <w:spacing w:line="360" w:lineRule="auto"/>
        <w:jc w:val="both"/>
        <w:rPr>
          <w:rFonts w:ascii="Arial" w:hAnsi="Arial" w:cs="Arial"/>
          <w:b/>
          <w:bCs/>
          <w:rtl/>
        </w:rPr>
      </w:pPr>
    </w:p>
    <w:p w14:paraId="4D37518E" w14:textId="77777777" w:rsidR="00D27746" w:rsidRDefault="00827C85">
      <w:pPr>
        <w:spacing w:line="360" w:lineRule="auto"/>
        <w:jc w:val="both"/>
        <w:rPr>
          <w:rtl/>
        </w:rPr>
      </w:pPr>
      <w:r>
        <w:rPr>
          <w:b/>
          <w:bCs/>
          <w:rtl/>
        </w:rPr>
        <w:br/>
      </w:r>
      <w:r>
        <w:rPr>
          <w:rFonts w:ascii="Arial" w:hAnsi="Arial" w:cs="Arial"/>
          <w:b/>
          <w:bCs/>
          <w:rtl/>
        </w:rPr>
        <w:t xml:space="preserve">ניתן היום,  כ"א טבת תשע"ה (12 ינואר 2015), במעמד הצדדים. </w:t>
      </w:r>
    </w:p>
    <w:p w14:paraId="5E40A01B" w14:textId="77777777" w:rsidR="00D27746" w:rsidRDefault="00D27746">
      <w:pPr>
        <w:spacing w:line="360" w:lineRule="auto"/>
        <w:jc w:val="both"/>
        <w:rPr>
          <w:rtl/>
        </w:rPr>
      </w:pPr>
    </w:p>
    <w:p w14:paraId="704B1EBF" w14:textId="77777777" w:rsidR="00D27746" w:rsidRDefault="00D27746">
      <w:pPr>
        <w:spacing w:line="360" w:lineRule="auto"/>
        <w:jc w:val="both"/>
        <w:rPr>
          <w:rtl/>
        </w:rPr>
      </w:pPr>
    </w:p>
    <w:tbl>
      <w:tblPr>
        <w:bidiVisual/>
        <w:tblW w:w="0" w:type="auto"/>
        <w:tblLook w:val="01E0" w:firstRow="1" w:lastRow="1" w:firstColumn="1" w:lastColumn="1" w:noHBand="0" w:noVBand="0"/>
      </w:tblPr>
      <w:tblGrid>
        <w:gridCol w:w="2654"/>
        <w:gridCol w:w="236"/>
        <w:gridCol w:w="2104"/>
        <w:gridCol w:w="236"/>
        <w:gridCol w:w="2464"/>
      </w:tblGrid>
      <w:tr w:rsidR="00D27746" w14:paraId="65C3C091" w14:textId="77777777">
        <w:tc>
          <w:tcPr>
            <w:tcW w:w="2654" w:type="dxa"/>
            <w:tcBorders>
              <w:top w:val="nil"/>
              <w:left w:val="nil"/>
              <w:bottom w:val="single" w:sz="4" w:space="0" w:color="auto"/>
              <w:right w:val="nil"/>
            </w:tcBorders>
            <w:vAlign w:val="center"/>
          </w:tcPr>
          <w:p w14:paraId="0CE777A8" w14:textId="77777777" w:rsidR="00D27746" w:rsidRDefault="00D27746">
            <w:pPr>
              <w:jc w:val="center"/>
              <w:rPr>
                <w:rFonts w:ascii="Courier New" w:hAnsi="Courier New"/>
                <w:b/>
                <w:bCs/>
              </w:rPr>
            </w:pPr>
          </w:p>
        </w:tc>
        <w:tc>
          <w:tcPr>
            <w:tcW w:w="236" w:type="dxa"/>
            <w:vAlign w:val="center"/>
          </w:tcPr>
          <w:p w14:paraId="26E61BA9" w14:textId="77777777" w:rsidR="00D27746" w:rsidRDefault="00D27746">
            <w:pPr>
              <w:jc w:val="center"/>
              <w:rPr>
                <w:rFonts w:ascii="Courier New" w:hAnsi="Courier New"/>
                <w:b/>
                <w:bCs/>
              </w:rPr>
            </w:pPr>
          </w:p>
        </w:tc>
        <w:tc>
          <w:tcPr>
            <w:tcW w:w="2104" w:type="dxa"/>
            <w:tcBorders>
              <w:top w:val="nil"/>
              <w:left w:val="nil"/>
              <w:bottom w:val="single" w:sz="4" w:space="0" w:color="auto"/>
              <w:right w:val="nil"/>
            </w:tcBorders>
            <w:vAlign w:val="center"/>
          </w:tcPr>
          <w:p w14:paraId="64BFDBA3" w14:textId="77777777" w:rsidR="00D27746" w:rsidRDefault="00D27746">
            <w:pPr>
              <w:jc w:val="center"/>
              <w:rPr>
                <w:rFonts w:ascii="Courier New" w:hAnsi="Courier New"/>
                <w:b/>
                <w:bCs/>
                <w:sz w:val="20"/>
                <w:szCs w:val="20"/>
              </w:rPr>
            </w:pPr>
          </w:p>
        </w:tc>
        <w:tc>
          <w:tcPr>
            <w:tcW w:w="236" w:type="dxa"/>
            <w:vAlign w:val="center"/>
          </w:tcPr>
          <w:p w14:paraId="2F59F3BA" w14:textId="77777777" w:rsidR="00D27746" w:rsidRDefault="00D27746">
            <w:pPr>
              <w:jc w:val="center"/>
              <w:rPr>
                <w:rFonts w:ascii="Courier New" w:hAnsi="Courier New"/>
                <w:b/>
                <w:bCs/>
              </w:rPr>
            </w:pPr>
          </w:p>
        </w:tc>
        <w:tc>
          <w:tcPr>
            <w:tcW w:w="2464" w:type="dxa"/>
            <w:tcBorders>
              <w:top w:val="nil"/>
              <w:left w:val="nil"/>
              <w:bottom w:val="single" w:sz="4" w:space="0" w:color="auto"/>
              <w:right w:val="nil"/>
            </w:tcBorders>
            <w:vAlign w:val="center"/>
          </w:tcPr>
          <w:p w14:paraId="28E7F58C" w14:textId="77777777" w:rsidR="00D27746" w:rsidRDefault="00D27746">
            <w:pPr>
              <w:jc w:val="center"/>
              <w:rPr>
                <w:rFonts w:ascii="Courier New" w:hAnsi="Courier New"/>
                <w:b/>
                <w:bCs/>
                <w:sz w:val="20"/>
                <w:szCs w:val="20"/>
              </w:rPr>
            </w:pPr>
          </w:p>
        </w:tc>
      </w:tr>
      <w:tr w:rsidR="00D27746" w14:paraId="7571B716" w14:textId="77777777">
        <w:tc>
          <w:tcPr>
            <w:tcW w:w="2654" w:type="dxa"/>
            <w:tcBorders>
              <w:top w:val="single" w:sz="4" w:space="0" w:color="auto"/>
              <w:left w:val="nil"/>
              <w:bottom w:val="nil"/>
              <w:right w:val="nil"/>
            </w:tcBorders>
            <w:vAlign w:val="bottom"/>
          </w:tcPr>
          <w:p w14:paraId="21BF6A2C" w14:textId="77777777" w:rsidR="00D27746" w:rsidRDefault="00827C85">
            <w:pPr>
              <w:jc w:val="center"/>
            </w:pPr>
            <w:r>
              <w:rPr>
                <w:rFonts w:ascii="Arial" w:hAnsi="Arial" w:cs="Arial"/>
                <w:b/>
                <w:bCs/>
                <w:rtl/>
              </w:rPr>
              <w:t>ס.</w:t>
            </w:r>
            <w:r>
              <w:rPr>
                <w:rFonts w:ascii="Arial" w:hAnsi="Arial" w:cs="Arial" w:hint="cs"/>
                <w:b/>
                <w:bCs/>
                <w:rtl/>
              </w:rPr>
              <w:t xml:space="preserve"> </w:t>
            </w:r>
            <w:r>
              <w:rPr>
                <w:rFonts w:ascii="Arial" w:hAnsi="Arial" w:cs="Arial"/>
                <w:b/>
                <w:bCs/>
                <w:rtl/>
              </w:rPr>
              <w:t>הנשיא, ר</w:t>
            </w:r>
            <w:r>
              <w:rPr>
                <w:rFonts w:ascii="Arial" w:hAnsi="Arial" w:cs="Arial" w:hint="cs"/>
                <w:b/>
                <w:bCs/>
                <w:rtl/>
              </w:rPr>
              <w:t xml:space="preserve">ויטל </w:t>
            </w:r>
            <w:r>
              <w:rPr>
                <w:rFonts w:ascii="Arial" w:hAnsi="Arial" w:cs="Arial"/>
                <w:b/>
                <w:bCs/>
                <w:rtl/>
              </w:rPr>
              <w:t>יפה-כ"ץ</w:t>
            </w:r>
          </w:p>
          <w:p w14:paraId="4758D840" w14:textId="77777777" w:rsidR="00D27746" w:rsidRDefault="00827C85">
            <w:pPr>
              <w:jc w:val="center"/>
              <w:rPr>
                <w:rtl/>
              </w:rPr>
            </w:pPr>
            <w:r>
              <w:rPr>
                <w:rFonts w:ascii="Arial" w:hAnsi="Arial" w:cs="Arial"/>
                <w:b/>
                <w:bCs/>
                <w:rtl/>
              </w:rPr>
              <w:t>אב"ד</w:t>
            </w:r>
          </w:p>
          <w:p w14:paraId="366CE6EB" w14:textId="77777777" w:rsidR="00D27746" w:rsidRDefault="00D27746">
            <w:pPr>
              <w:jc w:val="center"/>
              <w:rPr>
                <w:rFonts w:ascii="Courier New" w:hAnsi="Courier New"/>
                <w:b/>
                <w:bCs/>
              </w:rPr>
            </w:pPr>
          </w:p>
        </w:tc>
        <w:tc>
          <w:tcPr>
            <w:tcW w:w="236" w:type="dxa"/>
            <w:vAlign w:val="bottom"/>
          </w:tcPr>
          <w:p w14:paraId="0AE38CC8" w14:textId="77777777" w:rsidR="00D27746" w:rsidRDefault="00D27746">
            <w:pPr>
              <w:jc w:val="center"/>
              <w:rPr>
                <w:rFonts w:ascii="Courier New" w:hAnsi="Courier New"/>
                <w:b/>
                <w:bCs/>
              </w:rPr>
            </w:pPr>
          </w:p>
        </w:tc>
        <w:tc>
          <w:tcPr>
            <w:tcW w:w="2104" w:type="dxa"/>
            <w:tcBorders>
              <w:top w:val="single" w:sz="4" w:space="0" w:color="auto"/>
              <w:left w:val="nil"/>
              <w:bottom w:val="nil"/>
              <w:right w:val="nil"/>
            </w:tcBorders>
          </w:tcPr>
          <w:p w14:paraId="569C8C1A" w14:textId="77777777" w:rsidR="00D27746" w:rsidRDefault="00827C85">
            <w:pPr>
              <w:jc w:val="center"/>
              <w:rPr>
                <w:rFonts w:ascii="Arial" w:hAnsi="Arial" w:cs="Arial"/>
                <w:b/>
                <w:bCs/>
              </w:rPr>
            </w:pPr>
            <w:r>
              <w:rPr>
                <w:rFonts w:ascii="Arial" w:hAnsi="Arial" w:cs="Arial"/>
                <w:b/>
                <w:bCs/>
                <w:rtl/>
              </w:rPr>
              <w:t>אריאל ואגו, שופט</w:t>
            </w:r>
          </w:p>
        </w:tc>
        <w:tc>
          <w:tcPr>
            <w:tcW w:w="236" w:type="dxa"/>
          </w:tcPr>
          <w:p w14:paraId="4EB7AB2B" w14:textId="77777777" w:rsidR="00D27746" w:rsidRDefault="00D27746">
            <w:pPr>
              <w:jc w:val="center"/>
              <w:rPr>
                <w:rFonts w:ascii="Arial" w:hAnsi="Arial" w:cs="Arial"/>
                <w:b/>
                <w:bCs/>
              </w:rPr>
            </w:pPr>
          </w:p>
        </w:tc>
        <w:tc>
          <w:tcPr>
            <w:tcW w:w="2464" w:type="dxa"/>
            <w:tcBorders>
              <w:top w:val="single" w:sz="4" w:space="0" w:color="auto"/>
              <w:left w:val="nil"/>
              <w:bottom w:val="nil"/>
              <w:right w:val="nil"/>
            </w:tcBorders>
          </w:tcPr>
          <w:p w14:paraId="772E75C5" w14:textId="77777777" w:rsidR="00827C85" w:rsidRDefault="00827C85">
            <w:pPr>
              <w:jc w:val="center"/>
              <w:rPr>
                <w:rFonts w:ascii="Arial" w:hAnsi="Arial" w:cs="Arial"/>
                <w:b/>
                <w:bCs/>
              </w:rPr>
            </w:pPr>
            <w:r>
              <w:rPr>
                <w:rFonts w:ascii="Arial" w:hAnsi="Arial" w:cs="Arial"/>
                <w:b/>
                <w:bCs/>
                <w:rtl/>
              </w:rPr>
              <w:t>יורם צלקובניק, שופט</w:t>
            </w:r>
          </w:p>
          <w:p w14:paraId="4C690F03" w14:textId="77777777" w:rsidR="00D27746" w:rsidRDefault="00D27746">
            <w:pPr>
              <w:jc w:val="center"/>
              <w:rPr>
                <w:rFonts w:ascii="Arial" w:hAnsi="Arial" w:cs="Arial"/>
                <w:b/>
                <w:bCs/>
              </w:rPr>
            </w:pPr>
          </w:p>
        </w:tc>
      </w:tr>
    </w:tbl>
    <w:p w14:paraId="2689AE65" w14:textId="77777777" w:rsidR="00D27746" w:rsidRPr="00827C85" w:rsidRDefault="00827C85">
      <w:pPr>
        <w:rPr>
          <w:color w:val="FFFFFF"/>
          <w:sz w:val="2"/>
          <w:szCs w:val="2"/>
        </w:rPr>
      </w:pPr>
      <w:r w:rsidRPr="00827C85">
        <w:rPr>
          <w:color w:val="FFFFFF"/>
          <w:sz w:val="2"/>
          <w:szCs w:val="2"/>
          <w:rtl/>
        </w:rPr>
        <w:t>5129371</w:t>
      </w:r>
    </w:p>
    <w:p w14:paraId="0AF425A5" w14:textId="77777777" w:rsidR="00D27746" w:rsidRPr="00827C85" w:rsidRDefault="00827C85">
      <w:pPr>
        <w:rPr>
          <w:rFonts w:ascii="Arial" w:hAnsi="Arial" w:cs="Arial"/>
          <w:color w:val="FFFFFF"/>
          <w:sz w:val="2"/>
          <w:szCs w:val="2"/>
          <w:rtl/>
        </w:rPr>
      </w:pPr>
      <w:r w:rsidRPr="00827C85">
        <w:rPr>
          <w:rFonts w:ascii="Arial" w:hAnsi="Arial" w:cs="Arial"/>
          <w:color w:val="FFFFFF"/>
          <w:sz w:val="2"/>
          <w:szCs w:val="2"/>
          <w:rtl/>
        </w:rPr>
        <w:t>54678313</w:t>
      </w:r>
    </w:p>
    <w:p w14:paraId="5354F352" w14:textId="77777777" w:rsidR="00D27746" w:rsidRDefault="00D27746">
      <w:pPr>
        <w:pStyle w:val="a3"/>
        <w:jc w:val="center"/>
        <w:rPr>
          <w:rFonts w:ascii="Arial" w:hAnsi="Arial" w:cs="Arial"/>
          <w:rtl/>
        </w:rPr>
      </w:pPr>
    </w:p>
    <w:p w14:paraId="7D077C75" w14:textId="77777777" w:rsidR="00827C85" w:rsidRPr="00827C85" w:rsidRDefault="00827C85" w:rsidP="00827C85">
      <w:pPr>
        <w:keepNext/>
        <w:rPr>
          <w:rFonts w:ascii="David" w:hAnsi="David"/>
          <w:color w:val="000000"/>
          <w:sz w:val="22"/>
          <w:szCs w:val="22"/>
          <w:rtl/>
        </w:rPr>
      </w:pPr>
    </w:p>
    <w:p w14:paraId="233E9562" w14:textId="77777777" w:rsidR="00827C85" w:rsidRPr="00827C85" w:rsidRDefault="00827C85" w:rsidP="00827C85">
      <w:pPr>
        <w:keepNext/>
        <w:rPr>
          <w:rFonts w:ascii="David" w:hAnsi="David"/>
          <w:color w:val="000000"/>
          <w:sz w:val="22"/>
          <w:szCs w:val="22"/>
          <w:rtl/>
        </w:rPr>
      </w:pPr>
      <w:r w:rsidRPr="00827C85">
        <w:rPr>
          <w:rFonts w:ascii="David" w:hAnsi="David"/>
          <w:color w:val="000000"/>
          <w:sz w:val="22"/>
          <w:szCs w:val="22"/>
          <w:rtl/>
        </w:rPr>
        <w:t>ס. ר. יפה כ"ץ 54678313</w:t>
      </w:r>
    </w:p>
    <w:p w14:paraId="32F59443" w14:textId="77777777" w:rsidR="00827C85" w:rsidRDefault="00827C85" w:rsidP="00827C85">
      <w:r w:rsidRPr="00827C85">
        <w:rPr>
          <w:color w:val="000000"/>
          <w:rtl/>
        </w:rPr>
        <w:t>נוסח מסמך זה כפוף לשינויי ניסוח ועריכה</w:t>
      </w:r>
    </w:p>
    <w:p w14:paraId="1245A902" w14:textId="77777777" w:rsidR="00827C85" w:rsidRDefault="00827C85" w:rsidP="00827C85">
      <w:pPr>
        <w:rPr>
          <w:rtl/>
        </w:rPr>
      </w:pPr>
    </w:p>
    <w:p w14:paraId="15715CF7" w14:textId="77777777" w:rsidR="00827C85" w:rsidRDefault="00827C85" w:rsidP="00827C85">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9081BCA" w14:textId="77777777" w:rsidR="00D27746" w:rsidRPr="00827C85" w:rsidRDefault="00D27746" w:rsidP="00827C85">
      <w:pPr>
        <w:jc w:val="center"/>
        <w:rPr>
          <w:color w:val="0000FF"/>
          <w:u w:val="single"/>
        </w:rPr>
      </w:pPr>
    </w:p>
    <w:sectPr w:rsidR="00D27746" w:rsidRPr="00827C85" w:rsidSect="00827C85">
      <w:headerReference w:type="even" r:id="rId39"/>
      <w:headerReference w:type="default" r:id="rId40"/>
      <w:footerReference w:type="even" r:id="rId41"/>
      <w:footerReference w:type="default" r:id="rId42"/>
      <w:pgSz w:w="11907" w:h="16840" w:code="9"/>
      <w:pgMar w:top="1701" w:right="1701" w:bottom="567"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C3921" w14:textId="77777777" w:rsidR="003B425F" w:rsidRPr="004A6EE5" w:rsidRDefault="003B425F">
      <w:pPr>
        <w:rPr>
          <w:rFonts w:cs="Arial"/>
          <w:szCs w:val="20"/>
        </w:rPr>
      </w:pPr>
      <w:r>
        <w:separator/>
      </w:r>
    </w:p>
  </w:endnote>
  <w:endnote w:type="continuationSeparator" w:id="0">
    <w:p w14:paraId="665DC2C5" w14:textId="77777777" w:rsidR="003B425F" w:rsidRPr="004A6EE5" w:rsidRDefault="003B425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23107" w14:textId="77777777" w:rsidR="00827C85" w:rsidRDefault="00827C85" w:rsidP="00827C8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248FC67E" w14:textId="77777777" w:rsidR="00827C85" w:rsidRPr="00827C85" w:rsidRDefault="00827C85" w:rsidP="00827C85">
    <w:pPr>
      <w:pStyle w:val="a4"/>
      <w:pBdr>
        <w:top w:val="single" w:sz="4" w:space="1" w:color="auto"/>
        <w:between w:val="single" w:sz="4" w:space="0" w:color="auto"/>
      </w:pBdr>
      <w:spacing w:after="60"/>
      <w:jc w:val="center"/>
      <w:rPr>
        <w:rFonts w:ascii="FrankRuehl" w:hAnsi="FrankRuehl" w:cs="FrankRuehl"/>
        <w:color w:val="000000"/>
      </w:rPr>
    </w:pPr>
    <w:r w:rsidRPr="00827C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938F0" w14:textId="77777777" w:rsidR="00827C85" w:rsidRDefault="00827C85" w:rsidP="00827C8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35C1">
      <w:rPr>
        <w:rFonts w:ascii="FrankRuehl" w:hAnsi="FrankRuehl" w:cs="FrankRuehl"/>
        <w:rtl/>
      </w:rPr>
      <w:t>1</w:t>
    </w:r>
    <w:r>
      <w:rPr>
        <w:rFonts w:ascii="FrankRuehl" w:hAnsi="FrankRuehl" w:cs="FrankRuehl"/>
        <w:rtl/>
      </w:rPr>
      <w:fldChar w:fldCharType="end"/>
    </w:r>
  </w:p>
  <w:p w14:paraId="0BEA3039" w14:textId="77777777" w:rsidR="00D27746" w:rsidRPr="00827C85" w:rsidRDefault="00827C85" w:rsidP="00827C85">
    <w:pPr>
      <w:pStyle w:val="a4"/>
      <w:pBdr>
        <w:top w:val="single" w:sz="4" w:space="1" w:color="auto"/>
        <w:between w:val="single" w:sz="4" w:space="0" w:color="auto"/>
      </w:pBdr>
      <w:spacing w:after="60"/>
      <w:jc w:val="center"/>
      <w:rPr>
        <w:rFonts w:ascii="FrankRuehl" w:hAnsi="FrankRuehl" w:cs="FrankRuehl"/>
        <w:color w:val="000000"/>
      </w:rPr>
    </w:pPr>
    <w:r w:rsidRPr="00827C85">
      <w:rPr>
        <w:rFonts w:ascii="FrankRuehl" w:hAnsi="FrankRuehl" w:cs="FrankRuehl"/>
        <w:color w:val="000000"/>
      </w:rPr>
      <w:pict w14:anchorId="63309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65F50" w14:textId="77777777" w:rsidR="003B425F" w:rsidRPr="004A6EE5" w:rsidRDefault="003B425F">
      <w:pPr>
        <w:rPr>
          <w:rFonts w:cs="Arial"/>
          <w:szCs w:val="20"/>
        </w:rPr>
      </w:pPr>
      <w:r>
        <w:separator/>
      </w:r>
    </w:p>
  </w:footnote>
  <w:footnote w:type="continuationSeparator" w:id="0">
    <w:p w14:paraId="5F10166F" w14:textId="77777777" w:rsidR="003B425F" w:rsidRPr="004A6EE5" w:rsidRDefault="003B425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19EF8" w14:textId="77777777" w:rsidR="00827C85" w:rsidRPr="00827C85" w:rsidRDefault="00827C85" w:rsidP="00827C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26481-08-13</w:t>
    </w:r>
    <w:r>
      <w:rPr>
        <w:rFonts w:ascii="David" w:hAnsi="David"/>
        <w:color w:val="000000"/>
        <w:sz w:val="22"/>
        <w:szCs w:val="22"/>
        <w:rtl/>
      </w:rPr>
      <w:tab/>
      <w:t xml:space="preserve"> מדינת ישראל נ' מחמד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328DC" w14:textId="77777777" w:rsidR="00827C85" w:rsidRPr="00827C85" w:rsidRDefault="00827C85" w:rsidP="00827C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26481-08-13</w:t>
    </w:r>
    <w:r>
      <w:rPr>
        <w:rFonts w:ascii="David" w:hAnsi="David"/>
        <w:color w:val="000000"/>
        <w:sz w:val="22"/>
        <w:szCs w:val="22"/>
        <w:rtl/>
      </w:rPr>
      <w:tab/>
      <w:t xml:space="preserve"> מדינת ישראל נ' מחמד שחאדה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46E3"/>
    <w:multiLevelType w:val="hybridMultilevel"/>
    <w:tmpl w:val="72DE43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C1D1C3C"/>
    <w:multiLevelType w:val="hybridMultilevel"/>
    <w:tmpl w:val="42CE64A8"/>
    <w:lvl w:ilvl="0" w:tplc="9920E8DE">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95493"/>
    <w:multiLevelType w:val="hybridMultilevel"/>
    <w:tmpl w:val="57B8B60E"/>
    <w:lvl w:ilvl="0" w:tplc="D1AAF854">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789421">
    <w:abstractNumId w:val="2"/>
  </w:num>
  <w:num w:numId="2" w16cid:durableId="1146632609">
    <w:abstractNumId w:val="1"/>
  </w:num>
  <w:num w:numId="3" w16cid:durableId="570776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7746"/>
    <w:rsid w:val="00294465"/>
    <w:rsid w:val="00394F1A"/>
    <w:rsid w:val="003B425F"/>
    <w:rsid w:val="004235C1"/>
    <w:rsid w:val="004B161C"/>
    <w:rsid w:val="005028B6"/>
    <w:rsid w:val="00506476"/>
    <w:rsid w:val="00827C85"/>
    <w:rsid w:val="00D27746"/>
    <w:rsid w:val="00FA4E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hapeDefaults>
    <o:shapedefaults v:ext="edit" spidmax="2050"/>
    <o:shapelayout v:ext="edit">
      <o:idmap v:ext="edit" data="1"/>
    </o:shapelayout>
  </w:shapeDefaults>
  <w:decimalSymbol w:val="."/>
  <w:listSeparator w:val=","/>
  <w14:docId w14:val="2B602B81"/>
  <w15:chartTrackingRefBased/>
  <w15:docId w15:val="{5F9DC638-0512-447C-BCCB-63CBCE7E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7746"/>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27746"/>
    <w:pPr>
      <w:tabs>
        <w:tab w:val="center" w:pos="4153"/>
        <w:tab w:val="right" w:pos="8306"/>
      </w:tabs>
    </w:pPr>
  </w:style>
  <w:style w:type="paragraph" w:styleId="a4">
    <w:name w:val="footer"/>
    <w:basedOn w:val="a"/>
    <w:link w:val="a5"/>
    <w:rsid w:val="00D27746"/>
    <w:pPr>
      <w:tabs>
        <w:tab w:val="center" w:pos="4153"/>
        <w:tab w:val="right" w:pos="8306"/>
      </w:tabs>
    </w:pPr>
  </w:style>
  <w:style w:type="character" w:customStyle="1" w:styleId="a5">
    <w:name w:val="כותרת תחתונה תו"/>
    <w:basedOn w:val="a0"/>
    <w:link w:val="a4"/>
    <w:rsid w:val="00D27746"/>
    <w:rPr>
      <w:rFonts w:cs="David"/>
      <w:noProof/>
      <w:sz w:val="24"/>
      <w:szCs w:val="24"/>
      <w:lang w:val="en-US" w:eastAsia="en-US" w:bidi="he-IL"/>
    </w:rPr>
  </w:style>
  <w:style w:type="character" w:styleId="a6">
    <w:name w:val="page number"/>
    <w:basedOn w:val="a0"/>
    <w:rsid w:val="00827C85"/>
  </w:style>
  <w:style w:type="character" w:styleId="Hyperlink">
    <w:name w:val="Hyperlink"/>
    <w:basedOn w:val="a0"/>
    <w:rsid w:val="00827C85"/>
    <w:rPr>
      <w:color w:val="0000FF"/>
      <w:u w:val="single"/>
    </w:rPr>
  </w:style>
  <w:style w:type="paragraph" w:styleId="a7">
    <w:name w:val="List Paragraph"/>
    <w:basedOn w:val="a"/>
    <w:qFormat/>
    <w:rsid w:val="004B161C"/>
    <w:pPr>
      <w:spacing w:after="200" w:line="276" w:lineRule="auto"/>
      <w:ind w:left="720"/>
      <w:contextualSpacing/>
    </w:pPr>
    <w:rPr>
      <w:rFonts w:ascii="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10" TargetMode="External"/><Relationship Id="rId18" Type="http://schemas.openxmlformats.org/officeDocument/2006/relationships/hyperlink" Target="http://www.nevo.co.il/law/73729/499.a.1" TargetMode="External"/><Relationship Id="rId26" Type="http://schemas.openxmlformats.org/officeDocument/2006/relationships/hyperlink" Target="http://www.nevo.co.il/case/17016459" TargetMode="External"/><Relationship Id="rId39" Type="http://schemas.openxmlformats.org/officeDocument/2006/relationships/header" Target="header1.xml"/><Relationship Id="rId21" Type="http://schemas.openxmlformats.org/officeDocument/2006/relationships/hyperlink" Target="http://www.nevo.co.il/law/70301/144.b" TargetMode="External"/><Relationship Id="rId34" Type="http://schemas.openxmlformats.org/officeDocument/2006/relationships/hyperlink" Target="http://www.nevo.co.il/case/7012301" TargetMode="External"/><Relationship Id="rId42" Type="http://schemas.openxmlformats.org/officeDocument/2006/relationships/footer" Target="footer2.xml"/><Relationship Id="rId7" Type="http://schemas.openxmlformats.org/officeDocument/2006/relationships/hyperlink" Target="http://www.nevo.co.il/law/73729" TargetMode="External"/><Relationship Id="rId2" Type="http://schemas.openxmlformats.org/officeDocument/2006/relationships/styles" Target="styles.xml"/><Relationship Id="rId16" Type="http://schemas.openxmlformats.org/officeDocument/2006/relationships/hyperlink" Target="http://www.nevo.co.il/law/73729" TargetMode="External"/><Relationship Id="rId20" Type="http://schemas.openxmlformats.org/officeDocument/2006/relationships/hyperlink" Target="http://www.nevo.co.il/law/70301/499.a.1" TargetMode="External"/><Relationship Id="rId29" Type="http://schemas.openxmlformats.org/officeDocument/2006/relationships/hyperlink" Target="http://www.nevo.co.il/case/558377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5698528"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808771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3729/85.1.a" TargetMode="External"/><Relationship Id="rId23" Type="http://schemas.openxmlformats.org/officeDocument/2006/relationships/hyperlink" Target="http://www.nevo.co.il/law/72510" TargetMode="External"/><Relationship Id="rId28" Type="http://schemas.openxmlformats.org/officeDocument/2006/relationships/hyperlink" Target="http://www.nevo.co.il/case/5849275" TargetMode="External"/><Relationship Id="rId36" Type="http://schemas.openxmlformats.org/officeDocument/2006/relationships/hyperlink" Target="http://www.nevo.co.il/case/6022328"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3729/85.1.a" TargetMode="External"/><Relationship Id="rId31" Type="http://schemas.openxmlformats.org/officeDocument/2006/relationships/hyperlink" Target="http://www.nevo.co.il/case/1701645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3729/499.a.1" TargetMode="External"/><Relationship Id="rId14" Type="http://schemas.openxmlformats.org/officeDocument/2006/relationships/hyperlink" Target="http://www.nevo.co.il/law/72510/2" TargetMode="External"/><Relationship Id="rId22" Type="http://schemas.openxmlformats.org/officeDocument/2006/relationships/hyperlink" Target="http://www.nevo.co.il/law/72510/2" TargetMode="External"/><Relationship Id="rId27" Type="http://schemas.openxmlformats.org/officeDocument/2006/relationships/hyperlink" Target="http://www.nevo.co.il/case/5593988" TargetMode="External"/><Relationship Id="rId30" Type="http://schemas.openxmlformats.org/officeDocument/2006/relationships/hyperlink" Target="http://www.nevo.co.il/case/5698528" TargetMode="External"/><Relationship Id="rId35" Type="http://schemas.openxmlformats.org/officeDocument/2006/relationships/hyperlink" Target="http://www.nevo.co.il/case/6245576" TargetMode="External"/><Relationship Id="rId43" Type="http://schemas.openxmlformats.org/officeDocument/2006/relationships/fontTable" Target="fontTable.xml"/><Relationship Id="rId8" Type="http://schemas.openxmlformats.org/officeDocument/2006/relationships/hyperlink" Target="http://www.nevo.co.il/law/73729/85.1.a"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3729/85.1.a" TargetMode="External"/><Relationship Id="rId25" Type="http://schemas.openxmlformats.org/officeDocument/2006/relationships/hyperlink" Target="http://www.nevo.co.il/case/6059765" TargetMode="External"/><Relationship Id="rId33" Type="http://schemas.openxmlformats.org/officeDocument/2006/relationships/hyperlink" Target="http://www.nevo.co.il/case/776540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2460</Words>
  <Characters>12304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14735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3604595</vt:i4>
      </vt:variant>
      <vt:variant>
        <vt:i4>90</vt:i4>
      </vt:variant>
      <vt:variant>
        <vt:i4>0</vt:i4>
      </vt:variant>
      <vt:variant>
        <vt:i4>5</vt:i4>
      </vt:variant>
      <vt:variant>
        <vt:lpwstr>http://www.nevo.co.il/case/18087713</vt:lpwstr>
      </vt:variant>
      <vt:variant>
        <vt:lpwstr/>
      </vt:variant>
      <vt:variant>
        <vt:i4>4128884</vt:i4>
      </vt:variant>
      <vt:variant>
        <vt:i4>87</vt:i4>
      </vt:variant>
      <vt:variant>
        <vt:i4>0</vt:i4>
      </vt:variant>
      <vt:variant>
        <vt:i4>5</vt:i4>
      </vt:variant>
      <vt:variant>
        <vt:lpwstr>http://www.nevo.co.il/case/6022328</vt:lpwstr>
      </vt:variant>
      <vt:variant>
        <vt:lpwstr/>
      </vt:variant>
      <vt:variant>
        <vt:i4>3211380</vt:i4>
      </vt:variant>
      <vt:variant>
        <vt:i4>84</vt:i4>
      </vt:variant>
      <vt:variant>
        <vt:i4>0</vt:i4>
      </vt:variant>
      <vt:variant>
        <vt:i4>5</vt:i4>
      </vt:variant>
      <vt:variant>
        <vt:lpwstr>http://www.nevo.co.il/case/6245576</vt:lpwstr>
      </vt:variant>
      <vt:variant>
        <vt:lpwstr/>
      </vt:variant>
      <vt:variant>
        <vt:i4>3407990</vt:i4>
      </vt:variant>
      <vt:variant>
        <vt:i4>81</vt:i4>
      </vt:variant>
      <vt:variant>
        <vt:i4>0</vt:i4>
      </vt:variant>
      <vt:variant>
        <vt:i4>5</vt:i4>
      </vt:variant>
      <vt:variant>
        <vt:lpwstr>http://www.nevo.co.il/case/7012301</vt:lpwstr>
      </vt:variant>
      <vt:variant>
        <vt:lpwstr/>
      </vt:variant>
      <vt:variant>
        <vt:i4>3211382</vt:i4>
      </vt:variant>
      <vt:variant>
        <vt:i4>78</vt:i4>
      </vt:variant>
      <vt:variant>
        <vt:i4>0</vt:i4>
      </vt:variant>
      <vt:variant>
        <vt:i4>5</vt:i4>
      </vt:variant>
      <vt:variant>
        <vt:lpwstr>http://www.nevo.co.il/case/7765404</vt:lpwstr>
      </vt:variant>
      <vt:variant>
        <vt:lpwstr/>
      </vt:variant>
      <vt:variant>
        <vt:i4>7995492</vt:i4>
      </vt:variant>
      <vt:variant>
        <vt:i4>75</vt:i4>
      </vt:variant>
      <vt:variant>
        <vt:i4>0</vt:i4>
      </vt:variant>
      <vt:variant>
        <vt:i4>5</vt:i4>
      </vt:variant>
      <vt:variant>
        <vt:lpwstr>http://www.nevo.co.il/law/70301</vt:lpwstr>
      </vt:variant>
      <vt:variant>
        <vt:lpwstr/>
      </vt:variant>
      <vt:variant>
        <vt:i4>3276918</vt:i4>
      </vt:variant>
      <vt:variant>
        <vt:i4>72</vt:i4>
      </vt:variant>
      <vt:variant>
        <vt:i4>0</vt:i4>
      </vt:variant>
      <vt:variant>
        <vt:i4>5</vt:i4>
      </vt:variant>
      <vt:variant>
        <vt:lpwstr>http://www.nevo.co.il/case/17016459</vt:lpwstr>
      </vt:variant>
      <vt:variant>
        <vt:lpwstr/>
      </vt:variant>
      <vt:variant>
        <vt:i4>3211384</vt:i4>
      </vt:variant>
      <vt:variant>
        <vt:i4>69</vt:i4>
      </vt:variant>
      <vt:variant>
        <vt:i4>0</vt:i4>
      </vt:variant>
      <vt:variant>
        <vt:i4>5</vt:i4>
      </vt:variant>
      <vt:variant>
        <vt:lpwstr>http://www.nevo.co.il/case/5698528</vt:lpwstr>
      </vt:variant>
      <vt:variant>
        <vt:lpwstr/>
      </vt:variant>
      <vt:variant>
        <vt:i4>3997813</vt:i4>
      </vt:variant>
      <vt:variant>
        <vt:i4>66</vt:i4>
      </vt:variant>
      <vt:variant>
        <vt:i4>0</vt:i4>
      </vt:variant>
      <vt:variant>
        <vt:i4>5</vt:i4>
      </vt:variant>
      <vt:variant>
        <vt:lpwstr>http://www.nevo.co.il/case/5583777</vt:lpwstr>
      </vt:variant>
      <vt:variant>
        <vt:lpwstr/>
      </vt:variant>
      <vt:variant>
        <vt:i4>3539058</vt:i4>
      </vt:variant>
      <vt:variant>
        <vt:i4>63</vt:i4>
      </vt:variant>
      <vt:variant>
        <vt:i4>0</vt:i4>
      </vt:variant>
      <vt:variant>
        <vt:i4>5</vt:i4>
      </vt:variant>
      <vt:variant>
        <vt:lpwstr>http://www.nevo.co.il/case/5849275</vt:lpwstr>
      </vt:variant>
      <vt:variant>
        <vt:lpwstr/>
      </vt:variant>
      <vt:variant>
        <vt:i4>3997818</vt:i4>
      </vt:variant>
      <vt:variant>
        <vt:i4>60</vt:i4>
      </vt:variant>
      <vt:variant>
        <vt:i4>0</vt:i4>
      </vt:variant>
      <vt:variant>
        <vt:i4>5</vt:i4>
      </vt:variant>
      <vt:variant>
        <vt:lpwstr>http://www.nevo.co.il/case/5593988</vt:lpwstr>
      </vt:variant>
      <vt:variant>
        <vt:lpwstr/>
      </vt:variant>
      <vt:variant>
        <vt:i4>3276918</vt:i4>
      </vt:variant>
      <vt:variant>
        <vt:i4>57</vt:i4>
      </vt:variant>
      <vt:variant>
        <vt:i4>0</vt:i4>
      </vt:variant>
      <vt:variant>
        <vt:i4>5</vt:i4>
      </vt:variant>
      <vt:variant>
        <vt:lpwstr>http://www.nevo.co.il/case/17016459</vt:lpwstr>
      </vt:variant>
      <vt:variant>
        <vt:lpwstr/>
      </vt:variant>
      <vt:variant>
        <vt:i4>3211387</vt:i4>
      </vt:variant>
      <vt:variant>
        <vt:i4>54</vt:i4>
      </vt:variant>
      <vt:variant>
        <vt:i4>0</vt:i4>
      </vt:variant>
      <vt:variant>
        <vt:i4>5</vt:i4>
      </vt:variant>
      <vt:variant>
        <vt:lpwstr>http://www.nevo.co.il/case/6059765</vt:lpwstr>
      </vt:variant>
      <vt:variant>
        <vt:lpwstr/>
      </vt:variant>
      <vt:variant>
        <vt:i4>3211384</vt:i4>
      </vt:variant>
      <vt:variant>
        <vt:i4>51</vt:i4>
      </vt:variant>
      <vt:variant>
        <vt:i4>0</vt:i4>
      </vt:variant>
      <vt:variant>
        <vt:i4>5</vt:i4>
      </vt:variant>
      <vt:variant>
        <vt:lpwstr>http://www.nevo.co.il/case/5698528</vt:lpwstr>
      </vt:variant>
      <vt:variant>
        <vt:lpwstr/>
      </vt:variant>
      <vt:variant>
        <vt:i4>7929954</vt:i4>
      </vt:variant>
      <vt:variant>
        <vt:i4>48</vt:i4>
      </vt:variant>
      <vt:variant>
        <vt:i4>0</vt:i4>
      </vt:variant>
      <vt:variant>
        <vt:i4>5</vt:i4>
      </vt:variant>
      <vt:variant>
        <vt:lpwstr>http://www.nevo.co.il/law/72510</vt:lpwstr>
      </vt:variant>
      <vt:variant>
        <vt:lpwstr/>
      </vt:variant>
      <vt:variant>
        <vt:i4>5636178</vt:i4>
      </vt:variant>
      <vt:variant>
        <vt:i4>45</vt:i4>
      </vt:variant>
      <vt:variant>
        <vt:i4>0</vt:i4>
      </vt:variant>
      <vt:variant>
        <vt:i4>5</vt:i4>
      </vt:variant>
      <vt:variant>
        <vt:lpwstr>http://www.nevo.co.il/law/72510/2</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3211361</vt:i4>
      </vt:variant>
      <vt:variant>
        <vt:i4>36</vt:i4>
      </vt:variant>
      <vt:variant>
        <vt:i4>0</vt:i4>
      </vt:variant>
      <vt:variant>
        <vt:i4>5</vt:i4>
      </vt:variant>
      <vt:variant>
        <vt:lpwstr>http://www.nevo.co.il/law/73729/85.1.a</vt:lpwstr>
      </vt:variant>
      <vt:variant>
        <vt:lpwstr/>
      </vt:variant>
      <vt:variant>
        <vt:i4>7143477</vt:i4>
      </vt:variant>
      <vt:variant>
        <vt:i4>33</vt:i4>
      </vt:variant>
      <vt:variant>
        <vt:i4>0</vt:i4>
      </vt:variant>
      <vt:variant>
        <vt:i4>5</vt:i4>
      </vt:variant>
      <vt:variant>
        <vt:lpwstr>http://www.nevo.co.il/law/73729/499.a.1</vt:lpwstr>
      </vt:variant>
      <vt:variant>
        <vt:lpwstr/>
      </vt:variant>
      <vt:variant>
        <vt:i4>3211361</vt:i4>
      </vt:variant>
      <vt:variant>
        <vt:i4>30</vt:i4>
      </vt:variant>
      <vt:variant>
        <vt:i4>0</vt:i4>
      </vt:variant>
      <vt:variant>
        <vt:i4>5</vt:i4>
      </vt:variant>
      <vt:variant>
        <vt:lpwstr>http://www.nevo.co.il/law/73729/85.1.a</vt:lpwstr>
      </vt:variant>
      <vt:variant>
        <vt:lpwstr/>
      </vt:variant>
      <vt:variant>
        <vt:i4>8061024</vt:i4>
      </vt:variant>
      <vt:variant>
        <vt:i4>27</vt:i4>
      </vt:variant>
      <vt:variant>
        <vt:i4>0</vt:i4>
      </vt:variant>
      <vt:variant>
        <vt:i4>5</vt:i4>
      </vt:variant>
      <vt:variant>
        <vt:lpwstr>http://www.nevo.co.il/law/73729</vt:lpwstr>
      </vt:variant>
      <vt:variant>
        <vt:lpwstr/>
      </vt:variant>
      <vt:variant>
        <vt:i4>3211361</vt:i4>
      </vt:variant>
      <vt:variant>
        <vt:i4>24</vt:i4>
      </vt:variant>
      <vt:variant>
        <vt:i4>0</vt:i4>
      </vt:variant>
      <vt:variant>
        <vt:i4>5</vt:i4>
      </vt:variant>
      <vt:variant>
        <vt:lpwstr>http://www.nevo.co.il/law/73729/85.1.a</vt:lpwstr>
      </vt:variant>
      <vt:variant>
        <vt:lpwstr/>
      </vt:variant>
      <vt:variant>
        <vt:i4>5636178</vt:i4>
      </vt:variant>
      <vt:variant>
        <vt:i4>21</vt:i4>
      </vt:variant>
      <vt:variant>
        <vt:i4>0</vt:i4>
      </vt:variant>
      <vt:variant>
        <vt:i4>5</vt:i4>
      </vt:variant>
      <vt:variant>
        <vt:lpwstr>http://www.nevo.co.il/law/72510/2</vt:lpwstr>
      </vt:variant>
      <vt:variant>
        <vt:lpwstr/>
      </vt:variant>
      <vt:variant>
        <vt:i4>7929954</vt:i4>
      </vt:variant>
      <vt:variant>
        <vt:i4>18</vt:i4>
      </vt:variant>
      <vt:variant>
        <vt:i4>0</vt:i4>
      </vt:variant>
      <vt:variant>
        <vt:i4>5</vt:i4>
      </vt:variant>
      <vt:variant>
        <vt:lpwstr>http://www.nevo.co.il/law/72510</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7995492</vt:i4>
      </vt:variant>
      <vt:variant>
        <vt:i4>9</vt:i4>
      </vt:variant>
      <vt:variant>
        <vt:i4>0</vt:i4>
      </vt:variant>
      <vt:variant>
        <vt:i4>5</vt:i4>
      </vt:variant>
      <vt:variant>
        <vt:lpwstr>http://www.nevo.co.il/law/70301</vt:lpwstr>
      </vt:variant>
      <vt:variant>
        <vt:lpwstr/>
      </vt:variant>
      <vt:variant>
        <vt:i4>7143477</vt:i4>
      </vt:variant>
      <vt:variant>
        <vt:i4>6</vt:i4>
      </vt:variant>
      <vt:variant>
        <vt:i4>0</vt:i4>
      </vt:variant>
      <vt:variant>
        <vt:i4>5</vt:i4>
      </vt:variant>
      <vt:variant>
        <vt:lpwstr>http://www.nevo.co.il/law/73729/499.a.1</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26481</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מחמד שחאדה</vt:lpwstr>
  </property>
  <property fmtid="{D5CDD505-2E9C-101B-9397-08002B2CF9AE}" pid="10" name="LAWYER">
    <vt:lpwstr>ל' לוי סיגל;ע' אבו עאמר</vt:lpwstr>
  </property>
  <property fmtid="{D5CDD505-2E9C-101B-9397-08002B2CF9AE}" pid="11" name="JUDGE">
    <vt:lpwstr>ר. יפה כ#ץ;א. ואגו;י. צלקובניק</vt:lpwstr>
  </property>
  <property fmtid="{D5CDD505-2E9C-101B-9397-08002B2CF9AE}" pid="12" name="CITY">
    <vt:lpwstr>ב"ש</vt:lpwstr>
  </property>
  <property fmtid="{D5CDD505-2E9C-101B-9397-08002B2CF9AE}" pid="13" name="DATE">
    <vt:lpwstr>20150112</vt:lpwstr>
  </property>
  <property fmtid="{D5CDD505-2E9C-101B-9397-08002B2CF9AE}" pid="14" name="TYPE_N_DATE">
    <vt:lpwstr>39020150112</vt:lpwstr>
  </property>
  <property fmtid="{D5CDD505-2E9C-101B-9397-08002B2CF9AE}" pid="15" name="WORDNUMPAGES">
    <vt:lpwstr>7</vt:lpwstr>
  </property>
  <property fmtid="{D5CDD505-2E9C-101B-9397-08002B2CF9AE}" pid="16" name="TYPE_ABS_DATE">
    <vt:lpwstr>390120150112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8985;15506</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ביטחון</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שיקולי ענישה</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20150204</vt:lpwstr>
  </property>
  <property fmtid="{D5CDD505-2E9C-101B-9397-08002B2CF9AE}" pid="70" name="CASESLISTTMP1">
    <vt:lpwstr>5698528:2;6059765;17016459:2;5593988;5849275;5583777;7765404;7012301;6245576;6022328;18087713</vt:lpwstr>
  </property>
  <property fmtid="{D5CDD505-2E9C-101B-9397-08002B2CF9AE}" pid="71" name="LAWLISTTMP1">
    <vt:lpwstr>73729/085.1.a:3;499.a.1</vt:lpwstr>
  </property>
  <property fmtid="{D5CDD505-2E9C-101B-9397-08002B2CF9AE}" pid="72" name="LAWLISTTMP2">
    <vt:lpwstr>70301/499.a.1:2;144.b</vt:lpwstr>
  </property>
  <property fmtid="{D5CDD505-2E9C-101B-9397-08002B2CF9AE}" pid="73" name="LAWLISTTMP3">
    <vt:lpwstr>72510/002</vt:lpwstr>
  </property>
</Properties>
</file>