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9A748F" w:rsidRPr="00E71E50" w14:paraId="519625E0" w14:textId="77777777">
        <w:trPr>
          <w:trHeight w:hRule="exact" w:val="523"/>
          <w:jc w:val="center"/>
        </w:trPr>
        <w:tc>
          <w:tcPr>
            <w:tcW w:w="8721" w:type="dxa"/>
            <w:gridSpan w:val="2"/>
          </w:tcPr>
          <w:p w14:paraId="07DA0248" w14:textId="77777777" w:rsidR="009A748F" w:rsidRPr="00E71E50" w:rsidRDefault="00E71E50">
            <w:pPr>
              <w:pStyle w:val="a3"/>
              <w:jc w:val="center"/>
              <w:rPr>
                <w:rFonts w:ascii="Tahoma" w:hAnsi="Tahoma" w:cs="Tahoma"/>
                <w:color w:val="000080"/>
                <w:rtl/>
              </w:rPr>
            </w:pPr>
            <w:r w:rsidRPr="00E71E50">
              <w:rPr>
                <w:rFonts w:ascii="Tahoma" w:hAnsi="Tahoma" w:cs="Tahoma"/>
                <w:b/>
                <w:bCs/>
                <w:color w:val="000080"/>
                <w:rtl/>
              </w:rPr>
              <w:t>בית המשפט המחוזי בבאר שבע</w:t>
            </w:r>
          </w:p>
        </w:tc>
      </w:tr>
      <w:tr w:rsidR="009A748F" w:rsidRPr="00E71E50" w14:paraId="7B44233A" w14:textId="77777777">
        <w:trPr>
          <w:trHeight w:val="337"/>
          <w:jc w:val="center"/>
        </w:trPr>
        <w:tc>
          <w:tcPr>
            <w:tcW w:w="5048" w:type="dxa"/>
          </w:tcPr>
          <w:p w14:paraId="0837E92C" w14:textId="77777777" w:rsidR="009A748F" w:rsidRPr="00E71E50" w:rsidRDefault="00E71E50">
            <w:pPr>
              <w:rPr>
                <w:rFonts w:ascii="Arial" w:hAnsi="Arial" w:cs="Arial"/>
                <w:b/>
                <w:bCs/>
              </w:rPr>
            </w:pPr>
            <w:r w:rsidRPr="00E71E50">
              <w:rPr>
                <w:rFonts w:ascii="Arial" w:hAnsi="Arial" w:cs="Arial"/>
                <w:sz w:val="28"/>
                <w:szCs w:val="28"/>
                <w:rtl/>
              </w:rPr>
              <w:t>בפני:</w:t>
            </w:r>
            <w:r w:rsidRPr="00E71E50">
              <w:rPr>
                <w:rFonts w:cs="FrankRuehl" w:hint="cs"/>
                <w:sz w:val="28"/>
                <w:szCs w:val="28"/>
                <w:rtl/>
              </w:rPr>
              <w:t xml:space="preserve"> </w:t>
            </w:r>
            <w:r w:rsidRPr="00E71E50">
              <w:rPr>
                <w:rFonts w:ascii="Arial" w:hAnsi="Arial" w:cs="Arial"/>
                <w:b/>
                <w:bCs/>
                <w:rtl/>
              </w:rPr>
              <w:t>כב' ס. הנשיא השופטת ר. יפה-כ"ץ,אב"ד</w:t>
            </w:r>
          </w:p>
          <w:p w14:paraId="63F8E944" w14:textId="77777777" w:rsidR="009A748F" w:rsidRPr="00E71E50" w:rsidRDefault="00E71E50">
            <w:pPr>
              <w:rPr>
                <w:rFonts w:ascii="Arial" w:hAnsi="Arial" w:cs="Arial"/>
                <w:b/>
                <w:bCs/>
                <w:rtl/>
              </w:rPr>
            </w:pPr>
            <w:r w:rsidRPr="00E71E50">
              <w:rPr>
                <w:rFonts w:ascii="Arial" w:hAnsi="Arial" w:cs="Arial" w:hint="cs"/>
                <w:b/>
                <w:bCs/>
                <w:rtl/>
              </w:rPr>
              <w:t xml:space="preserve">         </w:t>
            </w:r>
            <w:r w:rsidRPr="00E71E50">
              <w:rPr>
                <w:rFonts w:ascii="Arial" w:hAnsi="Arial" w:cs="Arial"/>
                <w:b/>
                <w:bCs/>
                <w:rtl/>
              </w:rPr>
              <w:t>כב' השופט א. ואגו</w:t>
            </w:r>
          </w:p>
          <w:p w14:paraId="5F19BCF4" w14:textId="77777777" w:rsidR="009A748F" w:rsidRPr="00E71E50" w:rsidRDefault="00E71E50">
            <w:pPr>
              <w:pStyle w:val="a3"/>
              <w:rPr>
                <w:rFonts w:cs="FrankRuehl"/>
                <w:sz w:val="28"/>
                <w:szCs w:val="28"/>
                <w:rtl/>
              </w:rPr>
            </w:pPr>
            <w:r w:rsidRPr="00E71E50">
              <w:rPr>
                <w:rFonts w:ascii="Arial" w:hAnsi="Arial" w:cs="Arial" w:hint="cs"/>
                <w:b/>
                <w:bCs/>
                <w:rtl/>
              </w:rPr>
              <w:t xml:space="preserve">         </w:t>
            </w:r>
            <w:r w:rsidRPr="00E71E50">
              <w:rPr>
                <w:rFonts w:ascii="Arial" w:hAnsi="Arial" w:cs="Arial"/>
                <w:b/>
                <w:bCs/>
                <w:rtl/>
              </w:rPr>
              <w:t>כב' השופט י. צלקובניק</w:t>
            </w:r>
          </w:p>
        </w:tc>
        <w:tc>
          <w:tcPr>
            <w:tcW w:w="3673" w:type="dxa"/>
          </w:tcPr>
          <w:p w14:paraId="7972C204" w14:textId="77777777" w:rsidR="009A748F" w:rsidRPr="00E71E50" w:rsidRDefault="009A748F">
            <w:pPr>
              <w:pStyle w:val="a3"/>
              <w:jc w:val="right"/>
              <w:rPr>
                <w:rFonts w:ascii="Arial" w:hAnsi="Arial" w:cs="Arial"/>
                <w:b/>
                <w:bCs/>
                <w:rtl/>
              </w:rPr>
            </w:pPr>
          </w:p>
          <w:p w14:paraId="428A0A70" w14:textId="77777777" w:rsidR="009A748F" w:rsidRPr="00E71E50" w:rsidRDefault="00E71E50">
            <w:pPr>
              <w:jc w:val="right"/>
              <w:rPr>
                <w:rFonts w:ascii="Arial" w:hAnsi="Arial" w:cs="Arial"/>
                <w:b/>
                <w:bCs/>
                <w:rtl/>
              </w:rPr>
            </w:pPr>
            <w:r w:rsidRPr="00E71E50">
              <w:rPr>
                <w:rFonts w:ascii="Arial" w:hAnsi="Arial" w:cs="Arial"/>
                <w:b/>
                <w:bCs/>
                <w:rtl/>
              </w:rPr>
              <w:t xml:space="preserve">תפ"ח 35298-08-13 </w:t>
            </w:r>
          </w:p>
          <w:p w14:paraId="44BF559C" w14:textId="77777777" w:rsidR="009A748F" w:rsidRPr="00E71E50" w:rsidRDefault="009A748F">
            <w:pPr>
              <w:pStyle w:val="a3"/>
              <w:jc w:val="right"/>
              <w:rPr>
                <w:rFonts w:ascii="Arial" w:hAnsi="Arial" w:cs="Arial"/>
                <w:b/>
                <w:bCs/>
                <w:rtl/>
              </w:rPr>
            </w:pPr>
          </w:p>
        </w:tc>
      </w:tr>
    </w:tbl>
    <w:p w14:paraId="000854F2" w14:textId="77777777" w:rsidR="009A748F" w:rsidRPr="00E71E50" w:rsidRDefault="00E71E50">
      <w:pPr>
        <w:pStyle w:val="a3"/>
      </w:pPr>
      <w:bookmarkStart w:id="0" w:name="LastJudge"/>
      <w:bookmarkEnd w:id="0"/>
      <w:r w:rsidRPr="00E71E50">
        <w:rPr>
          <w:rFonts w:hint="cs"/>
          <w:rtl/>
        </w:rPr>
        <w:t xml:space="preserve"> </w:t>
      </w:r>
    </w:p>
    <w:p w14:paraId="5AAF788B" w14:textId="77777777" w:rsidR="009A748F" w:rsidRPr="00E71E50" w:rsidRDefault="009A748F">
      <w:pPr>
        <w:rPr>
          <w:rFonts w:ascii="Arial" w:hAnsi="Arial" w:cs="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6120"/>
        <w:gridCol w:w="1777"/>
      </w:tblGrid>
      <w:tr w:rsidR="009A748F" w:rsidRPr="00E71E50" w14:paraId="1C240550" w14:textId="77777777">
        <w:trPr>
          <w:trHeight w:val="295"/>
          <w:jc w:val="center"/>
        </w:trPr>
        <w:tc>
          <w:tcPr>
            <w:tcW w:w="7043" w:type="dxa"/>
            <w:gridSpan w:val="2"/>
            <w:tcBorders>
              <w:top w:val="nil"/>
              <w:left w:val="nil"/>
              <w:bottom w:val="nil"/>
              <w:right w:val="nil"/>
            </w:tcBorders>
          </w:tcPr>
          <w:p w14:paraId="18B041EB" w14:textId="77777777" w:rsidR="009A748F" w:rsidRPr="00E71E50" w:rsidRDefault="009A748F">
            <w:pPr>
              <w:jc w:val="both"/>
              <w:rPr>
                <w:rFonts w:ascii="Arial" w:hAnsi="Arial" w:cs="Arial"/>
                <w:b/>
                <w:bCs/>
              </w:rPr>
            </w:pPr>
            <w:bookmarkStart w:id="1" w:name="_GoBack"/>
            <w:bookmarkEnd w:id="1"/>
          </w:p>
        </w:tc>
        <w:tc>
          <w:tcPr>
            <w:tcW w:w="1777" w:type="dxa"/>
            <w:tcBorders>
              <w:top w:val="nil"/>
              <w:left w:val="nil"/>
              <w:bottom w:val="nil"/>
              <w:right w:val="nil"/>
            </w:tcBorders>
          </w:tcPr>
          <w:p w14:paraId="3CDD982F" w14:textId="77777777" w:rsidR="009A748F" w:rsidRPr="00E71E50" w:rsidRDefault="009A748F">
            <w:pPr>
              <w:rPr>
                <w:rFonts w:ascii="Arial" w:hAnsi="Arial" w:cs="Arial"/>
              </w:rPr>
            </w:pPr>
          </w:p>
        </w:tc>
      </w:tr>
      <w:tr w:rsidR="009A748F" w:rsidRPr="00E71E50" w14:paraId="576FEC4C" w14:textId="77777777">
        <w:trPr>
          <w:trHeight w:val="295"/>
          <w:jc w:val="center"/>
        </w:trPr>
        <w:tc>
          <w:tcPr>
            <w:tcW w:w="923" w:type="dxa"/>
            <w:tcBorders>
              <w:top w:val="nil"/>
              <w:left w:val="nil"/>
              <w:bottom w:val="nil"/>
              <w:right w:val="nil"/>
            </w:tcBorders>
          </w:tcPr>
          <w:p w14:paraId="2CEC976B" w14:textId="77777777" w:rsidR="009A748F" w:rsidRPr="00E71E50" w:rsidRDefault="00E71E50">
            <w:pPr>
              <w:jc w:val="both"/>
              <w:rPr>
                <w:rFonts w:ascii="Arial" w:hAnsi="Arial" w:cs="Arial"/>
                <w:b/>
                <w:bCs/>
              </w:rPr>
            </w:pPr>
            <w:bookmarkStart w:id="2" w:name="FirstAppellant"/>
            <w:r w:rsidRPr="00E71E50">
              <w:rPr>
                <w:rFonts w:ascii="Arial" w:hAnsi="Arial" w:cs="Arial"/>
                <w:b/>
                <w:bCs/>
                <w:rtl/>
              </w:rPr>
              <w:t>בעניין:</w:t>
            </w:r>
          </w:p>
        </w:tc>
        <w:tc>
          <w:tcPr>
            <w:tcW w:w="7897" w:type="dxa"/>
            <w:gridSpan w:val="2"/>
            <w:tcBorders>
              <w:top w:val="nil"/>
              <w:left w:val="nil"/>
              <w:bottom w:val="nil"/>
              <w:right w:val="nil"/>
            </w:tcBorders>
          </w:tcPr>
          <w:p w14:paraId="0B79B70C" w14:textId="77777777" w:rsidR="009A748F" w:rsidRPr="00E71E50" w:rsidRDefault="00E71E50">
            <w:pPr>
              <w:jc w:val="both"/>
              <w:rPr>
                <w:rFonts w:ascii="Arial" w:hAnsi="Arial" w:cs="Arial"/>
                <w:b/>
                <w:bCs/>
              </w:rPr>
            </w:pPr>
            <w:r w:rsidRPr="00E71E50">
              <w:rPr>
                <w:rFonts w:ascii="Arial" w:hAnsi="Arial" w:cs="Arial"/>
                <w:b/>
                <w:bCs/>
                <w:rtl/>
              </w:rPr>
              <w:t>מדינת ישראל</w:t>
            </w:r>
          </w:p>
        </w:tc>
      </w:tr>
      <w:bookmarkEnd w:id="2"/>
      <w:tr w:rsidR="009A748F" w:rsidRPr="00E71E50" w14:paraId="707AEB08" w14:textId="77777777">
        <w:trPr>
          <w:trHeight w:val="355"/>
          <w:jc w:val="center"/>
        </w:trPr>
        <w:tc>
          <w:tcPr>
            <w:tcW w:w="923" w:type="dxa"/>
            <w:tcBorders>
              <w:top w:val="nil"/>
              <w:left w:val="nil"/>
              <w:bottom w:val="nil"/>
              <w:right w:val="nil"/>
            </w:tcBorders>
          </w:tcPr>
          <w:p w14:paraId="7BC90E80" w14:textId="77777777" w:rsidR="009A748F" w:rsidRPr="00E71E50" w:rsidRDefault="009A748F">
            <w:pPr>
              <w:jc w:val="both"/>
              <w:rPr>
                <w:rFonts w:ascii="Arial" w:hAnsi="Arial" w:cs="Arial"/>
                <w:rtl/>
              </w:rPr>
            </w:pPr>
          </w:p>
        </w:tc>
        <w:tc>
          <w:tcPr>
            <w:tcW w:w="6120" w:type="dxa"/>
            <w:tcBorders>
              <w:top w:val="nil"/>
              <w:left w:val="nil"/>
              <w:bottom w:val="nil"/>
              <w:right w:val="nil"/>
            </w:tcBorders>
          </w:tcPr>
          <w:p w14:paraId="6B3E3E1B" w14:textId="77777777" w:rsidR="009A748F" w:rsidRPr="00E71E50" w:rsidRDefault="00E71E50">
            <w:pPr>
              <w:rPr>
                <w:rFonts w:ascii="Arial" w:hAnsi="Arial" w:cs="Arial"/>
                <w:b/>
                <w:bCs/>
              </w:rPr>
            </w:pPr>
            <w:r w:rsidRPr="00E71E50">
              <w:rPr>
                <w:rFonts w:ascii="Arial" w:hAnsi="Arial" w:cs="Arial" w:hint="cs"/>
                <w:b/>
                <w:bCs/>
                <w:rtl/>
              </w:rPr>
              <w:t xml:space="preserve">  ע"י </w:t>
            </w:r>
            <w:r w:rsidRPr="00E71E50">
              <w:rPr>
                <w:rFonts w:ascii="Arial" w:hAnsi="Arial" w:cs="Arial"/>
                <w:b/>
                <w:bCs/>
                <w:rtl/>
              </w:rPr>
              <w:t xml:space="preserve">עו"ד </w:t>
            </w:r>
            <w:r w:rsidRPr="00E71E50">
              <w:rPr>
                <w:rFonts w:ascii="Arial" w:hAnsi="Arial" w:cs="Arial" w:hint="cs"/>
                <w:b/>
                <w:bCs/>
                <w:rtl/>
              </w:rPr>
              <w:t>אבי ביטון, פמ"ד</w:t>
            </w:r>
          </w:p>
          <w:p w14:paraId="4DE18A84" w14:textId="77777777" w:rsidR="009A748F" w:rsidRPr="00E71E50" w:rsidRDefault="009A748F">
            <w:pPr>
              <w:jc w:val="both"/>
              <w:rPr>
                <w:rFonts w:ascii="Arial" w:hAnsi="Arial" w:cs="Arial"/>
                <w:rtl/>
              </w:rPr>
            </w:pPr>
          </w:p>
        </w:tc>
        <w:tc>
          <w:tcPr>
            <w:tcW w:w="1777" w:type="dxa"/>
            <w:tcBorders>
              <w:top w:val="nil"/>
              <w:left w:val="nil"/>
              <w:bottom w:val="nil"/>
              <w:right w:val="nil"/>
            </w:tcBorders>
          </w:tcPr>
          <w:p w14:paraId="608BDBC4" w14:textId="77777777" w:rsidR="009A748F" w:rsidRPr="00E71E50" w:rsidRDefault="00E71E50">
            <w:pPr>
              <w:jc w:val="both"/>
              <w:rPr>
                <w:rFonts w:ascii="Arial" w:hAnsi="Arial" w:cs="Arial"/>
                <w:b/>
                <w:bCs/>
              </w:rPr>
            </w:pPr>
            <w:r w:rsidRPr="00E71E50">
              <w:rPr>
                <w:rFonts w:ascii="Arial" w:hAnsi="Arial" w:cs="Arial" w:hint="cs"/>
                <w:b/>
                <w:bCs/>
                <w:rtl/>
              </w:rPr>
              <w:t>המאשימה</w:t>
            </w:r>
          </w:p>
        </w:tc>
      </w:tr>
      <w:tr w:rsidR="009A748F" w:rsidRPr="00E71E50" w14:paraId="298BE0F9" w14:textId="77777777">
        <w:trPr>
          <w:trHeight w:val="355"/>
          <w:jc w:val="center"/>
        </w:trPr>
        <w:tc>
          <w:tcPr>
            <w:tcW w:w="923" w:type="dxa"/>
            <w:tcBorders>
              <w:top w:val="nil"/>
              <w:left w:val="nil"/>
              <w:bottom w:val="nil"/>
              <w:right w:val="nil"/>
            </w:tcBorders>
          </w:tcPr>
          <w:p w14:paraId="36978346" w14:textId="77777777" w:rsidR="009A748F" w:rsidRPr="00E71E50" w:rsidRDefault="009A748F">
            <w:pPr>
              <w:jc w:val="both"/>
              <w:rPr>
                <w:rFonts w:ascii="Arial" w:hAnsi="Arial" w:cs="Arial"/>
                <w:rtl/>
              </w:rPr>
            </w:pPr>
          </w:p>
        </w:tc>
        <w:tc>
          <w:tcPr>
            <w:tcW w:w="6120" w:type="dxa"/>
            <w:tcBorders>
              <w:top w:val="nil"/>
              <w:left w:val="nil"/>
              <w:bottom w:val="nil"/>
              <w:right w:val="nil"/>
            </w:tcBorders>
          </w:tcPr>
          <w:p w14:paraId="6D93E786" w14:textId="77777777" w:rsidR="009A748F" w:rsidRPr="00E71E50" w:rsidRDefault="009A748F">
            <w:pPr>
              <w:jc w:val="center"/>
              <w:rPr>
                <w:rFonts w:ascii="Arial" w:hAnsi="Arial" w:cs="Arial"/>
                <w:b/>
                <w:bCs/>
                <w:rtl/>
              </w:rPr>
            </w:pPr>
          </w:p>
          <w:p w14:paraId="5E25EA60" w14:textId="77777777" w:rsidR="009A748F" w:rsidRPr="00E71E50" w:rsidRDefault="00E71E50">
            <w:pPr>
              <w:jc w:val="center"/>
              <w:rPr>
                <w:rFonts w:ascii="Arial" w:hAnsi="Arial" w:cs="Arial"/>
                <w:b/>
                <w:bCs/>
                <w:rtl/>
              </w:rPr>
            </w:pPr>
            <w:r w:rsidRPr="00E71E50">
              <w:rPr>
                <w:rFonts w:ascii="Arial" w:hAnsi="Arial" w:cs="Arial"/>
                <w:b/>
                <w:bCs/>
                <w:rtl/>
              </w:rPr>
              <w:t>נגד</w:t>
            </w:r>
          </w:p>
          <w:p w14:paraId="6F9D57E3" w14:textId="77777777" w:rsidR="009A748F" w:rsidRPr="00E71E50" w:rsidRDefault="009A748F">
            <w:pPr>
              <w:jc w:val="both"/>
              <w:rPr>
                <w:rFonts w:ascii="Arial" w:hAnsi="Arial" w:cs="Arial"/>
              </w:rPr>
            </w:pPr>
          </w:p>
        </w:tc>
        <w:tc>
          <w:tcPr>
            <w:tcW w:w="1777" w:type="dxa"/>
            <w:tcBorders>
              <w:top w:val="nil"/>
              <w:left w:val="nil"/>
              <w:bottom w:val="nil"/>
              <w:right w:val="nil"/>
            </w:tcBorders>
          </w:tcPr>
          <w:p w14:paraId="024198B4" w14:textId="77777777" w:rsidR="009A748F" w:rsidRPr="00E71E50" w:rsidRDefault="009A748F">
            <w:pPr>
              <w:jc w:val="right"/>
              <w:rPr>
                <w:rFonts w:ascii="Arial" w:hAnsi="Arial" w:cs="Arial"/>
                <w:rtl/>
              </w:rPr>
            </w:pPr>
          </w:p>
        </w:tc>
      </w:tr>
      <w:tr w:rsidR="009A748F" w:rsidRPr="00E71E50" w14:paraId="53A251B0" w14:textId="77777777">
        <w:trPr>
          <w:trHeight w:val="355"/>
          <w:jc w:val="center"/>
        </w:trPr>
        <w:tc>
          <w:tcPr>
            <w:tcW w:w="923" w:type="dxa"/>
            <w:tcBorders>
              <w:top w:val="nil"/>
              <w:left w:val="nil"/>
              <w:bottom w:val="nil"/>
              <w:right w:val="nil"/>
            </w:tcBorders>
          </w:tcPr>
          <w:p w14:paraId="7642710B" w14:textId="77777777" w:rsidR="009A748F" w:rsidRPr="00E71E50" w:rsidRDefault="009A748F">
            <w:pPr>
              <w:jc w:val="both"/>
              <w:rPr>
                <w:rFonts w:ascii="Arial" w:hAnsi="Arial" w:cs="Arial"/>
                <w:rtl/>
              </w:rPr>
            </w:pPr>
          </w:p>
        </w:tc>
        <w:tc>
          <w:tcPr>
            <w:tcW w:w="7897" w:type="dxa"/>
            <w:gridSpan w:val="2"/>
            <w:tcBorders>
              <w:top w:val="nil"/>
              <w:left w:val="nil"/>
              <w:bottom w:val="nil"/>
              <w:right w:val="nil"/>
            </w:tcBorders>
          </w:tcPr>
          <w:p w14:paraId="6DF7B9DD" w14:textId="77777777" w:rsidR="009A748F" w:rsidRPr="00E71E50" w:rsidRDefault="00E71E50">
            <w:pPr>
              <w:jc w:val="both"/>
              <w:rPr>
                <w:rFonts w:ascii="Arial" w:hAnsi="Arial" w:cs="Arial"/>
                <w:b/>
                <w:bCs/>
                <w:rtl/>
              </w:rPr>
            </w:pPr>
            <w:r w:rsidRPr="00E71E50">
              <w:rPr>
                <w:rFonts w:hint="cs"/>
                <w:rtl/>
              </w:rPr>
              <w:t xml:space="preserve">חוסאם זענין </w:t>
            </w:r>
          </w:p>
        </w:tc>
      </w:tr>
      <w:tr w:rsidR="009A748F" w:rsidRPr="00E71E50" w14:paraId="01C9E219" w14:textId="77777777">
        <w:trPr>
          <w:trHeight w:val="355"/>
          <w:jc w:val="center"/>
        </w:trPr>
        <w:tc>
          <w:tcPr>
            <w:tcW w:w="923" w:type="dxa"/>
            <w:tcBorders>
              <w:top w:val="nil"/>
              <w:left w:val="nil"/>
              <w:bottom w:val="nil"/>
              <w:right w:val="nil"/>
            </w:tcBorders>
          </w:tcPr>
          <w:p w14:paraId="1524B744" w14:textId="77777777" w:rsidR="009A748F" w:rsidRPr="00E71E50" w:rsidRDefault="009A748F">
            <w:pPr>
              <w:jc w:val="both"/>
              <w:rPr>
                <w:rFonts w:ascii="Arial" w:hAnsi="Arial" w:cs="Arial"/>
                <w:rtl/>
              </w:rPr>
            </w:pPr>
            <w:bookmarkStart w:id="3" w:name="FirstLawyer"/>
          </w:p>
        </w:tc>
        <w:tc>
          <w:tcPr>
            <w:tcW w:w="6120" w:type="dxa"/>
            <w:tcBorders>
              <w:top w:val="nil"/>
              <w:left w:val="nil"/>
              <w:bottom w:val="nil"/>
              <w:right w:val="nil"/>
            </w:tcBorders>
          </w:tcPr>
          <w:p w14:paraId="3C975583" w14:textId="77777777" w:rsidR="009A748F" w:rsidRPr="00E71E50" w:rsidRDefault="00E71E50">
            <w:pPr>
              <w:jc w:val="both"/>
              <w:rPr>
                <w:rFonts w:ascii="Arial" w:hAnsi="Arial" w:cs="Arial"/>
                <w:rtl/>
              </w:rPr>
            </w:pPr>
            <w:r w:rsidRPr="00E71E50">
              <w:rPr>
                <w:rFonts w:ascii="Arial" w:hAnsi="Arial" w:cs="Arial" w:hint="cs"/>
                <w:b/>
                <w:bCs/>
                <w:rtl/>
              </w:rPr>
              <w:t xml:space="preserve">  ע"י </w:t>
            </w:r>
            <w:r w:rsidRPr="00E71E50">
              <w:rPr>
                <w:rFonts w:ascii="Arial" w:hAnsi="Arial" w:cs="Arial"/>
                <w:b/>
                <w:bCs/>
                <w:rtl/>
              </w:rPr>
              <w:t>ב"כ עו"ד</w:t>
            </w:r>
            <w:r w:rsidRPr="00E71E50">
              <w:rPr>
                <w:rFonts w:ascii="Arial" w:hAnsi="Arial" w:cs="Arial" w:hint="cs"/>
                <w:b/>
                <w:bCs/>
                <w:rtl/>
              </w:rPr>
              <w:t xml:space="preserve"> מ.ג'אברין</w:t>
            </w:r>
          </w:p>
        </w:tc>
        <w:tc>
          <w:tcPr>
            <w:tcW w:w="1777" w:type="dxa"/>
            <w:tcBorders>
              <w:top w:val="nil"/>
              <w:left w:val="nil"/>
              <w:bottom w:val="nil"/>
              <w:right w:val="nil"/>
            </w:tcBorders>
          </w:tcPr>
          <w:p w14:paraId="14B86A12" w14:textId="77777777" w:rsidR="009A748F" w:rsidRPr="00E71E50" w:rsidRDefault="00E71E50">
            <w:pPr>
              <w:rPr>
                <w:rFonts w:ascii="Arial" w:hAnsi="Arial" w:cs="Arial"/>
              </w:rPr>
            </w:pPr>
            <w:r w:rsidRPr="00E71E50">
              <w:rPr>
                <w:rFonts w:ascii="Arial" w:hAnsi="Arial" w:cs="Arial"/>
                <w:b/>
                <w:bCs/>
                <w:rtl/>
              </w:rPr>
              <w:t>הנאשם</w:t>
            </w:r>
          </w:p>
        </w:tc>
      </w:tr>
      <w:bookmarkEnd w:id="3"/>
      <w:tr w:rsidR="009A748F" w:rsidRPr="00E71E50" w14:paraId="2CD4581C" w14:textId="77777777">
        <w:trPr>
          <w:trHeight w:val="355"/>
          <w:jc w:val="center"/>
        </w:trPr>
        <w:tc>
          <w:tcPr>
            <w:tcW w:w="923" w:type="dxa"/>
            <w:tcBorders>
              <w:top w:val="nil"/>
              <w:left w:val="nil"/>
              <w:bottom w:val="nil"/>
              <w:right w:val="nil"/>
            </w:tcBorders>
          </w:tcPr>
          <w:p w14:paraId="38F39D58" w14:textId="77777777" w:rsidR="009A748F" w:rsidRPr="00E71E50" w:rsidRDefault="009A748F">
            <w:pPr>
              <w:jc w:val="both"/>
              <w:rPr>
                <w:rFonts w:ascii="Arial" w:hAnsi="Arial" w:cs="Arial"/>
                <w:rtl/>
              </w:rPr>
            </w:pPr>
          </w:p>
        </w:tc>
        <w:tc>
          <w:tcPr>
            <w:tcW w:w="6120" w:type="dxa"/>
            <w:tcBorders>
              <w:top w:val="nil"/>
              <w:left w:val="nil"/>
              <w:bottom w:val="nil"/>
              <w:right w:val="nil"/>
            </w:tcBorders>
          </w:tcPr>
          <w:p w14:paraId="74E7FEA7" w14:textId="77777777" w:rsidR="009A748F" w:rsidRPr="00E71E50" w:rsidRDefault="009A748F">
            <w:pPr>
              <w:jc w:val="both"/>
              <w:rPr>
                <w:rFonts w:ascii="Arial" w:hAnsi="Arial" w:cs="Arial"/>
                <w:rtl/>
              </w:rPr>
            </w:pPr>
          </w:p>
        </w:tc>
        <w:tc>
          <w:tcPr>
            <w:tcW w:w="1777" w:type="dxa"/>
            <w:tcBorders>
              <w:top w:val="nil"/>
              <w:left w:val="nil"/>
              <w:bottom w:val="nil"/>
              <w:right w:val="nil"/>
            </w:tcBorders>
          </w:tcPr>
          <w:p w14:paraId="03213AAB" w14:textId="77777777" w:rsidR="009A748F" w:rsidRPr="00E71E50" w:rsidRDefault="009A748F">
            <w:pPr>
              <w:jc w:val="right"/>
              <w:rPr>
                <w:rFonts w:ascii="Arial" w:hAnsi="Arial" w:cs="Arial"/>
              </w:rPr>
            </w:pPr>
          </w:p>
        </w:tc>
      </w:tr>
    </w:tbl>
    <w:p w14:paraId="69450788" w14:textId="77777777" w:rsidR="009A748F" w:rsidRPr="00E71E50" w:rsidRDefault="009A748F">
      <w:pPr>
        <w:rPr>
          <w:rFonts w:ascii="Arial" w:hAnsi="Arial" w:cs="Arial"/>
        </w:rPr>
      </w:pPr>
    </w:p>
    <w:p w14:paraId="183EE9B0" w14:textId="77777777" w:rsidR="00355B40" w:rsidRPr="00355B40" w:rsidRDefault="00355B40" w:rsidP="00355B40">
      <w:pPr>
        <w:spacing w:after="120" w:line="240" w:lineRule="exact"/>
        <w:ind w:left="283" w:hanging="283"/>
        <w:jc w:val="both"/>
        <w:rPr>
          <w:rFonts w:ascii="FrankRuehl" w:hAnsi="FrankRuehl" w:cs="FrankRuehl"/>
          <w:rtl/>
        </w:rPr>
      </w:pPr>
      <w:r w:rsidRPr="00355B40">
        <w:rPr>
          <w:rFonts w:ascii="FrankRuehl" w:hAnsi="FrankRuehl" w:cs="FrankRuehl"/>
          <w:rtl/>
        </w:rPr>
        <w:t xml:space="preserve">חקיקה שאוזכרה: </w:t>
      </w:r>
    </w:p>
    <w:p w14:paraId="4097D363" w14:textId="77777777" w:rsidR="00355B40" w:rsidRPr="00355B40" w:rsidRDefault="00355B40" w:rsidP="00355B40">
      <w:pPr>
        <w:spacing w:after="120" w:line="240" w:lineRule="exact"/>
        <w:ind w:left="283" w:hanging="283"/>
        <w:jc w:val="both"/>
        <w:rPr>
          <w:rFonts w:ascii="FrankRuehl" w:hAnsi="FrankRuehl" w:cs="FrankRuehl"/>
          <w:color w:val="0000FF"/>
          <w:u w:val="single"/>
          <w:rtl/>
        </w:rPr>
      </w:pPr>
      <w:hyperlink r:id="rId6" w:history="1">
        <w:r w:rsidRPr="00355B40">
          <w:rPr>
            <w:rStyle w:val="Hyperlink"/>
            <w:rFonts w:ascii="FrankRuehl" w:hAnsi="FrankRuehl" w:cs="FrankRuehl"/>
            <w:rtl/>
          </w:rPr>
          <w:t>חוק העונשין, תשל"ז-1977</w:t>
        </w:r>
      </w:hyperlink>
      <w:r w:rsidRPr="00355B40">
        <w:rPr>
          <w:rFonts w:ascii="FrankRuehl" w:hAnsi="FrankRuehl" w:cs="FrankRuehl"/>
          <w:color w:val="0000FF"/>
          <w:u w:val="single"/>
          <w:rtl/>
        </w:rPr>
        <w:t xml:space="preserve">: סע'  </w:t>
      </w:r>
      <w:hyperlink r:id="rId7" w:history="1">
        <w:r w:rsidRPr="00355B40">
          <w:rPr>
            <w:rStyle w:val="Hyperlink"/>
            <w:rFonts w:ascii="FrankRuehl" w:hAnsi="FrankRuehl" w:cs="FrankRuehl"/>
          </w:rPr>
          <w:t>31</w:t>
        </w:r>
      </w:hyperlink>
      <w:r w:rsidRPr="00355B40">
        <w:rPr>
          <w:rFonts w:ascii="FrankRuehl" w:hAnsi="FrankRuehl" w:cs="FrankRuehl"/>
          <w:color w:val="0000FF"/>
          <w:u w:val="single"/>
          <w:rtl/>
        </w:rPr>
        <w:t xml:space="preserve">, </w:t>
      </w:r>
      <w:hyperlink r:id="rId8" w:history="1">
        <w:r w:rsidRPr="00355B40">
          <w:rPr>
            <w:rStyle w:val="Hyperlink"/>
            <w:rFonts w:ascii="FrankRuehl" w:hAnsi="FrankRuehl" w:cs="FrankRuehl"/>
          </w:rPr>
          <w:t>114(</w:t>
        </w:r>
        <w:r w:rsidRPr="00355B40">
          <w:rPr>
            <w:rStyle w:val="Hyperlink"/>
            <w:rFonts w:ascii="FrankRuehl" w:hAnsi="FrankRuehl" w:cs="FrankRuehl"/>
            <w:rtl/>
          </w:rPr>
          <w:t>א</w:t>
        </w:r>
        <w:r w:rsidRPr="00355B40">
          <w:rPr>
            <w:rStyle w:val="Hyperlink"/>
            <w:rFonts w:ascii="FrankRuehl" w:hAnsi="FrankRuehl" w:cs="FrankRuehl"/>
          </w:rPr>
          <w:t>)</w:t>
        </w:r>
      </w:hyperlink>
      <w:r w:rsidRPr="00355B40">
        <w:rPr>
          <w:rFonts w:ascii="FrankRuehl" w:hAnsi="FrankRuehl" w:cs="FrankRuehl"/>
          <w:color w:val="0000FF"/>
          <w:u w:val="single"/>
          <w:rtl/>
        </w:rPr>
        <w:t xml:space="preserve">, </w:t>
      </w:r>
      <w:hyperlink r:id="rId9" w:history="1">
        <w:r w:rsidRPr="00355B40">
          <w:rPr>
            <w:rStyle w:val="Hyperlink"/>
            <w:rFonts w:ascii="FrankRuehl" w:hAnsi="FrankRuehl" w:cs="FrankRuehl"/>
          </w:rPr>
          <w:t>143(</w:t>
        </w:r>
        <w:r w:rsidRPr="00355B40">
          <w:rPr>
            <w:rStyle w:val="Hyperlink"/>
            <w:rFonts w:ascii="FrankRuehl" w:hAnsi="FrankRuehl" w:cs="FrankRuehl"/>
            <w:rtl/>
          </w:rPr>
          <w:t>א</w:t>
        </w:r>
        <w:r w:rsidRPr="00355B40">
          <w:rPr>
            <w:rStyle w:val="Hyperlink"/>
            <w:rFonts w:ascii="FrankRuehl" w:hAnsi="FrankRuehl" w:cs="FrankRuehl"/>
          </w:rPr>
          <w:t>)</w:t>
        </w:r>
      </w:hyperlink>
      <w:r w:rsidRPr="00355B40">
        <w:rPr>
          <w:rFonts w:ascii="FrankRuehl" w:hAnsi="FrankRuehl" w:cs="FrankRuehl"/>
          <w:color w:val="0000FF"/>
          <w:u w:val="single"/>
          <w:rtl/>
        </w:rPr>
        <w:t xml:space="preserve">, </w:t>
      </w:r>
      <w:hyperlink r:id="rId10" w:history="1">
        <w:r w:rsidRPr="00355B40">
          <w:rPr>
            <w:rStyle w:val="Hyperlink"/>
            <w:rFonts w:ascii="FrankRuehl" w:hAnsi="FrankRuehl" w:cs="FrankRuehl"/>
          </w:rPr>
          <w:t>144(</w:t>
        </w:r>
        <w:r w:rsidRPr="00355B40">
          <w:rPr>
            <w:rStyle w:val="Hyperlink"/>
            <w:rFonts w:ascii="FrankRuehl" w:hAnsi="FrankRuehl" w:cs="FrankRuehl"/>
            <w:rtl/>
          </w:rPr>
          <w:t>ב</w:t>
        </w:r>
        <w:r w:rsidRPr="00355B40">
          <w:rPr>
            <w:rStyle w:val="Hyperlink"/>
            <w:rFonts w:ascii="FrankRuehl" w:hAnsi="FrankRuehl" w:cs="FrankRuehl"/>
          </w:rPr>
          <w:t>)</w:t>
        </w:r>
      </w:hyperlink>
      <w:r w:rsidRPr="00355B40">
        <w:rPr>
          <w:rFonts w:ascii="FrankRuehl" w:hAnsi="FrankRuehl" w:cs="FrankRuehl"/>
          <w:color w:val="0000FF"/>
          <w:u w:val="single"/>
          <w:rtl/>
        </w:rPr>
        <w:t xml:space="preserve">, </w:t>
      </w:r>
      <w:hyperlink r:id="rId11" w:history="1">
        <w:r w:rsidRPr="00355B40">
          <w:rPr>
            <w:rStyle w:val="Hyperlink"/>
            <w:rFonts w:ascii="FrankRuehl" w:hAnsi="FrankRuehl" w:cs="FrankRuehl"/>
          </w:rPr>
          <w:t>305(1)</w:t>
        </w:r>
      </w:hyperlink>
    </w:p>
    <w:p w14:paraId="1B955DA0" w14:textId="77777777" w:rsidR="00355B40" w:rsidRPr="00355B40" w:rsidRDefault="00355B40" w:rsidP="00355B40">
      <w:pPr>
        <w:spacing w:after="120" w:line="240" w:lineRule="exact"/>
        <w:ind w:left="283" w:hanging="283"/>
        <w:jc w:val="both"/>
        <w:rPr>
          <w:rFonts w:ascii="FrankRuehl" w:hAnsi="FrankRuehl" w:cs="FrankRuehl"/>
          <w:color w:val="0000FF"/>
          <w:u w:val="single"/>
          <w:rtl/>
        </w:rPr>
      </w:pPr>
      <w:hyperlink r:id="rId12" w:history="1">
        <w:r w:rsidRPr="00355B40">
          <w:rPr>
            <w:rStyle w:val="Hyperlink"/>
            <w:rFonts w:ascii="FrankRuehl" w:hAnsi="FrankRuehl" w:cs="FrankRuehl"/>
            <w:rtl/>
          </w:rPr>
          <w:t>תקנות ההגנה (שעת-חירום), 1945</w:t>
        </w:r>
      </w:hyperlink>
      <w:r w:rsidRPr="00355B40">
        <w:rPr>
          <w:rFonts w:ascii="FrankRuehl" w:hAnsi="FrankRuehl" w:cs="FrankRuehl"/>
          <w:color w:val="0000FF"/>
          <w:u w:val="single"/>
          <w:rtl/>
        </w:rPr>
        <w:t xml:space="preserve">: סע'  </w:t>
      </w:r>
      <w:hyperlink r:id="rId13" w:history="1">
        <w:r w:rsidRPr="00355B40">
          <w:rPr>
            <w:rStyle w:val="Hyperlink"/>
            <w:rFonts w:ascii="FrankRuehl" w:hAnsi="FrankRuehl" w:cs="FrankRuehl"/>
          </w:rPr>
          <w:t>85(</w:t>
        </w:r>
        <w:r w:rsidRPr="00355B40">
          <w:rPr>
            <w:rStyle w:val="Hyperlink"/>
            <w:rFonts w:ascii="FrankRuehl" w:hAnsi="FrankRuehl" w:cs="FrankRuehl"/>
            <w:rtl/>
          </w:rPr>
          <w:t>א</w:t>
        </w:r>
        <w:r w:rsidRPr="00355B40">
          <w:rPr>
            <w:rStyle w:val="Hyperlink"/>
            <w:rFonts w:ascii="FrankRuehl" w:hAnsi="FrankRuehl" w:cs="FrankRuehl"/>
          </w:rPr>
          <w:t>)</w:t>
        </w:r>
      </w:hyperlink>
    </w:p>
    <w:p w14:paraId="4C3582BD" w14:textId="77777777" w:rsidR="00355B40" w:rsidRPr="00355B40" w:rsidRDefault="00355B40" w:rsidP="00355B40">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A748F" w:rsidRPr="00E71E50" w14:paraId="6BD36013" w14:textId="77777777">
        <w:trPr>
          <w:trHeight w:val="355"/>
          <w:jc w:val="center"/>
        </w:trPr>
        <w:tc>
          <w:tcPr>
            <w:tcW w:w="8820" w:type="dxa"/>
            <w:tcBorders>
              <w:top w:val="nil"/>
              <w:left w:val="nil"/>
              <w:bottom w:val="nil"/>
              <w:right w:val="nil"/>
            </w:tcBorders>
          </w:tcPr>
          <w:p w14:paraId="3BE56EAB" w14:textId="77777777" w:rsidR="009A748F" w:rsidRPr="00E71E50" w:rsidRDefault="00E71E50">
            <w:pPr>
              <w:jc w:val="center"/>
              <w:rPr>
                <w:rFonts w:ascii="Arial" w:hAnsi="Arial" w:cs="Arial"/>
                <w:sz w:val="28"/>
                <w:szCs w:val="28"/>
                <w:rtl/>
              </w:rPr>
            </w:pPr>
            <w:bookmarkStart w:id="4" w:name="LawTable_End"/>
            <w:bookmarkStart w:id="5" w:name="PsakDin"/>
            <w:bookmarkEnd w:id="4"/>
            <w:r w:rsidRPr="00E71E50">
              <w:rPr>
                <w:rFonts w:ascii="Arial" w:hAnsi="Arial" w:cs="Arial"/>
                <w:b/>
                <w:bCs/>
                <w:sz w:val="28"/>
                <w:szCs w:val="28"/>
                <w:rtl/>
              </w:rPr>
              <w:t>ג</w:t>
            </w:r>
            <w:r w:rsidRPr="00E71E50">
              <w:rPr>
                <w:rFonts w:ascii="Arial" w:hAnsi="Arial" w:cs="Arial" w:hint="cs"/>
                <w:b/>
                <w:bCs/>
                <w:sz w:val="28"/>
                <w:szCs w:val="28"/>
                <w:rtl/>
              </w:rPr>
              <w:t xml:space="preserve"> </w:t>
            </w:r>
            <w:r w:rsidRPr="00E71E50">
              <w:rPr>
                <w:rFonts w:ascii="Arial" w:hAnsi="Arial" w:cs="Arial"/>
                <w:b/>
                <w:bCs/>
                <w:sz w:val="28"/>
                <w:szCs w:val="28"/>
                <w:rtl/>
              </w:rPr>
              <w:t>ז</w:t>
            </w:r>
            <w:r w:rsidRPr="00E71E50">
              <w:rPr>
                <w:rFonts w:ascii="Arial" w:hAnsi="Arial" w:cs="Arial" w:hint="cs"/>
                <w:b/>
                <w:bCs/>
                <w:sz w:val="28"/>
                <w:szCs w:val="28"/>
                <w:rtl/>
              </w:rPr>
              <w:t xml:space="preserve"> </w:t>
            </w:r>
            <w:r w:rsidRPr="00E71E50">
              <w:rPr>
                <w:rFonts w:ascii="Arial" w:hAnsi="Arial" w:cs="Arial"/>
                <w:b/>
                <w:bCs/>
                <w:sz w:val="28"/>
                <w:szCs w:val="28"/>
                <w:rtl/>
              </w:rPr>
              <w:t xml:space="preserve">ר </w:t>
            </w:r>
            <w:r w:rsidRPr="00E71E50">
              <w:rPr>
                <w:rFonts w:ascii="Arial" w:hAnsi="Arial" w:cs="Arial" w:hint="cs"/>
                <w:b/>
                <w:bCs/>
                <w:sz w:val="28"/>
                <w:szCs w:val="28"/>
                <w:rtl/>
              </w:rPr>
              <w:t xml:space="preserve">  -   </w:t>
            </w:r>
            <w:r w:rsidRPr="00E71E50">
              <w:rPr>
                <w:rFonts w:ascii="Arial" w:hAnsi="Arial" w:cs="Arial"/>
                <w:b/>
                <w:bCs/>
                <w:sz w:val="28"/>
                <w:szCs w:val="28"/>
                <w:rtl/>
              </w:rPr>
              <w:t>ד</w:t>
            </w:r>
            <w:r w:rsidRPr="00E71E50">
              <w:rPr>
                <w:rFonts w:ascii="Arial" w:hAnsi="Arial" w:cs="Arial" w:hint="cs"/>
                <w:b/>
                <w:bCs/>
                <w:sz w:val="28"/>
                <w:szCs w:val="28"/>
                <w:rtl/>
              </w:rPr>
              <w:t xml:space="preserve"> </w:t>
            </w:r>
            <w:r w:rsidRPr="00E71E50">
              <w:rPr>
                <w:rFonts w:ascii="Arial" w:hAnsi="Arial" w:cs="Arial"/>
                <w:b/>
                <w:bCs/>
                <w:sz w:val="28"/>
                <w:szCs w:val="28"/>
                <w:rtl/>
              </w:rPr>
              <w:t>י</w:t>
            </w:r>
            <w:r w:rsidRPr="00E71E50">
              <w:rPr>
                <w:rFonts w:ascii="Arial" w:hAnsi="Arial" w:cs="Arial" w:hint="cs"/>
                <w:b/>
                <w:bCs/>
                <w:sz w:val="28"/>
                <w:szCs w:val="28"/>
                <w:rtl/>
              </w:rPr>
              <w:t xml:space="preserve"> </w:t>
            </w:r>
            <w:r w:rsidRPr="00E71E50">
              <w:rPr>
                <w:rFonts w:ascii="Arial" w:hAnsi="Arial" w:cs="Arial"/>
                <w:b/>
                <w:bCs/>
                <w:sz w:val="28"/>
                <w:szCs w:val="28"/>
                <w:rtl/>
              </w:rPr>
              <w:t>ן</w:t>
            </w:r>
            <w:bookmarkEnd w:id="5"/>
          </w:p>
        </w:tc>
      </w:tr>
    </w:tbl>
    <w:p w14:paraId="27199D75" w14:textId="77777777" w:rsidR="009A748F" w:rsidRPr="00E71E50" w:rsidRDefault="009A748F">
      <w:pPr>
        <w:rPr>
          <w:rFonts w:ascii="Arial" w:hAnsi="Arial" w:cs="Arial"/>
          <w:rtl/>
        </w:rPr>
      </w:pPr>
    </w:p>
    <w:p w14:paraId="1CBA625B" w14:textId="77777777" w:rsidR="009A748F" w:rsidRPr="00E71E50" w:rsidRDefault="00E71E50">
      <w:pPr>
        <w:spacing w:line="360" w:lineRule="auto"/>
        <w:ind w:left="720" w:hanging="720"/>
        <w:jc w:val="both"/>
        <w:rPr>
          <w:rFonts w:ascii="Arial" w:hAnsi="Arial" w:cs="Arial"/>
          <w:rtl/>
        </w:rPr>
      </w:pPr>
      <w:r w:rsidRPr="00E71E50">
        <w:rPr>
          <w:rFonts w:ascii="Arial" w:hAnsi="Arial" w:cs="Arial"/>
          <w:rtl/>
        </w:rPr>
        <w:t xml:space="preserve">1. </w:t>
      </w:r>
      <w:r w:rsidRPr="00E71E50">
        <w:rPr>
          <w:rFonts w:ascii="Arial" w:hAnsi="Arial" w:cs="Arial"/>
          <w:rtl/>
        </w:rPr>
        <w:tab/>
        <w:t xml:space="preserve">במסגרת הסדר טיעון שנערך בין הצדדים תוקן כתב האישום המקורי שהוגש כנגד הנאשם, הוא הודה בעובדות </w:t>
      </w:r>
      <w:r w:rsidRPr="00E71E50">
        <w:rPr>
          <w:rFonts w:ascii="Arial" w:hAnsi="Arial" w:cs="Arial" w:hint="cs"/>
          <w:rtl/>
        </w:rPr>
        <w:t>שב</w:t>
      </w:r>
      <w:r w:rsidRPr="00E71E50">
        <w:rPr>
          <w:rFonts w:ascii="Arial" w:hAnsi="Arial" w:cs="Arial"/>
          <w:rtl/>
        </w:rPr>
        <w:t>כתב האישום המתוקן והורשע בעבירות שונות כנגד ביטחון המדינה וחייליה. במסגרת ההסדר</w:t>
      </w:r>
      <w:r w:rsidRPr="00E71E50">
        <w:rPr>
          <w:rFonts w:ascii="Arial" w:hAnsi="Arial" w:cs="Arial" w:hint="cs"/>
          <w:rtl/>
        </w:rPr>
        <w:t>, עתרו</w:t>
      </w:r>
      <w:r w:rsidRPr="00E71E50">
        <w:rPr>
          <w:rFonts w:ascii="Arial" w:hAnsi="Arial" w:cs="Arial"/>
          <w:rtl/>
        </w:rPr>
        <w:t xml:space="preserve"> הצדדים במשותף להשית על הנאשם 17 שנות מאסר בפועל ומאסר על תנאי על פי שיקול דעת בית המשפט.</w:t>
      </w:r>
    </w:p>
    <w:p w14:paraId="355BF029" w14:textId="77777777" w:rsidR="009A748F" w:rsidRPr="00E71E50" w:rsidRDefault="00E71E50">
      <w:pPr>
        <w:spacing w:line="360" w:lineRule="auto"/>
        <w:jc w:val="both"/>
        <w:rPr>
          <w:rFonts w:ascii="Arial" w:hAnsi="Arial" w:cs="Arial"/>
          <w:rtl/>
        </w:rPr>
      </w:pPr>
      <w:r w:rsidRPr="00E71E50">
        <w:rPr>
          <w:rFonts w:ascii="Arial" w:hAnsi="Arial" w:cs="Arial"/>
          <w:rtl/>
        </w:rPr>
        <w:tab/>
      </w:r>
    </w:p>
    <w:p w14:paraId="23192A17" w14:textId="77777777" w:rsidR="009A748F" w:rsidRPr="00E71E50" w:rsidRDefault="00E71E50">
      <w:pPr>
        <w:spacing w:line="360" w:lineRule="auto"/>
        <w:ind w:left="720"/>
        <w:jc w:val="both"/>
        <w:rPr>
          <w:rFonts w:ascii="Arial" w:hAnsi="Arial" w:cs="Arial"/>
          <w:rtl/>
        </w:rPr>
      </w:pPr>
      <w:bookmarkStart w:id="6" w:name="ABSTRACT_START"/>
      <w:bookmarkEnd w:id="6"/>
      <w:r w:rsidRPr="00E71E50">
        <w:rPr>
          <w:rFonts w:ascii="Arial" w:hAnsi="Arial" w:cs="Arial"/>
          <w:rtl/>
        </w:rPr>
        <w:t xml:space="preserve">מעובדות כתב האישום המתוקן בהן הודה הנאשם עולה, במסגרת </w:t>
      </w:r>
      <w:r w:rsidRPr="00E71E50">
        <w:rPr>
          <w:rFonts w:ascii="Arial" w:hAnsi="Arial" w:cs="Arial"/>
          <w:b/>
          <w:bCs/>
          <w:rtl/>
        </w:rPr>
        <w:t>האישום הראשון</w:t>
      </w:r>
      <w:r w:rsidRPr="00E71E50">
        <w:rPr>
          <w:rFonts w:ascii="Arial" w:hAnsi="Arial" w:cs="Arial"/>
          <w:rtl/>
        </w:rPr>
        <w:t xml:space="preserve">, כי במהלך חודשי האביב בשנת 2004, הנאשם גויס לארגון גדודי חללי אלאקצא </w:t>
      </w:r>
      <w:r w:rsidRPr="00E71E50">
        <w:rPr>
          <w:rFonts w:ascii="Arial" w:hAnsi="Arial" w:cs="Arial"/>
          <w:sz w:val="20"/>
          <w:szCs w:val="20"/>
          <w:rtl/>
        </w:rPr>
        <w:t>(להלן: "</w:t>
      </w:r>
      <w:r w:rsidRPr="00E71E50">
        <w:rPr>
          <w:rFonts w:ascii="Arial" w:hAnsi="Arial" w:cs="Arial"/>
          <w:b/>
          <w:bCs/>
          <w:sz w:val="20"/>
          <w:szCs w:val="20"/>
          <w:rtl/>
        </w:rPr>
        <w:t>הארגון</w:t>
      </w:r>
      <w:r w:rsidRPr="00E71E50">
        <w:rPr>
          <w:rFonts w:ascii="Arial" w:hAnsi="Arial" w:cs="Arial"/>
          <w:sz w:val="20"/>
          <w:szCs w:val="20"/>
          <w:rtl/>
        </w:rPr>
        <w:t>")</w:t>
      </w:r>
      <w:r w:rsidRPr="00E71E50">
        <w:rPr>
          <w:rFonts w:ascii="Arial" w:hAnsi="Arial" w:cs="Arial"/>
          <w:rtl/>
        </w:rPr>
        <w:t>, המהווה התאחדות בלתי מותרת. לאחר גיוסו</w:t>
      </w:r>
      <w:r w:rsidRPr="00E71E50">
        <w:rPr>
          <w:rFonts w:ascii="Arial" w:hAnsi="Arial" w:cs="Arial" w:hint="cs"/>
          <w:rtl/>
        </w:rPr>
        <w:t>, הצטרף</w:t>
      </w:r>
      <w:r w:rsidRPr="00E71E50">
        <w:rPr>
          <w:rFonts w:ascii="Arial" w:hAnsi="Arial" w:cs="Arial"/>
          <w:rtl/>
        </w:rPr>
        <w:t xml:space="preserve"> הנאשם לאימון צבאי של הארגון, בבית הספר החקלאי בבית חנון</w:t>
      </w:r>
      <w:r w:rsidRPr="00E71E50">
        <w:rPr>
          <w:rFonts w:ascii="Arial" w:hAnsi="Arial" w:cs="Arial" w:hint="cs"/>
          <w:rtl/>
        </w:rPr>
        <w:t>,</w:t>
      </w:r>
      <w:r w:rsidRPr="00E71E50">
        <w:rPr>
          <w:rFonts w:ascii="Arial" w:hAnsi="Arial" w:cs="Arial"/>
          <w:rtl/>
        </w:rPr>
        <w:t xml:space="preserve"> </w:t>
      </w:r>
      <w:r w:rsidRPr="00E71E50">
        <w:rPr>
          <w:rFonts w:ascii="Arial" w:hAnsi="Arial" w:cs="Arial" w:hint="cs"/>
          <w:rtl/>
        </w:rPr>
        <w:t>ש</w:t>
      </w:r>
      <w:r w:rsidRPr="00E71E50">
        <w:rPr>
          <w:rFonts w:ascii="Arial" w:hAnsi="Arial" w:cs="Arial"/>
          <w:rtl/>
        </w:rPr>
        <w:t>נמשך 25 ימים. במהלך האימון, עברו הנאשם ופעילי גדודים נוספים</w:t>
      </w:r>
      <w:r w:rsidRPr="00E71E50">
        <w:rPr>
          <w:rFonts w:ascii="Arial" w:hAnsi="Arial" w:cs="Arial" w:hint="cs"/>
          <w:rtl/>
        </w:rPr>
        <w:t>,</w:t>
      </w:r>
      <w:r w:rsidRPr="00E71E50">
        <w:rPr>
          <w:rFonts w:ascii="Arial" w:hAnsi="Arial" w:cs="Arial"/>
          <w:rtl/>
        </w:rPr>
        <w:t xml:space="preserve"> אימוני כושר גופני והכשרה בפירוק והרכבה של רוס"ר קלאצ'ניקוב. בסמוך לאחר מכן, הנאשם הסכים להשתלב בפעילות שמירה חמושה כנגד כניסת כוחות צה"ל לאזור בית חנון וירי לעברם, במטרה לגרום למותם. </w:t>
      </w:r>
      <w:bookmarkStart w:id="7" w:name="ABSTRACT_END"/>
      <w:bookmarkEnd w:id="7"/>
      <w:r w:rsidRPr="00E71E50">
        <w:rPr>
          <w:rFonts w:ascii="Arial" w:hAnsi="Arial" w:cs="Arial"/>
          <w:rtl/>
        </w:rPr>
        <w:t>לצורך כך</w:t>
      </w:r>
      <w:r w:rsidRPr="00E71E50">
        <w:rPr>
          <w:rFonts w:ascii="Arial" w:hAnsi="Arial" w:cs="Arial" w:hint="cs"/>
          <w:rtl/>
        </w:rPr>
        <w:t>, הצטרף</w:t>
      </w:r>
      <w:r w:rsidRPr="00E71E50">
        <w:rPr>
          <w:rFonts w:ascii="Arial" w:hAnsi="Arial" w:cs="Arial"/>
          <w:rtl/>
        </w:rPr>
        <w:t xml:space="preserve"> הנאשם לחולייה בארגון</w:t>
      </w:r>
      <w:r w:rsidRPr="00E71E50">
        <w:rPr>
          <w:rFonts w:ascii="Arial" w:hAnsi="Arial" w:cs="Arial" w:hint="cs"/>
          <w:rtl/>
        </w:rPr>
        <w:t xml:space="preserve">, והוא </w:t>
      </w:r>
      <w:r w:rsidRPr="00E71E50">
        <w:rPr>
          <w:rFonts w:ascii="Arial" w:hAnsi="Arial" w:cs="Arial"/>
          <w:rtl/>
        </w:rPr>
        <w:t xml:space="preserve">וחבריו לחוליה יצאו לביצוע פעילות השמירה, כשהם נושאים עמם מטען חבלה במשקל </w:t>
      </w:r>
      <w:smartTag w:uri="urn:schemas-microsoft-com:office:smarttags" w:element="metricconverter">
        <w:smartTagPr>
          <w:attr w:name="ProductID" w:val="5 ק&quot;ג"/>
        </w:smartTagPr>
        <w:r w:rsidRPr="00E71E50">
          <w:rPr>
            <w:rFonts w:ascii="Arial" w:hAnsi="Arial" w:cs="Arial"/>
            <w:rtl/>
          </w:rPr>
          <w:t>5 ק"ג</w:t>
        </w:r>
      </w:smartTag>
      <w:r w:rsidRPr="00E71E50">
        <w:rPr>
          <w:rFonts w:ascii="Arial" w:hAnsi="Arial" w:cs="Arial"/>
          <w:rtl/>
        </w:rPr>
        <w:t xml:space="preserve">, מטול, </w:t>
      </w:r>
      <w:r w:rsidRPr="00E71E50">
        <w:rPr>
          <w:rFonts w:ascii="Arial" w:hAnsi="Arial" w:cs="Arial" w:hint="cs"/>
          <w:rtl/>
        </w:rPr>
        <w:t>ו</w:t>
      </w:r>
      <w:r w:rsidRPr="00E71E50">
        <w:rPr>
          <w:rFonts w:ascii="Arial" w:hAnsi="Arial" w:cs="Arial"/>
          <w:rtl/>
        </w:rPr>
        <w:t xml:space="preserve">פצצות </w:t>
      </w:r>
      <w:r w:rsidRPr="00E71E50">
        <w:rPr>
          <w:rFonts w:ascii="Arial" w:hAnsi="Arial" w:cs="Arial"/>
        </w:rPr>
        <w:t>R.P.G</w:t>
      </w:r>
      <w:r w:rsidRPr="00E71E50">
        <w:rPr>
          <w:rFonts w:ascii="Arial" w:hAnsi="Arial" w:cs="Arial"/>
          <w:rtl/>
        </w:rPr>
        <w:t xml:space="preserve">. כל אחד מחברי החוליה </w:t>
      </w:r>
      <w:r w:rsidRPr="00E71E50">
        <w:rPr>
          <w:rFonts w:ascii="Arial" w:hAnsi="Arial" w:cs="Arial" w:hint="cs"/>
          <w:rtl/>
        </w:rPr>
        <w:t xml:space="preserve">היה גם </w:t>
      </w:r>
      <w:r w:rsidRPr="00E71E50">
        <w:rPr>
          <w:rFonts w:ascii="Arial" w:hAnsi="Arial" w:cs="Arial"/>
          <w:rtl/>
        </w:rPr>
        <w:t xml:space="preserve">חמוש ברוס"ר קלאצ'ניקוב, ומחסנית שבתוכה 30 כדורים. </w:t>
      </w:r>
      <w:r w:rsidRPr="00E71E50">
        <w:rPr>
          <w:rFonts w:ascii="Arial" w:hAnsi="Arial" w:cs="Arial"/>
          <w:rtl/>
        </w:rPr>
        <w:lastRenderedPageBreak/>
        <w:t>הנאשם וחבריו הונחו</w:t>
      </w:r>
      <w:r w:rsidRPr="00E71E50">
        <w:rPr>
          <w:rFonts w:ascii="Arial" w:hAnsi="Arial" w:cs="Arial" w:hint="cs"/>
          <w:rtl/>
        </w:rPr>
        <w:t>,</w:t>
      </w:r>
      <w:r w:rsidRPr="00E71E50">
        <w:rPr>
          <w:rFonts w:ascii="Arial" w:hAnsi="Arial" w:cs="Arial"/>
          <w:rtl/>
        </w:rPr>
        <w:t xml:space="preserve"> כי במידה ויתקלו בכוחות צה"ל, עליהם לפתוח באש לעברם ולהפעיל, בו זמנית, את מטען החבלה על החיילים, בכדי לגרום למותם</w:t>
      </w:r>
      <w:r w:rsidRPr="00E71E50">
        <w:rPr>
          <w:rFonts w:ascii="Arial" w:hAnsi="Arial" w:cs="Arial" w:hint="cs"/>
          <w:rtl/>
        </w:rPr>
        <w:t>.</w:t>
      </w:r>
      <w:r w:rsidRPr="00E71E50">
        <w:rPr>
          <w:rFonts w:ascii="Arial" w:hAnsi="Arial" w:cs="Arial"/>
          <w:rtl/>
        </w:rPr>
        <w:t xml:space="preserve"> </w:t>
      </w:r>
    </w:p>
    <w:p w14:paraId="17707BFD" w14:textId="77777777" w:rsidR="009A748F" w:rsidRPr="00E71E50" w:rsidRDefault="009A748F">
      <w:pPr>
        <w:spacing w:line="360" w:lineRule="auto"/>
        <w:ind w:left="720"/>
        <w:jc w:val="both"/>
        <w:rPr>
          <w:rFonts w:ascii="Arial" w:hAnsi="Arial" w:cs="Arial"/>
          <w:rtl/>
        </w:rPr>
      </w:pPr>
    </w:p>
    <w:p w14:paraId="51516543" w14:textId="77777777" w:rsidR="009A748F" w:rsidRDefault="00E71E50">
      <w:pPr>
        <w:spacing w:line="360" w:lineRule="auto"/>
        <w:ind w:left="720"/>
        <w:jc w:val="both"/>
        <w:rPr>
          <w:rFonts w:ascii="Arial" w:hAnsi="Arial" w:cs="Arial"/>
          <w:rtl/>
        </w:rPr>
      </w:pPr>
      <w:r>
        <w:rPr>
          <w:rFonts w:ascii="Arial" w:hAnsi="Arial" w:cs="Arial" w:hint="cs"/>
          <w:rtl/>
        </w:rPr>
        <w:t>מעובדות</w:t>
      </w:r>
      <w:r>
        <w:rPr>
          <w:rFonts w:ascii="Arial" w:hAnsi="Arial" w:cs="Arial"/>
          <w:rtl/>
        </w:rPr>
        <w:t xml:space="preserve"> </w:t>
      </w:r>
      <w:r>
        <w:rPr>
          <w:rFonts w:ascii="Arial" w:hAnsi="Arial" w:cs="Arial"/>
          <w:b/>
          <w:bCs/>
          <w:rtl/>
        </w:rPr>
        <w:t>האישום השני</w:t>
      </w:r>
      <w:r>
        <w:rPr>
          <w:rFonts w:ascii="Arial" w:hAnsi="Arial" w:cs="Arial" w:hint="cs"/>
          <w:b/>
          <w:bCs/>
          <w:rtl/>
        </w:rPr>
        <w:t xml:space="preserve"> </w:t>
      </w:r>
      <w:r>
        <w:rPr>
          <w:rFonts w:ascii="Arial" w:hAnsi="Arial" w:cs="Arial" w:hint="cs"/>
          <w:rtl/>
        </w:rPr>
        <w:t>שבכתב האישום המתוקן</w:t>
      </w:r>
      <w:r>
        <w:rPr>
          <w:rFonts w:ascii="Arial" w:hAnsi="Arial" w:cs="Arial"/>
          <w:rtl/>
        </w:rPr>
        <w:t>, עולה</w:t>
      </w:r>
      <w:r>
        <w:rPr>
          <w:rFonts w:ascii="Arial" w:hAnsi="Arial" w:cs="Arial" w:hint="cs"/>
          <w:rtl/>
        </w:rPr>
        <w:t>,</w:t>
      </w:r>
      <w:r>
        <w:rPr>
          <w:rFonts w:ascii="Arial" w:hAnsi="Arial" w:cs="Arial"/>
          <w:rtl/>
        </w:rPr>
        <w:t xml:space="preserve"> כי במהלך שנת 2005 </w:t>
      </w:r>
      <w:r>
        <w:rPr>
          <w:rFonts w:ascii="Arial" w:hAnsi="Arial" w:cs="Arial" w:hint="cs"/>
          <w:rtl/>
        </w:rPr>
        <w:t xml:space="preserve">תכננו </w:t>
      </w:r>
      <w:r>
        <w:rPr>
          <w:rFonts w:ascii="Arial" w:hAnsi="Arial" w:cs="Arial"/>
          <w:rtl/>
        </w:rPr>
        <w:t xml:space="preserve">הנאשם וחבריו להניח מטען חבלה במשקל של </w:t>
      </w:r>
      <w:smartTag w:uri="urn:schemas-microsoft-com:office:smarttags" w:element="metricconverter">
        <w:smartTagPr>
          <w:attr w:name="ProductID" w:val="45 ק&quot;ג"/>
        </w:smartTagPr>
        <w:r>
          <w:rPr>
            <w:rFonts w:ascii="Arial" w:hAnsi="Arial" w:cs="Arial"/>
            <w:rtl/>
          </w:rPr>
          <w:t>45 ק"ג</w:t>
        </w:r>
      </w:smartTag>
      <w:r>
        <w:rPr>
          <w:rFonts w:ascii="Arial" w:hAnsi="Arial" w:cs="Arial"/>
          <w:rtl/>
        </w:rPr>
        <w:t xml:space="preserve"> בבית חנון שברצועת עזה, במטרה לגרום למותם של חיילי צה"ל, לאחר שנאמר להם</w:t>
      </w:r>
      <w:r>
        <w:rPr>
          <w:rFonts w:ascii="Arial" w:hAnsi="Arial" w:cs="Arial" w:hint="cs"/>
          <w:rtl/>
        </w:rPr>
        <w:t>,</w:t>
      </w:r>
      <w:r>
        <w:rPr>
          <w:rFonts w:ascii="Arial" w:hAnsi="Arial" w:cs="Arial"/>
          <w:rtl/>
        </w:rPr>
        <w:t xml:space="preserve"> כי כוח ישראלי נמצא בבית חנון. לשם כך, </w:t>
      </w:r>
      <w:r>
        <w:rPr>
          <w:rFonts w:ascii="Arial" w:hAnsi="Arial" w:cs="Arial" w:hint="cs"/>
          <w:rtl/>
        </w:rPr>
        <w:t xml:space="preserve">הניחו </w:t>
      </w:r>
      <w:r>
        <w:rPr>
          <w:rFonts w:ascii="Arial" w:hAnsi="Arial" w:cs="Arial"/>
          <w:rtl/>
        </w:rPr>
        <w:t xml:space="preserve">חבריו של הנאשם את המטען בצד הכביש, ברחוב אלואד שבבית חנון, ומתחו חוטים מהמטען לכיוון הפרדס הסמוך לכביש, על מנת שיוכלו להפעילו כשחיילי צה"ל יגיעו לאזור, וזאת במטרה לגרום למותם. בעת הנחת המטען וכשעתיים לאחר מכן, </w:t>
      </w:r>
      <w:r>
        <w:rPr>
          <w:rFonts w:ascii="Arial" w:hAnsi="Arial" w:cs="Arial" w:hint="cs"/>
          <w:rtl/>
        </w:rPr>
        <w:t xml:space="preserve">סיירו </w:t>
      </w:r>
      <w:r>
        <w:rPr>
          <w:rFonts w:ascii="Arial" w:hAnsi="Arial" w:cs="Arial"/>
          <w:rtl/>
        </w:rPr>
        <w:t>הנאשם וחבריו באיזור כשהם חמושים בנשק ואחד מחברי החולייה חמוש ב-</w:t>
      </w:r>
      <w:r>
        <w:rPr>
          <w:rFonts w:ascii="Arial" w:hAnsi="Arial" w:cs="Arial"/>
        </w:rPr>
        <w:t>R.P.G</w:t>
      </w:r>
      <w:r>
        <w:rPr>
          <w:rFonts w:ascii="Arial" w:hAnsi="Arial" w:cs="Arial" w:hint="cs"/>
          <w:rtl/>
        </w:rPr>
        <w:t>,</w:t>
      </w:r>
      <w:r>
        <w:rPr>
          <w:rFonts w:ascii="Arial" w:hAnsi="Arial" w:cs="Arial"/>
          <w:rtl/>
        </w:rPr>
        <w:t xml:space="preserve">  והמתינו לחיילי צה"ל במטרה לגרום למותם, בהיותם ישראלים</w:t>
      </w:r>
      <w:r>
        <w:rPr>
          <w:rFonts w:ascii="Arial" w:hAnsi="Arial" w:cs="Arial" w:hint="cs"/>
          <w:rtl/>
        </w:rPr>
        <w:t>.</w:t>
      </w:r>
    </w:p>
    <w:p w14:paraId="3AA698B3" w14:textId="77777777" w:rsidR="009A748F" w:rsidRDefault="009A748F">
      <w:pPr>
        <w:spacing w:line="360" w:lineRule="auto"/>
        <w:ind w:left="720"/>
        <w:jc w:val="both"/>
        <w:rPr>
          <w:rFonts w:ascii="Arial" w:hAnsi="Arial" w:cs="Arial"/>
          <w:rtl/>
        </w:rPr>
      </w:pPr>
    </w:p>
    <w:p w14:paraId="243CF14E" w14:textId="77777777" w:rsidR="009A748F" w:rsidRDefault="00E71E50">
      <w:pPr>
        <w:spacing w:line="360" w:lineRule="auto"/>
        <w:ind w:left="720"/>
        <w:jc w:val="both"/>
        <w:rPr>
          <w:rFonts w:ascii="Arial" w:hAnsi="Arial" w:cs="Arial"/>
          <w:rtl/>
        </w:rPr>
      </w:pPr>
      <w:r>
        <w:rPr>
          <w:rFonts w:ascii="Arial" w:hAnsi="Arial" w:cs="Arial"/>
          <w:rtl/>
        </w:rPr>
        <w:t xml:space="preserve">במסגרת </w:t>
      </w:r>
      <w:r>
        <w:rPr>
          <w:rFonts w:ascii="Arial" w:hAnsi="Arial" w:cs="Arial"/>
          <w:b/>
          <w:bCs/>
          <w:rtl/>
        </w:rPr>
        <w:t>האישום השלישי</w:t>
      </w:r>
      <w:r>
        <w:rPr>
          <w:rFonts w:ascii="Arial" w:hAnsi="Arial" w:cs="Arial" w:hint="cs"/>
          <w:rtl/>
        </w:rPr>
        <w:t xml:space="preserve"> של כתב האישום המתוקן, הודה הנאשם,</w:t>
      </w:r>
      <w:r>
        <w:rPr>
          <w:rFonts w:ascii="Arial" w:hAnsi="Arial" w:cs="Arial"/>
          <w:rtl/>
        </w:rPr>
        <w:t xml:space="preserve"> כי במהלך חודש יוני 2005 </w:t>
      </w:r>
      <w:r>
        <w:rPr>
          <w:rFonts w:ascii="Arial" w:hAnsi="Arial" w:cs="Arial" w:hint="cs"/>
          <w:rtl/>
        </w:rPr>
        <w:t>הוא</w:t>
      </w:r>
      <w:r>
        <w:rPr>
          <w:rFonts w:ascii="Arial" w:hAnsi="Arial" w:cs="Arial"/>
          <w:rtl/>
        </w:rPr>
        <w:t xml:space="preserve"> וחבריו לחוליה תכננו לגרום למותם של חיילי צה"ל, באשר הם ישראלים, בכוונה לפגוע בביטחון המדינה. לשם כך, אחד מחברי החוליה הביא שני מטעני חבלה המכילים </w:t>
      </w:r>
      <w:smartTag w:uri="urn:schemas-microsoft-com:office:smarttags" w:element="metricconverter">
        <w:smartTagPr>
          <w:attr w:name="ProductID" w:val="45 ק&quot;ג"/>
        </w:smartTagPr>
        <w:r>
          <w:rPr>
            <w:rFonts w:ascii="Arial" w:hAnsi="Arial" w:cs="Arial"/>
            <w:rtl/>
          </w:rPr>
          <w:t>45 ק"ג</w:t>
        </w:r>
      </w:smartTag>
      <w:r>
        <w:rPr>
          <w:rFonts w:ascii="Arial" w:hAnsi="Arial" w:cs="Arial"/>
          <w:rtl/>
        </w:rPr>
        <w:t xml:space="preserve"> חומר נפץ, כל אחד</w:t>
      </w:r>
      <w:r>
        <w:rPr>
          <w:rFonts w:ascii="Arial" w:hAnsi="Arial" w:cs="Arial" w:hint="cs"/>
          <w:rtl/>
        </w:rPr>
        <w:t>,</w:t>
      </w:r>
      <w:r>
        <w:rPr>
          <w:rFonts w:ascii="Arial" w:hAnsi="Arial" w:cs="Arial"/>
          <w:rtl/>
        </w:rPr>
        <w:t xml:space="preserve"> </w:t>
      </w:r>
      <w:r>
        <w:rPr>
          <w:rFonts w:ascii="Arial" w:hAnsi="Arial" w:cs="Arial" w:hint="cs"/>
          <w:rtl/>
        </w:rPr>
        <w:t>ו</w:t>
      </w:r>
      <w:r>
        <w:rPr>
          <w:rFonts w:ascii="Arial" w:hAnsi="Arial" w:cs="Arial"/>
          <w:rtl/>
        </w:rPr>
        <w:t xml:space="preserve">הנאשם וחברי החוליה הניחו את המטענים על אדמת הפרדס, ברחוב אלואד </w:t>
      </w:r>
      <w:r>
        <w:rPr>
          <w:rFonts w:ascii="Arial" w:hAnsi="Arial" w:cs="Arial" w:hint="cs"/>
          <w:rtl/>
        </w:rPr>
        <w:t>ש</w:t>
      </w:r>
      <w:r>
        <w:rPr>
          <w:rFonts w:ascii="Arial" w:hAnsi="Arial" w:cs="Arial"/>
          <w:rtl/>
        </w:rPr>
        <w:t xml:space="preserve">בבית חנון. הנאשם וחבריו ערכו מארב במרחק של </w:t>
      </w:r>
      <w:r>
        <w:rPr>
          <w:rFonts w:ascii="Arial" w:hAnsi="Arial" w:cs="Arial" w:hint="cs"/>
          <w:rtl/>
        </w:rPr>
        <w:t xml:space="preserve">   </w:t>
      </w:r>
      <w:r>
        <w:rPr>
          <w:rFonts w:ascii="Arial" w:hAnsi="Arial" w:cs="Arial"/>
          <w:rtl/>
        </w:rPr>
        <w:t>כ-</w:t>
      </w:r>
      <w:smartTag w:uri="urn:schemas-microsoft-com:office:smarttags" w:element="metricconverter">
        <w:smartTagPr>
          <w:attr w:name="ProductID" w:val="500 מטר"/>
        </w:smartTagPr>
        <w:r>
          <w:rPr>
            <w:rFonts w:ascii="Arial" w:hAnsi="Arial" w:cs="Arial"/>
            <w:rtl/>
          </w:rPr>
          <w:t>500 מטר</w:t>
        </w:r>
      </w:smartTag>
      <w:r>
        <w:rPr>
          <w:rFonts w:ascii="Arial" w:hAnsi="Arial" w:cs="Arial"/>
          <w:rtl/>
        </w:rPr>
        <w:t xml:space="preserve"> ממקום הנחת המטענים, והמתינו לחיילי צה"ל ע</w:t>
      </w:r>
      <w:r>
        <w:rPr>
          <w:rFonts w:ascii="Arial" w:hAnsi="Arial" w:cs="Arial" w:hint="cs"/>
          <w:rtl/>
        </w:rPr>
        <w:t>ל מנת</w:t>
      </w:r>
      <w:r>
        <w:rPr>
          <w:rFonts w:ascii="Arial" w:hAnsi="Arial" w:cs="Arial"/>
          <w:rtl/>
        </w:rPr>
        <w:t xml:space="preserve"> לפוצץ את המטענים ולגרום למותם. לאחר כשעתיים בהם חיילי צה"ל לא הגיעו לאיזור, </w:t>
      </w:r>
      <w:r>
        <w:rPr>
          <w:rFonts w:ascii="Arial" w:hAnsi="Arial" w:cs="Arial" w:hint="cs"/>
          <w:rtl/>
        </w:rPr>
        <w:t xml:space="preserve">עזבו </w:t>
      </w:r>
      <w:r>
        <w:rPr>
          <w:rFonts w:ascii="Arial" w:hAnsi="Arial" w:cs="Arial"/>
          <w:rtl/>
        </w:rPr>
        <w:t xml:space="preserve">הנאשם וחבריו את המקום אך השאירו את מטעני החבלה במקום. </w:t>
      </w:r>
    </w:p>
    <w:p w14:paraId="510214DA" w14:textId="77777777" w:rsidR="009A748F" w:rsidRDefault="009A748F">
      <w:pPr>
        <w:spacing w:line="360" w:lineRule="auto"/>
        <w:jc w:val="both"/>
        <w:rPr>
          <w:rFonts w:ascii="Arial" w:hAnsi="Arial" w:cs="Arial"/>
          <w:rtl/>
        </w:rPr>
      </w:pPr>
    </w:p>
    <w:p w14:paraId="57E6CF07" w14:textId="77777777" w:rsidR="009A748F" w:rsidRDefault="00E71E50">
      <w:pPr>
        <w:spacing w:line="360" w:lineRule="auto"/>
        <w:ind w:left="720"/>
        <w:jc w:val="both"/>
        <w:rPr>
          <w:rFonts w:ascii="Arial" w:hAnsi="Arial" w:cs="Arial"/>
          <w:rtl/>
        </w:rPr>
      </w:pPr>
      <w:r>
        <w:rPr>
          <w:rFonts w:ascii="Arial" w:hAnsi="Arial" w:cs="Arial"/>
          <w:rtl/>
        </w:rPr>
        <w:t xml:space="preserve">לכן הנאשם הורשע, במסגרת </w:t>
      </w:r>
      <w:r>
        <w:rPr>
          <w:rFonts w:ascii="Arial" w:hAnsi="Arial" w:cs="Arial"/>
          <w:b/>
          <w:bCs/>
          <w:rtl/>
        </w:rPr>
        <w:t>האישום הראשון</w:t>
      </w:r>
      <w:r>
        <w:rPr>
          <w:rFonts w:ascii="Arial" w:hAnsi="Arial" w:cs="Arial"/>
          <w:rtl/>
        </w:rPr>
        <w:t xml:space="preserve"> בעבירה של מגע עם סוכן חוץ, לפי </w:t>
      </w:r>
      <w:hyperlink r:id="rId14" w:history="1">
        <w:r w:rsidR="00355B40" w:rsidRPr="00355B40">
          <w:rPr>
            <w:rStyle w:val="Hyperlink"/>
            <w:rFonts w:ascii="Arial" w:hAnsi="Arial" w:cs="Arial"/>
            <w:rtl/>
          </w:rPr>
          <w:t>סעיף 114(א)</w:t>
        </w:r>
      </w:hyperlink>
      <w:r>
        <w:rPr>
          <w:rFonts w:ascii="Arial" w:hAnsi="Arial" w:cs="Arial"/>
          <w:rtl/>
        </w:rPr>
        <w:t xml:space="preserve"> ל</w:t>
      </w:r>
      <w:hyperlink r:id="rId15" w:history="1">
        <w:r w:rsidRPr="00E71E50">
          <w:rPr>
            <w:rFonts w:ascii="Arial" w:hAnsi="Arial" w:cs="Arial"/>
            <w:color w:val="0000FF"/>
            <w:u w:val="single"/>
            <w:rtl/>
          </w:rPr>
          <w:t>חוק העונשין</w:t>
        </w:r>
      </w:hyperlink>
      <w:r>
        <w:rPr>
          <w:rFonts w:ascii="Arial" w:hAnsi="Arial" w:cs="Arial"/>
          <w:rtl/>
        </w:rPr>
        <w:t xml:space="preserve">, התשל"ז – 1977, עבירה של חברות בהתאחדות בלתי מותרת, לפי </w:t>
      </w:r>
      <w:hyperlink r:id="rId16" w:history="1">
        <w:r w:rsidR="00355B40" w:rsidRPr="00355B40">
          <w:rPr>
            <w:rStyle w:val="Hyperlink"/>
            <w:rFonts w:ascii="Arial" w:hAnsi="Arial" w:cs="Arial"/>
            <w:rtl/>
          </w:rPr>
          <w:t>סעיף 85(א)</w:t>
        </w:r>
      </w:hyperlink>
      <w:r>
        <w:rPr>
          <w:rFonts w:ascii="Arial" w:hAnsi="Arial" w:cs="Arial"/>
          <w:rtl/>
        </w:rPr>
        <w:t xml:space="preserve"> ל</w:t>
      </w:r>
      <w:hyperlink r:id="rId17" w:history="1">
        <w:r w:rsidRPr="00E71E50">
          <w:rPr>
            <w:rFonts w:ascii="Arial" w:hAnsi="Arial" w:cs="Arial"/>
            <w:color w:val="0000FF"/>
            <w:u w:val="single"/>
            <w:rtl/>
          </w:rPr>
          <w:t>תקנות ההגנה (שעת חירום)</w:t>
        </w:r>
      </w:hyperlink>
      <w:r>
        <w:rPr>
          <w:rFonts w:ascii="Arial" w:hAnsi="Arial" w:cs="Arial" w:hint="cs"/>
          <w:rtl/>
        </w:rPr>
        <w:t>,</w:t>
      </w:r>
      <w:r>
        <w:rPr>
          <w:rFonts w:ascii="Arial" w:hAnsi="Arial" w:cs="Arial"/>
          <w:rtl/>
        </w:rPr>
        <w:t xml:space="preserve"> אימונים צבאיים אסורים, לפי </w:t>
      </w:r>
      <w:hyperlink r:id="rId18" w:history="1">
        <w:r w:rsidR="00355B40" w:rsidRPr="00355B40">
          <w:rPr>
            <w:rStyle w:val="Hyperlink"/>
            <w:rFonts w:ascii="Arial" w:hAnsi="Arial" w:cs="Arial"/>
            <w:rtl/>
          </w:rPr>
          <w:t>סעיף 143(א)</w:t>
        </w:r>
      </w:hyperlink>
      <w:r>
        <w:rPr>
          <w:rFonts w:ascii="Arial" w:hAnsi="Arial" w:cs="Arial"/>
          <w:rtl/>
        </w:rPr>
        <w:t xml:space="preserve"> לחוק</w:t>
      </w:r>
      <w:r>
        <w:rPr>
          <w:rFonts w:ascii="Arial" w:hAnsi="Arial" w:cs="Arial" w:hint="cs"/>
          <w:rtl/>
        </w:rPr>
        <w:t xml:space="preserve"> העונשין</w:t>
      </w:r>
      <w:r>
        <w:rPr>
          <w:rFonts w:ascii="Arial" w:hAnsi="Arial" w:cs="Arial"/>
          <w:rtl/>
        </w:rPr>
        <w:t>, ועבירות נשק</w:t>
      </w:r>
      <w:r>
        <w:rPr>
          <w:rFonts w:ascii="Arial" w:hAnsi="Arial" w:cs="Arial" w:hint="cs"/>
          <w:rtl/>
        </w:rPr>
        <w:t xml:space="preserve"> </w:t>
      </w:r>
      <w:r>
        <w:rPr>
          <w:rFonts w:ascii="Arial" w:hAnsi="Arial" w:cs="Arial"/>
          <w:rtl/>
        </w:rPr>
        <w:t xml:space="preserve">(נשיאת נשק ותחמושת), לפי </w:t>
      </w:r>
      <w:hyperlink r:id="rId19" w:history="1">
        <w:r w:rsidR="00355B40" w:rsidRPr="00355B40">
          <w:rPr>
            <w:rStyle w:val="Hyperlink"/>
            <w:rFonts w:ascii="Arial" w:hAnsi="Arial" w:cs="Arial"/>
            <w:rtl/>
          </w:rPr>
          <w:t>סעיף 144(ב)</w:t>
        </w:r>
      </w:hyperlink>
      <w:r>
        <w:rPr>
          <w:rFonts w:ascii="Arial" w:hAnsi="Arial" w:cs="Arial"/>
          <w:rtl/>
        </w:rPr>
        <w:t>לחוק</w:t>
      </w:r>
      <w:r>
        <w:rPr>
          <w:rFonts w:ascii="Arial" w:hAnsi="Arial" w:cs="Arial" w:hint="cs"/>
          <w:rtl/>
        </w:rPr>
        <w:t xml:space="preserve"> העונשין.</w:t>
      </w:r>
      <w:r>
        <w:rPr>
          <w:rFonts w:ascii="Arial" w:hAnsi="Arial" w:cs="Arial"/>
          <w:rtl/>
        </w:rPr>
        <w:t xml:space="preserve"> במסגרת </w:t>
      </w:r>
      <w:r>
        <w:rPr>
          <w:rFonts w:ascii="Arial" w:hAnsi="Arial" w:cs="Arial"/>
          <w:b/>
          <w:bCs/>
          <w:rtl/>
        </w:rPr>
        <w:t>האישום השני</w:t>
      </w:r>
      <w:r>
        <w:rPr>
          <w:rFonts w:ascii="Arial" w:hAnsi="Arial" w:cs="Arial"/>
          <w:rtl/>
        </w:rPr>
        <w:t xml:space="preserve"> </w:t>
      </w:r>
      <w:r>
        <w:rPr>
          <w:rFonts w:ascii="Arial" w:hAnsi="Arial" w:cs="Arial" w:hint="cs"/>
          <w:rtl/>
        </w:rPr>
        <w:t xml:space="preserve">הורשע הנאשם </w:t>
      </w:r>
      <w:r>
        <w:rPr>
          <w:rFonts w:ascii="Arial" w:hAnsi="Arial" w:cs="Arial"/>
          <w:rtl/>
        </w:rPr>
        <w:t xml:space="preserve">בעבירות של חברות בהתאחדות בלתי מותרת, לפי </w:t>
      </w:r>
      <w:hyperlink r:id="rId20" w:history="1">
        <w:r w:rsidR="00355B40" w:rsidRPr="00355B40">
          <w:rPr>
            <w:rStyle w:val="Hyperlink"/>
            <w:rFonts w:ascii="Arial" w:hAnsi="Arial" w:cs="Arial"/>
            <w:rtl/>
          </w:rPr>
          <w:t>סעיף 85(א)</w:t>
        </w:r>
      </w:hyperlink>
      <w:r>
        <w:rPr>
          <w:rFonts w:ascii="Arial" w:hAnsi="Arial" w:cs="Arial"/>
          <w:rtl/>
        </w:rPr>
        <w:t xml:space="preserve"> לתקנות</w:t>
      </w:r>
      <w:r>
        <w:rPr>
          <w:rFonts w:ascii="Arial" w:hAnsi="Arial" w:cs="Arial" w:hint="cs"/>
          <w:rtl/>
        </w:rPr>
        <w:t xml:space="preserve"> ההגנה</w:t>
      </w:r>
      <w:r>
        <w:rPr>
          <w:rFonts w:ascii="Arial" w:hAnsi="Arial" w:cs="Arial"/>
          <w:rtl/>
        </w:rPr>
        <w:t xml:space="preserve"> ו</w:t>
      </w:r>
      <w:r>
        <w:rPr>
          <w:rFonts w:ascii="Arial" w:hAnsi="Arial" w:cs="Arial" w:hint="cs"/>
          <w:rtl/>
        </w:rPr>
        <w:t>ב</w:t>
      </w:r>
      <w:r>
        <w:rPr>
          <w:rFonts w:ascii="Arial" w:hAnsi="Arial" w:cs="Arial"/>
          <w:rtl/>
        </w:rPr>
        <w:t xml:space="preserve">עבירה של סיוע לניסיון לרצח, לפי </w:t>
      </w:r>
      <w:hyperlink r:id="rId21" w:history="1">
        <w:r w:rsidR="00355B40" w:rsidRPr="00355B40">
          <w:rPr>
            <w:rStyle w:val="Hyperlink"/>
            <w:rFonts w:ascii="Arial" w:hAnsi="Arial" w:cs="Arial"/>
            <w:rtl/>
          </w:rPr>
          <w:t>סעיף 305(1)</w:t>
        </w:r>
      </w:hyperlink>
      <w:r>
        <w:rPr>
          <w:rFonts w:ascii="Arial" w:hAnsi="Arial" w:cs="Arial"/>
          <w:rtl/>
        </w:rPr>
        <w:t xml:space="preserve"> ל</w:t>
      </w:r>
      <w:hyperlink r:id="rId22" w:history="1">
        <w:r w:rsidRPr="00E71E50">
          <w:rPr>
            <w:rFonts w:ascii="Arial" w:hAnsi="Arial" w:cs="Arial"/>
            <w:color w:val="0000FF"/>
            <w:u w:val="single"/>
            <w:rtl/>
          </w:rPr>
          <w:t>חוק העונשין</w:t>
        </w:r>
      </w:hyperlink>
      <w:r>
        <w:rPr>
          <w:rFonts w:ascii="Arial" w:hAnsi="Arial" w:cs="Arial" w:hint="cs"/>
          <w:rtl/>
        </w:rPr>
        <w:t xml:space="preserve"> </w:t>
      </w:r>
      <w:r>
        <w:rPr>
          <w:rFonts w:ascii="Arial" w:hAnsi="Arial" w:cs="Arial"/>
          <w:rtl/>
        </w:rPr>
        <w:t xml:space="preserve">בצירוף </w:t>
      </w:r>
      <w:hyperlink r:id="rId23" w:history="1">
        <w:r w:rsidR="00355B40" w:rsidRPr="00355B40">
          <w:rPr>
            <w:rStyle w:val="Hyperlink"/>
            <w:rFonts w:ascii="Arial" w:hAnsi="Arial" w:cs="Arial"/>
            <w:rtl/>
          </w:rPr>
          <w:t>סעיף 31</w:t>
        </w:r>
      </w:hyperlink>
      <w:r>
        <w:rPr>
          <w:rFonts w:ascii="Arial" w:hAnsi="Arial" w:cs="Arial"/>
          <w:rtl/>
        </w:rPr>
        <w:t xml:space="preserve"> לחוק</w:t>
      </w:r>
      <w:r>
        <w:rPr>
          <w:rFonts w:ascii="Arial" w:hAnsi="Arial" w:cs="Arial" w:hint="cs"/>
          <w:rtl/>
        </w:rPr>
        <w:t>.</w:t>
      </w:r>
      <w:r>
        <w:rPr>
          <w:rFonts w:ascii="Arial" w:hAnsi="Arial" w:cs="Arial"/>
          <w:rtl/>
        </w:rPr>
        <w:t xml:space="preserve"> במסגרת </w:t>
      </w:r>
      <w:r>
        <w:rPr>
          <w:rFonts w:ascii="Arial" w:hAnsi="Arial" w:cs="Arial"/>
          <w:b/>
          <w:bCs/>
          <w:rtl/>
        </w:rPr>
        <w:t>האישום השלישי</w:t>
      </w:r>
      <w:r>
        <w:rPr>
          <w:rFonts w:ascii="Arial" w:hAnsi="Arial" w:cs="Arial"/>
          <w:rtl/>
        </w:rPr>
        <w:t xml:space="preserve">, </w:t>
      </w:r>
      <w:r>
        <w:rPr>
          <w:rFonts w:ascii="Arial" w:hAnsi="Arial" w:cs="Arial" w:hint="cs"/>
          <w:rtl/>
        </w:rPr>
        <w:t xml:space="preserve">הורשע הנאשם </w:t>
      </w:r>
      <w:r>
        <w:rPr>
          <w:rFonts w:ascii="Arial" w:hAnsi="Arial" w:cs="Arial"/>
          <w:rtl/>
        </w:rPr>
        <w:t xml:space="preserve">בעבירות של חברות בהתאחדות בלתי מותרת, לפי </w:t>
      </w:r>
      <w:hyperlink r:id="rId24" w:history="1">
        <w:r w:rsidR="00355B40" w:rsidRPr="00355B40">
          <w:rPr>
            <w:rStyle w:val="Hyperlink"/>
            <w:rFonts w:ascii="Arial" w:hAnsi="Arial" w:cs="Arial"/>
            <w:rtl/>
          </w:rPr>
          <w:t>סעיף 85(א)</w:t>
        </w:r>
      </w:hyperlink>
      <w:r>
        <w:rPr>
          <w:rFonts w:ascii="Arial" w:hAnsi="Arial" w:cs="Arial"/>
          <w:rtl/>
        </w:rPr>
        <w:t xml:space="preserve"> לתקנות</w:t>
      </w:r>
      <w:r>
        <w:rPr>
          <w:rFonts w:ascii="Arial" w:hAnsi="Arial" w:cs="Arial" w:hint="cs"/>
          <w:rtl/>
        </w:rPr>
        <w:t xml:space="preserve"> ההגנה</w:t>
      </w:r>
      <w:r>
        <w:rPr>
          <w:rFonts w:ascii="Arial" w:hAnsi="Arial" w:cs="Arial"/>
          <w:rtl/>
        </w:rPr>
        <w:t>, ו</w:t>
      </w:r>
      <w:r>
        <w:rPr>
          <w:rFonts w:ascii="Arial" w:hAnsi="Arial" w:cs="Arial" w:hint="cs"/>
          <w:rtl/>
        </w:rPr>
        <w:t>ב</w:t>
      </w:r>
      <w:r>
        <w:rPr>
          <w:rFonts w:ascii="Arial" w:hAnsi="Arial" w:cs="Arial"/>
          <w:rtl/>
        </w:rPr>
        <w:t xml:space="preserve">עבירה של ניסיון לרצח, לפי </w:t>
      </w:r>
      <w:hyperlink r:id="rId25" w:history="1">
        <w:r w:rsidR="00355B40" w:rsidRPr="00355B40">
          <w:rPr>
            <w:rStyle w:val="Hyperlink"/>
            <w:rFonts w:ascii="Arial" w:hAnsi="Arial" w:cs="Arial"/>
            <w:rtl/>
          </w:rPr>
          <w:t>סעיף 305(1)</w:t>
        </w:r>
      </w:hyperlink>
      <w:r>
        <w:rPr>
          <w:rFonts w:ascii="Arial" w:hAnsi="Arial" w:cs="Arial"/>
          <w:rtl/>
        </w:rPr>
        <w:t xml:space="preserve"> ל</w:t>
      </w:r>
      <w:hyperlink r:id="rId26" w:history="1">
        <w:r w:rsidRPr="00E71E50">
          <w:rPr>
            <w:rFonts w:ascii="Arial" w:hAnsi="Arial" w:cs="Arial"/>
            <w:color w:val="0000FF"/>
            <w:u w:val="single"/>
            <w:rtl/>
          </w:rPr>
          <w:t>חוק העונשין</w:t>
        </w:r>
      </w:hyperlink>
      <w:r>
        <w:rPr>
          <w:rFonts w:ascii="Arial" w:hAnsi="Arial" w:cs="Arial"/>
          <w:rtl/>
        </w:rPr>
        <w:t>.</w:t>
      </w:r>
    </w:p>
    <w:p w14:paraId="4CA12598" w14:textId="77777777" w:rsidR="009A748F" w:rsidRDefault="009A748F">
      <w:pPr>
        <w:spacing w:line="360" w:lineRule="auto"/>
        <w:jc w:val="both"/>
        <w:rPr>
          <w:rFonts w:ascii="Arial" w:hAnsi="Arial" w:cs="Arial"/>
          <w:rtl/>
        </w:rPr>
      </w:pPr>
    </w:p>
    <w:p w14:paraId="5D2C2131" w14:textId="77777777" w:rsidR="009A748F" w:rsidRDefault="00E71E50">
      <w:pPr>
        <w:spacing w:line="360" w:lineRule="auto"/>
        <w:ind w:left="720" w:hanging="720"/>
        <w:jc w:val="both"/>
        <w:rPr>
          <w:rFonts w:ascii="Arial" w:hAnsi="Arial" w:cs="Arial"/>
          <w:rtl/>
        </w:rPr>
      </w:pPr>
      <w:r>
        <w:rPr>
          <w:rFonts w:ascii="Arial" w:hAnsi="Arial" w:cs="Arial"/>
          <w:rtl/>
        </w:rPr>
        <w:t>2.</w:t>
      </w:r>
      <w:r>
        <w:rPr>
          <w:rFonts w:ascii="Arial" w:hAnsi="Arial" w:cs="Arial"/>
          <w:rtl/>
        </w:rPr>
        <w:tab/>
        <w:t xml:space="preserve">כאמור, הוסכם בין הצדדים במסגרת הסדר הטיעון להטיל על הנאשם, בגין מעשיו אלה, עונש מאסר בפועל של 17 שנה. הצדדים ביקשו לכבד את ההסדר לאור קשיים ראייתיים בגינם תוקן כתב האישום, הודאת הנאשם והחיסכון בזמן שיפוטי. הסנגור </w:t>
      </w:r>
      <w:r>
        <w:rPr>
          <w:rFonts w:ascii="Arial" w:hAnsi="Arial" w:cs="Arial"/>
          <w:rtl/>
        </w:rPr>
        <w:lastRenderedPageBreak/>
        <w:t>ביקש להוסיף</w:t>
      </w:r>
      <w:r>
        <w:rPr>
          <w:rFonts w:ascii="Arial" w:hAnsi="Arial" w:cs="Arial" w:hint="cs"/>
          <w:rtl/>
        </w:rPr>
        <w:t>,</w:t>
      </w:r>
      <w:r>
        <w:rPr>
          <w:rFonts w:ascii="Arial" w:hAnsi="Arial" w:cs="Arial"/>
          <w:rtl/>
        </w:rPr>
        <w:t xml:space="preserve"> כי מדובר בעבירות משנת 2005, ו</w:t>
      </w:r>
      <w:r>
        <w:rPr>
          <w:rFonts w:ascii="Arial" w:hAnsi="Arial" w:cs="Arial" w:hint="cs"/>
          <w:rtl/>
        </w:rPr>
        <w:t>ב</w:t>
      </w:r>
      <w:r>
        <w:rPr>
          <w:rFonts w:ascii="Arial" w:hAnsi="Arial" w:cs="Arial"/>
          <w:rtl/>
        </w:rPr>
        <w:t>נאשם נעדר עבר פלילי</w:t>
      </w:r>
      <w:r>
        <w:rPr>
          <w:rFonts w:ascii="Arial" w:hAnsi="Arial" w:cs="Arial" w:hint="cs"/>
          <w:rtl/>
        </w:rPr>
        <w:t>,</w:t>
      </w:r>
      <w:r>
        <w:rPr>
          <w:rFonts w:ascii="Arial" w:hAnsi="Arial" w:cs="Arial"/>
          <w:rtl/>
        </w:rPr>
        <w:t xml:space="preserve"> נשוי ואב לשתי בנות, אשר אחת מהן חולת סרטן ומטופלת בישראל, וכי נעצר עת נכנס לישראל על מנת לסעוד אותה. כן ציין </w:t>
      </w:r>
      <w:r>
        <w:rPr>
          <w:rFonts w:ascii="Arial" w:hAnsi="Arial" w:cs="Arial" w:hint="cs"/>
          <w:rtl/>
        </w:rPr>
        <w:t xml:space="preserve">הסנגור, </w:t>
      </w:r>
      <w:r>
        <w:rPr>
          <w:rFonts w:ascii="Arial" w:hAnsi="Arial" w:cs="Arial"/>
          <w:rtl/>
        </w:rPr>
        <w:t>כי החמאס צלפו בו בעת עלייתם לשלטון.</w:t>
      </w:r>
    </w:p>
    <w:p w14:paraId="01024100" w14:textId="77777777" w:rsidR="009A748F" w:rsidRDefault="00E71E50">
      <w:pPr>
        <w:spacing w:line="360" w:lineRule="auto"/>
        <w:ind w:left="720" w:hanging="720"/>
        <w:jc w:val="both"/>
        <w:rPr>
          <w:rFonts w:ascii="Arial" w:hAnsi="Arial" w:cs="Arial"/>
          <w:rtl/>
        </w:rPr>
      </w:pPr>
      <w:r>
        <w:rPr>
          <w:rFonts w:ascii="Arial" w:hAnsi="Arial" w:cs="Arial"/>
          <w:rtl/>
        </w:rPr>
        <w:tab/>
        <w:t>הנאשם הביע חרטה וביקש להקל בדינו</w:t>
      </w:r>
      <w:r>
        <w:rPr>
          <w:rFonts w:ascii="Arial" w:hAnsi="Arial" w:cs="Arial" w:hint="cs"/>
          <w:rtl/>
        </w:rPr>
        <w:t>;</w:t>
      </w:r>
      <w:r>
        <w:rPr>
          <w:rFonts w:ascii="Arial" w:hAnsi="Arial" w:cs="Arial"/>
          <w:rtl/>
        </w:rPr>
        <w:t xml:space="preserve"> ציין</w:t>
      </w:r>
      <w:r>
        <w:rPr>
          <w:rFonts w:ascii="Arial" w:hAnsi="Arial" w:cs="Arial" w:hint="cs"/>
          <w:rtl/>
        </w:rPr>
        <w:t>,</w:t>
      </w:r>
      <w:r>
        <w:rPr>
          <w:rFonts w:ascii="Arial" w:hAnsi="Arial" w:cs="Arial"/>
          <w:rtl/>
        </w:rPr>
        <w:t xml:space="preserve"> כי ראה את בתו החולה בפעם האחרונה כאשר באה לבקרו בכלא</w:t>
      </w:r>
      <w:r>
        <w:rPr>
          <w:rFonts w:ascii="Arial" w:hAnsi="Arial" w:cs="Arial" w:hint="cs"/>
          <w:rtl/>
        </w:rPr>
        <w:t>;</w:t>
      </w:r>
      <w:r>
        <w:rPr>
          <w:rFonts w:ascii="Arial" w:hAnsi="Arial" w:cs="Arial"/>
          <w:rtl/>
        </w:rPr>
        <w:t xml:space="preserve"> כי הוא עצמו חולה</w:t>
      </w:r>
      <w:r>
        <w:rPr>
          <w:rFonts w:ascii="Arial" w:hAnsi="Arial" w:cs="Arial" w:hint="cs"/>
          <w:rtl/>
        </w:rPr>
        <w:t>;</w:t>
      </w:r>
      <w:r>
        <w:rPr>
          <w:rFonts w:ascii="Arial" w:hAnsi="Arial" w:cs="Arial"/>
          <w:rtl/>
        </w:rPr>
        <w:t xml:space="preserve"> וכי הבין את תוצאות מעשיו והשלכותיו.</w:t>
      </w:r>
    </w:p>
    <w:p w14:paraId="4E845B91" w14:textId="77777777" w:rsidR="009A748F" w:rsidRDefault="009A748F">
      <w:pPr>
        <w:spacing w:line="360" w:lineRule="auto"/>
        <w:jc w:val="both"/>
        <w:rPr>
          <w:rFonts w:ascii="Arial" w:hAnsi="Arial" w:cs="Arial"/>
          <w:rtl/>
        </w:rPr>
      </w:pPr>
    </w:p>
    <w:p w14:paraId="46B996DA" w14:textId="77777777" w:rsidR="009A748F" w:rsidRDefault="00E71E50">
      <w:pPr>
        <w:spacing w:line="360" w:lineRule="auto"/>
        <w:ind w:left="720" w:hanging="720"/>
        <w:jc w:val="both"/>
        <w:rPr>
          <w:rFonts w:ascii="Arial" w:hAnsi="Arial" w:cs="Arial"/>
          <w:rtl/>
        </w:rPr>
      </w:pPr>
      <w:r>
        <w:rPr>
          <w:rFonts w:ascii="Arial" w:hAnsi="Arial" w:cs="Arial"/>
          <w:rtl/>
        </w:rPr>
        <w:t>3.</w:t>
      </w:r>
      <w:r>
        <w:rPr>
          <w:rFonts w:ascii="Arial" w:hAnsi="Arial" w:cs="Arial"/>
          <w:rtl/>
        </w:rPr>
        <w:tab/>
        <w:t>המעשים המיוחסים לנאשם הם חמורים ומהווים חלק משרשרת הטרור המעמידה את מדינת ישראל וחייליה בפני סיכונים של ממש, ולכן מחייבים ענישה מרתיעה. בית המשפט העליון קבע לא אחת</w:t>
      </w:r>
      <w:r>
        <w:rPr>
          <w:rFonts w:ascii="Arial" w:hAnsi="Arial" w:cs="Arial" w:hint="cs"/>
          <w:rtl/>
        </w:rPr>
        <w:t>,</w:t>
      </w:r>
      <w:r>
        <w:rPr>
          <w:rFonts w:ascii="Arial" w:hAnsi="Arial" w:cs="Arial"/>
          <w:rtl/>
        </w:rPr>
        <w:t xml:space="preserve"> כי בעבירות נגד ביטחון המדינה השיקול המרכזי הוא הרתעה וכי יתר השיקולים נסוגים מפניו </w:t>
      </w:r>
      <w:r>
        <w:rPr>
          <w:rFonts w:ascii="Arial" w:hAnsi="Arial" w:cs="Arial"/>
          <w:sz w:val="20"/>
          <w:szCs w:val="20"/>
          <w:rtl/>
        </w:rPr>
        <w:t>(ר</w:t>
      </w:r>
      <w:r>
        <w:rPr>
          <w:rFonts w:ascii="Arial" w:hAnsi="Arial" w:cs="Arial" w:hint="cs"/>
          <w:sz w:val="20"/>
          <w:szCs w:val="20"/>
          <w:rtl/>
        </w:rPr>
        <w:t>', למשל,</w:t>
      </w:r>
      <w:r>
        <w:rPr>
          <w:rFonts w:ascii="Arial" w:hAnsi="Arial" w:cs="Arial"/>
          <w:sz w:val="20"/>
          <w:szCs w:val="20"/>
          <w:rtl/>
        </w:rPr>
        <w:t xml:space="preserve"> </w:t>
      </w:r>
      <w:hyperlink r:id="rId27" w:history="1">
        <w:r w:rsidRPr="00E71E50">
          <w:rPr>
            <w:rFonts w:ascii="Arial" w:hAnsi="Arial" w:cs="Arial"/>
            <w:color w:val="0000FF"/>
            <w:sz w:val="20"/>
            <w:szCs w:val="20"/>
            <w:u w:val="single"/>
            <w:rtl/>
          </w:rPr>
          <w:t>ע"פ 6306/12</w:t>
        </w:r>
      </w:hyperlink>
      <w:r>
        <w:rPr>
          <w:rFonts w:ascii="Arial" w:hAnsi="Arial" w:cs="Arial"/>
          <w:sz w:val="20"/>
          <w:szCs w:val="20"/>
          <w:rtl/>
        </w:rPr>
        <w:t xml:space="preserve"> </w:t>
      </w:r>
      <w:r>
        <w:rPr>
          <w:rFonts w:ascii="Arial" w:hAnsi="Arial" w:cs="Arial"/>
          <w:b/>
          <w:bCs/>
          <w:sz w:val="20"/>
          <w:szCs w:val="20"/>
          <w:rtl/>
        </w:rPr>
        <w:t>מהרה נ' מדינת ישראל</w:t>
      </w:r>
      <w:r>
        <w:rPr>
          <w:rFonts w:ascii="Arial" w:hAnsi="Arial" w:cs="Arial" w:hint="cs"/>
          <w:sz w:val="20"/>
          <w:szCs w:val="20"/>
          <w:rtl/>
        </w:rPr>
        <w:t xml:space="preserve">, מיום </w:t>
      </w:r>
      <w:r>
        <w:rPr>
          <w:rFonts w:ascii="Arial" w:hAnsi="Arial" w:cs="Arial"/>
          <w:sz w:val="20"/>
          <w:szCs w:val="20"/>
          <w:rtl/>
        </w:rPr>
        <w:t>23.2.2014)</w:t>
      </w:r>
      <w:r>
        <w:rPr>
          <w:rFonts w:ascii="Arial" w:hAnsi="Arial" w:cs="Arial" w:hint="cs"/>
          <w:rtl/>
        </w:rPr>
        <w:t>. ביהמ"ש העליון גם קבע, כי בעבירות אלה, המכוונות נגד ביטחון המדינה, יש</w:t>
      </w:r>
      <w:r>
        <w:rPr>
          <w:rFonts w:ascii="Arial" w:hAnsi="Arial" w:cs="Arial"/>
          <w:rtl/>
        </w:rPr>
        <w:t xml:space="preserve"> </w:t>
      </w:r>
      <w:r>
        <w:rPr>
          <w:rFonts w:ascii="Arial" w:hAnsi="Arial" w:cs="Arial" w:hint="cs"/>
          <w:rtl/>
        </w:rPr>
        <w:t>לתת ביטוי ל</w:t>
      </w:r>
      <w:r>
        <w:rPr>
          <w:rFonts w:ascii="Arial" w:hAnsi="Arial" w:cs="Arial"/>
          <w:rtl/>
        </w:rPr>
        <w:t>מגמת ההחמרה בענישה ו</w:t>
      </w:r>
      <w:r>
        <w:rPr>
          <w:rFonts w:ascii="Arial" w:hAnsi="Arial" w:cs="Arial" w:hint="cs"/>
          <w:rtl/>
        </w:rPr>
        <w:t>פסק</w:t>
      </w:r>
      <w:r>
        <w:rPr>
          <w:rFonts w:ascii="Arial" w:hAnsi="Arial" w:cs="Arial"/>
          <w:rtl/>
        </w:rPr>
        <w:t xml:space="preserve"> ב</w:t>
      </w:r>
      <w:hyperlink r:id="rId28" w:history="1">
        <w:r w:rsidRPr="00E71E50">
          <w:rPr>
            <w:rFonts w:ascii="Arial" w:hAnsi="Arial" w:cs="Arial"/>
            <w:color w:val="0000FF"/>
            <w:u w:val="single"/>
            <w:rtl/>
          </w:rPr>
          <w:t>ע"פ 6414/11</w:t>
        </w:r>
      </w:hyperlink>
      <w:r>
        <w:rPr>
          <w:rFonts w:ascii="Arial" w:hAnsi="Arial" w:cs="Arial"/>
          <w:rtl/>
        </w:rPr>
        <w:t xml:space="preserve"> </w:t>
      </w:r>
      <w:r>
        <w:rPr>
          <w:rFonts w:ascii="Arial" w:hAnsi="Arial" w:cs="Arial"/>
          <w:b/>
          <w:bCs/>
          <w:rtl/>
        </w:rPr>
        <w:t xml:space="preserve">נאהד חמיד נ' מדינת ישראל </w:t>
      </w:r>
      <w:r>
        <w:rPr>
          <w:rFonts w:ascii="Arial" w:hAnsi="Arial" w:cs="Arial"/>
          <w:sz w:val="20"/>
          <w:szCs w:val="20"/>
          <w:rtl/>
        </w:rPr>
        <w:t>(</w:t>
      </w:r>
      <w:r>
        <w:rPr>
          <w:rFonts w:ascii="Arial" w:hAnsi="Arial" w:cs="Arial" w:hint="cs"/>
          <w:sz w:val="20"/>
          <w:szCs w:val="20"/>
          <w:rtl/>
        </w:rPr>
        <w:t xml:space="preserve">מיום </w:t>
      </w:r>
      <w:r>
        <w:rPr>
          <w:rFonts w:ascii="Arial" w:hAnsi="Arial" w:cs="Arial"/>
          <w:sz w:val="20"/>
          <w:szCs w:val="20"/>
          <w:rtl/>
        </w:rPr>
        <w:t>23.12.13)</w:t>
      </w:r>
      <w:r>
        <w:rPr>
          <w:rFonts w:ascii="Arial" w:hAnsi="Arial" w:cs="Arial"/>
          <w:rtl/>
        </w:rPr>
        <w:t>:</w:t>
      </w:r>
    </w:p>
    <w:p w14:paraId="58DD11F2" w14:textId="77777777" w:rsidR="009A748F" w:rsidRDefault="00E71E50">
      <w:pPr>
        <w:ind w:left="1440" w:right="709"/>
        <w:jc w:val="both"/>
        <w:rPr>
          <w:rFonts w:ascii="Arial" w:hAnsi="Arial" w:cs="Miriam"/>
          <w:b/>
          <w:bCs/>
          <w:rtl/>
        </w:rPr>
      </w:pPr>
      <w:r>
        <w:rPr>
          <w:rFonts w:ascii="Arial" w:hAnsi="Arial" w:cs="Miriam"/>
          <w:b/>
          <w:bCs/>
          <w:rtl/>
        </w:rPr>
        <w:t>"אין צורך להכביר מילים באשר לחומרתן הרבה ביותר של עבירות נגד ביטחון המדינה, ובייחוד כאלה שטומנות בחובן סיכון ממשי לחיי אדם בהיקף נרחב. אין ספק שהענישה המושתת על מי שהורשע בעבירות כאמור צריכה להיות מרתיעה ביותר והרתעה זו תושג באמצעות גזירת עונשי מאסר ממושכים לריצוי בפועל על העבריינים."</w:t>
      </w:r>
    </w:p>
    <w:p w14:paraId="34064835" w14:textId="77777777" w:rsidR="009A748F" w:rsidRDefault="009A748F">
      <w:pPr>
        <w:spacing w:line="360" w:lineRule="auto"/>
        <w:jc w:val="both"/>
        <w:rPr>
          <w:rFonts w:ascii="Arial" w:hAnsi="Arial" w:cs="Arial"/>
          <w:rtl/>
        </w:rPr>
      </w:pPr>
    </w:p>
    <w:p w14:paraId="700CE42E" w14:textId="77777777" w:rsidR="009A748F" w:rsidRDefault="00E71E50">
      <w:pPr>
        <w:spacing w:line="360" w:lineRule="auto"/>
        <w:ind w:left="720"/>
        <w:jc w:val="both"/>
        <w:rPr>
          <w:rFonts w:ascii="Arial" w:hAnsi="Arial" w:cs="Arial"/>
          <w:rtl/>
        </w:rPr>
      </w:pPr>
      <w:r>
        <w:rPr>
          <w:rFonts w:ascii="Arial" w:hAnsi="Arial" w:cs="Arial" w:hint="cs"/>
          <w:rtl/>
        </w:rPr>
        <w:t xml:space="preserve">יתרה מכך, עיון בפסיקת ביהמ"ש העליון מלמד, כי העונש המוצע </w:t>
      </w:r>
      <w:r>
        <w:rPr>
          <w:rFonts w:ascii="Arial" w:hAnsi="Arial" w:cs="Arial"/>
          <w:rtl/>
        </w:rPr>
        <w:t xml:space="preserve">על ידי הצדדים </w:t>
      </w:r>
      <w:r>
        <w:rPr>
          <w:rFonts w:ascii="Arial" w:hAnsi="Arial" w:cs="Arial" w:hint="cs"/>
          <w:rtl/>
        </w:rPr>
        <w:t xml:space="preserve">מצוי במתחם הענישה ההולם; </w:t>
      </w:r>
      <w:r>
        <w:rPr>
          <w:rFonts w:ascii="Arial" w:hAnsi="Arial" w:cs="Arial"/>
          <w:rtl/>
        </w:rPr>
        <w:t xml:space="preserve">מבטא </w:t>
      </w:r>
      <w:r>
        <w:rPr>
          <w:rFonts w:ascii="Arial" w:hAnsi="Arial" w:cs="Arial" w:hint="cs"/>
          <w:rtl/>
        </w:rPr>
        <w:t xml:space="preserve">את רף ענישה שנקבע; ואף לוקח בחשבון את </w:t>
      </w:r>
      <w:r>
        <w:rPr>
          <w:rFonts w:ascii="Arial" w:hAnsi="Arial" w:cs="Arial"/>
          <w:rtl/>
        </w:rPr>
        <w:t>נסיבותיו האישיות של הנאשם ואת העובדה</w:t>
      </w:r>
      <w:r>
        <w:rPr>
          <w:rFonts w:ascii="Arial" w:hAnsi="Arial" w:cs="Arial" w:hint="cs"/>
          <w:rtl/>
        </w:rPr>
        <w:t>,</w:t>
      </w:r>
      <w:r>
        <w:rPr>
          <w:rFonts w:ascii="Arial" w:hAnsi="Arial" w:cs="Arial"/>
          <w:rtl/>
        </w:rPr>
        <w:t xml:space="preserve"> כי מעשיו לא גרמו לפגיעה בנפש</w:t>
      </w:r>
      <w:r>
        <w:rPr>
          <w:rFonts w:ascii="Arial" w:hAnsi="Arial" w:cs="Arial" w:hint="cs"/>
          <w:rtl/>
        </w:rPr>
        <w:t>.</w:t>
      </w:r>
    </w:p>
    <w:p w14:paraId="399AAB21" w14:textId="77777777" w:rsidR="009A748F" w:rsidRDefault="00E71E50">
      <w:pPr>
        <w:spacing w:line="360" w:lineRule="auto"/>
        <w:ind w:left="720"/>
        <w:jc w:val="both"/>
        <w:rPr>
          <w:rFonts w:ascii="Arial" w:hAnsi="Arial" w:cs="Arial"/>
          <w:rtl/>
        </w:rPr>
      </w:pPr>
      <w:r>
        <w:rPr>
          <w:rFonts w:ascii="Arial" w:hAnsi="Arial" w:cs="Arial" w:hint="cs"/>
          <w:rtl/>
        </w:rPr>
        <w:t>לפיכך, מצאנו כי יש לאמץ את הסדר הטיעון.</w:t>
      </w:r>
    </w:p>
    <w:p w14:paraId="7DA3D28C" w14:textId="77777777" w:rsidR="009A748F" w:rsidRDefault="009A748F">
      <w:pPr>
        <w:spacing w:line="360" w:lineRule="auto"/>
        <w:jc w:val="both"/>
        <w:rPr>
          <w:rFonts w:ascii="Arial" w:hAnsi="Arial" w:cs="Arial"/>
          <w:rtl/>
        </w:rPr>
      </w:pPr>
    </w:p>
    <w:p w14:paraId="10D14298" w14:textId="77777777" w:rsidR="009A748F" w:rsidRDefault="00E71E50">
      <w:pPr>
        <w:spacing w:line="360" w:lineRule="auto"/>
        <w:jc w:val="both"/>
        <w:rPr>
          <w:rFonts w:ascii="Arial" w:hAnsi="Arial" w:cs="Arial"/>
          <w:rtl/>
        </w:rPr>
      </w:pPr>
      <w:r>
        <w:rPr>
          <w:rFonts w:ascii="Arial" w:hAnsi="Arial" w:cs="Arial"/>
          <w:rtl/>
        </w:rPr>
        <w:t xml:space="preserve"> 4.</w:t>
      </w:r>
      <w:r>
        <w:rPr>
          <w:rFonts w:ascii="Arial" w:hAnsi="Arial" w:cs="Arial"/>
          <w:rtl/>
        </w:rPr>
        <w:tab/>
        <w:t>אשר על כן, אנו דנים את הנאשם לעונשים הבאים:</w:t>
      </w:r>
    </w:p>
    <w:p w14:paraId="46F46CE7" w14:textId="77777777" w:rsidR="009A748F" w:rsidRDefault="00E71E50">
      <w:pPr>
        <w:spacing w:line="360" w:lineRule="auto"/>
        <w:jc w:val="both"/>
        <w:rPr>
          <w:rFonts w:ascii="Arial" w:hAnsi="Arial" w:cs="Arial"/>
          <w:rtl/>
        </w:rPr>
      </w:pPr>
      <w:r>
        <w:rPr>
          <w:rFonts w:ascii="Arial" w:hAnsi="Arial" w:cs="Arial"/>
          <w:rtl/>
        </w:rPr>
        <w:tab/>
        <w:t xml:space="preserve">א. </w:t>
      </w:r>
      <w:r>
        <w:rPr>
          <w:rFonts w:ascii="Arial" w:hAnsi="Arial" w:cs="Arial" w:hint="cs"/>
          <w:rtl/>
        </w:rPr>
        <w:tab/>
      </w:r>
      <w:r>
        <w:rPr>
          <w:rFonts w:ascii="Arial" w:hAnsi="Arial" w:cs="Arial"/>
          <w:rtl/>
        </w:rPr>
        <w:t>מאסר בפועל למשך 17 שנים החל מיום המעצר</w:t>
      </w:r>
      <w:r>
        <w:rPr>
          <w:rFonts w:ascii="Arial" w:hAnsi="Arial" w:cs="Arial" w:hint="cs"/>
          <w:rtl/>
        </w:rPr>
        <w:t xml:space="preserve"> </w:t>
      </w:r>
      <w:r>
        <w:rPr>
          <w:rFonts w:ascii="Arial" w:hAnsi="Arial" w:cs="Arial"/>
          <w:rtl/>
        </w:rPr>
        <w:t>–</w:t>
      </w:r>
      <w:r>
        <w:rPr>
          <w:rFonts w:ascii="Arial" w:hAnsi="Arial" w:cs="Arial" w:hint="cs"/>
          <w:rtl/>
        </w:rPr>
        <w:t xml:space="preserve"> 23/07/13.</w:t>
      </w:r>
    </w:p>
    <w:p w14:paraId="2A02AFCA" w14:textId="77777777" w:rsidR="009A748F" w:rsidRDefault="00E71E50">
      <w:pPr>
        <w:spacing w:line="360" w:lineRule="auto"/>
        <w:ind w:left="1440" w:hanging="720"/>
        <w:jc w:val="both"/>
        <w:rPr>
          <w:rFonts w:ascii="Arial" w:hAnsi="Arial" w:cs="Arial"/>
          <w:rtl/>
        </w:rPr>
      </w:pPr>
      <w:r>
        <w:rPr>
          <w:rFonts w:ascii="Arial" w:hAnsi="Arial" w:cs="Arial"/>
          <w:rtl/>
        </w:rPr>
        <w:t xml:space="preserve">ב. </w:t>
      </w:r>
      <w:r>
        <w:rPr>
          <w:rFonts w:ascii="Arial" w:hAnsi="Arial" w:cs="Arial" w:hint="cs"/>
          <w:rtl/>
        </w:rPr>
        <w:tab/>
      </w:r>
      <w:r>
        <w:rPr>
          <w:rFonts w:ascii="Arial" w:hAnsi="Arial" w:cs="Arial"/>
          <w:rtl/>
        </w:rPr>
        <w:t xml:space="preserve">מאסר על תנאי למשך </w:t>
      </w:r>
      <w:r>
        <w:rPr>
          <w:rFonts w:ascii="Arial" w:hAnsi="Arial" w:cs="Arial" w:hint="cs"/>
          <w:rtl/>
        </w:rPr>
        <w:t>12</w:t>
      </w:r>
      <w:r>
        <w:rPr>
          <w:rFonts w:ascii="Arial" w:hAnsi="Arial" w:cs="Arial"/>
          <w:rtl/>
        </w:rPr>
        <w:t xml:space="preserve"> חודשים והתנאי שהנאשם לא יעבור על כל עבירה מסוג פשע או את העבירות בהן הורשע, תוך 3 שנים מיום שחרורו.</w:t>
      </w:r>
    </w:p>
    <w:p w14:paraId="441E9201" w14:textId="77777777" w:rsidR="009A748F" w:rsidRDefault="009A748F">
      <w:pPr>
        <w:spacing w:line="360" w:lineRule="auto"/>
        <w:jc w:val="both"/>
        <w:rPr>
          <w:rFonts w:ascii="Arial" w:hAnsi="Arial" w:cs="Arial"/>
          <w:rtl/>
        </w:rPr>
      </w:pPr>
    </w:p>
    <w:p w14:paraId="63D3FDFD" w14:textId="77777777" w:rsidR="009A748F" w:rsidRDefault="00E71E50">
      <w:pPr>
        <w:spacing w:line="360" w:lineRule="auto"/>
        <w:jc w:val="both"/>
        <w:rPr>
          <w:rFonts w:ascii="Arial" w:hAnsi="Arial" w:cs="Arial"/>
          <w:b/>
          <w:bCs/>
          <w:rtl/>
        </w:rPr>
      </w:pPr>
      <w:r>
        <w:rPr>
          <w:rFonts w:ascii="Arial" w:hAnsi="Arial" w:cs="Arial"/>
          <w:b/>
          <w:bCs/>
          <w:rtl/>
        </w:rPr>
        <w:t>זכות ערעור תוך 45 יום לבית המשפט העליון.</w:t>
      </w:r>
    </w:p>
    <w:p w14:paraId="56C3B3A4" w14:textId="77777777" w:rsidR="009A748F" w:rsidRDefault="00E71E50">
      <w:pPr>
        <w:spacing w:line="360" w:lineRule="auto"/>
        <w:jc w:val="both"/>
        <w:rPr>
          <w:rFonts w:ascii="Arial" w:hAnsi="Arial" w:cs="Arial"/>
          <w:b/>
          <w:bCs/>
          <w:rtl/>
        </w:rPr>
      </w:pPr>
      <w:r>
        <w:rPr>
          <w:rFonts w:ascii="Arial" w:hAnsi="Arial" w:cs="Arial"/>
          <w:b/>
          <w:bCs/>
          <w:rtl/>
        </w:rPr>
        <w:t xml:space="preserve"> </w:t>
      </w:r>
    </w:p>
    <w:p w14:paraId="2CCF8786" w14:textId="77777777" w:rsidR="009A748F" w:rsidRDefault="00E71E50" w:rsidP="00355B40">
      <w:pPr>
        <w:rPr>
          <w:rFonts w:ascii="Arial" w:hAnsi="Arial" w:cs="Arial"/>
          <w:b/>
          <w:bCs/>
          <w:rtl/>
        </w:rPr>
      </w:pPr>
      <w:r>
        <w:rPr>
          <w:rFonts w:ascii="Arial" w:hAnsi="Arial" w:cs="Arial"/>
          <w:b/>
          <w:bCs/>
          <w:rtl/>
        </w:rPr>
        <w:t>ניתן היום,  י"ב סיוון תשע"ד, 10 יוני</w:t>
      </w:r>
      <w:r w:rsidR="00355B40">
        <w:rPr>
          <w:rFonts w:ascii="Arial" w:hAnsi="Arial" w:cs="Arial" w:hint="cs"/>
          <w:b/>
          <w:bCs/>
          <w:rtl/>
        </w:rPr>
        <w:t xml:space="preserve"> </w:t>
      </w:r>
      <w:r>
        <w:rPr>
          <w:rFonts w:ascii="Arial" w:hAnsi="Arial" w:cs="Arial"/>
          <w:b/>
          <w:bCs/>
          <w:rtl/>
        </w:rPr>
        <w:t xml:space="preserve">2014, במעמד הצדדים. </w:t>
      </w:r>
    </w:p>
    <w:tbl>
      <w:tblPr>
        <w:bidiVisual/>
        <w:tblW w:w="0" w:type="auto"/>
        <w:tblLook w:val="01E0" w:firstRow="1" w:lastRow="1" w:firstColumn="1" w:lastColumn="1" w:noHBand="0" w:noVBand="0"/>
      </w:tblPr>
      <w:tblGrid>
        <w:gridCol w:w="2654"/>
        <w:gridCol w:w="236"/>
        <w:gridCol w:w="2104"/>
        <w:gridCol w:w="236"/>
        <w:gridCol w:w="3008"/>
      </w:tblGrid>
      <w:tr w:rsidR="009A748F" w14:paraId="623527F8" w14:textId="77777777">
        <w:tc>
          <w:tcPr>
            <w:tcW w:w="2654" w:type="dxa"/>
            <w:tcBorders>
              <w:top w:val="nil"/>
              <w:left w:val="nil"/>
              <w:bottom w:val="single" w:sz="4" w:space="0" w:color="auto"/>
              <w:right w:val="nil"/>
            </w:tcBorders>
            <w:vAlign w:val="center"/>
          </w:tcPr>
          <w:p w14:paraId="308EFD91" w14:textId="77777777" w:rsidR="009A748F" w:rsidRPr="00E71E50" w:rsidRDefault="00E71E50">
            <w:pPr>
              <w:jc w:val="center"/>
              <w:rPr>
                <w:rFonts w:ascii="Courier New" w:hAnsi="Courier New"/>
                <w:b/>
                <w:bCs/>
                <w:color w:val="FFFFFF"/>
                <w:sz w:val="2"/>
                <w:szCs w:val="2"/>
              </w:rPr>
            </w:pPr>
            <w:r w:rsidRPr="00E71E50">
              <w:rPr>
                <w:rFonts w:ascii="Courier New" w:hAnsi="Courier New"/>
                <w:b/>
                <w:bCs/>
                <w:color w:val="FFFFFF"/>
                <w:sz w:val="2"/>
                <w:szCs w:val="2"/>
                <w:rtl/>
              </w:rPr>
              <w:t>54678313</w:t>
            </w:r>
          </w:p>
        </w:tc>
        <w:tc>
          <w:tcPr>
            <w:tcW w:w="236" w:type="dxa"/>
            <w:vAlign w:val="center"/>
          </w:tcPr>
          <w:p w14:paraId="78A26E00" w14:textId="77777777" w:rsidR="009A748F" w:rsidRDefault="009A748F">
            <w:pPr>
              <w:jc w:val="center"/>
              <w:rPr>
                <w:rFonts w:ascii="Courier New" w:hAnsi="Courier New"/>
                <w:b/>
                <w:bCs/>
              </w:rPr>
            </w:pPr>
          </w:p>
        </w:tc>
        <w:tc>
          <w:tcPr>
            <w:tcW w:w="2104" w:type="dxa"/>
            <w:tcBorders>
              <w:top w:val="nil"/>
              <w:left w:val="nil"/>
              <w:bottom w:val="single" w:sz="4" w:space="0" w:color="auto"/>
              <w:right w:val="nil"/>
            </w:tcBorders>
            <w:vAlign w:val="center"/>
          </w:tcPr>
          <w:p w14:paraId="0A62FD66" w14:textId="77777777" w:rsidR="009A748F" w:rsidRDefault="009A748F">
            <w:pPr>
              <w:jc w:val="center"/>
              <w:rPr>
                <w:rFonts w:ascii="Courier New" w:hAnsi="Courier New"/>
                <w:b/>
                <w:bCs/>
                <w:sz w:val="20"/>
                <w:szCs w:val="20"/>
              </w:rPr>
            </w:pPr>
          </w:p>
        </w:tc>
        <w:tc>
          <w:tcPr>
            <w:tcW w:w="236" w:type="dxa"/>
            <w:vAlign w:val="center"/>
          </w:tcPr>
          <w:p w14:paraId="129FEE3A" w14:textId="77777777" w:rsidR="009A748F" w:rsidRDefault="009A748F">
            <w:pPr>
              <w:jc w:val="center"/>
              <w:rPr>
                <w:rFonts w:ascii="Courier New" w:hAnsi="Courier New"/>
                <w:b/>
                <w:bCs/>
              </w:rPr>
            </w:pPr>
          </w:p>
        </w:tc>
        <w:tc>
          <w:tcPr>
            <w:tcW w:w="3008" w:type="dxa"/>
            <w:tcBorders>
              <w:top w:val="nil"/>
              <w:left w:val="nil"/>
              <w:bottom w:val="single" w:sz="4" w:space="0" w:color="auto"/>
              <w:right w:val="nil"/>
            </w:tcBorders>
            <w:vAlign w:val="center"/>
          </w:tcPr>
          <w:p w14:paraId="1C82D514" w14:textId="77777777" w:rsidR="009A748F" w:rsidRDefault="009A748F">
            <w:pPr>
              <w:jc w:val="center"/>
              <w:rPr>
                <w:rFonts w:ascii="Courier New" w:hAnsi="Courier New"/>
                <w:b/>
                <w:bCs/>
                <w:sz w:val="20"/>
                <w:szCs w:val="20"/>
              </w:rPr>
            </w:pPr>
          </w:p>
        </w:tc>
      </w:tr>
      <w:tr w:rsidR="009A748F" w14:paraId="0B1CDC55" w14:textId="77777777">
        <w:tc>
          <w:tcPr>
            <w:tcW w:w="2654" w:type="dxa"/>
            <w:tcBorders>
              <w:top w:val="single" w:sz="4" w:space="0" w:color="auto"/>
              <w:left w:val="nil"/>
              <w:bottom w:val="nil"/>
              <w:right w:val="nil"/>
            </w:tcBorders>
            <w:vAlign w:val="bottom"/>
          </w:tcPr>
          <w:p w14:paraId="2C4B4EC7" w14:textId="77777777" w:rsidR="009A748F" w:rsidRDefault="00E71E50">
            <w:pPr>
              <w:jc w:val="center"/>
            </w:pPr>
            <w:r>
              <w:rPr>
                <w:rFonts w:ascii="Arial" w:hAnsi="Arial" w:cs="Arial"/>
                <w:b/>
                <w:bCs/>
                <w:rtl/>
              </w:rPr>
              <w:t>ס.</w:t>
            </w:r>
            <w:r>
              <w:rPr>
                <w:rFonts w:ascii="Arial" w:hAnsi="Arial" w:cs="Arial" w:hint="cs"/>
                <w:b/>
                <w:bCs/>
                <w:rtl/>
              </w:rPr>
              <w:t xml:space="preserve"> </w:t>
            </w:r>
            <w:r>
              <w:rPr>
                <w:rFonts w:ascii="Arial" w:hAnsi="Arial" w:cs="Arial"/>
                <w:b/>
                <w:bCs/>
                <w:rtl/>
              </w:rPr>
              <w:t>הנשיא, ר</w:t>
            </w:r>
            <w:r>
              <w:rPr>
                <w:rFonts w:ascii="Arial" w:hAnsi="Arial" w:cs="Arial" w:hint="cs"/>
                <w:b/>
                <w:bCs/>
                <w:rtl/>
              </w:rPr>
              <w:t xml:space="preserve">ויטל </w:t>
            </w:r>
            <w:r>
              <w:rPr>
                <w:rFonts w:ascii="Arial" w:hAnsi="Arial" w:cs="Arial"/>
                <w:b/>
                <w:bCs/>
                <w:rtl/>
              </w:rPr>
              <w:t>יפה-כ"ץ</w:t>
            </w:r>
          </w:p>
          <w:p w14:paraId="601A0188" w14:textId="77777777" w:rsidR="009A748F" w:rsidRDefault="00E71E50">
            <w:pPr>
              <w:jc w:val="center"/>
              <w:rPr>
                <w:rtl/>
              </w:rPr>
            </w:pPr>
            <w:r>
              <w:rPr>
                <w:rFonts w:ascii="Arial" w:hAnsi="Arial" w:cs="Arial"/>
                <w:b/>
                <w:bCs/>
                <w:rtl/>
              </w:rPr>
              <w:t>אב"ד</w:t>
            </w:r>
          </w:p>
          <w:p w14:paraId="60B9A50E" w14:textId="77777777" w:rsidR="009A748F" w:rsidRDefault="009A748F">
            <w:pPr>
              <w:jc w:val="center"/>
              <w:rPr>
                <w:rFonts w:ascii="Courier New" w:hAnsi="Courier New"/>
                <w:b/>
                <w:bCs/>
              </w:rPr>
            </w:pPr>
          </w:p>
        </w:tc>
        <w:tc>
          <w:tcPr>
            <w:tcW w:w="236" w:type="dxa"/>
            <w:vAlign w:val="bottom"/>
          </w:tcPr>
          <w:p w14:paraId="4CFE0472" w14:textId="77777777" w:rsidR="009A748F" w:rsidRDefault="009A748F">
            <w:pPr>
              <w:jc w:val="center"/>
              <w:rPr>
                <w:rFonts w:ascii="Courier New" w:hAnsi="Courier New"/>
                <w:b/>
                <w:bCs/>
              </w:rPr>
            </w:pPr>
          </w:p>
        </w:tc>
        <w:tc>
          <w:tcPr>
            <w:tcW w:w="2104" w:type="dxa"/>
            <w:tcBorders>
              <w:top w:val="single" w:sz="4" w:space="0" w:color="auto"/>
              <w:left w:val="nil"/>
              <w:bottom w:val="nil"/>
              <w:right w:val="nil"/>
            </w:tcBorders>
          </w:tcPr>
          <w:p w14:paraId="47FD54A4" w14:textId="77777777" w:rsidR="009A748F" w:rsidRDefault="00E71E50">
            <w:pPr>
              <w:jc w:val="center"/>
              <w:rPr>
                <w:rFonts w:ascii="Arial" w:hAnsi="Arial" w:cs="Arial"/>
                <w:b/>
                <w:bCs/>
              </w:rPr>
            </w:pPr>
            <w:r>
              <w:rPr>
                <w:rFonts w:ascii="Arial" w:hAnsi="Arial" w:cs="Arial"/>
                <w:b/>
                <w:bCs/>
                <w:rtl/>
              </w:rPr>
              <w:t>אריאל ואגו, שופט</w:t>
            </w:r>
          </w:p>
        </w:tc>
        <w:tc>
          <w:tcPr>
            <w:tcW w:w="236" w:type="dxa"/>
          </w:tcPr>
          <w:p w14:paraId="5CA4FF81" w14:textId="77777777" w:rsidR="009A748F" w:rsidRDefault="009A748F">
            <w:pPr>
              <w:jc w:val="center"/>
              <w:rPr>
                <w:rFonts w:ascii="Arial" w:hAnsi="Arial" w:cs="Arial"/>
                <w:b/>
                <w:bCs/>
              </w:rPr>
            </w:pPr>
          </w:p>
        </w:tc>
        <w:tc>
          <w:tcPr>
            <w:tcW w:w="3008" w:type="dxa"/>
            <w:tcBorders>
              <w:top w:val="single" w:sz="4" w:space="0" w:color="auto"/>
              <w:left w:val="nil"/>
              <w:bottom w:val="nil"/>
              <w:right w:val="nil"/>
            </w:tcBorders>
          </w:tcPr>
          <w:p w14:paraId="40EACF3B" w14:textId="77777777" w:rsidR="009A748F" w:rsidRDefault="00E71E50">
            <w:pPr>
              <w:jc w:val="center"/>
              <w:rPr>
                <w:rFonts w:ascii="Arial" w:hAnsi="Arial" w:cs="Arial"/>
                <w:b/>
                <w:bCs/>
              </w:rPr>
            </w:pPr>
            <w:r>
              <w:rPr>
                <w:rFonts w:ascii="Arial" w:hAnsi="Arial" w:cs="Arial"/>
                <w:b/>
                <w:bCs/>
                <w:rtl/>
              </w:rPr>
              <w:t>יורם צלקובניק, שופט</w:t>
            </w:r>
          </w:p>
        </w:tc>
      </w:tr>
    </w:tbl>
    <w:p w14:paraId="6D3D70CF" w14:textId="77777777" w:rsidR="009A748F" w:rsidRPr="00355B40" w:rsidRDefault="00355B40">
      <w:pPr>
        <w:rPr>
          <w:color w:val="FFFFFF"/>
          <w:sz w:val="2"/>
          <w:szCs w:val="2"/>
        </w:rPr>
      </w:pPr>
      <w:r w:rsidRPr="00355B40">
        <w:rPr>
          <w:color w:val="FFFFFF"/>
          <w:sz w:val="2"/>
          <w:szCs w:val="2"/>
          <w:rtl/>
        </w:rPr>
        <w:t>5129371</w:t>
      </w:r>
    </w:p>
    <w:p w14:paraId="691D9D6C" w14:textId="77777777" w:rsidR="00E71E50" w:rsidRPr="00355B40" w:rsidRDefault="00355B40" w:rsidP="00E71E50">
      <w:pPr>
        <w:keepNext/>
        <w:rPr>
          <w:rFonts w:ascii="David" w:hAnsi="David"/>
          <w:color w:val="FFFFFF"/>
          <w:sz w:val="2"/>
          <w:szCs w:val="2"/>
          <w:rtl/>
        </w:rPr>
      </w:pPr>
      <w:r w:rsidRPr="00355B40">
        <w:rPr>
          <w:rFonts w:ascii="David" w:hAnsi="David"/>
          <w:color w:val="FFFFFF"/>
          <w:sz w:val="2"/>
          <w:szCs w:val="2"/>
          <w:rtl/>
        </w:rPr>
        <w:t>54678313</w:t>
      </w:r>
    </w:p>
    <w:p w14:paraId="302D2B8D" w14:textId="77777777" w:rsidR="00355B40" w:rsidRPr="00355B40" w:rsidRDefault="00355B40" w:rsidP="00355B40">
      <w:pPr>
        <w:keepNext/>
        <w:rPr>
          <w:rFonts w:ascii="David" w:hAnsi="David"/>
          <w:color w:val="000000"/>
          <w:sz w:val="22"/>
          <w:szCs w:val="22"/>
          <w:rtl/>
        </w:rPr>
      </w:pPr>
      <w:r w:rsidRPr="00355B40">
        <w:rPr>
          <w:rFonts w:ascii="David" w:hAnsi="David"/>
          <w:color w:val="000000"/>
          <w:sz w:val="22"/>
          <w:szCs w:val="22"/>
          <w:rtl/>
        </w:rPr>
        <w:t>ר. יפה כ</w:t>
      </w:r>
      <w:r>
        <w:rPr>
          <w:rFonts w:ascii="David" w:hAnsi="David" w:hint="cs"/>
          <w:color w:val="000000"/>
          <w:sz w:val="22"/>
          <w:szCs w:val="22"/>
          <w:rtl/>
        </w:rPr>
        <w:t>"</w:t>
      </w:r>
      <w:r w:rsidRPr="00355B40">
        <w:rPr>
          <w:rFonts w:ascii="David" w:hAnsi="David"/>
          <w:color w:val="000000"/>
          <w:sz w:val="22"/>
          <w:szCs w:val="22"/>
          <w:rtl/>
        </w:rPr>
        <w:t>ץ 54678313-/</w:t>
      </w:r>
    </w:p>
    <w:p w14:paraId="4FEC889A" w14:textId="77777777" w:rsidR="00355B40" w:rsidRPr="00E71E50" w:rsidRDefault="00355B40" w:rsidP="00355B40">
      <w:pPr>
        <w:rPr>
          <w:color w:val="0000FF"/>
          <w:u w:val="single"/>
        </w:rPr>
      </w:pPr>
      <w:r w:rsidRPr="00355B40">
        <w:rPr>
          <w:color w:val="000000"/>
          <w:u w:val="single"/>
          <w:rtl/>
        </w:rPr>
        <w:t>נוסח מסמך זה כפוף לשינויי ניסוח ועריכה</w:t>
      </w:r>
    </w:p>
    <w:p w14:paraId="4041679E" w14:textId="77777777" w:rsidR="00E71E50" w:rsidRDefault="00E71E50" w:rsidP="00E71E50">
      <w:pPr>
        <w:rPr>
          <w:rtl/>
        </w:rPr>
      </w:pPr>
    </w:p>
    <w:p w14:paraId="2830F2EA" w14:textId="77777777" w:rsidR="00E71E50" w:rsidRDefault="00E71E50" w:rsidP="00E71E50">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78E3BEAA" w14:textId="77777777" w:rsidR="00355B40" w:rsidRPr="00355B40" w:rsidRDefault="00355B40" w:rsidP="00355B40">
      <w:pPr>
        <w:keepNext/>
        <w:rPr>
          <w:rFonts w:ascii="David" w:hAnsi="David"/>
          <w:color w:val="000000"/>
          <w:sz w:val="22"/>
          <w:szCs w:val="22"/>
          <w:rtl/>
        </w:rPr>
      </w:pPr>
    </w:p>
    <w:p w14:paraId="541680C9" w14:textId="77777777" w:rsidR="00355B40" w:rsidRPr="00355B40" w:rsidRDefault="00355B40">
      <w:pPr>
        <w:rPr>
          <w:rFonts w:ascii="David" w:hAnsi="David"/>
          <w:color w:val="000000"/>
          <w:sz w:val="22"/>
          <w:szCs w:val="22"/>
          <w:rtl/>
        </w:rPr>
      </w:pPr>
    </w:p>
    <w:sectPr w:rsidR="00355B40" w:rsidRPr="00355B40" w:rsidSect="00355B40">
      <w:headerReference w:type="even" r:id="rId30"/>
      <w:headerReference w:type="default" r:id="rId31"/>
      <w:footerReference w:type="even" r:id="rId32"/>
      <w:footerReference w:type="default" r:id="rId33"/>
      <w:pgSz w:w="11907" w:h="16840" w:code="9"/>
      <w:pgMar w:top="1701" w:right="1701" w:bottom="567" w:left="1701" w:header="187" w:footer="284"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5B3913" w14:textId="77777777" w:rsidR="004E20A3" w:rsidRPr="00742458" w:rsidRDefault="004E20A3">
      <w:pPr>
        <w:rPr>
          <w:rFonts w:cs="Arial"/>
          <w:szCs w:val="20"/>
        </w:rPr>
      </w:pPr>
      <w:r>
        <w:separator/>
      </w:r>
    </w:p>
  </w:endnote>
  <w:endnote w:type="continuationSeparator" w:id="0">
    <w:p w14:paraId="4C3964F0" w14:textId="77777777" w:rsidR="004E20A3" w:rsidRPr="00742458" w:rsidRDefault="004E20A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EFA01" w14:textId="77777777" w:rsidR="00355B40" w:rsidRDefault="00355B40" w:rsidP="00355B40">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4DF9BCC6" w14:textId="77777777" w:rsidR="00E71E50" w:rsidRPr="00355B40" w:rsidRDefault="00355B40" w:rsidP="00355B40">
    <w:pPr>
      <w:pStyle w:val="a4"/>
      <w:pBdr>
        <w:top w:val="single" w:sz="4" w:space="1" w:color="auto"/>
        <w:between w:val="single" w:sz="4" w:space="0" w:color="auto"/>
      </w:pBdr>
      <w:spacing w:after="60"/>
      <w:jc w:val="center"/>
      <w:rPr>
        <w:rFonts w:ascii="FrankRuehl" w:hAnsi="FrankRuehl" w:cs="FrankRuehl"/>
        <w:color w:val="000000"/>
      </w:rPr>
    </w:pPr>
    <w:r w:rsidRPr="00355B4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CAEF9" w14:textId="77777777" w:rsidR="00355B40" w:rsidRDefault="00355B40" w:rsidP="00355B40">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44CB7">
      <w:rPr>
        <w:rFonts w:ascii="FrankRuehl" w:hAnsi="FrankRuehl" w:cs="FrankRuehl"/>
        <w:rtl/>
      </w:rPr>
      <w:t>1</w:t>
    </w:r>
    <w:r>
      <w:rPr>
        <w:rFonts w:ascii="FrankRuehl" w:hAnsi="FrankRuehl" w:cs="FrankRuehl"/>
        <w:rtl/>
      </w:rPr>
      <w:fldChar w:fldCharType="end"/>
    </w:r>
  </w:p>
  <w:p w14:paraId="09E15CA1" w14:textId="77777777" w:rsidR="00E71E50" w:rsidRPr="00355B40" w:rsidRDefault="00355B40" w:rsidP="00355B40">
    <w:pPr>
      <w:pStyle w:val="a4"/>
      <w:pBdr>
        <w:top w:val="single" w:sz="4" w:space="1" w:color="auto"/>
        <w:between w:val="single" w:sz="4" w:space="0" w:color="auto"/>
      </w:pBdr>
      <w:spacing w:after="60"/>
      <w:jc w:val="center"/>
      <w:rPr>
        <w:rFonts w:ascii="FrankRuehl" w:hAnsi="FrankRuehl" w:cs="FrankRuehl"/>
        <w:color w:val="000000"/>
      </w:rPr>
    </w:pPr>
    <w:r w:rsidRPr="00355B40">
      <w:rPr>
        <w:rFonts w:ascii="FrankRuehl" w:hAnsi="FrankRuehl" w:cs="FrankRuehl"/>
        <w:color w:val="000000"/>
      </w:rPr>
      <w:pict w14:anchorId="0710A1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8DEF8F" w14:textId="77777777" w:rsidR="004E20A3" w:rsidRPr="00742458" w:rsidRDefault="004E20A3">
      <w:pPr>
        <w:rPr>
          <w:rFonts w:cs="Arial"/>
          <w:szCs w:val="20"/>
        </w:rPr>
      </w:pPr>
      <w:r>
        <w:separator/>
      </w:r>
    </w:p>
  </w:footnote>
  <w:footnote w:type="continuationSeparator" w:id="0">
    <w:p w14:paraId="2D7661D1" w14:textId="77777777" w:rsidR="004E20A3" w:rsidRPr="00742458" w:rsidRDefault="004E20A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4CEC2" w14:textId="77777777" w:rsidR="00E71E50" w:rsidRPr="00355B40" w:rsidRDefault="00355B40" w:rsidP="00355B4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35298-08-13</w:t>
    </w:r>
    <w:r>
      <w:rPr>
        <w:rFonts w:ascii="David" w:hAnsi="David"/>
        <w:color w:val="000000"/>
        <w:sz w:val="22"/>
        <w:szCs w:val="22"/>
        <w:rtl/>
      </w:rPr>
      <w:tab/>
      <w:t xml:space="preserve"> מדינת ישראל נ' חוסאם זענין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D0FA2" w14:textId="77777777" w:rsidR="00E71E50" w:rsidRPr="00355B40" w:rsidRDefault="00355B40" w:rsidP="00355B4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35298-08-13</w:t>
    </w:r>
    <w:r>
      <w:rPr>
        <w:rFonts w:ascii="David" w:hAnsi="David"/>
        <w:color w:val="000000"/>
        <w:sz w:val="22"/>
        <w:szCs w:val="22"/>
        <w:rtl/>
      </w:rPr>
      <w:tab/>
      <w:t xml:space="preserve"> מדינת ישראל נ' חוסאם זענין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A748F"/>
    <w:rsid w:val="00355B40"/>
    <w:rsid w:val="004E20A3"/>
    <w:rsid w:val="009A748F"/>
    <w:rsid w:val="00A44CB7"/>
    <w:rsid w:val="00D05A61"/>
    <w:rsid w:val="00E71E50"/>
    <w:rsid w:val="00FA71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6341B006"/>
  <w15:chartTrackingRefBased/>
  <w15:docId w15:val="{60A77007-4014-4684-85B9-389C74C4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748F"/>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A748F"/>
    <w:pPr>
      <w:tabs>
        <w:tab w:val="center" w:pos="4153"/>
        <w:tab w:val="right" w:pos="8306"/>
      </w:tabs>
    </w:pPr>
  </w:style>
  <w:style w:type="paragraph" w:styleId="a4">
    <w:name w:val="footer"/>
    <w:basedOn w:val="a"/>
    <w:rsid w:val="009A748F"/>
    <w:pPr>
      <w:tabs>
        <w:tab w:val="center" w:pos="4153"/>
        <w:tab w:val="right" w:pos="8306"/>
      </w:tabs>
    </w:pPr>
  </w:style>
  <w:style w:type="character" w:styleId="a5">
    <w:name w:val="page number"/>
    <w:basedOn w:val="a0"/>
    <w:rsid w:val="00E71E50"/>
  </w:style>
  <w:style w:type="character" w:styleId="Hyperlink">
    <w:name w:val="Hyperlink"/>
    <w:basedOn w:val="a0"/>
    <w:rsid w:val="00E71E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3729/85.a" TargetMode="External"/><Relationship Id="rId18" Type="http://schemas.openxmlformats.org/officeDocument/2006/relationships/hyperlink" Target="http://www.nevo.co.il/law/70301/143.a" TargetMode="External"/><Relationship Id="rId26" Type="http://schemas.openxmlformats.org/officeDocument/2006/relationships/hyperlink" Target="http://www.nevo.co.il/law/70301" TargetMode="External"/><Relationship Id="rId3" Type="http://schemas.openxmlformats.org/officeDocument/2006/relationships/webSettings" Target="webSettings.xml"/><Relationship Id="rId21" Type="http://schemas.openxmlformats.org/officeDocument/2006/relationships/hyperlink" Target="http://www.nevo.co.il/law/70301/305.1" TargetMode="External"/><Relationship Id="rId34" Type="http://schemas.openxmlformats.org/officeDocument/2006/relationships/fontTable" Target="fontTable.xml"/><Relationship Id="rId7" Type="http://schemas.openxmlformats.org/officeDocument/2006/relationships/hyperlink" Target="http://www.nevo.co.il/law/70301/31" TargetMode="External"/><Relationship Id="rId12" Type="http://schemas.openxmlformats.org/officeDocument/2006/relationships/hyperlink" Target="http://www.nevo.co.il/law/73729" TargetMode="External"/><Relationship Id="rId17" Type="http://schemas.openxmlformats.org/officeDocument/2006/relationships/hyperlink" Target="http://www.nevo.co.il/law/73729" TargetMode="External"/><Relationship Id="rId25" Type="http://schemas.openxmlformats.org/officeDocument/2006/relationships/hyperlink" Target="http://www.nevo.co.il/law/70301/305.1"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3729/85.a" TargetMode="External"/><Relationship Id="rId20" Type="http://schemas.openxmlformats.org/officeDocument/2006/relationships/hyperlink" Target="http://www.nevo.co.il/law/73729/85.a"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05.1" TargetMode="External"/><Relationship Id="rId24" Type="http://schemas.openxmlformats.org/officeDocument/2006/relationships/hyperlink" Target="http://www.nevo.co.il/law/73729/85.a"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31" TargetMode="External"/><Relationship Id="rId28" Type="http://schemas.openxmlformats.org/officeDocument/2006/relationships/hyperlink" Target="http://www.nevo.co.il/case/5594497"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144.b"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43.a" TargetMode="External"/><Relationship Id="rId14" Type="http://schemas.openxmlformats.org/officeDocument/2006/relationships/hyperlink" Target="http://www.nevo.co.il/law/70301/114.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586131"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11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1125</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6740</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4128892</vt:i4>
      </vt:variant>
      <vt:variant>
        <vt:i4>66</vt:i4>
      </vt:variant>
      <vt:variant>
        <vt:i4>0</vt:i4>
      </vt:variant>
      <vt:variant>
        <vt:i4>5</vt:i4>
      </vt:variant>
      <vt:variant>
        <vt:lpwstr>http://www.nevo.co.il/case/5594497</vt:lpwstr>
      </vt:variant>
      <vt:variant>
        <vt:lpwstr/>
      </vt:variant>
      <vt:variant>
        <vt:i4>3997812</vt:i4>
      </vt:variant>
      <vt:variant>
        <vt:i4>63</vt:i4>
      </vt:variant>
      <vt:variant>
        <vt:i4>0</vt:i4>
      </vt:variant>
      <vt:variant>
        <vt:i4>5</vt:i4>
      </vt:variant>
      <vt:variant>
        <vt:lpwstr>http://www.nevo.co.il/case/5586131</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4915283</vt:i4>
      </vt:variant>
      <vt:variant>
        <vt:i4>57</vt:i4>
      </vt:variant>
      <vt:variant>
        <vt:i4>0</vt:i4>
      </vt:variant>
      <vt:variant>
        <vt:i4>5</vt:i4>
      </vt:variant>
      <vt:variant>
        <vt:lpwstr>http://www.nevo.co.il/law/70301/305.1</vt:lpwstr>
      </vt:variant>
      <vt:variant>
        <vt:lpwstr/>
      </vt:variant>
      <vt:variant>
        <vt:i4>79</vt:i4>
      </vt:variant>
      <vt:variant>
        <vt:i4>54</vt:i4>
      </vt:variant>
      <vt:variant>
        <vt:i4>0</vt:i4>
      </vt:variant>
      <vt:variant>
        <vt:i4>5</vt:i4>
      </vt:variant>
      <vt:variant>
        <vt:lpwstr>http://www.nevo.co.il/law/73729/85.a</vt:lpwstr>
      </vt:variant>
      <vt:variant>
        <vt:lpwstr/>
      </vt:variant>
      <vt:variant>
        <vt:i4>6553702</vt:i4>
      </vt:variant>
      <vt:variant>
        <vt:i4>51</vt:i4>
      </vt:variant>
      <vt:variant>
        <vt:i4>0</vt:i4>
      </vt:variant>
      <vt:variant>
        <vt:i4>5</vt:i4>
      </vt:variant>
      <vt:variant>
        <vt:lpwstr>http://www.nevo.co.il/law/70301/31</vt:lpwstr>
      </vt:variant>
      <vt:variant>
        <vt:lpwstr/>
      </vt:variant>
      <vt:variant>
        <vt:i4>7995492</vt:i4>
      </vt:variant>
      <vt:variant>
        <vt:i4>48</vt:i4>
      </vt:variant>
      <vt:variant>
        <vt:i4>0</vt:i4>
      </vt:variant>
      <vt:variant>
        <vt:i4>5</vt:i4>
      </vt:variant>
      <vt:variant>
        <vt:lpwstr>http://www.nevo.co.il/law/70301</vt:lpwstr>
      </vt:variant>
      <vt:variant>
        <vt:lpwstr/>
      </vt:variant>
      <vt:variant>
        <vt:i4>4915283</vt:i4>
      </vt:variant>
      <vt:variant>
        <vt:i4>45</vt:i4>
      </vt:variant>
      <vt:variant>
        <vt:i4>0</vt:i4>
      </vt:variant>
      <vt:variant>
        <vt:i4>5</vt:i4>
      </vt:variant>
      <vt:variant>
        <vt:lpwstr>http://www.nevo.co.il/law/70301/305.1</vt:lpwstr>
      </vt:variant>
      <vt:variant>
        <vt:lpwstr/>
      </vt:variant>
      <vt:variant>
        <vt:i4>79</vt:i4>
      </vt:variant>
      <vt:variant>
        <vt:i4>42</vt:i4>
      </vt:variant>
      <vt:variant>
        <vt:i4>0</vt:i4>
      </vt:variant>
      <vt:variant>
        <vt:i4>5</vt:i4>
      </vt:variant>
      <vt:variant>
        <vt:lpwstr>http://www.nevo.co.il/law/73729/85.a</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5177431</vt:i4>
      </vt:variant>
      <vt:variant>
        <vt:i4>36</vt:i4>
      </vt:variant>
      <vt:variant>
        <vt:i4>0</vt:i4>
      </vt:variant>
      <vt:variant>
        <vt:i4>5</vt:i4>
      </vt:variant>
      <vt:variant>
        <vt:lpwstr>http://www.nevo.co.il/law/70301/143.a</vt:lpwstr>
      </vt:variant>
      <vt:variant>
        <vt:lpwstr/>
      </vt:variant>
      <vt:variant>
        <vt:i4>8061024</vt:i4>
      </vt:variant>
      <vt:variant>
        <vt:i4>33</vt:i4>
      </vt:variant>
      <vt:variant>
        <vt:i4>0</vt:i4>
      </vt:variant>
      <vt:variant>
        <vt:i4>5</vt:i4>
      </vt:variant>
      <vt:variant>
        <vt:lpwstr>http://www.nevo.co.il/law/73729</vt:lpwstr>
      </vt:variant>
      <vt:variant>
        <vt:lpwstr/>
      </vt:variant>
      <vt:variant>
        <vt:i4>79</vt:i4>
      </vt:variant>
      <vt:variant>
        <vt:i4>30</vt:i4>
      </vt:variant>
      <vt:variant>
        <vt:i4>0</vt:i4>
      </vt:variant>
      <vt:variant>
        <vt:i4>5</vt:i4>
      </vt:variant>
      <vt:variant>
        <vt:lpwstr>http://www.nevo.co.il/law/73729/85.a</vt:lpwstr>
      </vt:variant>
      <vt:variant>
        <vt:lpwstr/>
      </vt:variant>
      <vt:variant>
        <vt:i4>7995492</vt:i4>
      </vt:variant>
      <vt:variant>
        <vt:i4>27</vt:i4>
      </vt:variant>
      <vt:variant>
        <vt:i4>0</vt:i4>
      </vt:variant>
      <vt:variant>
        <vt:i4>5</vt:i4>
      </vt:variant>
      <vt:variant>
        <vt:lpwstr>http://www.nevo.co.il/law/70301</vt:lpwstr>
      </vt:variant>
      <vt:variant>
        <vt:lpwstr/>
      </vt:variant>
      <vt:variant>
        <vt:i4>4849744</vt:i4>
      </vt:variant>
      <vt:variant>
        <vt:i4>24</vt:i4>
      </vt:variant>
      <vt:variant>
        <vt:i4>0</vt:i4>
      </vt:variant>
      <vt:variant>
        <vt:i4>5</vt:i4>
      </vt:variant>
      <vt:variant>
        <vt:lpwstr>http://www.nevo.co.il/law/70301/114.a</vt:lpwstr>
      </vt:variant>
      <vt:variant>
        <vt:lpwstr/>
      </vt:variant>
      <vt:variant>
        <vt:i4>79</vt:i4>
      </vt:variant>
      <vt:variant>
        <vt:i4>21</vt:i4>
      </vt:variant>
      <vt:variant>
        <vt:i4>0</vt:i4>
      </vt:variant>
      <vt:variant>
        <vt:i4>5</vt:i4>
      </vt:variant>
      <vt:variant>
        <vt:lpwstr>http://www.nevo.co.il/law/73729/85.a</vt:lpwstr>
      </vt:variant>
      <vt:variant>
        <vt:lpwstr/>
      </vt:variant>
      <vt:variant>
        <vt:i4>8061024</vt:i4>
      </vt:variant>
      <vt:variant>
        <vt:i4>18</vt:i4>
      </vt:variant>
      <vt:variant>
        <vt:i4>0</vt:i4>
      </vt:variant>
      <vt:variant>
        <vt:i4>5</vt:i4>
      </vt:variant>
      <vt:variant>
        <vt:lpwstr>http://www.nevo.co.il/law/73729</vt:lpwstr>
      </vt:variant>
      <vt:variant>
        <vt:lpwstr/>
      </vt:variant>
      <vt:variant>
        <vt:i4>4915283</vt:i4>
      </vt:variant>
      <vt:variant>
        <vt:i4>15</vt:i4>
      </vt:variant>
      <vt:variant>
        <vt:i4>0</vt:i4>
      </vt:variant>
      <vt:variant>
        <vt:i4>5</vt:i4>
      </vt:variant>
      <vt:variant>
        <vt:lpwstr>http://www.nevo.co.il/law/70301/305.1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5177431</vt:i4>
      </vt:variant>
      <vt:variant>
        <vt:i4>9</vt:i4>
      </vt:variant>
      <vt:variant>
        <vt:i4>0</vt:i4>
      </vt:variant>
      <vt:variant>
        <vt:i4>5</vt:i4>
      </vt:variant>
      <vt:variant>
        <vt:lpwstr>http://www.nevo.co.il/law/70301/143.a</vt:lpwstr>
      </vt:variant>
      <vt:variant>
        <vt:lpwstr/>
      </vt:variant>
      <vt:variant>
        <vt:i4>4849744</vt:i4>
      </vt:variant>
      <vt:variant>
        <vt:i4>6</vt:i4>
      </vt:variant>
      <vt:variant>
        <vt:i4>0</vt:i4>
      </vt:variant>
      <vt:variant>
        <vt:i4>5</vt:i4>
      </vt:variant>
      <vt:variant>
        <vt:lpwstr>http://www.nevo.co.il/law/70301/114.a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2025-01-19T15:50:00Z</dcterms:created>
  <dcterms:modified xsi:type="dcterms:W3CDTF">2025-01-19T15:50:00Z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35298</vt:lpwstr>
  </property>
  <property fmtid="{D5CDD505-2E9C-101B-9397-08002B2CF9AE}" pid="6" name="NEWPARTB">
    <vt:lpwstr>08</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חוסאם זענין</vt:lpwstr>
  </property>
  <property fmtid="{D5CDD505-2E9C-101B-9397-08002B2CF9AE}" pid="10" name="LAWYER">
    <vt:lpwstr>מ.ג'אברין;אבי ביטון</vt:lpwstr>
  </property>
  <property fmtid="{D5CDD505-2E9C-101B-9397-08002B2CF9AE}" pid="11" name="JUDGE">
    <vt:lpwstr>ר. יפה כ#ץ;א. ואגו;י. צלקובניק</vt:lpwstr>
  </property>
  <property fmtid="{D5CDD505-2E9C-101B-9397-08002B2CF9AE}" pid="12" name="CITY">
    <vt:lpwstr>ב"ש</vt:lpwstr>
  </property>
  <property fmtid="{D5CDD505-2E9C-101B-9397-08002B2CF9AE}" pid="13" name="DATE">
    <vt:lpwstr>20140610</vt:lpwstr>
  </property>
  <property fmtid="{D5CDD505-2E9C-101B-9397-08002B2CF9AE}" pid="14" name="TYPE_N_DATE">
    <vt:lpwstr>39020140610</vt:lpwstr>
  </property>
  <property fmtid="{D5CDD505-2E9C-101B-9397-08002B2CF9AE}" pid="15" name="CASESLISTTMP1">
    <vt:lpwstr>5586131;5594497</vt:lpwstr>
  </property>
  <property fmtid="{D5CDD505-2E9C-101B-9397-08002B2CF9AE}" pid="16" name="WORDNUMPAGES">
    <vt:lpwstr>4</vt:lpwstr>
  </property>
  <property fmtid="{D5CDD505-2E9C-101B-9397-08002B2CF9AE}" pid="17" name="TYPE_ABS_DATE">
    <vt:lpwstr>390020140610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70301/114.a;143.a;144.b;305.1:2;031</vt:lpwstr>
  </property>
  <property fmtid="{D5CDD505-2E9C-101B-9397-08002B2CF9AE}" pid="37" name="LAWLISTTMP2">
    <vt:lpwstr>73729/085.a:3</vt:lpwstr>
  </property>
</Properties>
</file>