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10C50" w:rsidRPr="00590AD1" w14:paraId="6AD9B1F9" w14:textId="77777777">
        <w:trPr>
          <w:trHeight w:hRule="exact" w:val="418"/>
          <w:jc w:val="center"/>
        </w:trPr>
        <w:tc>
          <w:tcPr>
            <w:tcW w:w="8721" w:type="dxa"/>
            <w:gridSpan w:val="2"/>
          </w:tcPr>
          <w:p w14:paraId="1A5C87FD" w14:textId="77777777" w:rsidR="00E10C50" w:rsidRPr="00590AD1" w:rsidRDefault="00590AD1">
            <w:pPr>
              <w:pStyle w:val="a3"/>
              <w:jc w:val="center"/>
              <w:rPr>
                <w:rFonts w:ascii="Tahoma" w:hAnsi="Tahoma" w:cs="Tahoma"/>
                <w:color w:val="000080"/>
                <w:rtl/>
              </w:rPr>
            </w:pPr>
            <w:bookmarkStart w:id="0" w:name="FirstLawyer"/>
            <w:r w:rsidRPr="00590AD1">
              <w:rPr>
                <w:rFonts w:ascii="Tahoma" w:hAnsi="Tahoma" w:cs="Tahoma"/>
                <w:b/>
                <w:bCs/>
                <w:color w:val="000080"/>
                <w:rtl/>
              </w:rPr>
              <w:t>בית המשפט המחוזי בירושלים</w:t>
            </w:r>
          </w:p>
        </w:tc>
      </w:tr>
      <w:tr w:rsidR="00E10C50" w:rsidRPr="00590AD1" w14:paraId="219F1F89" w14:textId="77777777">
        <w:trPr>
          <w:trHeight w:val="337"/>
          <w:jc w:val="center"/>
        </w:trPr>
        <w:tc>
          <w:tcPr>
            <w:tcW w:w="5054" w:type="dxa"/>
          </w:tcPr>
          <w:p w14:paraId="3C8D9F15" w14:textId="77777777" w:rsidR="00E10C50" w:rsidRPr="00590AD1" w:rsidRDefault="00590AD1">
            <w:pPr>
              <w:rPr>
                <w:rFonts w:cs="FrankRuehl"/>
                <w:sz w:val="28"/>
                <w:szCs w:val="28"/>
                <w:rtl/>
              </w:rPr>
            </w:pPr>
            <w:r w:rsidRPr="00590AD1">
              <w:rPr>
                <w:rFonts w:cs="FrankRuehl"/>
                <w:sz w:val="28"/>
                <w:szCs w:val="28"/>
                <w:rtl/>
              </w:rPr>
              <w:t>תפ"ח</w:t>
            </w:r>
            <w:r w:rsidRPr="00590AD1">
              <w:rPr>
                <w:rFonts w:cs="FrankRuehl" w:hint="cs"/>
                <w:sz w:val="28"/>
                <w:szCs w:val="28"/>
                <w:rtl/>
              </w:rPr>
              <w:t xml:space="preserve"> </w:t>
            </w:r>
            <w:r w:rsidRPr="00590AD1">
              <w:rPr>
                <w:rFonts w:cs="FrankRuehl"/>
                <w:sz w:val="28"/>
                <w:szCs w:val="28"/>
                <w:rtl/>
              </w:rPr>
              <w:t>1307-09-13</w:t>
            </w:r>
            <w:r w:rsidRPr="00590AD1">
              <w:rPr>
                <w:rFonts w:cs="FrankRuehl" w:hint="cs"/>
                <w:sz w:val="28"/>
                <w:szCs w:val="28"/>
                <w:rtl/>
              </w:rPr>
              <w:t xml:space="preserve"> </w:t>
            </w:r>
            <w:r w:rsidRPr="00590AD1">
              <w:rPr>
                <w:rFonts w:cs="FrankRuehl"/>
                <w:sz w:val="28"/>
                <w:szCs w:val="28"/>
                <w:rtl/>
              </w:rPr>
              <w:t>מדינת ישראל נ' רישק</w:t>
            </w:r>
            <w:r w:rsidRPr="00590AD1">
              <w:rPr>
                <w:rFonts w:cs="FrankRuehl" w:hint="cs"/>
                <w:sz w:val="28"/>
                <w:szCs w:val="28"/>
                <w:rtl/>
              </w:rPr>
              <w:t xml:space="preserve"> </w:t>
            </w:r>
            <w:r w:rsidRPr="00590AD1">
              <w:rPr>
                <w:rFonts w:cs="FrankRuehl"/>
                <w:sz w:val="28"/>
                <w:szCs w:val="28"/>
                <w:rtl/>
              </w:rPr>
              <w:t xml:space="preserve"> ואח'</w:t>
            </w:r>
          </w:p>
          <w:p w14:paraId="201CCBC3" w14:textId="77777777" w:rsidR="00E10C50" w:rsidRPr="00590AD1" w:rsidRDefault="00E10C50">
            <w:pPr>
              <w:pStyle w:val="a3"/>
              <w:rPr>
                <w:rFonts w:cs="FrankRuehl"/>
                <w:sz w:val="28"/>
                <w:szCs w:val="28"/>
                <w:rtl/>
              </w:rPr>
            </w:pPr>
          </w:p>
        </w:tc>
        <w:tc>
          <w:tcPr>
            <w:tcW w:w="3667" w:type="dxa"/>
          </w:tcPr>
          <w:p w14:paraId="0BC1B73C" w14:textId="77777777" w:rsidR="00E10C50" w:rsidRPr="00590AD1" w:rsidRDefault="00E10C50">
            <w:pPr>
              <w:pStyle w:val="a3"/>
              <w:jc w:val="right"/>
              <w:rPr>
                <w:rFonts w:cs="FrankRuehl"/>
                <w:sz w:val="28"/>
                <w:szCs w:val="28"/>
                <w:rtl/>
              </w:rPr>
            </w:pPr>
          </w:p>
        </w:tc>
      </w:tr>
    </w:tbl>
    <w:p w14:paraId="7089A116" w14:textId="77777777" w:rsidR="00E10C50" w:rsidRPr="00590AD1" w:rsidRDefault="00590AD1">
      <w:pPr>
        <w:pStyle w:val="a3"/>
        <w:rPr>
          <w:rtl/>
        </w:rPr>
      </w:pPr>
      <w:r w:rsidRPr="00590AD1">
        <w:rPr>
          <w:rFonts w:hint="cs"/>
          <w:rtl/>
        </w:rPr>
        <w:t xml:space="preserve"> </w:t>
      </w:r>
    </w:p>
    <w:p w14:paraId="6AF5AC6B" w14:textId="77777777" w:rsidR="00E10C50" w:rsidRPr="00590AD1" w:rsidRDefault="00E10C50">
      <w:pPr>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E10C50" w:rsidRPr="00590AD1" w14:paraId="730B790F" w14:textId="77777777">
        <w:trPr>
          <w:gridAfter w:val="1"/>
          <w:wAfter w:w="55" w:type="dxa"/>
        </w:trPr>
        <w:tc>
          <w:tcPr>
            <w:tcW w:w="8719" w:type="dxa"/>
            <w:gridSpan w:val="2"/>
          </w:tcPr>
          <w:p w14:paraId="6DE48692" w14:textId="77777777" w:rsidR="00E10C50" w:rsidRPr="00590AD1" w:rsidRDefault="00590AD1">
            <w:pPr>
              <w:spacing w:line="360" w:lineRule="auto"/>
              <w:jc w:val="both"/>
              <w:rPr>
                <w:rFonts w:ascii="Arial" w:hAnsi="Arial"/>
                <w:b/>
                <w:bCs/>
                <w:sz w:val="28"/>
                <w:szCs w:val="28"/>
              </w:rPr>
            </w:pPr>
            <w:bookmarkStart w:id="1" w:name="_GoBack"/>
            <w:bookmarkEnd w:id="1"/>
            <w:r w:rsidRPr="00590AD1">
              <w:rPr>
                <w:rFonts w:hint="cs"/>
                <w:b/>
                <w:bCs/>
                <w:sz w:val="28"/>
                <w:szCs w:val="28"/>
                <w:rtl/>
              </w:rPr>
              <w:t>בפני כב' השופט הבכיר, צבי סגל – אב"ד, והשופטים בן ציון גרינברגר וארנון דראל</w:t>
            </w:r>
            <w:r w:rsidRPr="00590AD1">
              <w:rPr>
                <w:rFonts w:hint="cs"/>
                <w:b/>
                <w:bCs/>
                <w:sz w:val="28"/>
                <w:szCs w:val="28"/>
                <w:rtl/>
              </w:rPr>
              <w:br/>
            </w:r>
          </w:p>
        </w:tc>
      </w:tr>
      <w:tr w:rsidR="00E10C50" w:rsidRPr="00590AD1" w14:paraId="3376058E" w14:textId="77777777">
        <w:tc>
          <w:tcPr>
            <w:tcW w:w="2880" w:type="dxa"/>
          </w:tcPr>
          <w:p w14:paraId="1A30358E" w14:textId="77777777" w:rsidR="00E10C50" w:rsidRPr="00590AD1" w:rsidRDefault="00590AD1">
            <w:pPr>
              <w:ind w:left="26"/>
              <w:rPr>
                <w:b/>
                <w:bCs/>
                <w:sz w:val="28"/>
                <w:szCs w:val="28"/>
              </w:rPr>
            </w:pPr>
            <w:bookmarkStart w:id="2" w:name="FirstAppellant"/>
            <w:bookmarkStart w:id="3" w:name="LastJudge"/>
            <w:bookmarkEnd w:id="3"/>
            <w:r w:rsidRPr="00590AD1">
              <w:rPr>
                <w:rFonts w:hint="cs"/>
                <w:b/>
                <w:bCs/>
                <w:sz w:val="28"/>
                <w:szCs w:val="28"/>
                <w:rtl/>
              </w:rPr>
              <w:t>ה</w:t>
            </w:r>
            <w:r w:rsidRPr="00590AD1">
              <w:rPr>
                <w:rFonts w:hint="cs"/>
                <w:sz w:val="28"/>
                <w:szCs w:val="28"/>
                <w:rtl/>
              </w:rPr>
              <w:t>מאשימה:</w:t>
            </w:r>
          </w:p>
        </w:tc>
        <w:tc>
          <w:tcPr>
            <w:tcW w:w="5922" w:type="dxa"/>
            <w:gridSpan w:val="2"/>
          </w:tcPr>
          <w:p w14:paraId="46833ADD" w14:textId="77777777" w:rsidR="00E10C50" w:rsidRPr="00590AD1" w:rsidRDefault="00590AD1">
            <w:pPr>
              <w:spacing w:line="360" w:lineRule="auto"/>
              <w:rPr>
                <w:b/>
                <w:bCs/>
                <w:sz w:val="28"/>
                <w:szCs w:val="28"/>
              </w:rPr>
            </w:pPr>
            <w:r w:rsidRPr="00590AD1">
              <w:rPr>
                <w:rFonts w:hint="cs"/>
                <w:b/>
                <w:bCs/>
                <w:sz w:val="28"/>
                <w:szCs w:val="28"/>
                <w:rtl/>
              </w:rPr>
              <w:t xml:space="preserve"> </w:t>
            </w:r>
            <w:r w:rsidRPr="00590AD1">
              <w:rPr>
                <w:rFonts w:hint="cs"/>
                <w:sz w:val="28"/>
                <w:szCs w:val="28"/>
                <w:rtl/>
              </w:rPr>
              <w:t>מדינת ישראל</w:t>
            </w:r>
            <w:r w:rsidRPr="00590AD1">
              <w:rPr>
                <w:rFonts w:hint="cs"/>
                <w:sz w:val="28"/>
                <w:szCs w:val="28"/>
                <w:rtl/>
              </w:rPr>
              <w:br/>
              <w:t>ע"י ב"כ עו"ד ג'ני אבני</w:t>
            </w:r>
            <w:r w:rsidRPr="00590AD1">
              <w:rPr>
                <w:rFonts w:hint="cs"/>
                <w:sz w:val="28"/>
                <w:szCs w:val="28"/>
                <w:rtl/>
              </w:rPr>
              <w:br/>
              <w:t>מפרקליטות מחוז ירושלים (פלילי)</w:t>
            </w:r>
          </w:p>
        </w:tc>
      </w:tr>
      <w:bookmarkEnd w:id="2"/>
      <w:tr w:rsidR="00E10C50" w:rsidRPr="00590AD1" w14:paraId="61722150" w14:textId="77777777">
        <w:tc>
          <w:tcPr>
            <w:tcW w:w="8802" w:type="dxa"/>
            <w:gridSpan w:val="3"/>
          </w:tcPr>
          <w:p w14:paraId="51BFE72F" w14:textId="77777777" w:rsidR="00E10C50" w:rsidRPr="00590AD1" w:rsidRDefault="00E10C50">
            <w:pPr>
              <w:jc w:val="both"/>
              <w:rPr>
                <w:rFonts w:ascii="Arial" w:hAnsi="Arial"/>
                <w:b/>
                <w:bCs/>
                <w:sz w:val="28"/>
                <w:szCs w:val="28"/>
                <w:rtl/>
              </w:rPr>
            </w:pPr>
          </w:p>
          <w:p w14:paraId="4A14E4AB" w14:textId="77777777" w:rsidR="00E10C50" w:rsidRPr="00590AD1" w:rsidRDefault="00590AD1">
            <w:pPr>
              <w:jc w:val="center"/>
              <w:rPr>
                <w:rFonts w:ascii="Arial" w:hAnsi="Arial"/>
                <w:b/>
                <w:bCs/>
                <w:sz w:val="28"/>
                <w:szCs w:val="28"/>
                <w:rtl/>
              </w:rPr>
            </w:pPr>
            <w:r w:rsidRPr="00590AD1">
              <w:rPr>
                <w:rFonts w:ascii="Arial" w:hAnsi="Arial" w:hint="cs"/>
                <w:b/>
                <w:bCs/>
                <w:sz w:val="28"/>
                <w:szCs w:val="28"/>
                <w:rtl/>
              </w:rPr>
              <w:t>נגד</w:t>
            </w:r>
          </w:p>
          <w:p w14:paraId="1E9551DC" w14:textId="77777777" w:rsidR="00E10C50" w:rsidRPr="00590AD1" w:rsidRDefault="00E10C50">
            <w:pPr>
              <w:jc w:val="center"/>
              <w:rPr>
                <w:rFonts w:ascii="Arial" w:hAnsi="Arial"/>
                <w:b/>
                <w:bCs/>
                <w:sz w:val="28"/>
                <w:szCs w:val="28"/>
              </w:rPr>
            </w:pPr>
          </w:p>
        </w:tc>
      </w:tr>
      <w:tr w:rsidR="00E10C50" w:rsidRPr="00590AD1" w14:paraId="0F6D9CAA" w14:textId="77777777">
        <w:tc>
          <w:tcPr>
            <w:tcW w:w="2880" w:type="dxa"/>
          </w:tcPr>
          <w:p w14:paraId="7274E356" w14:textId="77777777" w:rsidR="00E10C50" w:rsidRPr="00590AD1" w:rsidRDefault="00590AD1">
            <w:pPr>
              <w:ind w:left="26"/>
              <w:rPr>
                <w:b/>
                <w:bCs/>
                <w:sz w:val="28"/>
                <w:szCs w:val="28"/>
              </w:rPr>
            </w:pPr>
            <w:r w:rsidRPr="00590AD1">
              <w:rPr>
                <w:rFonts w:hint="cs"/>
                <w:b/>
                <w:bCs/>
                <w:sz w:val="28"/>
                <w:szCs w:val="28"/>
                <w:rtl/>
              </w:rPr>
              <w:t>ה</w:t>
            </w:r>
            <w:r w:rsidRPr="00590AD1">
              <w:rPr>
                <w:rFonts w:hint="cs"/>
                <w:sz w:val="28"/>
                <w:szCs w:val="28"/>
                <w:rtl/>
              </w:rPr>
              <w:t>נאשמים:</w:t>
            </w:r>
          </w:p>
        </w:tc>
        <w:tc>
          <w:tcPr>
            <w:tcW w:w="5922" w:type="dxa"/>
            <w:gridSpan w:val="2"/>
          </w:tcPr>
          <w:p w14:paraId="09423BF4" w14:textId="77777777" w:rsidR="00E10C50" w:rsidRPr="00590AD1" w:rsidRDefault="00590AD1">
            <w:pPr>
              <w:spacing w:line="360" w:lineRule="auto"/>
              <w:rPr>
                <w:b/>
                <w:bCs/>
                <w:sz w:val="28"/>
                <w:szCs w:val="28"/>
                <w:rtl/>
              </w:rPr>
            </w:pPr>
            <w:r w:rsidRPr="00590AD1">
              <w:rPr>
                <w:rFonts w:hint="cs"/>
                <w:sz w:val="28"/>
                <w:szCs w:val="28"/>
                <w:rtl/>
              </w:rPr>
              <w:t>1.</w:t>
            </w:r>
            <w:r w:rsidRPr="00590AD1">
              <w:rPr>
                <w:rFonts w:hint="cs"/>
                <w:b/>
                <w:bCs/>
                <w:sz w:val="28"/>
                <w:szCs w:val="28"/>
                <w:rtl/>
              </w:rPr>
              <w:t xml:space="preserve"> </w:t>
            </w:r>
            <w:r w:rsidRPr="00590AD1">
              <w:rPr>
                <w:rFonts w:hint="cs"/>
                <w:sz w:val="28"/>
                <w:szCs w:val="28"/>
                <w:rtl/>
              </w:rPr>
              <w:t xml:space="preserve">אחמד רישק </w:t>
            </w:r>
          </w:p>
          <w:p w14:paraId="4D02ADB9" w14:textId="77777777" w:rsidR="00E10C50" w:rsidRPr="00590AD1" w:rsidRDefault="00590AD1">
            <w:pPr>
              <w:spacing w:line="360" w:lineRule="auto"/>
              <w:rPr>
                <w:sz w:val="28"/>
                <w:szCs w:val="28"/>
                <w:rtl/>
              </w:rPr>
            </w:pPr>
            <w:r w:rsidRPr="00590AD1">
              <w:rPr>
                <w:rFonts w:hint="cs"/>
                <w:sz w:val="28"/>
                <w:szCs w:val="28"/>
                <w:rtl/>
              </w:rPr>
              <w:t>ע"י ב"כ עו"ד וסים דכוור, מטעם הסנ"צ</w:t>
            </w:r>
          </w:p>
          <w:p w14:paraId="7ACF60E1" w14:textId="77777777" w:rsidR="00E10C50" w:rsidRPr="00590AD1" w:rsidRDefault="00590AD1">
            <w:pPr>
              <w:spacing w:line="360" w:lineRule="auto"/>
              <w:rPr>
                <w:b/>
                <w:bCs/>
                <w:sz w:val="28"/>
                <w:szCs w:val="28"/>
                <w:rtl/>
              </w:rPr>
            </w:pPr>
            <w:r w:rsidRPr="00590AD1">
              <w:rPr>
                <w:rFonts w:hint="cs"/>
                <w:sz w:val="28"/>
                <w:szCs w:val="28"/>
                <w:rtl/>
              </w:rPr>
              <w:t>2.</w:t>
            </w:r>
            <w:r w:rsidRPr="00590AD1">
              <w:rPr>
                <w:rFonts w:hint="cs"/>
                <w:b/>
                <w:bCs/>
                <w:sz w:val="28"/>
                <w:szCs w:val="28"/>
                <w:rtl/>
              </w:rPr>
              <w:t xml:space="preserve"> </w:t>
            </w:r>
            <w:r w:rsidRPr="00590AD1">
              <w:rPr>
                <w:rFonts w:hint="cs"/>
                <w:sz w:val="28"/>
                <w:szCs w:val="28"/>
                <w:rtl/>
              </w:rPr>
              <w:t xml:space="preserve">איסמאעיל אבו מפלפל </w:t>
            </w:r>
          </w:p>
          <w:p w14:paraId="00C48D4E" w14:textId="77777777" w:rsidR="00E10C50" w:rsidRPr="00590AD1" w:rsidRDefault="00590AD1">
            <w:pPr>
              <w:spacing w:line="360" w:lineRule="auto"/>
              <w:rPr>
                <w:sz w:val="28"/>
                <w:szCs w:val="28"/>
              </w:rPr>
            </w:pPr>
            <w:r w:rsidRPr="00590AD1">
              <w:rPr>
                <w:rFonts w:hint="cs"/>
                <w:sz w:val="28"/>
                <w:szCs w:val="28"/>
                <w:rtl/>
              </w:rPr>
              <w:t>ע"י ב"כ עו"ד מוסטפא יחיא, מטעם הסנ"צ</w:t>
            </w:r>
          </w:p>
        </w:tc>
      </w:tr>
    </w:tbl>
    <w:p w14:paraId="7B1FE97E" w14:textId="77777777" w:rsidR="00CB3D92" w:rsidRDefault="00CB3D92">
      <w:pPr>
        <w:rPr>
          <w:rFonts w:ascii="Arial" w:hAnsi="Arial"/>
          <w:sz w:val="28"/>
          <w:szCs w:val="28"/>
          <w:rtl/>
        </w:rPr>
      </w:pPr>
      <w:bookmarkStart w:id="4" w:name="LawTable"/>
      <w:bookmarkEnd w:id="4"/>
    </w:p>
    <w:p w14:paraId="124D73E9" w14:textId="77777777" w:rsidR="00CB3D92" w:rsidRPr="00CB3D92" w:rsidRDefault="00CB3D92" w:rsidP="00CB3D92">
      <w:pPr>
        <w:spacing w:after="120" w:line="240" w:lineRule="exact"/>
        <w:ind w:left="283" w:hanging="283"/>
        <w:jc w:val="both"/>
        <w:rPr>
          <w:rFonts w:ascii="FrankRuehl" w:hAnsi="FrankRuehl" w:cs="FrankRuehl"/>
          <w:rtl/>
        </w:rPr>
      </w:pPr>
    </w:p>
    <w:p w14:paraId="40646785" w14:textId="77777777" w:rsidR="00CB3D92" w:rsidRPr="00CB3D92" w:rsidRDefault="00CB3D92" w:rsidP="00CB3D92">
      <w:pPr>
        <w:spacing w:after="120" w:line="240" w:lineRule="exact"/>
        <w:ind w:left="283" w:hanging="283"/>
        <w:jc w:val="both"/>
        <w:rPr>
          <w:rFonts w:ascii="FrankRuehl" w:hAnsi="FrankRuehl" w:cs="FrankRuehl"/>
          <w:rtl/>
        </w:rPr>
      </w:pPr>
      <w:r w:rsidRPr="00CB3D92">
        <w:rPr>
          <w:rFonts w:ascii="FrankRuehl" w:hAnsi="FrankRuehl" w:cs="FrankRuehl"/>
          <w:rtl/>
        </w:rPr>
        <w:t xml:space="preserve">חקיקה שאוזכרה: </w:t>
      </w:r>
    </w:p>
    <w:p w14:paraId="66E423CB" w14:textId="77777777" w:rsidR="00CB3D92" w:rsidRPr="00CB3D92" w:rsidRDefault="00CB3D92" w:rsidP="00CB3D92">
      <w:pPr>
        <w:spacing w:after="120" w:line="240" w:lineRule="exact"/>
        <w:ind w:left="283" w:hanging="283"/>
        <w:jc w:val="both"/>
        <w:rPr>
          <w:rFonts w:ascii="FrankRuehl" w:hAnsi="FrankRuehl" w:cs="FrankRuehl"/>
          <w:rtl/>
        </w:rPr>
      </w:pPr>
      <w:hyperlink r:id="rId7" w:history="1">
        <w:r w:rsidRPr="00CB3D92">
          <w:rPr>
            <w:rFonts w:ascii="FrankRuehl" w:hAnsi="FrankRuehl" w:cs="FrankRuehl"/>
            <w:color w:val="0000FF"/>
            <w:u w:val="single"/>
            <w:rtl/>
          </w:rPr>
          <w:t>חוק העונשין, תשל"ז-1977</w:t>
        </w:r>
      </w:hyperlink>
      <w:r w:rsidRPr="00CB3D92">
        <w:rPr>
          <w:rFonts w:ascii="FrankRuehl" w:hAnsi="FrankRuehl" w:cs="FrankRuehl"/>
          <w:rtl/>
        </w:rPr>
        <w:t xml:space="preserve">: סע'  </w:t>
      </w:r>
      <w:hyperlink r:id="rId8" w:history="1">
        <w:r w:rsidRPr="00CB3D92">
          <w:rPr>
            <w:rFonts w:ascii="FrankRuehl" w:hAnsi="FrankRuehl" w:cs="FrankRuehl"/>
            <w:color w:val="0000FF"/>
            <w:u w:val="single"/>
            <w:rtl/>
          </w:rPr>
          <w:t>25</w:t>
        </w:r>
      </w:hyperlink>
      <w:r w:rsidRPr="00CB3D92">
        <w:rPr>
          <w:rFonts w:ascii="FrankRuehl" w:hAnsi="FrankRuehl" w:cs="FrankRuehl"/>
          <w:rtl/>
        </w:rPr>
        <w:t xml:space="preserve">, </w:t>
      </w:r>
      <w:hyperlink r:id="rId9" w:history="1">
        <w:r w:rsidRPr="00CB3D92">
          <w:rPr>
            <w:rFonts w:ascii="FrankRuehl" w:hAnsi="FrankRuehl" w:cs="FrankRuehl"/>
            <w:color w:val="0000FF"/>
            <w:u w:val="single"/>
            <w:rtl/>
          </w:rPr>
          <w:t>31</w:t>
        </w:r>
      </w:hyperlink>
      <w:r w:rsidRPr="00CB3D92">
        <w:rPr>
          <w:rFonts w:ascii="FrankRuehl" w:hAnsi="FrankRuehl" w:cs="FrankRuehl"/>
          <w:rtl/>
        </w:rPr>
        <w:t xml:space="preserve">, </w:t>
      </w:r>
      <w:hyperlink r:id="rId10" w:history="1">
        <w:r w:rsidRPr="00CB3D92">
          <w:rPr>
            <w:rFonts w:ascii="FrankRuehl" w:hAnsi="FrankRuehl" w:cs="FrankRuehl"/>
            <w:color w:val="0000FF"/>
            <w:u w:val="single"/>
            <w:rtl/>
          </w:rPr>
          <w:t>40ג(א)</w:t>
        </w:r>
      </w:hyperlink>
      <w:r w:rsidRPr="00CB3D92">
        <w:rPr>
          <w:rFonts w:ascii="FrankRuehl" w:hAnsi="FrankRuehl" w:cs="FrankRuehl"/>
          <w:rtl/>
        </w:rPr>
        <w:t xml:space="preserve">, </w:t>
      </w:r>
      <w:hyperlink r:id="rId11" w:history="1">
        <w:r w:rsidRPr="00CB3D92">
          <w:rPr>
            <w:rFonts w:ascii="FrankRuehl" w:hAnsi="FrankRuehl" w:cs="FrankRuehl"/>
            <w:color w:val="0000FF"/>
            <w:u w:val="single"/>
            <w:rtl/>
          </w:rPr>
          <w:t>40ג(ב)</w:t>
        </w:r>
      </w:hyperlink>
      <w:r w:rsidRPr="00CB3D92">
        <w:rPr>
          <w:rFonts w:ascii="FrankRuehl" w:hAnsi="FrankRuehl" w:cs="FrankRuehl"/>
          <w:rtl/>
        </w:rPr>
        <w:t xml:space="preserve">, </w:t>
      </w:r>
      <w:hyperlink r:id="rId12" w:history="1">
        <w:r w:rsidRPr="00CB3D92">
          <w:rPr>
            <w:rFonts w:ascii="FrankRuehl" w:hAnsi="FrankRuehl" w:cs="FrankRuehl"/>
            <w:color w:val="0000FF"/>
            <w:u w:val="single"/>
            <w:rtl/>
          </w:rPr>
          <w:t>40ו</w:t>
        </w:r>
      </w:hyperlink>
      <w:r w:rsidRPr="00CB3D92">
        <w:rPr>
          <w:rFonts w:ascii="FrankRuehl" w:hAnsi="FrankRuehl" w:cs="FrankRuehl"/>
          <w:rtl/>
        </w:rPr>
        <w:t xml:space="preserve">, </w:t>
      </w:r>
      <w:hyperlink r:id="rId13" w:history="1">
        <w:r w:rsidRPr="00CB3D92">
          <w:rPr>
            <w:rFonts w:ascii="FrankRuehl" w:hAnsi="FrankRuehl" w:cs="FrankRuehl"/>
            <w:color w:val="0000FF"/>
            <w:u w:val="single"/>
            <w:rtl/>
          </w:rPr>
          <w:t>40ז</w:t>
        </w:r>
      </w:hyperlink>
      <w:r w:rsidRPr="00CB3D92">
        <w:rPr>
          <w:rFonts w:ascii="FrankRuehl" w:hAnsi="FrankRuehl" w:cs="FrankRuehl"/>
          <w:rtl/>
        </w:rPr>
        <w:t xml:space="preserve">, </w:t>
      </w:r>
      <w:hyperlink r:id="rId14" w:history="1">
        <w:r w:rsidRPr="00CB3D92">
          <w:rPr>
            <w:rFonts w:ascii="FrankRuehl" w:hAnsi="FrankRuehl" w:cs="FrankRuehl"/>
            <w:color w:val="0000FF"/>
            <w:u w:val="single"/>
            <w:rtl/>
          </w:rPr>
          <w:t>40ט</w:t>
        </w:r>
      </w:hyperlink>
      <w:r w:rsidRPr="00CB3D92">
        <w:rPr>
          <w:rFonts w:ascii="FrankRuehl" w:hAnsi="FrankRuehl" w:cs="FrankRuehl"/>
          <w:rtl/>
        </w:rPr>
        <w:t xml:space="preserve">, </w:t>
      </w:r>
      <w:hyperlink r:id="rId15" w:history="1">
        <w:r w:rsidRPr="00CB3D92">
          <w:rPr>
            <w:rFonts w:ascii="FrankRuehl" w:hAnsi="FrankRuehl" w:cs="FrankRuehl"/>
            <w:color w:val="0000FF"/>
            <w:u w:val="single"/>
            <w:rtl/>
          </w:rPr>
          <w:t>92</w:t>
        </w:r>
      </w:hyperlink>
      <w:r w:rsidRPr="00CB3D92">
        <w:rPr>
          <w:rFonts w:ascii="FrankRuehl" w:hAnsi="FrankRuehl" w:cs="FrankRuehl"/>
          <w:rtl/>
        </w:rPr>
        <w:t xml:space="preserve">, </w:t>
      </w:r>
      <w:hyperlink r:id="rId16" w:history="1">
        <w:r w:rsidRPr="00CB3D92">
          <w:rPr>
            <w:rFonts w:ascii="FrankRuehl" w:hAnsi="FrankRuehl" w:cs="FrankRuehl"/>
            <w:color w:val="0000FF"/>
            <w:u w:val="single"/>
            <w:rtl/>
          </w:rPr>
          <w:t>99</w:t>
        </w:r>
      </w:hyperlink>
      <w:r w:rsidRPr="00CB3D92">
        <w:rPr>
          <w:rFonts w:ascii="FrankRuehl" w:hAnsi="FrankRuehl" w:cs="FrankRuehl"/>
          <w:rtl/>
        </w:rPr>
        <w:t xml:space="preserve">, </w:t>
      </w:r>
      <w:hyperlink r:id="rId17" w:history="1">
        <w:r w:rsidRPr="00CB3D92">
          <w:rPr>
            <w:rFonts w:ascii="FrankRuehl" w:hAnsi="FrankRuehl" w:cs="FrankRuehl"/>
            <w:color w:val="0000FF"/>
            <w:u w:val="single"/>
            <w:rtl/>
          </w:rPr>
          <w:t>99(א)</w:t>
        </w:r>
      </w:hyperlink>
      <w:r w:rsidRPr="00CB3D92">
        <w:rPr>
          <w:rFonts w:ascii="FrankRuehl" w:hAnsi="FrankRuehl" w:cs="FrankRuehl"/>
          <w:rtl/>
        </w:rPr>
        <w:t xml:space="preserve">, </w:t>
      </w:r>
      <w:hyperlink r:id="rId18" w:history="1">
        <w:r w:rsidRPr="00CB3D92">
          <w:rPr>
            <w:rFonts w:ascii="FrankRuehl" w:hAnsi="FrankRuehl" w:cs="FrankRuehl"/>
            <w:color w:val="0000FF"/>
            <w:u w:val="single"/>
            <w:rtl/>
          </w:rPr>
          <w:t>144(ב2)</w:t>
        </w:r>
      </w:hyperlink>
      <w:r w:rsidRPr="00CB3D92">
        <w:rPr>
          <w:rFonts w:ascii="FrankRuehl" w:hAnsi="FrankRuehl" w:cs="FrankRuehl"/>
          <w:rtl/>
        </w:rPr>
        <w:t xml:space="preserve">, </w:t>
      </w:r>
      <w:hyperlink r:id="rId19" w:history="1">
        <w:r w:rsidRPr="00CB3D92">
          <w:rPr>
            <w:rFonts w:ascii="FrankRuehl" w:hAnsi="FrankRuehl" w:cs="FrankRuehl"/>
            <w:color w:val="0000FF"/>
            <w:u w:val="single"/>
            <w:rtl/>
          </w:rPr>
          <w:t>274(2)</w:t>
        </w:r>
      </w:hyperlink>
      <w:r w:rsidRPr="00CB3D92">
        <w:rPr>
          <w:rFonts w:ascii="FrankRuehl" w:hAnsi="FrankRuehl" w:cs="FrankRuehl"/>
          <w:rtl/>
        </w:rPr>
        <w:t xml:space="preserve">, </w:t>
      </w:r>
      <w:hyperlink r:id="rId20" w:history="1">
        <w:r w:rsidRPr="00CB3D92">
          <w:rPr>
            <w:rFonts w:ascii="FrankRuehl" w:hAnsi="FrankRuehl" w:cs="FrankRuehl"/>
            <w:color w:val="0000FF"/>
            <w:u w:val="single"/>
            <w:rtl/>
          </w:rPr>
          <w:t>332(3)</w:t>
        </w:r>
      </w:hyperlink>
      <w:r w:rsidRPr="00CB3D92">
        <w:rPr>
          <w:rFonts w:ascii="FrankRuehl" w:hAnsi="FrankRuehl" w:cs="FrankRuehl"/>
          <w:rtl/>
        </w:rPr>
        <w:t xml:space="preserve">, </w:t>
      </w:r>
      <w:hyperlink r:id="rId21" w:history="1">
        <w:r w:rsidRPr="00CB3D92">
          <w:rPr>
            <w:rFonts w:ascii="FrankRuehl" w:hAnsi="FrankRuehl" w:cs="FrankRuehl"/>
            <w:color w:val="0000FF"/>
            <w:u w:val="single"/>
            <w:rtl/>
          </w:rPr>
          <w:t>40יג</w:t>
        </w:r>
      </w:hyperlink>
      <w:r w:rsidRPr="00CB3D92">
        <w:rPr>
          <w:rFonts w:ascii="FrankRuehl" w:hAnsi="FrankRuehl" w:cs="FrankRuehl"/>
          <w:rtl/>
        </w:rPr>
        <w:t xml:space="preserve">, </w:t>
      </w:r>
      <w:hyperlink r:id="rId22" w:history="1">
        <w:r w:rsidRPr="00CB3D92">
          <w:rPr>
            <w:rFonts w:ascii="FrankRuehl" w:hAnsi="FrankRuehl" w:cs="FrankRuehl"/>
            <w:color w:val="0000FF"/>
            <w:u w:val="single"/>
            <w:rtl/>
          </w:rPr>
          <w:t>499(א)(1)</w:t>
        </w:r>
      </w:hyperlink>
    </w:p>
    <w:p w14:paraId="593E11B7" w14:textId="77777777" w:rsidR="00CB3D92" w:rsidRPr="00CB3D92" w:rsidRDefault="00CB3D92" w:rsidP="00CB3D92">
      <w:pPr>
        <w:spacing w:after="120" w:line="240" w:lineRule="exact"/>
        <w:ind w:left="283" w:hanging="283"/>
        <w:jc w:val="both"/>
        <w:rPr>
          <w:rFonts w:ascii="FrankRuehl" w:hAnsi="FrankRuehl" w:cs="FrankRuehl"/>
          <w:rtl/>
        </w:rPr>
      </w:pPr>
    </w:p>
    <w:p w14:paraId="3D3A73B2" w14:textId="77777777" w:rsidR="00CB3D92" w:rsidRPr="00CB3D92" w:rsidRDefault="00CB3D92">
      <w:pPr>
        <w:rPr>
          <w:rFonts w:ascii="Arial" w:hAnsi="Arial"/>
          <w:sz w:val="28"/>
          <w:szCs w:val="28"/>
          <w:rtl/>
        </w:rPr>
      </w:pPr>
      <w:bookmarkStart w:id="5" w:name="LawTable_End"/>
      <w:bookmarkEnd w:id="5"/>
    </w:p>
    <w:p w14:paraId="067541D1" w14:textId="77777777" w:rsidR="00E10C50" w:rsidRPr="00590AD1" w:rsidRDefault="00E10C50">
      <w:pPr>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0C50" w14:paraId="05D6A77E" w14:textId="77777777">
        <w:trPr>
          <w:trHeight w:val="355"/>
          <w:jc w:val="center"/>
        </w:trPr>
        <w:tc>
          <w:tcPr>
            <w:tcW w:w="8820" w:type="dxa"/>
            <w:tcBorders>
              <w:top w:val="nil"/>
              <w:left w:val="nil"/>
              <w:bottom w:val="nil"/>
              <w:right w:val="nil"/>
            </w:tcBorders>
          </w:tcPr>
          <w:p w14:paraId="5B6AB3B5" w14:textId="77777777" w:rsidR="00590AD1" w:rsidRPr="00590AD1" w:rsidRDefault="00590AD1" w:rsidP="00590AD1">
            <w:pPr>
              <w:jc w:val="center"/>
              <w:rPr>
                <w:rFonts w:ascii="Arial" w:hAnsi="Arial"/>
                <w:b/>
                <w:bCs/>
                <w:sz w:val="34"/>
                <w:szCs w:val="34"/>
                <w:u w:val="single"/>
                <w:rtl/>
              </w:rPr>
            </w:pPr>
            <w:bookmarkStart w:id="6" w:name="PsakDin" w:colFirst="0" w:colLast="0"/>
            <w:bookmarkEnd w:id="0"/>
            <w:r w:rsidRPr="00590AD1">
              <w:rPr>
                <w:rFonts w:ascii="Arial" w:hAnsi="Arial"/>
                <w:b/>
                <w:bCs/>
                <w:sz w:val="34"/>
                <w:szCs w:val="34"/>
                <w:u w:val="single"/>
                <w:rtl/>
              </w:rPr>
              <w:t>גזר-דין</w:t>
            </w:r>
          </w:p>
          <w:p w14:paraId="277D1D38" w14:textId="77777777" w:rsidR="00E10C50" w:rsidRPr="00590AD1" w:rsidRDefault="00E10C50" w:rsidP="00590AD1">
            <w:pPr>
              <w:jc w:val="center"/>
              <w:rPr>
                <w:rFonts w:ascii="Arial" w:hAnsi="Arial"/>
                <w:bCs/>
                <w:sz w:val="28"/>
                <w:szCs w:val="28"/>
                <w:u w:val="single"/>
                <w:rtl/>
              </w:rPr>
            </w:pPr>
          </w:p>
        </w:tc>
      </w:tr>
      <w:bookmarkEnd w:id="6"/>
    </w:tbl>
    <w:p w14:paraId="16E43E74" w14:textId="77777777" w:rsidR="00E10C50" w:rsidRDefault="00E10C50">
      <w:pPr>
        <w:rPr>
          <w:rFonts w:ascii="Arial" w:hAnsi="Arial"/>
          <w:sz w:val="28"/>
          <w:szCs w:val="28"/>
          <w:rtl/>
        </w:rPr>
      </w:pPr>
    </w:p>
    <w:p w14:paraId="4D3CAC06" w14:textId="77777777" w:rsidR="00E10C50" w:rsidRDefault="00590AD1">
      <w:pPr>
        <w:rPr>
          <w:rFonts w:ascii="Arial" w:hAnsi="Arial"/>
          <w:b/>
          <w:bCs/>
          <w:sz w:val="30"/>
          <w:szCs w:val="30"/>
          <w:u w:val="single"/>
          <w:rtl/>
        </w:rPr>
      </w:pPr>
      <w:r>
        <w:rPr>
          <w:rFonts w:ascii="Arial" w:hAnsi="Arial" w:hint="cs"/>
          <w:b/>
          <w:bCs/>
          <w:sz w:val="30"/>
          <w:szCs w:val="30"/>
          <w:u w:val="single"/>
          <w:rtl/>
        </w:rPr>
        <w:t xml:space="preserve">השופט צבי סגל </w:t>
      </w:r>
      <w:r>
        <w:rPr>
          <w:rFonts w:ascii="Arial" w:hAnsi="Arial"/>
          <w:b/>
          <w:bCs/>
          <w:sz w:val="30"/>
          <w:szCs w:val="30"/>
          <w:u w:val="single"/>
          <w:rtl/>
        </w:rPr>
        <w:t>–</w:t>
      </w:r>
      <w:r>
        <w:rPr>
          <w:rFonts w:ascii="Arial" w:hAnsi="Arial" w:hint="cs"/>
          <w:b/>
          <w:bCs/>
          <w:sz w:val="30"/>
          <w:szCs w:val="30"/>
          <w:u w:val="single"/>
          <w:rtl/>
        </w:rPr>
        <w:t xml:space="preserve"> אב"ד</w:t>
      </w:r>
    </w:p>
    <w:p w14:paraId="2BA051C0" w14:textId="77777777" w:rsidR="00E10C50" w:rsidRDefault="00E10C50">
      <w:pPr>
        <w:rPr>
          <w:rFonts w:ascii="Arial" w:hAnsi="Arial"/>
          <w:b/>
          <w:bCs/>
          <w:sz w:val="30"/>
          <w:szCs w:val="30"/>
          <w:u w:val="single"/>
          <w:rtl/>
        </w:rPr>
      </w:pPr>
    </w:p>
    <w:p w14:paraId="406CF7FC"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הנאשמים הורשעו, לאחר ניהול הוכחות, בביצוע עבירות של קשירת קשר לסיוע לאויב במלחמתו, לפי </w:t>
      </w:r>
      <w:hyperlink r:id="rId23" w:history="1">
        <w:r w:rsidR="00D66945" w:rsidRPr="00D66945">
          <w:rPr>
            <w:rStyle w:val="Hyperlink"/>
            <w:rFonts w:hint="eastAsia"/>
            <w:sz w:val="28"/>
            <w:szCs w:val="28"/>
            <w:rtl/>
          </w:rPr>
          <w:t>סעיף</w:t>
        </w:r>
        <w:r w:rsidR="00D66945" w:rsidRPr="00D66945">
          <w:rPr>
            <w:rStyle w:val="Hyperlink"/>
            <w:sz w:val="28"/>
            <w:szCs w:val="28"/>
            <w:rtl/>
          </w:rPr>
          <w:t xml:space="preserve"> 99(א)</w:t>
        </w:r>
      </w:hyperlink>
      <w:r>
        <w:rPr>
          <w:rFonts w:hint="cs"/>
          <w:sz w:val="28"/>
          <w:szCs w:val="28"/>
          <w:rtl/>
        </w:rPr>
        <w:t xml:space="preserve"> בצירוף </w:t>
      </w:r>
      <w:hyperlink r:id="rId24" w:history="1">
        <w:r w:rsidR="00D66945" w:rsidRPr="00D66945">
          <w:rPr>
            <w:rStyle w:val="Hyperlink"/>
            <w:rFonts w:hint="eastAsia"/>
            <w:sz w:val="28"/>
            <w:szCs w:val="28"/>
            <w:rtl/>
          </w:rPr>
          <w:t>סעיף</w:t>
        </w:r>
        <w:r w:rsidR="00D66945" w:rsidRPr="00D66945">
          <w:rPr>
            <w:rStyle w:val="Hyperlink"/>
            <w:sz w:val="28"/>
            <w:szCs w:val="28"/>
            <w:rtl/>
          </w:rPr>
          <w:t xml:space="preserve"> 92</w:t>
        </w:r>
      </w:hyperlink>
      <w:r>
        <w:rPr>
          <w:rFonts w:hint="cs"/>
          <w:sz w:val="28"/>
          <w:szCs w:val="28"/>
          <w:rtl/>
        </w:rPr>
        <w:t xml:space="preserve"> ל</w:t>
      </w:r>
      <w:hyperlink r:id="rId25"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התשל"ז-1977 (להלן: "</w:t>
      </w:r>
      <w:r>
        <w:rPr>
          <w:rFonts w:hint="cs"/>
          <w:b/>
          <w:bCs/>
          <w:sz w:val="28"/>
          <w:szCs w:val="28"/>
          <w:rtl/>
        </w:rPr>
        <w:t>חוק העונשין</w:t>
      </w:r>
      <w:r>
        <w:rPr>
          <w:rFonts w:hint="cs"/>
          <w:sz w:val="28"/>
          <w:szCs w:val="28"/>
          <w:rtl/>
        </w:rPr>
        <w:t>" או "</w:t>
      </w:r>
      <w:r>
        <w:rPr>
          <w:rFonts w:hint="cs"/>
          <w:b/>
          <w:bCs/>
          <w:sz w:val="28"/>
          <w:szCs w:val="28"/>
          <w:rtl/>
        </w:rPr>
        <w:t>החוק</w:t>
      </w:r>
      <w:r>
        <w:rPr>
          <w:rFonts w:hint="cs"/>
          <w:sz w:val="28"/>
          <w:szCs w:val="28"/>
          <w:rtl/>
        </w:rPr>
        <w:t xml:space="preserve">") ובסיוע לניסיון לייצור נשק, לפי </w:t>
      </w:r>
      <w:hyperlink r:id="rId26" w:history="1">
        <w:r w:rsidR="00D66945" w:rsidRPr="00D66945">
          <w:rPr>
            <w:rStyle w:val="Hyperlink"/>
            <w:rFonts w:hint="eastAsia"/>
            <w:sz w:val="28"/>
            <w:szCs w:val="28"/>
            <w:rtl/>
          </w:rPr>
          <w:t>סעיף</w:t>
        </w:r>
        <w:r w:rsidR="00D66945" w:rsidRPr="00D66945">
          <w:rPr>
            <w:rStyle w:val="Hyperlink"/>
            <w:sz w:val="28"/>
            <w:szCs w:val="28"/>
            <w:rtl/>
          </w:rPr>
          <w:t xml:space="preserve"> 144(ב2)</w:t>
        </w:r>
      </w:hyperlink>
      <w:r>
        <w:rPr>
          <w:rFonts w:hint="cs"/>
          <w:sz w:val="28"/>
          <w:szCs w:val="28"/>
          <w:rtl/>
        </w:rPr>
        <w:t xml:space="preserve"> בצירוף </w:t>
      </w:r>
      <w:hyperlink r:id="rId27" w:history="1">
        <w:r w:rsidR="00D66945" w:rsidRPr="00D66945">
          <w:rPr>
            <w:rStyle w:val="Hyperlink"/>
            <w:rFonts w:hint="eastAsia"/>
            <w:sz w:val="28"/>
            <w:szCs w:val="28"/>
            <w:rtl/>
          </w:rPr>
          <w:t>סעיפים</w:t>
        </w:r>
        <w:r w:rsidR="00D66945" w:rsidRPr="00D66945">
          <w:rPr>
            <w:rStyle w:val="Hyperlink"/>
            <w:sz w:val="28"/>
            <w:szCs w:val="28"/>
            <w:rtl/>
          </w:rPr>
          <w:t xml:space="preserve"> 25</w:t>
        </w:r>
      </w:hyperlink>
      <w:r>
        <w:rPr>
          <w:rFonts w:hint="cs"/>
          <w:sz w:val="28"/>
          <w:szCs w:val="28"/>
          <w:rtl/>
        </w:rPr>
        <w:t xml:space="preserve"> ו-</w:t>
      </w:r>
      <w:hyperlink r:id="rId28" w:history="1">
        <w:r w:rsidR="00D66945" w:rsidRPr="00D66945">
          <w:rPr>
            <w:rStyle w:val="Hyperlink"/>
            <w:sz w:val="28"/>
            <w:szCs w:val="28"/>
            <w:rtl/>
          </w:rPr>
          <w:t>31</w:t>
        </w:r>
      </w:hyperlink>
      <w:r>
        <w:rPr>
          <w:rFonts w:hint="cs"/>
          <w:sz w:val="28"/>
          <w:szCs w:val="28"/>
          <w:rtl/>
        </w:rPr>
        <w:t xml:space="preserve"> לחוק העונשין.   </w:t>
      </w:r>
    </w:p>
    <w:p w14:paraId="2F725218"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lastRenderedPageBreak/>
        <w:t xml:space="preserve">בגדר הכרעת הדין פורטו בהרחבה הנסיבות בעטיין הורשעו הנאשמים, כאמור, ומשכך לא אכביר מילים בתיאורן שלא לצורך בשנית. </w:t>
      </w:r>
    </w:p>
    <w:p w14:paraId="4FC42A80"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בקצירת האומר יצוין, כי </w:t>
      </w:r>
      <w:bookmarkStart w:id="7" w:name="ABSTRACT_START"/>
      <w:bookmarkEnd w:id="7"/>
      <w:r>
        <w:rPr>
          <w:rFonts w:hint="cs"/>
          <w:sz w:val="28"/>
          <w:szCs w:val="28"/>
          <w:rtl/>
        </w:rPr>
        <w:t>במהלך חודש מרץ 2013, או בסמוך לכך, החליט חמדי רומאנה (להלן: "</w:t>
      </w:r>
      <w:r>
        <w:rPr>
          <w:rFonts w:hint="cs"/>
          <w:b/>
          <w:bCs/>
          <w:sz w:val="28"/>
          <w:szCs w:val="28"/>
          <w:rtl/>
        </w:rPr>
        <w:t>חמדי</w:t>
      </w:r>
      <w:r>
        <w:rPr>
          <w:rFonts w:hint="cs"/>
          <w:sz w:val="28"/>
          <w:szCs w:val="28"/>
          <w:rtl/>
        </w:rPr>
        <w:t xml:space="preserve">"), בן דודתו של נאשם 1, להכין מטען חבלה ולהניחו במקום הומה אדם בירושלים, כדי לרצוח מספר רב של יהודים. </w:t>
      </w:r>
    </w:p>
    <w:p w14:paraId="339F4ACA"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t xml:space="preserve">במהלך חודש אפריל 2013, או בסמוך לכך, סיפר חמדי לנאשם 1 כי הוא מנסה לייצר חומר נפץ במטרה לבצע באמצעותו פיגוע בישראל וביקש ממנו להכניסו לישראל לאחר שהמטען יהיה מוכן. נאשם 1 נאות לכך. עוד ביקש חמדי מנאשם 1, כי יספק לו לצורך הכנת המטען "מי-אש", מדליק פחמים וגולות ברזל, ואף ביקש ממנו לקנות עבורו אקדח. נאשם 1 הסכים גם לכך ובהמשך אף הודיע לחמדי כי הכין עבורו את המוצרים אותם ביקש ממנו.  </w:t>
      </w:r>
    </w:p>
    <w:p w14:paraId="0104FC81" w14:textId="77777777" w:rsidR="00E10C50" w:rsidRDefault="00590AD1">
      <w:pPr>
        <w:pStyle w:val="ListParagraph"/>
        <w:spacing w:before="240" w:line="480" w:lineRule="auto"/>
        <w:ind w:left="360"/>
        <w:contextualSpacing w:val="0"/>
        <w:jc w:val="both"/>
        <w:rPr>
          <w:sz w:val="28"/>
          <w:szCs w:val="28"/>
          <w:rtl/>
        </w:rPr>
      </w:pPr>
      <w:bookmarkStart w:id="8" w:name="ABSTRACT_END"/>
      <w:bookmarkEnd w:id="8"/>
      <w:r>
        <w:rPr>
          <w:rFonts w:hint="cs"/>
          <w:sz w:val="28"/>
          <w:szCs w:val="28"/>
          <w:rtl/>
        </w:rPr>
        <w:t xml:space="preserve">בתחילת חודש יולי 2013, או בסמוך לכך, הציע נאשם 1 להחדיר את מטען החבלה לירושלים באמצעות אוטובוס. חמדי הציע להניח את מטען החבלה במרכז הקניות "ממילא" בירושלים, ושאל את נאשם 1 האם הוא מכיר אדם נוסף היכול לסייע  להם בביצוע הפיגוע, ונאשם 1 הציע לשתף בביצוע מטלה זו את נאשם 2. </w:t>
      </w:r>
    </w:p>
    <w:p w14:paraId="3757A187"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t xml:space="preserve">בסמוך לאחר מכן, סיפר נאשם 1 לנאשם 2 כי הוא וחמדי פועלים להכנת מטען חבלה. נאשם 2 מסר לידי הנאשם 1 כ-40 גולות ברזל והבטיח לנסות להשיג גם חומר המשמש לניקוי בריכות, שיסייע בהכנת המטען. </w:t>
      </w:r>
    </w:p>
    <w:p w14:paraId="37DC8885"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t xml:space="preserve">במהלך חודש יולי 2013 דנו הנאשמים וחמדי בפרטי התכנית להנחת מטען החבלה, כאשר האפשרות המועדפת שעלתה הייתה להסוותו בתוך אריזת מתנה ולהניחו בפח אשפה במרכז הקניות "ממילא". הועלתה אף אפשרות שהביצוע יחול במהלך אחד מחגי ישראל, מאחר שבתקופה זו פוקדים אנשים רבים את מרכזי הקניות. </w:t>
      </w:r>
    </w:p>
    <w:p w14:paraId="226E1868"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lastRenderedPageBreak/>
        <w:t xml:space="preserve">במועד אחר, ביקש נאשם 1 מנאשם 2 להשיג עבורו אקדח, באמצעותו יוכל לירות על חיילי צה"ל המוצבים במחסום ענאתא. נאשם 2 הבטיח לברר אפשרות להשגת אקדח.  </w:t>
      </w:r>
    </w:p>
    <w:p w14:paraId="74AB0932" w14:textId="77777777" w:rsidR="00E10C50" w:rsidRDefault="00E10C50">
      <w:pPr>
        <w:spacing w:before="240" w:line="480" w:lineRule="auto"/>
        <w:jc w:val="both"/>
        <w:rPr>
          <w:b/>
          <w:bCs/>
          <w:sz w:val="30"/>
          <w:szCs w:val="30"/>
          <w:u w:val="single"/>
          <w:rtl/>
        </w:rPr>
      </w:pPr>
    </w:p>
    <w:p w14:paraId="608CC4F0" w14:textId="77777777" w:rsidR="00E10C50" w:rsidRDefault="00590AD1">
      <w:pPr>
        <w:spacing w:before="240" w:line="480" w:lineRule="auto"/>
        <w:jc w:val="both"/>
        <w:rPr>
          <w:sz w:val="30"/>
          <w:szCs w:val="30"/>
          <w:u w:val="single"/>
          <w:rtl/>
        </w:rPr>
      </w:pPr>
      <w:r>
        <w:rPr>
          <w:rFonts w:hint="cs"/>
          <w:b/>
          <w:bCs/>
          <w:sz w:val="30"/>
          <w:szCs w:val="30"/>
          <w:u w:val="single"/>
          <w:rtl/>
        </w:rPr>
        <w:t>ראיות לעונש</w:t>
      </w:r>
    </w:p>
    <w:p w14:paraId="136C1C1C" w14:textId="77777777" w:rsidR="00E10C50" w:rsidRDefault="00590AD1">
      <w:pPr>
        <w:pStyle w:val="ListParagraph"/>
        <w:numPr>
          <w:ilvl w:val="0"/>
          <w:numId w:val="1"/>
        </w:numPr>
        <w:spacing w:before="240" w:line="480" w:lineRule="auto"/>
        <w:jc w:val="both"/>
        <w:rPr>
          <w:sz w:val="28"/>
          <w:szCs w:val="28"/>
        </w:rPr>
      </w:pPr>
      <w:r>
        <w:rPr>
          <w:rFonts w:hint="cs"/>
          <w:sz w:val="28"/>
          <w:szCs w:val="28"/>
          <w:rtl/>
        </w:rPr>
        <w:t xml:space="preserve">במסגרת הראיות לעונש הגישה ב"כ המאשימה את הרישום הפלילי של נאשם 2, ממנו עולה כי הוא הורשע בשנת 2008 בעבירות של סיכון חיי אדם בנתיב תחבורה לפי </w:t>
      </w:r>
      <w:hyperlink r:id="rId29" w:history="1">
        <w:r w:rsidR="00D66945" w:rsidRPr="00D66945">
          <w:rPr>
            <w:rStyle w:val="Hyperlink"/>
            <w:rFonts w:hint="eastAsia"/>
            <w:sz w:val="28"/>
            <w:szCs w:val="28"/>
            <w:rtl/>
          </w:rPr>
          <w:t>סעיף</w:t>
        </w:r>
        <w:r w:rsidR="00D66945" w:rsidRPr="00D66945">
          <w:rPr>
            <w:rStyle w:val="Hyperlink"/>
            <w:sz w:val="28"/>
            <w:szCs w:val="28"/>
            <w:rtl/>
          </w:rPr>
          <w:t xml:space="preserve"> 332(3)</w:t>
        </w:r>
      </w:hyperlink>
      <w:r>
        <w:rPr>
          <w:rFonts w:hint="cs"/>
          <w:sz w:val="28"/>
          <w:szCs w:val="28"/>
          <w:rtl/>
        </w:rPr>
        <w:t xml:space="preserve"> לחוק; יצור יבוא ויצוא נשק ללא רשות לפי </w:t>
      </w:r>
      <w:hyperlink r:id="rId30" w:history="1">
        <w:r w:rsidR="00D66945" w:rsidRPr="00D66945">
          <w:rPr>
            <w:rStyle w:val="Hyperlink"/>
            <w:rFonts w:hint="eastAsia"/>
            <w:sz w:val="28"/>
            <w:szCs w:val="28"/>
            <w:rtl/>
          </w:rPr>
          <w:t>סעיף</w:t>
        </w:r>
        <w:r w:rsidR="00D66945" w:rsidRPr="00D66945">
          <w:rPr>
            <w:rStyle w:val="Hyperlink"/>
            <w:sz w:val="28"/>
            <w:szCs w:val="28"/>
            <w:rtl/>
          </w:rPr>
          <w:t xml:space="preserve"> 144(ב2)</w:t>
        </w:r>
      </w:hyperlink>
      <w:r>
        <w:rPr>
          <w:rFonts w:hint="cs"/>
          <w:sz w:val="28"/>
          <w:szCs w:val="28"/>
          <w:rtl/>
        </w:rPr>
        <w:t xml:space="preserve"> לחוק; קשירת קשר לביצוע פשע לפי </w:t>
      </w:r>
      <w:hyperlink r:id="rId31" w:history="1">
        <w:r w:rsidR="00D66945" w:rsidRPr="00D66945">
          <w:rPr>
            <w:rStyle w:val="Hyperlink"/>
            <w:rFonts w:hint="eastAsia"/>
            <w:sz w:val="28"/>
            <w:szCs w:val="28"/>
            <w:rtl/>
          </w:rPr>
          <w:t>סעיף</w:t>
        </w:r>
        <w:r w:rsidR="00D66945" w:rsidRPr="00D66945">
          <w:rPr>
            <w:rStyle w:val="Hyperlink"/>
            <w:sz w:val="28"/>
            <w:szCs w:val="28"/>
            <w:rtl/>
          </w:rPr>
          <w:t xml:space="preserve"> 499(א)(1)</w:t>
        </w:r>
      </w:hyperlink>
      <w:r>
        <w:rPr>
          <w:rFonts w:hint="cs"/>
          <w:sz w:val="28"/>
          <w:szCs w:val="28"/>
          <w:rtl/>
        </w:rPr>
        <w:t xml:space="preserve"> לחוק; וניסיון לתקיפת שוטר באמצעות נשק, לפי </w:t>
      </w:r>
      <w:hyperlink r:id="rId32" w:history="1">
        <w:r w:rsidR="00D66945" w:rsidRPr="00D66945">
          <w:rPr>
            <w:rStyle w:val="Hyperlink"/>
            <w:rFonts w:hint="eastAsia"/>
            <w:sz w:val="28"/>
            <w:szCs w:val="28"/>
            <w:rtl/>
          </w:rPr>
          <w:t>סעיף</w:t>
        </w:r>
        <w:r w:rsidR="00D66945" w:rsidRPr="00D66945">
          <w:rPr>
            <w:rStyle w:val="Hyperlink"/>
            <w:sz w:val="28"/>
            <w:szCs w:val="28"/>
            <w:rtl/>
          </w:rPr>
          <w:t xml:space="preserve"> 274(2)</w:t>
        </w:r>
      </w:hyperlink>
      <w:r>
        <w:rPr>
          <w:rFonts w:hint="cs"/>
          <w:sz w:val="28"/>
          <w:szCs w:val="28"/>
          <w:rtl/>
        </w:rPr>
        <w:t xml:space="preserve"> בצירוף </w:t>
      </w:r>
      <w:hyperlink r:id="rId33" w:history="1">
        <w:r w:rsidR="00D66945" w:rsidRPr="00D66945">
          <w:rPr>
            <w:rStyle w:val="Hyperlink"/>
            <w:rFonts w:hint="eastAsia"/>
            <w:sz w:val="28"/>
            <w:szCs w:val="28"/>
            <w:rtl/>
          </w:rPr>
          <w:t>סעיף</w:t>
        </w:r>
        <w:r w:rsidR="00D66945" w:rsidRPr="00D66945">
          <w:rPr>
            <w:rStyle w:val="Hyperlink"/>
            <w:sz w:val="28"/>
            <w:szCs w:val="28"/>
            <w:rtl/>
          </w:rPr>
          <w:t xml:space="preserve"> 25</w:t>
        </w:r>
      </w:hyperlink>
      <w:r>
        <w:rPr>
          <w:rFonts w:hint="cs"/>
          <w:sz w:val="28"/>
          <w:szCs w:val="28"/>
          <w:rtl/>
        </w:rPr>
        <w:t xml:space="preserve"> לחוק. כמו כן הגישה ב"כ המאשימה את גזר דינו של השותף חמדי, והטעימה כי המדינה הגישה לבית המשפט העליון ערעור על גזר הדין שהושת עליו, העתיד להישמע בחודש יולי 2015. </w:t>
      </w:r>
    </w:p>
    <w:p w14:paraId="357F0762" w14:textId="77777777" w:rsidR="00E10C50" w:rsidRDefault="00590AD1">
      <w:pPr>
        <w:pStyle w:val="ListParagraph"/>
        <w:numPr>
          <w:ilvl w:val="0"/>
          <w:numId w:val="1"/>
        </w:numPr>
        <w:spacing w:before="240" w:line="480" w:lineRule="auto"/>
        <w:jc w:val="both"/>
        <w:rPr>
          <w:sz w:val="28"/>
          <w:szCs w:val="28"/>
        </w:rPr>
      </w:pPr>
      <w:r>
        <w:rPr>
          <w:rFonts w:hint="cs"/>
          <w:sz w:val="28"/>
          <w:szCs w:val="28"/>
          <w:rtl/>
        </w:rPr>
        <w:t xml:space="preserve">לא הובאו ראיות לעונש מטעם ההגנה. </w:t>
      </w:r>
    </w:p>
    <w:p w14:paraId="654B10B1" w14:textId="77777777" w:rsidR="00E10C50" w:rsidRDefault="00590AD1">
      <w:pPr>
        <w:spacing w:before="240" w:line="480" w:lineRule="auto"/>
        <w:jc w:val="both"/>
        <w:rPr>
          <w:b/>
          <w:bCs/>
          <w:sz w:val="30"/>
          <w:szCs w:val="30"/>
          <w:u w:val="single"/>
        </w:rPr>
      </w:pPr>
      <w:r>
        <w:rPr>
          <w:rFonts w:hint="cs"/>
          <w:b/>
          <w:bCs/>
          <w:sz w:val="30"/>
          <w:szCs w:val="30"/>
          <w:u w:val="single"/>
          <w:rtl/>
        </w:rPr>
        <w:t>תמצית סיכומי הצדדים לעונש</w:t>
      </w:r>
    </w:p>
    <w:p w14:paraId="0BCC4B31"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ב"כ המאשימה, עו"ד ג'ני אבני, טענה כי העבירות בהן הורשעו הנאשמים חריגות בחומרתן ולא בכדי קבע המחוקק לצידן עונשים של מאסר עולם ואף מיתה, החלים גם על עבירות של קשירת קשר לביצוע אותן עבירות. הנאשמים קשרו קשר לפגיעה קטלנית במדינת ישראל, שכן תפקידם לא התמצה בהשגת חומרי גלם בלבד לצורך הכנת מטען החבלה, אלא היה על הנאשמים לקחת חלק פעיל בהחדרת המטען לישראל ובהנחתו בקרב אוכלוסייה אזרחית במקום הומה אדם. הערך החברתי שנפגע הינו פגיעה בביטחון המדינה וחיי אזרחיה. באשר לנסיבות: לצורך קידום התכנית, אשר תוכננה לאורך ימים, קשרו הנאשים קשר, אספו חומרים שונים לצורך הכנת מטען החבלה, אותם הם העבירו לחמדי. הנזק שצפוי היה להיגרם הוא עצום, ואינו מתמצה בחייהם וגופם של הנפגעים הפוטנציאליים, אלא נלווה לכך גם נזק עצום לתחושת הביטחון לילך באופן חופשי ברחובות העיר ללא מורא וחשש. הנאשמים ביקשו לפגוע במספר רב של חפים מפשע ללא אבחנה וללא הגבלה ותיעלו את כוונתם למרכז קניות הומה, בעיתוי בו שוהים שם אנשים רבים. לא זו אף זו, הנאשמים אף קשרו קשר במטרה לבצע פיגוע ירי על חיילי צה"ל, עובדה המצביעה על נחישותם לפגוע בערכים המוגנים של ביטחון המדינה. עוד הוסיפה, כי לא קיימת בנסיבות העניין פגיעה כלשהי בנאשמים ובני משפחותיהם. על אף הודאותיהם בחקירה, המשיכו הנאשמים לאחוז עד לרגע האחרון בטענות שונות ומשונות אודות גרסאותיהם בחקירה, כך שבפועל אינם נוטלים אחריות ואינם מביעים הרהורי חרטה על המעשים. מתחם הענישה בעניינו של נאשם 1 הינו בין 9 ל-13 שנות מאסר, וראוי לגזור הדין באמצע המתחם. מתחם הענישה בעניינו של נאשם 2 הינו בין 8 ל-12 שנים, הואיל והצטרף מעט מאוחר יותר ותרומתו פחותה במעט. בעניינו של נאשם 2 יש להזכיר את עברו הפלילי, שעניינו פעילות חבלנית עוינת בדרך של ייצור ויידוי בקבוקי תבערה. לאור האמור, ראוי לגזור הדין מעט מעל אמצע המתחם. </w:t>
      </w:r>
    </w:p>
    <w:p w14:paraId="376D5810"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t>ב"כ המאשימה נדרשה להתייחס לשוני בעניינו של חמדי, שחלקו כאמור רב יותר מחלקם של הנאשמים 1 ו-2, ולעונש שנגזר עליו ב</w:t>
      </w:r>
      <w:hyperlink r:id="rId34" w:history="1">
        <w:r w:rsidRPr="00590AD1">
          <w:rPr>
            <w:rStyle w:val="Hyperlink"/>
            <w:rFonts w:hint="eastAsia"/>
            <w:sz w:val="28"/>
            <w:szCs w:val="28"/>
            <w:rtl/>
          </w:rPr>
          <w:t>תפ</w:t>
        </w:r>
        <w:r w:rsidRPr="00590AD1">
          <w:rPr>
            <w:rStyle w:val="Hyperlink"/>
            <w:sz w:val="28"/>
            <w:szCs w:val="28"/>
            <w:rtl/>
          </w:rPr>
          <w:t>"ח 26637-09-13</w:t>
        </w:r>
      </w:hyperlink>
      <w:r>
        <w:rPr>
          <w:rFonts w:hint="cs"/>
          <w:sz w:val="28"/>
          <w:szCs w:val="28"/>
          <w:rtl/>
        </w:rPr>
        <w:t xml:space="preserve"> (בפני מותב אחר של בית משפט זה), מיום 9.6.14, מאחר שהן מתחם העונש ההולם והן העונש שנגזר עליו בפועל נמוכים משמעותית מהמתחם ומהעונש לו היא עותרת במקרה דנא. לשיטתה, השוני נובע מכך שחמדי, תושב רמאללה, הורשע במסגרת הסדר טיעון והביע חרטה על מעשיו. לעומת זאת, נאשמים 1 ו-2, אשר בחרו לנהל הוכחות, הינם תושבי ישראל, נתון המוסיף רובד נוסף של חומרה למעשיהם ואשר גלום בהם אותו יסוד של בגידה במדינה בה הם חיים.   </w:t>
      </w:r>
    </w:p>
    <w:p w14:paraId="78D83FAA"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t xml:space="preserve">לשיטתה, אותם שיקולים לקולא בעניינו של חמדי יכולים לשמש לצורך קביעת עונש בתוך מתחם הענישה ולא לצורך קביעת המתחם עצמו, ולפיכך, לשיטתה, קביעת המתחם בעניינו של חמדי שגויה ולכן הגישה המאשימה ערעור לבית המשפט העליון. לאור האמור, ומאחר שגזר הדין אינו חלוט, בית המשפט אינו מחויב למתחם שנקבע בעניינו של חמדי ואינו נדרש ליישם את עיקרון אחידות הענישה.  </w:t>
      </w:r>
    </w:p>
    <w:p w14:paraId="1B0F6581"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ב"כ נאשם 1 טען, כי לשיטתו לא נפלה כל טעות בגזר הדין שניתן בעניינו של חמדי, לבטח לא כזו המחייבת סטייה ממדיניות הענישה. בנוסף, עמד על ההבדלים בין עניינו של חמדי לעניינם של נאשמים 1 ו-2, והטעים כי חלקו של חמדי רב וחמור מחלקם של נאשמים 1 ו-2, אשר אף הם הודו בביצוע העבירות. לנאשם 1 אין עבר פלילי. הסנגור פרש לפני בית המשפט פסיקה נוהגת וממנה נגזר כי מתחם הענישה הינו למירב 4 שנות מאסר, וביקש להסתפק בענישה זו לגבי נאשם 1. הסנגור המלומד הדגיש, כי הנאשם גדל במשפחה נורמטיבית והינו מאורס כעת.   </w:t>
      </w:r>
    </w:p>
    <w:p w14:paraId="38B5CC5F"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ב"כ נאשם 2 ציין, כי בפן הכללי הוא מצטרף לטיעוניי ב"כ נאשם 1 בדיון שהתקיים ביום 8.2.15, וטען כי חלקו של נאשם 2 נופל בהרבה מחלקם של חמדי ונאשם 1, כך שהעונש שיוטל עליו חייב להיות הקל מבין שלושתם, קרי - פחות מ-4 שנות מאסר. נאשם 2 צורף לתוכנית בשלב מאוחר, ולמעט העברת כ-40 גולות לנאשם 1 אין לו כל מעשה אקטיבי אחר. מדובר אך ורק בתכנון התחלתי אודות כוונה ערטילאית שלא קרמה עור וגידים. לשיטתו, עונשו של קושר הקשר בשלבי התחלה כה מקדמיים צריך להיות קל, שהרי אין זה מן הנמנע שיתחרט בהמשך הדרך; קל וחומר כשמדובר בנאשם שהינו נשוי ואב לשני ילדים קטנים. עברו הפלילי של נאשם 2 רחוק, שולי ומתייחס לנסיבות אחרות של "האווירה הירושלמית". הנאשמים הודו במעשיהם והעידו בבית המשפט הנכבד כדי להמחיש את המעשים בהם היו מעורבים ויש ליתן לכך את המשקל הראוי לקולא.        </w:t>
      </w:r>
    </w:p>
    <w:p w14:paraId="316E2F6E" w14:textId="77777777" w:rsidR="00E10C50" w:rsidRDefault="00E10C50">
      <w:pPr>
        <w:spacing w:before="240" w:line="480" w:lineRule="auto"/>
        <w:jc w:val="both"/>
        <w:rPr>
          <w:b/>
          <w:bCs/>
          <w:sz w:val="28"/>
          <w:szCs w:val="28"/>
          <w:u w:val="single"/>
          <w:rtl/>
        </w:rPr>
      </w:pPr>
    </w:p>
    <w:p w14:paraId="6B1E5D69" w14:textId="77777777" w:rsidR="00E10C50" w:rsidRDefault="00590AD1">
      <w:pPr>
        <w:spacing w:before="240" w:line="480" w:lineRule="auto"/>
        <w:jc w:val="both"/>
        <w:rPr>
          <w:sz w:val="28"/>
          <w:szCs w:val="28"/>
          <w:u w:val="single"/>
          <w:rtl/>
        </w:rPr>
      </w:pPr>
      <w:r>
        <w:rPr>
          <w:rFonts w:hint="cs"/>
          <w:b/>
          <w:bCs/>
          <w:sz w:val="28"/>
          <w:szCs w:val="28"/>
          <w:u w:val="single"/>
          <w:rtl/>
        </w:rPr>
        <w:t>דיון</w:t>
      </w:r>
      <w:r>
        <w:rPr>
          <w:rFonts w:hint="cs"/>
          <w:sz w:val="28"/>
          <w:szCs w:val="28"/>
          <w:u w:val="single"/>
          <w:rtl/>
        </w:rPr>
        <w:t xml:space="preserve"> </w:t>
      </w:r>
    </w:p>
    <w:p w14:paraId="06F265CE"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גזר הדין יינתן בהתאם להנחיות שנקבעו ב</w:t>
      </w:r>
      <w:hyperlink r:id="rId35"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xml:space="preserve"> (תיקון מס' 113), התשע"ב-2012 (ס"ח 2330, 10.1.2012), ועל פי המתווה שפורט ב</w:t>
      </w:r>
      <w:hyperlink r:id="rId36" w:history="1">
        <w:r w:rsidRPr="00590AD1">
          <w:rPr>
            <w:rStyle w:val="Hyperlink"/>
            <w:rFonts w:hint="eastAsia"/>
            <w:sz w:val="28"/>
            <w:szCs w:val="28"/>
            <w:rtl/>
          </w:rPr>
          <w:t>ע</w:t>
        </w:r>
        <w:r w:rsidRPr="00590AD1">
          <w:rPr>
            <w:rStyle w:val="Hyperlink"/>
            <w:sz w:val="28"/>
            <w:szCs w:val="28"/>
            <w:rtl/>
          </w:rPr>
          <w:t>"פ 8641/12</w:t>
        </w:r>
      </w:hyperlink>
      <w:r>
        <w:rPr>
          <w:rFonts w:hint="cs"/>
          <w:sz w:val="28"/>
          <w:szCs w:val="28"/>
          <w:rtl/>
        </w:rPr>
        <w:t xml:space="preserve">, </w:t>
      </w:r>
      <w:hyperlink r:id="rId37" w:history="1">
        <w:r w:rsidR="00CB3D92" w:rsidRPr="00CB3D92">
          <w:rPr>
            <w:color w:val="0000FF"/>
            <w:sz w:val="28"/>
            <w:szCs w:val="28"/>
            <w:u w:val="single"/>
            <w:rtl/>
          </w:rPr>
          <w:t>8678/12</w:t>
        </w:r>
      </w:hyperlink>
      <w:r>
        <w:rPr>
          <w:rFonts w:hint="cs"/>
          <w:sz w:val="28"/>
          <w:szCs w:val="28"/>
          <w:rtl/>
        </w:rPr>
        <w:t xml:space="preserve"> </w:t>
      </w:r>
      <w:r>
        <w:rPr>
          <w:rFonts w:hint="cs"/>
          <w:b/>
          <w:bCs/>
          <w:sz w:val="28"/>
          <w:szCs w:val="28"/>
          <w:rtl/>
        </w:rPr>
        <w:t>מוחמד סעד</w:t>
      </w:r>
      <w:r>
        <w:rPr>
          <w:rFonts w:hint="cs"/>
          <w:sz w:val="28"/>
          <w:szCs w:val="28"/>
          <w:rtl/>
        </w:rPr>
        <w:t xml:space="preserve"> נ' </w:t>
      </w:r>
      <w:r>
        <w:rPr>
          <w:rFonts w:hint="cs"/>
          <w:b/>
          <w:bCs/>
          <w:sz w:val="28"/>
          <w:szCs w:val="28"/>
          <w:rtl/>
        </w:rPr>
        <w:t>מדינת ישראל</w:t>
      </w:r>
      <w:r>
        <w:rPr>
          <w:rFonts w:hint="cs"/>
          <w:sz w:val="28"/>
          <w:szCs w:val="28"/>
          <w:rtl/>
        </w:rPr>
        <w:t xml:space="preserve"> (5.8.13) (להלן: "</w:t>
      </w:r>
      <w:r>
        <w:rPr>
          <w:rFonts w:hint="cs"/>
          <w:b/>
          <w:bCs/>
          <w:sz w:val="28"/>
          <w:szCs w:val="28"/>
          <w:rtl/>
        </w:rPr>
        <w:t>הלכת סעד</w:t>
      </w:r>
      <w:r>
        <w:rPr>
          <w:rFonts w:hint="cs"/>
          <w:sz w:val="28"/>
          <w:szCs w:val="28"/>
          <w:rtl/>
        </w:rPr>
        <w:t xml:space="preserve">").  </w:t>
      </w:r>
    </w:p>
    <w:p w14:paraId="1C384F9A"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בתיקון 113 קבע המחוקק מנגנון תלת-שלבי לגזירת העונש. בשלב הראשון, המקדמי, הואיל והנאשמים הורשעו בשתי עבירות ובהתאם לאמור </w:t>
      </w:r>
      <w:hyperlink r:id="rId38" w:history="1">
        <w:r w:rsidR="00D66945" w:rsidRPr="00D66945">
          <w:rPr>
            <w:rStyle w:val="Hyperlink"/>
            <w:rFonts w:hint="eastAsia"/>
            <w:sz w:val="28"/>
            <w:szCs w:val="28"/>
            <w:rtl/>
          </w:rPr>
          <w:t>בסעיף</w:t>
        </w:r>
        <w:r w:rsidR="00D66945" w:rsidRPr="00D66945">
          <w:rPr>
            <w:rStyle w:val="Hyperlink"/>
            <w:sz w:val="28"/>
            <w:szCs w:val="28"/>
            <w:rtl/>
          </w:rPr>
          <w:t xml:space="preserve"> 40יג</w:t>
        </w:r>
      </w:hyperlink>
      <w:r>
        <w:rPr>
          <w:rFonts w:hint="cs"/>
          <w:sz w:val="28"/>
          <w:szCs w:val="28"/>
          <w:rtl/>
        </w:rPr>
        <w:t xml:space="preserve"> ל</w:t>
      </w:r>
      <w:hyperlink r:id="rId39"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על בית המשפט לקבוע תחילה האם העבירות בהן הורשעו מהוות אירוע אחד או שני אירועים שונים. אם מדובר באירוע אחד, ימשיך בית המשפט 'כרגיל', אל עבר שני השלבים הבאים (הלכת סעד). עיון בעובדות המקרה מלמד, כי עסקינן באירוע אחד במהלכו ביצעו הנאשמים את העבירות בהן הורשעו.</w:t>
      </w:r>
    </w:p>
    <w:p w14:paraId="37529087"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בהתאם לכך, אעבור עתה לקביעת מתחם העונש ההולם למעשי העבירה שביצעו הנאשמים, ולשם כך אתחשב בערך החברתי שנפגע מביצוע העבירה, מידת הפגיעה בו, מדיניות הענישה הנהוגה והנסיבות הקשורות בביצוע העבירה, כאמור </w:t>
      </w:r>
      <w:hyperlink r:id="rId40" w:history="1">
        <w:r w:rsidR="00D66945" w:rsidRPr="00D66945">
          <w:rPr>
            <w:rStyle w:val="Hyperlink"/>
            <w:rFonts w:hint="eastAsia"/>
            <w:sz w:val="28"/>
            <w:szCs w:val="28"/>
            <w:rtl/>
          </w:rPr>
          <w:t>בסעיף</w:t>
        </w:r>
        <w:r w:rsidR="00D66945" w:rsidRPr="00D66945">
          <w:rPr>
            <w:rStyle w:val="Hyperlink"/>
            <w:sz w:val="28"/>
            <w:szCs w:val="28"/>
            <w:rtl/>
          </w:rPr>
          <w:t xml:space="preserve"> 40ג(א)</w:t>
        </w:r>
      </w:hyperlink>
      <w:r>
        <w:rPr>
          <w:rFonts w:hint="cs"/>
          <w:sz w:val="28"/>
          <w:szCs w:val="28"/>
          <w:rtl/>
        </w:rPr>
        <w:t xml:space="preserve"> ל</w:t>
      </w:r>
      <w:hyperlink r:id="rId41"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xml:space="preserve">. </w:t>
      </w:r>
    </w:p>
    <w:p w14:paraId="757F4CC1" w14:textId="77777777" w:rsidR="00E10C50" w:rsidRDefault="00E10C50">
      <w:pPr>
        <w:spacing w:before="240" w:line="480" w:lineRule="auto"/>
        <w:jc w:val="both"/>
        <w:rPr>
          <w:b/>
          <w:bCs/>
          <w:sz w:val="28"/>
          <w:szCs w:val="28"/>
          <w:u w:val="single"/>
          <w:rtl/>
        </w:rPr>
      </w:pPr>
    </w:p>
    <w:p w14:paraId="2FB06D6B" w14:textId="77777777" w:rsidR="00E10C50" w:rsidRDefault="00E10C50">
      <w:pPr>
        <w:spacing w:before="240" w:line="480" w:lineRule="auto"/>
        <w:jc w:val="both"/>
        <w:rPr>
          <w:b/>
          <w:bCs/>
          <w:sz w:val="28"/>
          <w:szCs w:val="28"/>
          <w:u w:val="single"/>
          <w:rtl/>
        </w:rPr>
      </w:pPr>
    </w:p>
    <w:p w14:paraId="1E626B87" w14:textId="77777777" w:rsidR="00E10C50" w:rsidRDefault="00E10C50">
      <w:pPr>
        <w:spacing w:before="240" w:line="480" w:lineRule="auto"/>
        <w:jc w:val="both"/>
        <w:rPr>
          <w:b/>
          <w:bCs/>
          <w:sz w:val="28"/>
          <w:szCs w:val="28"/>
          <w:u w:val="single"/>
          <w:rtl/>
        </w:rPr>
      </w:pPr>
    </w:p>
    <w:p w14:paraId="40C3E2B9" w14:textId="77777777" w:rsidR="00E10C50" w:rsidRDefault="00590AD1">
      <w:pPr>
        <w:spacing w:before="240" w:line="480" w:lineRule="auto"/>
        <w:jc w:val="both"/>
        <w:rPr>
          <w:sz w:val="30"/>
          <w:szCs w:val="30"/>
          <w:rtl/>
        </w:rPr>
      </w:pPr>
      <w:r>
        <w:rPr>
          <w:rFonts w:hint="cs"/>
          <w:b/>
          <w:bCs/>
          <w:sz w:val="30"/>
          <w:szCs w:val="30"/>
          <w:u w:val="single"/>
          <w:rtl/>
        </w:rPr>
        <w:t>מתחם העונש ההולם</w:t>
      </w:r>
    </w:p>
    <w:p w14:paraId="35DDB464" w14:textId="77777777" w:rsidR="00E10C50" w:rsidRDefault="00590AD1">
      <w:pPr>
        <w:spacing w:before="240" w:line="480" w:lineRule="auto"/>
        <w:jc w:val="both"/>
        <w:rPr>
          <w:sz w:val="28"/>
          <w:szCs w:val="28"/>
          <w:rtl/>
        </w:rPr>
      </w:pPr>
      <w:r>
        <w:rPr>
          <w:rFonts w:hint="cs"/>
          <w:b/>
          <w:bCs/>
          <w:sz w:val="28"/>
          <w:szCs w:val="28"/>
          <w:rtl/>
        </w:rPr>
        <w:t>הערך החברתי המוגן ומידת הפגיעה בו</w:t>
      </w:r>
    </w:p>
    <w:p w14:paraId="155E2A5C"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העבירות שהנאשמים הורשעו בביצוען חמורות בטיבן ובנסיבותיהן, ובפרט העבירה של קשירת קשר לסייע לאויב במלחמה, לפי </w:t>
      </w:r>
      <w:hyperlink r:id="rId42" w:history="1">
        <w:r w:rsidR="00D66945" w:rsidRPr="00D66945">
          <w:rPr>
            <w:rStyle w:val="Hyperlink"/>
            <w:rFonts w:hint="eastAsia"/>
            <w:sz w:val="28"/>
            <w:szCs w:val="28"/>
            <w:rtl/>
          </w:rPr>
          <w:t>סעיפים</w:t>
        </w:r>
        <w:r w:rsidR="00D66945" w:rsidRPr="00D66945">
          <w:rPr>
            <w:rStyle w:val="Hyperlink"/>
            <w:sz w:val="28"/>
            <w:szCs w:val="28"/>
            <w:rtl/>
          </w:rPr>
          <w:t xml:space="preserve"> 99</w:t>
        </w:r>
      </w:hyperlink>
      <w:r>
        <w:rPr>
          <w:rFonts w:hint="cs"/>
          <w:sz w:val="28"/>
          <w:szCs w:val="28"/>
          <w:rtl/>
        </w:rPr>
        <w:t xml:space="preserve"> ו-</w:t>
      </w:r>
      <w:hyperlink r:id="rId43" w:history="1">
        <w:r w:rsidR="00D66945" w:rsidRPr="00D66945">
          <w:rPr>
            <w:rStyle w:val="Hyperlink"/>
            <w:sz w:val="28"/>
            <w:szCs w:val="28"/>
            <w:rtl/>
          </w:rPr>
          <w:t>92</w:t>
        </w:r>
      </w:hyperlink>
      <w:r>
        <w:rPr>
          <w:rFonts w:hint="cs"/>
          <w:sz w:val="28"/>
          <w:szCs w:val="28"/>
          <w:rtl/>
        </w:rPr>
        <w:t xml:space="preserve"> ל</w:t>
      </w:r>
      <w:hyperlink r:id="rId44"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xml:space="preserve">. העבירה לפי </w:t>
      </w:r>
      <w:hyperlink r:id="rId45" w:history="1">
        <w:r w:rsidR="00D66945" w:rsidRPr="00D66945">
          <w:rPr>
            <w:rStyle w:val="Hyperlink"/>
            <w:rFonts w:hint="eastAsia"/>
            <w:sz w:val="28"/>
            <w:szCs w:val="28"/>
            <w:rtl/>
          </w:rPr>
          <w:t>סעי</w:t>
        </w:r>
        <w:r w:rsidR="00D66945" w:rsidRPr="00D66945">
          <w:rPr>
            <w:rStyle w:val="Hyperlink"/>
            <w:rFonts w:hint="eastAsia"/>
            <w:sz w:val="28"/>
            <w:szCs w:val="28"/>
            <w:rtl/>
          </w:rPr>
          <w:t>ף</w:t>
        </w:r>
        <w:r w:rsidR="00D66945" w:rsidRPr="00D66945">
          <w:rPr>
            <w:rStyle w:val="Hyperlink"/>
            <w:sz w:val="28"/>
            <w:szCs w:val="28"/>
            <w:rtl/>
          </w:rPr>
          <w:t xml:space="preserve"> 99</w:t>
        </w:r>
      </w:hyperlink>
      <w:r>
        <w:rPr>
          <w:rFonts w:hint="cs"/>
          <w:sz w:val="28"/>
          <w:szCs w:val="28"/>
          <w:rtl/>
        </w:rPr>
        <w:t xml:space="preserve">, סיוע לאויב במלחמה, קובעת </w:t>
      </w:r>
      <w:hyperlink r:id="rId46" w:history="1">
        <w:r w:rsidR="00D66945" w:rsidRPr="00D66945">
          <w:rPr>
            <w:rStyle w:val="Hyperlink"/>
            <w:rFonts w:hint="eastAsia"/>
            <w:sz w:val="28"/>
            <w:szCs w:val="28"/>
            <w:rtl/>
          </w:rPr>
          <w:t>בסעיף</w:t>
        </w:r>
        <w:r w:rsidR="00D66945" w:rsidRPr="00D66945">
          <w:rPr>
            <w:rStyle w:val="Hyperlink"/>
            <w:sz w:val="28"/>
            <w:szCs w:val="28"/>
            <w:rtl/>
          </w:rPr>
          <w:t xml:space="preserve"> (א)</w:t>
        </w:r>
      </w:hyperlink>
      <w:r>
        <w:rPr>
          <w:rFonts w:hint="cs"/>
          <w:sz w:val="28"/>
          <w:szCs w:val="28"/>
          <w:rtl/>
        </w:rPr>
        <w:t>, כי "</w:t>
      </w:r>
      <w:r>
        <w:rPr>
          <w:rFonts w:hint="cs"/>
          <w:b/>
          <w:bCs/>
          <w:sz w:val="28"/>
          <w:szCs w:val="28"/>
          <w:rtl/>
        </w:rPr>
        <w:t xml:space="preserve">מי שעשה, בכוונה לסייע לאויב במלחמתו נגד ישראל, מעשה שיש בו כדי לסייע לכך, דינו </w:t>
      </w:r>
      <w:r>
        <w:rPr>
          <w:b/>
          <w:bCs/>
          <w:sz w:val="28"/>
          <w:szCs w:val="28"/>
          <w:rtl/>
        </w:rPr>
        <w:t>–</w:t>
      </w:r>
      <w:r>
        <w:rPr>
          <w:rFonts w:hint="cs"/>
          <w:b/>
          <w:bCs/>
          <w:sz w:val="28"/>
          <w:szCs w:val="28"/>
          <w:rtl/>
        </w:rPr>
        <w:t xml:space="preserve"> מיתה או מאסר עולם</w:t>
      </w:r>
      <w:r>
        <w:rPr>
          <w:rFonts w:hint="cs"/>
          <w:sz w:val="28"/>
          <w:szCs w:val="28"/>
          <w:rtl/>
        </w:rPr>
        <w:t xml:space="preserve">". </w:t>
      </w:r>
      <w:hyperlink r:id="rId47" w:history="1">
        <w:r w:rsidR="00D66945" w:rsidRPr="00D66945">
          <w:rPr>
            <w:rStyle w:val="Hyperlink"/>
            <w:rFonts w:hint="eastAsia"/>
            <w:sz w:val="28"/>
            <w:szCs w:val="28"/>
            <w:rtl/>
          </w:rPr>
          <w:t>סעיף</w:t>
        </w:r>
        <w:r w:rsidR="00D66945" w:rsidRPr="00D66945">
          <w:rPr>
            <w:rStyle w:val="Hyperlink"/>
            <w:sz w:val="28"/>
            <w:szCs w:val="28"/>
            <w:rtl/>
          </w:rPr>
          <w:t xml:space="preserve"> 92</w:t>
        </w:r>
      </w:hyperlink>
      <w:r>
        <w:rPr>
          <w:rFonts w:hint="cs"/>
          <w:sz w:val="28"/>
          <w:szCs w:val="28"/>
          <w:rtl/>
        </w:rPr>
        <w:t xml:space="preserve"> לחוק קובע, כי "</w:t>
      </w:r>
      <w:r>
        <w:rPr>
          <w:rFonts w:hint="cs"/>
          <w:b/>
          <w:bCs/>
          <w:sz w:val="28"/>
          <w:szCs w:val="28"/>
          <w:rtl/>
        </w:rPr>
        <w:t>קשר או ניסיון לעבור עבירה לפי פרק זה, דינם כדין מעשה העבירה</w:t>
      </w:r>
      <w:r>
        <w:rPr>
          <w:rFonts w:hint="cs"/>
          <w:sz w:val="28"/>
          <w:szCs w:val="28"/>
          <w:rtl/>
        </w:rPr>
        <w:t xml:space="preserve">". השוואת הקשר והניסיון לביצוע העבירה המושלמת מבטאת את הערך המוגן המוגבר העומד ביסוד ביצוע העבירות </w:t>
      </w:r>
      <w:r>
        <w:rPr>
          <w:sz w:val="28"/>
          <w:szCs w:val="28"/>
          <w:rtl/>
        </w:rPr>
        <w:t>–</w:t>
      </w:r>
      <w:r>
        <w:rPr>
          <w:rFonts w:hint="cs"/>
          <w:sz w:val="28"/>
          <w:szCs w:val="28"/>
          <w:rtl/>
        </w:rPr>
        <w:t xml:space="preserve"> ההגנה על ביטחון המדינה ושלום תושביה. </w:t>
      </w:r>
    </w:p>
    <w:p w14:paraId="588BD094" w14:textId="77777777" w:rsidR="00E10C50" w:rsidRDefault="00590AD1">
      <w:pPr>
        <w:pStyle w:val="ListParagraph"/>
        <w:spacing w:before="240" w:line="480" w:lineRule="auto"/>
        <w:ind w:left="360"/>
        <w:contextualSpacing w:val="0"/>
        <w:jc w:val="both"/>
        <w:rPr>
          <w:sz w:val="28"/>
          <w:szCs w:val="28"/>
          <w:rtl/>
        </w:rPr>
      </w:pPr>
      <w:r>
        <w:rPr>
          <w:rFonts w:hint="cs"/>
          <w:sz w:val="28"/>
          <w:szCs w:val="28"/>
          <w:rtl/>
        </w:rPr>
        <w:t xml:space="preserve">בנסיבות אלו, בהן הנאשמים קשרו קשר יחד עם חמדי בכוונה לבצע פיגוע רב-נפגעים, מידת הפגיעה בערכים החברתיים חמורה ומשמעותית ובשל כך אף קרובה בחומרתה למקרה בו העבירה הושלמה. </w:t>
      </w:r>
    </w:p>
    <w:p w14:paraId="06CDB0B6" w14:textId="77777777" w:rsidR="00E10C50" w:rsidRDefault="00E10C50">
      <w:pPr>
        <w:pStyle w:val="ListParagraph"/>
        <w:spacing w:before="240" w:line="480" w:lineRule="auto"/>
        <w:ind w:left="360"/>
        <w:contextualSpacing w:val="0"/>
        <w:jc w:val="both"/>
        <w:rPr>
          <w:sz w:val="28"/>
          <w:szCs w:val="28"/>
          <w:rtl/>
        </w:rPr>
      </w:pPr>
    </w:p>
    <w:p w14:paraId="1C00DBA9" w14:textId="77777777" w:rsidR="00E10C50" w:rsidRDefault="00590AD1">
      <w:pPr>
        <w:spacing w:before="240" w:line="480" w:lineRule="auto"/>
        <w:jc w:val="both"/>
        <w:rPr>
          <w:sz w:val="28"/>
          <w:szCs w:val="28"/>
          <w:rtl/>
        </w:rPr>
      </w:pPr>
      <w:r>
        <w:rPr>
          <w:rFonts w:hint="cs"/>
          <w:b/>
          <w:bCs/>
          <w:sz w:val="28"/>
          <w:szCs w:val="28"/>
          <w:rtl/>
        </w:rPr>
        <w:t>מדיניות הענישה הנוהגת</w:t>
      </w:r>
    </w:p>
    <w:p w14:paraId="67F795F1" w14:textId="77777777" w:rsidR="00E10C50" w:rsidRDefault="00590AD1">
      <w:pPr>
        <w:pStyle w:val="ListParagraph"/>
        <w:numPr>
          <w:ilvl w:val="0"/>
          <w:numId w:val="1"/>
        </w:numPr>
        <w:spacing w:before="240" w:line="480" w:lineRule="auto"/>
        <w:ind w:left="357"/>
        <w:contextualSpacing w:val="0"/>
        <w:jc w:val="both"/>
        <w:rPr>
          <w:sz w:val="28"/>
          <w:szCs w:val="28"/>
        </w:rPr>
      </w:pPr>
      <w:r>
        <w:rPr>
          <w:rFonts w:hint="cs"/>
          <w:sz w:val="28"/>
          <w:szCs w:val="28"/>
          <w:rtl/>
        </w:rPr>
        <w:t xml:space="preserve">העבירות בהן הורשעו הנאשמים הינן לפי </w:t>
      </w:r>
      <w:hyperlink r:id="rId48" w:history="1">
        <w:r w:rsidR="00D66945" w:rsidRPr="00D66945">
          <w:rPr>
            <w:rStyle w:val="Hyperlink"/>
            <w:rFonts w:hint="eastAsia"/>
            <w:sz w:val="28"/>
            <w:szCs w:val="28"/>
            <w:rtl/>
          </w:rPr>
          <w:t>סעיף</w:t>
        </w:r>
        <w:r w:rsidR="00D66945" w:rsidRPr="00D66945">
          <w:rPr>
            <w:rStyle w:val="Hyperlink"/>
            <w:sz w:val="28"/>
            <w:szCs w:val="28"/>
            <w:rtl/>
          </w:rPr>
          <w:t xml:space="preserve"> 99(א)</w:t>
        </w:r>
      </w:hyperlink>
      <w:r>
        <w:rPr>
          <w:rFonts w:hint="cs"/>
          <w:sz w:val="28"/>
          <w:szCs w:val="28"/>
          <w:rtl/>
        </w:rPr>
        <w:t xml:space="preserve"> בצירוף </w:t>
      </w:r>
      <w:hyperlink r:id="rId49" w:history="1">
        <w:r w:rsidR="00D66945" w:rsidRPr="00D66945">
          <w:rPr>
            <w:rStyle w:val="Hyperlink"/>
            <w:rFonts w:hint="eastAsia"/>
            <w:sz w:val="28"/>
            <w:szCs w:val="28"/>
            <w:rtl/>
          </w:rPr>
          <w:t>סעיף</w:t>
        </w:r>
        <w:r w:rsidR="00D66945" w:rsidRPr="00D66945">
          <w:rPr>
            <w:rStyle w:val="Hyperlink"/>
            <w:sz w:val="28"/>
            <w:szCs w:val="28"/>
            <w:rtl/>
          </w:rPr>
          <w:t xml:space="preserve"> 92</w:t>
        </w:r>
      </w:hyperlink>
      <w:r>
        <w:rPr>
          <w:rFonts w:hint="cs"/>
          <w:sz w:val="28"/>
          <w:szCs w:val="28"/>
          <w:rtl/>
        </w:rPr>
        <w:t xml:space="preserve">, ולפי </w:t>
      </w:r>
      <w:hyperlink r:id="rId50" w:history="1">
        <w:r w:rsidR="00D66945" w:rsidRPr="00D66945">
          <w:rPr>
            <w:rStyle w:val="Hyperlink"/>
            <w:rFonts w:hint="eastAsia"/>
            <w:sz w:val="28"/>
            <w:szCs w:val="28"/>
            <w:rtl/>
          </w:rPr>
          <w:t>סעיף</w:t>
        </w:r>
        <w:r w:rsidR="00D66945" w:rsidRPr="00D66945">
          <w:rPr>
            <w:rStyle w:val="Hyperlink"/>
            <w:sz w:val="28"/>
            <w:szCs w:val="28"/>
            <w:rtl/>
          </w:rPr>
          <w:t xml:space="preserve"> 144(ב2)</w:t>
        </w:r>
      </w:hyperlink>
      <w:r>
        <w:rPr>
          <w:rFonts w:hint="cs"/>
          <w:sz w:val="28"/>
          <w:szCs w:val="28"/>
          <w:rtl/>
        </w:rPr>
        <w:t xml:space="preserve"> בצירוף </w:t>
      </w:r>
      <w:hyperlink r:id="rId51" w:history="1">
        <w:r w:rsidR="00D66945" w:rsidRPr="00D66945">
          <w:rPr>
            <w:rStyle w:val="Hyperlink"/>
            <w:rFonts w:hint="eastAsia"/>
            <w:sz w:val="28"/>
            <w:szCs w:val="28"/>
            <w:rtl/>
          </w:rPr>
          <w:t>סעיפים</w:t>
        </w:r>
        <w:r w:rsidR="00D66945" w:rsidRPr="00D66945">
          <w:rPr>
            <w:rStyle w:val="Hyperlink"/>
            <w:sz w:val="28"/>
            <w:szCs w:val="28"/>
            <w:rtl/>
          </w:rPr>
          <w:t xml:space="preserve"> 25</w:t>
        </w:r>
      </w:hyperlink>
      <w:r>
        <w:rPr>
          <w:rFonts w:hint="cs"/>
          <w:sz w:val="28"/>
          <w:szCs w:val="28"/>
          <w:rtl/>
        </w:rPr>
        <w:t xml:space="preserve"> ו-</w:t>
      </w:r>
      <w:hyperlink r:id="rId52" w:history="1">
        <w:r w:rsidR="00D66945" w:rsidRPr="00D66945">
          <w:rPr>
            <w:rStyle w:val="Hyperlink"/>
            <w:sz w:val="28"/>
            <w:szCs w:val="28"/>
            <w:rtl/>
          </w:rPr>
          <w:t>31</w:t>
        </w:r>
      </w:hyperlink>
      <w:r>
        <w:rPr>
          <w:rFonts w:hint="cs"/>
          <w:sz w:val="28"/>
          <w:szCs w:val="28"/>
          <w:rtl/>
        </w:rPr>
        <w:t xml:space="preserve"> לחוק. להלן אסקור את פסקי הדין שעניינם עבירות בגידה ופגיעה בביטחון המדינה במקרים דומים </w:t>
      </w:r>
      <w:r>
        <w:rPr>
          <w:sz w:val="28"/>
          <w:szCs w:val="28"/>
          <w:rtl/>
        </w:rPr>
        <w:t>–</w:t>
      </w:r>
      <w:r>
        <w:rPr>
          <w:rFonts w:hint="cs"/>
          <w:sz w:val="28"/>
          <w:szCs w:val="28"/>
          <w:rtl/>
        </w:rPr>
        <w:t xml:space="preserve"> בהם בוצעו הכנות של ממש לפיגוע גדול שבסופו של יום לא התבצע. </w:t>
      </w:r>
    </w:p>
    <w:p w14:paraId="20403D8E" w14:textId="77777777" w:rsidR="00E10C50" w:rsidRDefault="00590AD1">
      <w:pPr>
        <w:pStyle w:val="ListParagraph"/>
        <w:spacing w:before="240" w:line="480" w:lineRule="auto"/>
        <w:ind w:left="357"/>
        <w:contextualSpacing w:val="0"/>
        <w:jc w:val="both"/>
        <w:rPr>
          <w:sz w:val="28"/>
          <w:szCs w:val="28"/>
          <w:rtl/>
        </w:rPr>
      </w:pPr>
      <w:r>
        <w:rPr>
          <w:rFonts w:hint="cs"/>
          <w:sz w:val="28"/>
          <w:szCs w:val="28"/>
          <w:rtl/>
        </w:rPr>
        <w:t>ב</w:t>
      </w:r>
      <w:hyperlink r:id="rId53" w:history="1">
        <w:r w:rsidRPr="00590AD1">
          <w:rPr>
            <w:rStyle w:val="Hyperlink"/>
            <w:rFonts w:hint="eastAsia"/>
            <w:sz w:val="28"/>
            <w:szCs w:val="28"/>
            <w:rtl/>
          </w:rPr>
          <w:t>ע</w:t>
        </w:r>
        <w:r w:rsidRPr="00590AD1">
          <w:rPr>
            <w:rStyle w:val="Hyperlink"/>
            <w:sz w:val="28"/>
            <w:szCs w:val="28"/>
            <w:rtl/>
          </w:rPr>
          <w:t>"פ 7314/04</w:t>
        </w:r>
      </w:hyperlink>
      <w:r>
        <w:rPr>
          <w:rFonts w:hint="cs"/>
          <w:sz w:val="28"/>
          <w:szCs w:val="28"/>
          <w:rtl/>
        </w:rPr>
        <w:t xml:space="preserve"> </w:t>
      </w:r>
      <w:r>
        <w:rPr>
          <w:rFonts w:hint="cs"/>
          <w:b/>
          <w:bCs/>
          <w:sz w:val="28"/>
          <w:szCs w:val="28"/>
          <w:rtl/>
        </w:rPr>
        <w:t>איימן אבו קישק</w:t>
      </w:r>
      <w:r>
        <w:rPr>
          <w:rFonts w:hint="cs"/>
          <w:sz w:val="28"/>
          <w:szCs w:val="28"/>
          <w:rtl/>
        </w:rPr>
        <w:t xml:space="preserve"> נ' </w:t>
      </w:r>
      <w:r>
        <w:rPr>
          <w:rFonts w:hint="cs"/>
          <w:b/>
          <w:bCs/>
          <w:sz w:val="28"/>
          <w:szCs w:val="28"/>
          <w:rtl/>
        </w:rPr>
        <w:t xml:space="preserve">מדינת ישראל </w:t>
      </w:r>
      <w:r>
        <w:rPr>
          <w:rFonts w:hint="cs"/>
          <w:sz w:val="28"/>
          <w:szCs w:val="28"/>
          <w:rtl/>
        </w:rPr>
        <w:t>(16.5.06) (להלן: "</w:t>
      </w:r>
      <w:r>
        <w:rPr>
          <w:rFonts w:hint="cs"/>
          <w:b/>
          <w:bCs/>
          <w:sz w:val="28"/>
          <w:szCs w:val="28"/>
          <w:rtl/>
        </w:rPr>
        <w:t>פרשת אבו קישק</w:t>
      </w:r>
      <w:r>
        <w:rPr>
          <w:rFonts w:hint="cs"/>
          <w:sz w:val="28"/>
          <w:szCs w:val="28"/>
          <w:rtl/>
        </w:rPr>
        <w:t>") הורשעו שני המערערים (להלן: "</w:t>
      </w:r>
      <w:r>
        <w:rPr>
          <w:rFonts w:hint="cs"/>
          <w:b/>
          <w:bCs/>
          <w:sz w:val="28"/>
          <w:szCs w:val="28"/>
          <w:rtl/>
        </w:rPr>
        <w:t xml:space="preserve">מצרי" </w:t>
      </w:r>
      <w:r>
        <w:rPr>
          <w:rFonts w:hint="cs"/>
          <w:sz w:val="28"/>
          <w:szCs w:val="28"/>
          <w:rtl/>
        </w:rPr>
        <w:t>ו-</w:t>
      </w:r>
      <w:r>
        <w:rPr>
          <w:rFonts w:hint="cs"/>
          <w:b/>
          <w:bCs/>
          <w:sz w:val="28"/>
          <w:szCs w:val="28"/>
          <w:rtl/>
        </w:rPr>
        <w:t xml:space="preserve"> </w:t>
      </w:r>
      <w:r>
        <w:rPr>
          <w:rFonts w:hint="cs"/>
          <w:sz w:val="28"/>
          <w:szCs w:val="28"/>
          <w:rtl/>
        </w:rPr>
        <w:t>"</w:t>
      </w:r>
      <w:r>
        <w:rPr>
          <w:rFonts w:hint="cs"/>
          <w:b/>
          <w:bCs/>
          <w:sz w:val="28"/>
          <w:szCs w:val="28"/>
          <w:rtl/>
        </w:rPr>
        <w:t>אבו קישק</w:t>
      </w:r>
      <w:r>
        <w:rPr>
          <w:rFonts w:hint="cs"/>
          <w:sz w:val="28"/>
          <w:szCs w:val="28"/>
          <w:rtl/>
        </w:rPr>
        <w:t xml:space="preserve">"), על פי הודאתם, בעבירות של קשירת קשר לסייע לאויב במלחמה, סיוע לאויב במלחמה, קשירת קשר לביצוע פשע וסיכון חיי אנשים במזיד בנתיב תחבורה. מצרי אף הורשע בעבירה של מגע עם סוכן חוץ. המערערים השליכו בקבוקי תבערה לעבר מכוניות חולפות בכביש, והאישום המרכזי בו הורשעו היה פגישה עם פעיל בארגון הג'יהאד האיסלמי שביקש ממצרי לסייע בהחדרת מכונית תופת לישראל על מנת לפוצצה באמצעות טלפון סלולארי. משלא נמצא מקום הולם, נאות מצרי לסייע בהחדרת מחבל מתאבד לישראל ובהכנת מטען חבלה, ולשם כך הקים מצרי מעבדת חבלה וביקש מאבו קישק לסייע לו באיתור מקום היכול להתאים לביצוע הפיגוע. מצרי אף הכין תעודת זהות מזויפת עבור המחבל המתאבד והודיע לפעילים כי מעבדת החבלה מוכנה וכי נבחר מקום לביצוע הפיגוע - תחנת אוטובוס סמוך למחנה הצבאי 'צריפין'. המחבל המיועד התחרט. או אז, עדכנו הפעילים את מצרי כי מחבל אחר מעוניין לבצע את הפיגוע באמצעות מכונית תופת וכי עליו להובילו ברכבו לתחנת האוטובוס שעליה דובר. מצרי פנה לנאשם נוסף וביקש את עזרתו באיתור דירה בה יוסתרו המחבל ומעבדת החבלה. בשלב זה מצרי נעצר. על מצרי נגזרו 18 שנות מאסר ועל אבו קישק 11 שנות מאסר. ערעורם נדחה. </w:t>
      </w:r>
    </w:p>
    <w:p w14:paraId="5B8645DA" w14:textId="77777777" w:rsidR="00E10C50" w:rsidRDefault="00590AD1">
      <w:pPr>
        <w:pStyle w:val="ListParagraph"/>
        <w:spacing w:before="240" w:line="480" w:lineRule="auto"/>
        <w:ind w:left="357"/>
        <w:contextualSpacing w:val="0"/>
        <w:jc w:val="both"/>
        <w:rPr>
          <w:sz w:val="28"/>
          <w:szCs w:val="28"/>
          <w:rtl/>
        </w:rPr>
      </w:pPr>
      <w:r>
        <w:rPr>
          <w:rFonts w:hint="cs"/>
          <w:sz w:val="28"/>
          <w:szCs w:val="28"/>
          <w:rtl/>
        </w:rPr>
        <w:t>ב</w:t>
      </w:r>
      <w:hyperlink r:id="rId54" w:history="1">
        <w:r w:rsidRPr="00590AD1">
          <w:rPr>
            <w:rStyle w:val="Hyperlink"/>
            <w:rFonts w:hint="eastAsia"/>
            <w:sz w:val="28"/>
            <w:szCs w:val="28"/>
            <w:rtl/>
          </w:rPr>
          <w:t>תפ</w:t>
        </w:r>
        <w:r w:rsidRPr="00590AD1">
          <w:rPr>
            <w:rStyle w:val="Hyperlink"/>
            <w:sz w:val="28"/>
            <w:szCs w:val="28"/>
            <w:rtl/>
          </w:rPr>
          <w:t>"ח (י-ם) 4071/01</w:t>
        </w:r>
      </w:hyperlink>
      <w:r>
        <w:rPr>
          <w:rFonts w:hint="cs"/>
          <w:sz w:val="28"/>
          <w:szCs w:val="28"/>
          <w:rtl/>
        </w:rPr>
        <w:t xml:space="preserve"> </w:t>
      </w:r>
      <w:r>
        <w:rPr>
          <w:rFonts w:hint="cs"/>
          <w:b/>
          <w:bCs/>
          <w:sz w:val="28"/>
          <w:szCs w:val="28"/>
          <w:rtl/>
        </w:rPr>
        <w:t>מדינת ישראל</w:t>
      </w:r>
      <w:r>
        <w:rPr>
          <w:rFonts w:hint="cs"/>
          <w:sz w:val="28"/>
          <w:szCs w:val="28"/>
          <w:rtl/>
        </w:rPr>
        <w:t xml:space="preserve"> נ' </w:t>
      </w:r>
      <w:r>
        <w:rPr>
          <w:rFonts w:hint="cs"/>
          <w:b/>
          <w:bCs/>
          <w:sz w:val="28"/>
          <w:szCs w:val="28"/>
          <w:rtl/>
        </w:rPr>
        <w:t>מדחת מחמד</w:t>
      </w:r>
      <w:r>
        <w:rPr>
          <w:rFonts w:hint="cs"/>
          <w:sz w:val="28"/>
          <w:szCs w:val="28"/>
          <w:rtl/>
        </w:rPr>
        <w:t xml:space="preserve"> (24.11.03) הורשע הנאשם, לאחר שמיעת ראיות, בחברות בארגון טרור ובקשירת קשר לסיוע לאויב במלחמה. אמין צלאח (להלן: "</w:t>
      </w:r>
      <w:r>
        <w:rPr>
          <w:rFonts w:hint="cs"/>
          <w:b/>
          <w:bCs/>
          <w:sz w:val="28"/>
          <w:szCs w:val="28"/>
          <w:rtl/>
        </w:rPr>
        <w:t>אמין</w:t>
      </w:r>
      <w:r>
        <w:rPr>
          <w:rFonts w:hint="cs"/>
          <w:sz w:val="28"/>
          <w:szCs w:val="28"/>
          <w:rtl/>
        </w:rPr>
        <w:t xml:space="preserve">"), תושב רצועת עזה, החליט לבצע פיגועים בישראל. לשם כך נזקק לאמצעים ולהובלה. אמין נפגש עם הנאשם וביקש ממנו רובה מסוג קלצ'ניקוב ורימונים. הנאשם ביקש לדעת פרטים מדויקים לגבי הפיגוע המתוכנן. לשניים היה ברור כי אמין הוא זה שיבצע את הפיגוע, ותפקידו של הנאשם היה לסייע לו בכל, החל מהשגת הנשק וכלה בהובלתו לירושלים והצבעה על מקום הפיגוע. הנאשם נעצר לאחר הפגיעה עם אמין. הנאשם נדון ל-10 שנות מאסר (מתוכן 8 שנות מאסר בפועל ושנתיים על תנאי). </w:t>
      </w:r>
    </w:p>
    <w:p w14:paraId="4932B128" w14:textId="77777777" w:rsidR="00E10C50" w:rsidRDefault="00590AD1">
      <w:pPr>
        <w:pStyle w:val="ListParagraph"/>
        <w:spacing w:before="240" w:line="480" w:lineRule="auto"/>
        <w:ind w:left="357"/>
        <w:contextualSpacing w:val="0"/>
        <w:jc w:val="both"/>
        <w:rPr>
          <w:sz w:val="28"/>
          <w:szCs w:val="28"/>
          <w:rtl/>
        </w:rPr>
      </w:pPr>
      <w:r>
        <w:rPr>
          <w:rFonts w:hint="cs"/>
          <w:sz w:val="28"/>
          <w:szCs w:val="28"/>
          <w:rtl/>
        </w:rPr>
        <w:t>ב</w:t>
      </w:r>
      <w:hyperlink r:id="rId55" w:history="1">
        <w:r w:rsidRPr="00590AD1">
          <w:rPr>
            <w:rStyle w:val="Hyperlink"/>
            <w:rFonts w:hint="eastAsia"/>
            <w:sz w:val="28"/>
            <w:szCs w:val="28"/>
            <w:rtl/>
          </w:rPr>
          <w:t>ע</w:t>
        </w:r>
        <w:r w:rsidRPr="00590AD1">
          <w:rPr>
            <w:rStyle w:val="Hyperlink"/>
            <w:sz w:val="28"/>
            <w:szCs w:val="28"/>
            <w:rtl/>
          </w:rPr>
          <w:t>"פ 4053/08</w:t>
        </w:r>
      </w:hyperlink>
      <w:r>
        <w:rPr>
          <w:rFonts w:hint="cs"/>
          <w:sz w:val="28"/>
          <w:szCs w:val="28"/>
          <w:rtl/>
        </w:rPr>
        <w:t xml:space="preserve"> </w:t>
      </w:r>
      <w:r>
        <w:rPr>
          <w:rFonts w:hint="cs"/>
          <w:b/>
          <w:bCs/>
          <w:sz w:val="28"/>
          <w:szCs w:val="28"/>
          <w:rtl/>
        </w:rPr>
        <w:t>פלוני</w:t>
      </w:r>
      <w:r>
        <w:rPr>
          <w:rFonts w:hint="cs"/>
          <w:sz w:val="28"/>
          <w:szCs w:val="28"/>
          <w:rtl/>
        </w:rPr>
        <w:t xml:space="preserve"> נ' </w:t>
      </w:r>
      <w:r>
        <w:rPr>
          <w:rFonts w:hint="cs"/>
          <w:b/>
          <w:bCs/>
          <w:sz w:val="28"/>
          <w:szCs w:val="28"/>
          <w:rtl/>
        </w:rPr>
        <w:t>מדינת ישראל</w:t>
      </w:r>
      <w:r>
        <w:rPr>
          <w:rFonts w:hint="cs"/>
          <w:sz w:val="28"/>
          <w:szCs w:val="28"/>
          <w:rtl/>
        </w:rPr>
        <w:t xml:space="preserve"> (8.2.10) הורשע המערער בעבירה של קשירת קשר לסייע לאויב במלחמה. המערער היה הנאשם מספר 3 בכתב האישום המתוקן יחד עם נאשם 1 ונאשם 2. בחודש ספטמבר 2004 פגש הנאשם 1 במבוקש בשם אחמד קייסי (להלן: "</w:t>
      </w:r>
      <w:r>
        <w:rPr>
          <w:rFonts w:hint="cs"/>
          <w:b/>
          <w:bCs/>
          <w:sz w:val="28"/>
          <w:szCs w:val="28"/>
          <w:rtl/>
        </w:rPr>
        <w:t>קייסי</w:t>
      </w:r>
      <w:r>
        <w:rPr>
          <w:rFonts w:hint="cs"/>
          <w:sz w:val="28"/>
          <w:szCs w:val="28"/>
          <w:rtl/>
        </w:rPr>
        <w:t xml:space="preserve">") שהוא חבר בארגון טרור. קייסי ביקש מנאשם 1 להכניס שלושה מטעני חבלה לתוך שטח ישראל, והוסכם כי מטעני החבלה יונחו על גבי מסילת פסי הרכבת בעיר נתניה. הנאשם 1 פגש בנאשם 2 וסיפר לו כי בכוונתו לבצע פיגוע במסילת הרכבת בנתניה, וביקש את עזרתו של נאשם 2 בהוצאת הפיגוע המתוכנן אל הפועל. נאשם 2 נאות לכך. על פי התכנון, נאשם 2 אמור היה להניח את המטענים על גבי מסילת הרכבת, ונאשם 1 היה אמור להפעילם מרחוק באמצעות מכשיר טלפון סלולארי. בסמוך לכך, הנאשם 1 פגש את המערער, סיפר לו על התכנית וביקש את עזרתו בביצוע הפיגוע. המערער הסכים אך ביקש בתמורה את אחד ממטעני החבלה. הנאשם 1 הסכים לבקשתו. סוכם, כי הנאשם 1 יגיע עם מטעני החבלה, והמערער ייקח אותו ואת מטעני החבלה בטרקטור לטייבה, שם יקבל המערער מטען אחד ואילו הנאשם 1 ייקח את שני המטענים האחרים לשם ביצוע הפיגוע. חרף התכנון האמור, המערער לא עשה דבר במסגרת הקשר והתכנית לא יצאה אל הפועל. למערער היה עבר פלילי. נאשם 1 נדון ל-15 שנות מאסר, נאשם 2 נדון ל-7 שנות מאסר והמערער נדון ל-9 שנות מאסר. ערעורו נדחה. </w:t>
      </w:r>
    </w:p>
    <w:p w14:paraId="38C33A20" w14:textId="77777777" w:rsidR="00E10C50" w:rsidRDefault="00590AD1">
      <w:pPr>
        <w:pStyle w:val="ListParagraph"/>
        <w:spacing w:before="240" w:line="480" w:lineRule="auto"/>
        <w:ind w:left="357"/>
        <w:contextualSpacing w:val="0"/>
        <w:jc w:val="both"/>
        <w:rPr>
          <w:sz w:val="28"/>
          <w:szCs w:val="28"/>
          <w:rtl/>
        </w:rPr>
      </w:pPr>
      <w:r>
        <w:rPr>
          <w:rFonts w:hint="cs"/>
          <w:sz w:val="28"/>
          <w:szCs w:val="28"/>
          <w:rtl/>
        </w:rPr>
        <w:t>ב</w:t>
      </w:r>
      <w:hyperlink r:id="rId56" w:history="1">
        <w:r w:rsidRPr="00590AD1">
          <w:rPr>
            <w:rStyle w:val="Hyperlink"/>
            <w:rFonts w:hint="eastAsia"/>
            <w:sz w:val="28"/>
            <w:szCs w:val="28"/>
            <w:rtl/>
          </w:rPr>
          <w:t>ע</w:t>
        </w:r>
        <w:r w:rsidRPr="00590AD1">
          <w:rPr>
            <w:rStyle w:val="Hyperlink"/>
            <w:sz w:val="28"/>
            <w:szCs w:val="28"/>
            <w:rtl/>
          </w:rPr>
          <w:t>"פ 206/08</w:t>
        </w:r>
      </w:hyperlink>
      <w:r>
        <w:rPr>
          <w:rFonts w:hint="cs"/>
          <w:sz w:val="28"/>
          <w:szCs w:val="28"/>
          <w:rtl/>
        </w:rPr>
        <w:t xml:space="preserve"> </w:t>
      </w:r>
      <w:r>
        <w:rPr>
          <w:rFonts w:hint="cs"/>
          <w:b/>
          <w:bCs/>
          <w:sz w:val="28"/>
          <w:szCs w:val="28"/>
          <w:rtl/>
        </w:rPr>
        <w:t>מדינת ישראל</w:t>
      </w:r>
      <w:r>
        <w:rPr>
          <w:rFonts w:hint="cs"/>
          <w:sz w:val="28"/>
          <w:szCs w:val="28"/>
          <w:rtl/>
        </w:rPr>
        <w:t xml:space="preserve"> נ' </w:t>
      </w:r>
      <w:r>
        <w:rPr>
          <w:rFonts w:hint="cs"/>
          <w:b/>
          <w:bCs/>
          <w:sz w:val="28"/>
          <w:szCs w:val="28"/>
          <w:rtl/>
        </w:rPr>
        <w:t>איימן סלהב</w:t>
      </w:r>
      <w:r>
        <w:rPr>
          <w:rFonts w:hint="cs"/>
          <w:sz w:val="28"/>
          <w:szCs w:val="28"/>
          <w:rtl/>
        </w:rPr>
        <w:t xml:space="preserve"> (25.6.08) הורשעו המשיבים, על פי הודאתם, בעבירה של ניסיון לסיוע לאויב במלחמה. המשיב 1 הורשע גם בעבירה של מגע עם סוכן חוץ. המשיבים הכירו אדם תושב עזה (להלן: "</w:t>
      </w:r>
      <w:r>
        <w:rPr>
          <w:rFonts w:hint="cs"/>
          <w:b/>
          <w:bCs/>
          <w:sz w:val="28"/>
          <w:szCs w:val="28"/>
          <w:rtl/>
        </w:rPr>
        <w:t>העזתי</w:t>
      </w:r>
      <w:r>
        <w:rPr>
          <w:rFonts w:hint="cs"/>
          <w:sz w:val="28"/>
          <w:szCs w:val="28"/>
          <w:rtl/>
        </w:rPr>
        <w:t xml:space="preserve">") שהיה ידוע להם כמי שריצה עונש מאסר בגין עבירות ביטחון. העזתי פנה אל משיב 1 וביקש ממנו לחטוף יהודי חרדי ולהעבירו לגורמים באיזור יהודה ושומרון תמורת כסף, והמשיב 1 נאות לכך. התוכנית שונתה, כך שעם עליית היהודי לרכב יהרוג אותו משיב 1, ישליך את גופתו ויעביר את מסמכי הזהות שלו לגורמים בחברון כקלף מיקוח לשחרור אסירים פלסטינאים. משיב 1 הסכים וחיפש שותפים. בסמוך לכך הוא פנה למשיב 2, הסביר לו את המשימות והתמורה והלה הסכים. ביום 28.2.07 הגיע משיב 1 למקום עבודתו של משיב 2 ואסף אותו. הם תיכננו לפעול בהתאם לתוכנית, אולם לא עלה בידם לאתר יהודי חרדי בודד במקומות שונים בירושלים בהם ניסו. או אז, ביקש משיב 1 מהעזתי אקדח עם משתיק קול והלה מסר כי יעביר לו את הנשק לאחר שיבצעו פיגוע. המשיב 1 נדון ל-8 שנות מאסר (מתוכן 7 בפועל ואחת על תנאי) והמשיב 2 נדון ל-6 שנות מאסר (מתוכן 5 בפועל ואחת על תנאי). המדינה ערערה על קולת העונש של שני המשיבים ואילו המשיב 1 ערער על חומרת עונשו. בית המשפט העליון קיבל את ערעור המדינה והחמיר בעונשם של המשיבים, כך שהמשיב 1 נדון ל-10 שנות מאסר בפועל והמשיב 2 נדון ל-7 שנות מאסר בפועל.  </w:t>
      </w:r>
    </w:p>
    <w:p w14:paraId="3499BB5C" w14:textId="77777777" w:rsidR="00E10C50" w:rsidRDefault="00590AD1">
      <w:pPr>
        <w:pStyle w:val="ListParagraph"/>
        <w:spacing w:before="240" w:line="480" w:lineRule="auto"/>
        <w:ind w:left="357"/>
        <w:contextualSpacing w:val="0"/>
        <w:jc w:val="both"/>
        <w:rPr>
          <w:sz w:val="28"/>
          <w:szCs w:val="28"/>
          <w:rtl/>
        </w:rPr>
      </w:pPr>
      <w:r>
        <w:rPr>
          <w:rFonts w:hint="cs"/>
          <w:sz w:val="28"/>
          <w:szCs w:val="28"/>
          <w:rtl/>
        </w:rPr>
        <w:t>ב</w:t>
      </w:r>
      <w:hyperlink r:id="rId57" w:history="1">
        <w:r w:rsidRPr="00590AD1">
          <w:rPr>
            <w:rStyle w:val="Hyperlink"/>
            <w:rFonts w:hint="eastAsia"/>
            <w:sz w:val="28"/>
            <w:szCs w:val="28"/>
            <w:rtl/>
          </w:rPr>
          <w:t>תפ</w:t>
        </w:r>
        <w:r w:rsidRPr="00590AD1">
          <w:rPr>
            <w:rStyle w:val="Hyperlink"/>
            <w:sz w:val="28"/>
            <w:szCs w:val="28"/>
            <w:rtl/>
          </w:rPr>
          <w:t>"ח 8065/07</w:t>
        </w:r>
      </w:hyperlink>
      <w:r>
        <w:rPr>
          <w:rFonts w:hint="cs"/>
          <w:sz w:val="28"/>
          <w:szCs w:val="28"/>
          <w:rtl/>
        </w:rPr>
        <w:t xml:space="preserve"> </w:t>
      </w:r>
      <w:r>
        <w:rPr>
          <w:rFonts w:hint="cs"/>
          <w:b/>
          <w:bCs/>
          <w:sz w:val="28"/>
          <w:szCs w:val="28"/>
          <w:rtl/>
        </w:rPr>
        <w:t>מדינת ישראל</w:t>
      </w:r>
      <w:r>
        <w:rPr>
          <w:rFonts w:hint="cs"/>
          <w:sz w:val="28"/>
          <w:szCs w:val="28"/>
          <w:rtl/>
        </w:rPr>
        <w:t xml:space="preserve"> נ' </w:t>
      </w:r>
      <w:r>
        <w:rPr>
          <w:rFonts w:hint="cs"/>
          <w:b/>
          <w:bCs/>
          <w:sz w:val="28"/>
          <w:szCs w:val="28"/>
          <w:rtl/>
        </w:rPr>
        <w:t>מאמון אבו-טיר</w:t>
      </w:r>
      <w:r>
        <w:rPr>
          <w:rFonts w:hint="cs"/>
          <w:sz w:val="28"/>
          <w:szCs w:val="28"/>
          <w:rtl/>
        </w:rPr>
        <w:t xml:space="preserve"> (10.09.08) הורשע הנאשם, על פי הודאתו, בעבירה של קשירת קשר לסיוע לאויב בשעת מלחמה. נאשם 1 קשר קשר עם נאשם 2 לשם הקמת חוליה שמטרתה ביצוע פיגועים נגד יהודים. הנאשם 1 התכתב באמצעות האינטרנט במשך כחודש וחצי עם פעיל בג'יהאד האיסלמי, והאחרון הבטיח לנאשם 1 שיפנה אותו לפעילי הג'יהאד ברצועת עזה וכן שלח לו באמצעות האינטרנט הוראות להכנת חומר נפץ. עקב כך, נוצר קשר בין נאשם 1 לבין פעיל טרור, אשר ביקש מנאשם 1 לאסוף מחבל מתאבד מגדר ההפרדה המקיפה את ירושלים ולהכניסו לתוך ירושלים. נאשם 1 ביקש מנאשם 2 לשמש נהג והשניים סיכמו כי יפעלו לצורך איתור מקומות מתאימים לביצוע פיגוע. נאשם 1 נדון ל-6 שנות מאסר בפועל.  </w:t>
      </w:r>
    </w:p>
    <w:p w14:paraId="08B59B2E" w14:textId="77777777" w:rsidR="00E10C50" w:rsidRDefault="00590AD1">
      <w:pPr>
        <w:pStyle w:val="ListParagraph"/>
        <w:numPr>
          <w:ilvl w:val="0"/>
          <w:numId w:val="1"/>
        </w:numPr>
        <w:spacing w:before="240" w:line="480" w:lineRule="auto"/>
        <w:ind w:left="357"/>
        <w:contextualSpacing w:val="0"/>
        <w:jc w:val="both"/>
        <w:rPr>
          <w:sz w:val="28"/>
          <w:szCs w:val="28"/>
        </w:rPr>
      </w:pPr>
      <w:r>
        <w:rPr>
          <w:rFonts w:hint="cs"/>
          <w:sz w:val="28"/>
          <w:szCs w:val="28"/>
          <w:rtl/>
        </w:rPr>
        <w:t xml:space="preserve">מן המקובץ עולה, כי מדיניות הענישה הנוהגת במקרים בהם נאשמים הורשעו בעבירות אלו, נעה בין 6 ל-11 שנות מאסר בפועל, לצד עונשים נלווים. </w:t>
      </w:r>
    </w:p>
    <w:p w14:paraId="3A0EF69F" w14:textId="77777777" w:rsidR="00E10C50" w:rsidRDefault="00E10C50">
      <w:pPr>
        <w:spacing w:before="240" w:line="480" w:lineRule="auto"/>
        <w:ind w:left="-3"/>
        <w:jc w:val="both"/>
        <w:rPr>
          <w:b/>
          <w:bCs/>
          <w:sz w:val="28"/>
          <w:szCs w:val="28"/>
          <w:rtl/>
        </w:rPr>
      </w:pPr>
    </w:p>
    <w:p w14:paraId="6B181377" w14:textId="77777777" w:rsidR="00E10C50" w:rsidRDefault="00590AD1">
      <w:pPr>
        <w:spacing w:before="240" w:line="480" w:lineRule="auto"/>
        <w:ind w:left="-3"/>
        <w:jc w:val="both"/>
        <w:rPr>
          <w:sz w:val="28"/>
          <w:szCs w:val="28"/>
          <w:rtl/>
        </w:rPr>
      </w:pPr>
      <w:r>
        <w:rPr>
          <w:rFonts w:hint="cs"/>
          <w:b/>
          <w:bCs/>
          <w:sz w:val="28"/>
          <w:szCs w:val="28"/>
          <w:rtl/>
        </w:rPr>
        <w:t>נסיבות הקשורות בביצוע העבירה</w:t>
      </w:r>
    </w:p>
    <w:p w14:paraId="15AFB70A" w14:textId="77777777" w:rsidR="00E10C50" w:rsidRDefault="00D66945">
      <w:pPr>
        <w:pStyle w:val="ListParagraph"/>
        <w:numPr>
          <w:ilvl w:val="0"/>
          <w:numId w:val="1"/>
        </w:numPr>
        <w:spacing w:before="240" w:line="480" w:lineRule="auto"/>
        <w:contextualSpacing w:val="0"/>
        <w:jc w:val="both"/>
        <w:rPr>
          <w:sz w:val="28"/>
          <w:szCs w:val="28"/>
        </w:rPr>
      </w:pPr>
      <w:hyperlink r:id="rId58" w:history="1">
        <w:r w:rsidRPr="00D66945">
          <w:rPr>
            <w:rStyle w:val="Hyperlink"/>
            <w:rFonts w:hint="eastAsia"/>
            <w:sz w:val="28"/>
            <w:szCs w:val="28"/>
            <w:rtl/>
          </w:rPr>
          <w:t>סעיף</w:t>
        </w:r>
        <w:r w:rsidRPr="00D66945">
          <w:rPr>
            <w:rStyle w:val="Hyperlink"/>
            <w:sz w:val="28"/>
            <w:szCs w:val="28"/>
            <w:rtl/>
          </w:rPr>
          <w:t xml:space="preserve"> 40ט</w:t>
        </w:r>
      </w:hyperlink>
      <w:r w:rsidR="00590AD1">
        <w:rPr>
          <w:rFonts w:hint="cs"/>
          <w:sz w:val="28"/>
          <w:szCs w:val="28"/>
          <w:rtl/>
        </w:rPr>
        <w:t xml:space="preserve"> ל</w:t>
      </w:r>
      <w:hyperlink r:id="rId59" w:history="1">
        <w:r w:rsidR="00590AD1" w:rsidRPr="00590AD1">
          <w:rPr>
            <w:rStyle w:val="Hyperlink"/>
            <w:rFonts w:hint="eastAsia"/>
            <w:sz w:val="28"/>
            <w:szCs w:val="28"/>
            <w:rtl/>
          </w:rPr>
          <w:t>חוק</w:t>
        </w:r>
        <w:r w:rsidR="00590AD1" w:rsidRPr="00590AD1">
          <w:rPr>
            <w:rStyle w:val="Hyperlink"/>
            <w:sz w:val="28"/>
            <w:szCs w:val="28"/>
            <w:rtl/>
          </w:rPr>
          <w:t xml:space="preserve"> העונשין</w:t>
        </w:r>
      </w:hyperlink>
      <w:r w:rsidR="00590AD1">
        <w:rPr>
          <w:rFonts w:hint="cs"/>
          <w:sz w:val="28"/>
          <w:szCs w:val="28"/>
          <w:rtl/>
        </w:rPr>
        <w:t xml:space="preserve"> מונה רשימה של נסיבות </w:t>
      </w:r>
      <w:r w:rsidR="00590AD1">
        <w:rPr>
          <w:rFonts w:hint="cs"/>
          <w:b/>
          <w:bCs/>
          <w:sz w:val="28"/>
          <w:szCs w:val="28"/>
          <w:rtl/>
        </w:rPr>
        <w:t>הקשורות בביצוע העבירה</w:t>
      </w:r>
      <w:r w:rsidR="00590AD1">
        <w:rPr>
          <w:rFonts w:hint="cs"/>
          <w:sz w:val="28"/>
          <w:szCs w:val="28"/>
          <w:rtl/>
        </w:rPr>
        <w:t xml:space="preserve"> שיש לשקול ולבחון בעת קביעת מתחם העונש, לקולא ולחומרה, ככל שבית המשפט סבור שהן משפיעות על חומרת מעשה העבירה ועל אשמו של הנאשם. אתייחס להלן אך לאלו הרלוונטיות למקרה דנא:</w:t>
      </w:r>
    </w:p>
    <w:p w14:paraId="110DC963"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 xml:space="preserve">התכנון שקדם לביצוע העבירה, חלקם היחסי של הנאשמים בביצוע העבירה ומידת ההשפעה של אחר על הנאשמים בביצוע העבירה </w:t>
      </w:r>
      <w:r>
        <w:rPr>
          <w:rFonts w:hint="cs"/>
          <w:sz w:val="28"/>
          <w:szCs w:val="28"/>
          <w:rtl/>
        </w:rPr>
        <w:t xml:space="preserve">- הנאשמים קשרו ביניהם קשר, בצוותא עם חמדי, לבצע פיגוע חבלני בישראל, במסגרתו היו מעורבים בפעילות להכנת מטען חבלה, על אף שבעניין זה תפקידם התמצה בהשגת חומרי גלם בלבד, והיה עליהם לקחת חלק פעיל בהחדרת המטען לישראל ובהנחתו בקרב אוכלוסייה אזרחית במקום הומה אדם. לפנינו, אפוא, תכנון קודם שהתפרש על פני מספר חודשים ויש לזקוף זאת לחומרה. אמנם, נאשם 2 חבר לחמדי ולנאשם 1 בשלב מאוחר יותר, אולם התכנון הקודם אינו חייב להתגבש זמן רב עובר לביצועו, אלא יכול להיות מתוכנן אף בסמוך לפני ביצוע העבירה. נאשם 2 סיפק גולות ברזל בלבד, אולם היה שותף בתכנון פרטי התכנית להנחת המטען, לרבות בשאלה כיצד יעטפו אותו, כיצד יעבירוהו לתוך העיר ירושלים, כיצד, מתי והיכן יניחוהו, ובאמצעות איזה מנגנון יפעילוהו. נראה, אם כן, כי חלקו של נאשם 2 פחוּת מזה של נאשם 1, אם כי לא באופן ניכר.  </w:t>
      </w:r>
    </w:p>
    <w:p w14:paraId="58F38AC5"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הנזק שהיה צפוי להיגרם מביצוע העבירה ושנגרם בפועל</w:t>
      </w:r>
      <w:r>
        <w:rPr>
          <w:rFonts w:hint="cs"/>
          <w:sz w:val="28"/>
          <w:szCs w:val="28"/>
          <w:rtl/>
        </w:rPr>
        <w:t xml:space="preserve"> - לו היה הפיגוע יוצא לפועל, הנזק הצפוי עלול היה להיות רצח המוני ופגיעה אנושה בביטחון המדינה ואזרחיה. התכנית לא הושלמה ואך בנס לא נגרם נזק.   </w:t>
      </w:r>
    </w:p>
    <w:p w14:paraId="121F7D10"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 xml:space="preserve">הסיבות שהביאו את הנאשמים לבצע את העבירה </w:t>
      </w:r>
      <w:r>
        <w:rPr>
          <w:rFonts w:hint="cs"/>
          <w:sz w:val="28"/>
          <w:szCs w:val="28"/>
          <w:rtl/>
        </w:rPr>
        <w:t xml:space="preserve">- מעשיהם של הנאשמים מוּנעים משנאה ומטעמים אידיאולוגים.  </w:t>
      </w:r>
    </w:p>
    <w:p w14:paraId="5D0D8BF4"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יכולתם של הנאשמים להבין את אשר הם עושים, את הפסול שבמעשיהם</w:t>
      </w:r>
      <w:r>
        <w:rPr>
          <w:rFonts w:hint="cs"/>
          <w:sz w:val="28"/>
          <w:szCs w:val="28"/>
          <w:rtl/>
        </w:rPr>
        <w:t xml:space="preserve"> </w:t>
      </w:r>
      <w:r>
        <w:rPr>
          <w:rFonts w:hint="cs"/>
          <w:b/>
          <w:bCs/>
          <w:sz w:val="28"/>
          <w:szCs w:val="28"/>
          <w:rtl/>
        </w:rPr>
        <w:t xml:space="preserve">או את משמעות מעשיהם, ויכולתם להימנע מכך - </w:t>
      </w:r>
      <w:r>
        <w:rPr>
          <w:rFonts w:hint="cs"/>
          <w:sz w:val="28"/>
          <w:szCs w:val="28"/>
          <w:rtl/>
        </w:rPr>
        <w:t xml:space="preserve">הנאשמים ביקשו לפגוע במספר רב ככל הניתן של חפים מפשע במהלך אחד מחגי ישראל ואף הביעו את רצונם לבצע פיגוע ירי בחיילי צה"ל. מעשים אלו מצביעים ומדגישים את נחישותם לבצע את העבירות המתועבות הללו, כך שאין מחלוקת כי  הנאשמים הבינו היטב את מעשיהם והם יכלו להימנע מביצועם. </w:t>
      </w:r>
    </w:p>
    <w:p w14:paraId="6BBEF1DF"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בהינתן השיקולים השונים שפורטו לעיל בדבר הערך החברתי שנפגע מביצוע העבירה, מידת הפגיעה בו, מדיניות הענישה הנהוגה ונסיבות הקשורות בביצוע העבירה - הגעתי למסקנה כי מתחם העונש ההולם את נסיבות ביצוע העבירות נע בין 6 ל-12 שנות מאסר בפועל, לצד עונשים נלווים נוספים. </w:t>
      </w:r>
    </w:p>
    <w:p w14:paraId="1751D6E0" w14:textId="77777777" w:rsidR="00E10C50" w:rsidRDefault="00E10C50">
      <w:pPr>
        <w:spacing w:before="240" w:line="480" w:lineRule="auto"/>
        <w:jc w:val="both"/>
        <w:rPr>
          <w:b/>
          <w:bCs/>
          <w:sz w:val="28"/>
          <w:szCs w:val="28"/>
          <w:u w:val="single"/>
          <w:rtl/>
        </w:rPr>
      </w:pPr>
    </w:p>
    <w:p w14:paraId="39AD015A" w14:textId="77777777" w:rsidR="00E10C50" w:rsidRDefault="00590AD1">
      <w:pPr>
        <w:spacing w:before="240" w:line="480" w:lineRule="auto"/>
        <w:jc w:val="both"/>
        <w:rPr>
          <w:sz w:val="28"/>
          <w:szCs w:val="28"/>
          <w:rtl/>
        </w:rPr>
      </w:pPr>
      <w:r>
        <w:rPr>
          <w:rFonts w:hint="cs"/>
          <w:b/>
          <w:bCs/>
          <w:sz w:val="28"/>
          <w:szCs w:val="28"/>
          <w:u w:val="single"/>
          <w:rtl/>
        </w:rPr>
        <w:t>קביעת העונש המתאים בתוך המתחם</w:t>
      </w:r>
    </w:p>
    <w:p w14:paraId="3D19B974"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קביעת העונש בתוככי אותו מתחם שנקבע בשלב הקודם נעשית בהתאם </w:t>
      </w:r>
      <w:hyperlink r:id="rId60" w:history="1">
        <w:r w:rsidR="00D66945" w:rsidRPr="00D66945">
          <w:rPr>
            <w:rStyle w:val="Hyperlink"/>
            <w:rFonts w:hint="eastAsia"/>
            <w:sz w:val="28"/>
            <w:szCs w:val="28"/>
            <w:rtl/>
          </w:rPr>
          <w:t>לסעיף</w:t>
        </w:r>
        <w:r w:rsidR="00D66945" w:rsidRPr="00D66945">
          <w:rPr>
            <w:rStyle w:val="Hyperlink"/>
            <w:sz w:val="28"/>
            <w:szCs w:val="28"/>
            <w:rtl/>
          </w:rPr>
          <w:t xml:space="preserve"> 40ג(ב)</w:t>
        </w:r>
      </w:hyperlink>
      <w:r>
        <w:rPr>
          <w:rFonts w:hint="cs"/>
          <w:sz w:val="28"/>
          <w:szCs w:val="28"/>
          <w:rtl/>
        </w:rPr>
        <w:t xml:space="preserve"> ל</w:t>
      </w:r>
      <w:hyperlink r:id="rId61"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xml:space="preserve">, המתווה את שיקול דעתו של בית המשפט והאפשרות הנתונה לו להתחשב בנסיבות </w:t>
      </w:r>
      <w:r>
        <w:rPr>
          <w:rFonts w:hint="cs"/>
          <w:b/>
          <w:bCs/>
          <w:sz w:val="28"/>
          <w:szCs w:val="28"/>
          <w:rtl/>
        </w:rPr>
        <w:t>שאינן קשורות בביצוע העבירה</w:t>
      </w:r>
      <w:r>
        <w:rPr>
          <w:rFonts w:hint="cs"/>
          <w:sz w:val="28"/>
          <w:szCs w:val="28"/>
          <w:rtl/>
        </w:rPr>
        <w:t xml:space="preserve">, ככל שהן קיימות וככל שהוא סבור שיש ליתן להם משקל.   </w:t>
      </w:r>
    </w:p>
    <w:p w14:paraId="1EEC763A"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הפגיעה של העונש בנאשמים ובמשפחתם</w:t>
      </w:r>
      <w:r>
        <w:rPr>
          <w:rFonts w:hint="cs"/>
          <w:sz w:val="28"/>
          <w:szCs w:val="28"/>
          <w:rtl/>
        </w:rPr>
        <w:t xml:space="preserve"> - מעבר לפגיעה הטבעית המתלווה לענישה בפלילים, לא מצאתי כי לנאשמים נסיבות מיוחדות שיוכלו לגרום לפגיעה בהם בשל השתת העונש. העובדה שנאשם 1 מאורס ונאשם 2 נשוי ואב לשניים אין בה כדי לשנות כהוא זה ממסקנתי.  </w:t>
      </w:r>
    </w:p>
    <w:p w14:paraId="708055CD"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הנזקים שנגרמו לנאשמים מביצוע העבירות ומהרשעתם</w:t>
      </w:r>
      <w:r>
        <w:rPr>
          <w:rFonts w:hint="cs"/>
          <w:sz w:val="28"/>
          <w:szCs w:val="28"/>
          <w:rtl/>
        </w:rPr>
        <w:t xml:space="preserve"> </w:t>
      </w:r>
      <w:r>
        <w:rPr>
          <w:sz w:val="28"/>
          <w:szCs w:val="28"/>
          <w:rtl/>
        </w:rPr>
        <w:t>–</w:t>
      </w:r>
      <w:r>
        <w:rPr>
          <w:rFonts w:hint="cs"/>
          <w:sz w:val="28"/>
          <w:szCs w:val="28"/>
          <w:rtl/>
        </w:rPr>
        <w:t xml:space="preserve"> הנזקים העיקריים שנגרמו לנאשמים הינם שלילת חירותם. לא מצאתי כי לנסיבות אלו יש משקל לקולא. </w:t>
      </w:r>
    </w:p>
    <w:p w14:paraId="0668854C"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 xml:space="preserve">נטילת האחריות של הנאשמים על מעשיהם וחזרתם למוטב או מאמציהם לחזור למוטב </w:t>
      </w:r>
      <w:r>
        <w:rPr>
          <w:rFonts w:hint="cs"/>
          <w:sz w:val="28"/>
          <w:szCs w:val="28"/>
          <w:rtl/>
        </w:rPr>
        <w:t xml:space="preserve">- בתחילת משפטם הכחישו הנאשמים פרטים רבים שצויינו בכתב האישום, וטענו כי אלה המוכחשים על ידם, ככל שהם מופיעים בהודאותיהם בחקירה, נאמרו תחת לחץ ושלא באופן חופשי ומרצון. לאחר שעניינו של חמדי, שותפם, הסתיים במסגרת כתב אישום נפרד שהוגש נגדו, שינו השניים את תשובתם בשלב מתקדם במשפטם והודו ברובן המכריע של עובדות כתב האישום, פרט למספר עובדות שנותרו במחלוקת. מצב דברים זה מלמד על העדר נטילת אחריות וחרטה ממשיים. </w:t>
      </w:r>
    </w:p>
    <w:p w14:paraId="72CE76C5" w14:textId="77777777" w:rsidR="00E10C50" w:rsidRDefault="00590AD1">
      <w:pPr>
        <w:pStyle w:val="ListParagraph"/>
        <w:spacing w:before="240" w:line="480" w:lineRule="auto"/>
        <w:ind w:left="360"/>
        <w:contextualSpacing w:val="0"/>
        <w:jc w:val="both"/>
        <w:rPr>
          <w:sz w:val="28"/>
          <w:szCs w:val="28"/>
          <w:rtl/>
        </w:rPr>
      </w:pPr>
      <w:r>
        <w:rPr>
          <w:rFonts w:hint="cs"/>
          <w:b/>
          <w:bCs/>
          <w:sz w:val="28"/>
          <w:szCs w:val="28"/>
          <w:rtl/>
        </w:rPr>
        <w:t>עברם הפלילי של הנאשמים</w:t>
      </w:r>
      <w:r>
        <w:rPr>
          <w:rFonts w:hint="cs"/>
          <w:sz w:val="28"/>
          <w:szCs w:val="28"/>
          <w:rtl/>
        </w:rPr>
        <w:t xml:space="preserve"> </w:t>
      </w:r>
      <w:r>
        <w:rPr>
          <w:sz w:val="28"/>
          <w:szCs w:val="28"/>
          <w:rtl/>
        </w:rPr>
        <w:t>–</w:t>
      </w:r>
      <w:r>
        <w:rPr>
          <w:rFonts w:hint="cs"/>
          <w:sz w:val="28"/>
          <w:szCs w:val="28"/>
          <w:rtl/>
        </w:rPr>
        <w:t xml:space="preserve"> נאשם 1 נעדר עבר פלילי; לנאשם 2 הרשעה אחת שעניינה פעילות חבלנית עוינת של ייצור ויידוי בקבוקי תבערה. </w:t>
      </w:r>
    </w:p>
    <w:p w14:paraId="75AF4C50"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בגדר השיקולים שיש לשקול בגזירת העונש המתאים, יש להתחשב גם בשיקולי </w:t>
      </w:r>
      <w:r>
        <w:rPr>
          <w:rFonts w:hint="cs"/>
          <w:b/>
          <w:bCs/>
          <w:sz w:val="28"/>
          <w:szCs w:val="28"/>
          <w:rtl/>
        </w:rPr>
        <w:t>הרתעת היחיד והרתעת הרבים</w:t>
      </w:r>
      <w:r>
        <w:rPr>
          <w:rFonts w:hint="cs"/>
          <w:sz w:val="28"/>
          <w:szCs w:val="28"/>
          <w:rtl/>
        </w:rPr>
        <w:t xml:space="preserve">, כפי שאלה מפורטים </w:t>
      </w:r>
      <w:hyperlink r:id="rId62" w:history="1">
        <w:r w:rsidR="00D66945" w:rsidRPr="00D66945">
          <w:rPr>
            <w:rStyle w:val="Hyperlink"/>
            <w:rFonts w:hint="eastAsia"/>
            <w:sz w:val="28"/>
            <w:szCs w:val="28"/>
            <w:rtl/>
          </w:rPr>
          <w:t>בסעיפים</w:t>
        </w:r>
        <w:r w:rsidR="00D66945" w:rsidRPr="00D66945">
          <w:rPr>
            <w:rStyle w:val="Hyperlink"/>
            <w:sz w:val="28"/>
            <w:szCs w:val="28"/>
            <w:rtl/>
          </w:rPr>
          <w:t xml:space="preserve"> 40ו</w:t>
        </w:r>
      </w:hyperlink>
      <w:r>
        <w:rPr>
          <w:rFonts w:hint="cs"/>
          <w:sz w:val="28"/>
          <w:szCs w:val="28"/>
          <w:rtl/>
        </w:rPr>
        <w:t xml:space="preserve"> ו-</w:t>
      </w:r>
      <w:hyperlink r:id="rId63" w:history="1">
        <w:r w:rsidR="00D66945" w:rsidRPr="00D66945">
          <w:rPr>
            <w:rStyle w:val="Hyperlink"/>
            <w:sz w:val="28"/>
            <w:szCs w:val="28"/>
            <w:rtl/>
          </w:rPr>
          <w:t>40ז</w:t>
        </w:r>
      </w:hyperlink>
      <w:r>
        <w:rPr>
          <w:rFonts w:hint="cs"/>
          <w:sz w:val="28"/>
          <w:szCs w:val="28"/>
          <w:rtl/>
        </w:rPr>
        <w:t xml:space="preserve"> ל</w:t>
      </w:r>
      <w:hyperlink r:id="rId64" w:history="1">
        <w:r w:rsidRPr="00590AD1">
          <w:rPr>
            <w:rStyle w:val="Hyperlink"/>
            <w:rFonts w:hint="eastAsia"/>
            <w:sz w:val="28"/>
            <w:szCs w:val="28"/>
            <w:rtl/>
          </w:rPr>
          <w:t>חוק</w:t>
        </w:r>
        <w:r w:rsidRPr="00590AD1">
          <w:rPr>
            <w:rStyle w:val="Hyperlink"/>
            <w:sz w:val="28"/>
            <w:szCs w:val="28"/>
            <w:rtl/>
          </w:rPr>
          <w:t xml:space="preserve"> העונשין</w:t>
        </w:r>
      </w:hyperlink>
      <w:r>
        <w:rPr>
          <w:rFonts w:hint="cs"/>
          <w:sz w:val="28"/>
          <w:szCs w:val="28"/>
          <w:rtl/>
        </w:rPr>
        <w:t>. אין בפנינו נאשמים שנרתעו מלבצע את המעשים אלא שיד המזל היא שמנעה את מימוש תוכניתם. מעשיהם של אזרחי ותושבי המדינה, המעורבים בעבירות כנגד ביטחונה, חמורים ביותר ועל כך יש ליתן מענה עונשי הרתעתי הולם. ב</w:t>
      </w:r>
      <w:hyperlink r:id="rId65" w:history="1">
        <w:r w:rsidRPr="00590AD1">
          <w:rPr>
            <w:rStyle w:val="Hyperlink"/>
            <w:rFonts w:hint="eastAsia"/>
            <w:sz w:val="28"/>
            <w:szCs w:val="28"/>
            <w:rtl/>
          </w:rPr>
          <w:t>ע</w:t>
        </w:r>
        <w:r w:rsidRPr="00590AD1">
          <w:rPr>
            <w:rStyle w:val="Hyperlink"/>
            <w:sz w:val="28"/>
            <w:szCs w:val="28"/>
            <w:rtl/>
          </w:rPr>
          <w:t>"פ 6930/06</w:t>
        </w:r>
      </w:hyperlink>
      <w:r>
        <w:rPr>
          <w:rFonts w:hint="cs"/>
          <w:sz w:val="28"/>
          <w:szCs w:val="28"/>
          <w:rtl/>
        </w:rPr>
        <w:t xml:space="preserve"> </w:t>
      </w:r>
      <w:r>
        <w:rPr>
          <w:rFonts w:hint="cs"/>
          <w:b/>
          <w:bCs/>
          <w:sz w:val="28"/>
          <w:szCs w:val="28"/>
          <w:rtl/>
        </w:rPr>
        <w:t>פלוני</w:t>
      </w:r>
      <w:r>
        <w:rPr>
          <w:rFonts w:hint="cs"/>
          <w:sz w:val="28"/>
          <w:szCs w:val="28"/>
          <w:rtl/>
        </w:rPr>
        <w:t xml:space="preserve"> נ' </w:t>
      </w:r>
      <w:r>
        <w:rPr>
          <w:rFonts w:hint="cs"/>
          <w:b/>
          <w:bCs/>
          <w:sz w:val="28"/>
          <w:szCs w:val="28"/>
          <w:rtl/>
        </w:rPr>
        <w:t>מדינת ישראל</w:t>
      </w:r>
      <w:r>
        <w:rPr>
          <w:rFonts w:hint="cs"/>
          <w:sz w:val="28"/>
          <w:szCs w:val="28"/>
          <w:rtl/>
        </w:rPr>
        <w:t xml:space="preserve"> (25.5.08) נקבע, בין היתר, כי:</w:t>
      </w:r>
    </w:p>
    <w:p w14:paraId="610F96DE" w14:textId="77777777" w:rsidR="00E10C50" w:rsidRDefault="00590AD1">
      <w:pPr>
        <w:pStyle w:val="ListParagraph"/>
        <w:spacing w:before="240" w:line="360" w:lineRule="auto"/>
        <w:ind w:left="1134" w:right="851"/>
        <w:contextualSpacing w:val="0"/>
        <w:jc w:val="both"/>
        <w:rPr>
          <w:sz w:val="28"/>
          <w:szCs w:val="28"/>
          <w:rtl/>
        </w:rPr>
      </w:pPr>
      <w:r>
        <w:rPr>
          <w:rFonts w:hint="cs"/>
          <w:sz w:val="28"/>
          <w:szCs w:val="28"/>
          <w:rtl/>
        </w:rPr>
        <w:t>"</w:t>
      </w:r>
      <w:r>
        <w:rPr>
          <w:b/>
          <w:bCs/>
          <w:sz w:val="28"/>
          <w:szCs w:val="28"/>
          <w:rtl/>
        </w:rPr>
        <w:t>כוונות הפיגוע של המערער ושולחיו לא התממשה, אולם בנכונותו לרתום את עצמו לפעילות טרור מסוג זה, הוא חשף את מסוכנותו, ואת זו מצווה מערכת המשפט למנוע על ידי שליחתו לתקופה ממושכת אל מאחורי סורג ובריח</w:t>
      </w:r>
      <w:r>
        <w:rPr>
          <w:rFonts w:hint="cs"/>
          <w:sz w:val="28"/>
          <w:szCs w:val="28"/>
          <w:rtl/>
        </w:rPr>
        <w:t>"</w:t>
      </w:r>
      <w:r>
        <w:rPr>
          <w:sz w:val="28"/>
          <w:szCs w:val="28"/>
          <w:rtl/>
        </w:rPr>
        <w:t>.</w:t>
      </w:r>
    </w:p>
    <w:p w14:paraId="2E1B9B97" w14:textId="77777777" w:rsidR="00E10C50" w:rsidRDefault="00590AD1">
      <w:pPr>
        <w:pStyle w:val="ListParagraph"/>
        <w:tabs>
          <w:tab w:val="left" w:pos="8505"/>
        </w:tabs>
        <w:spacing w:before="240" w:line="480" w:lineRule="auto"/>
        <w:ind w:left="360"/>
        <w:contextualSpacing w:val="0"/>
        <w:jc w:val="both"/>
        <w:rPr>
          <w:sz w:val="28"/>
          <w:szCs w:val="28"/>
          <w:rtl/>
        </w:rPr>
      </w:pPr>
      <w:r>
        <w:rPr>
          <w:rFonts w:hint="cs"/>
          <w:sz w:val="28"/>
          <w:szCs w:val="28"/>
          <w:rtl/>
        </w:rPr>
        <w:t>כב' השופט א' רובינשטיין עמד (ב</w:t>
      </w:r>
      <w:hyperlink r:id="rId66" w:history="1">
        <w:r w:rsidRPr="00590AD1">
          <w:rPr>
            <w:rStyle w:val="Hyperlink"/>
            <w:rFonts w:hint="eastAsia"/>
            <w:sz w:val="28"/>
            <w:szCs w:val="28"/>
            <w:rtl/>
          </w:rPr>
          <w:t>ע</w:t>
        </w:r>
        <w:r w:rsidRPr="00590AD1">
          <w:rPr>
            <w:rStyle w:val="Hyperlink"/>
            <w:sz w:val="28"/>
            <w:szCs w:val="28"/>
            <w:rtl/>
          </w:rPr>
          <w:t>"פ 206/08</w:t>
        </w:r>
      </w:hyperlink>
      <w:r>
        <w:rPr>
          <w:rFonts w:hint="cs"/>
          <w:sz w:val="28"/>
          <w:szCs w:val="28"/>
          <w:rtl/>
        </w:rPr>
        <w:t xml:space="preserve"> </w:t>
      </w:r>
      <w:r>
        <w:rPr>
          <w:rFonts w:hint="cs"/>
          <w:b/>
          <w:bCs/>
          <w:sz w:val="28"/>
          <w:szCs w:val="28"/>
          <w:rtl/>
        </w:rPr>
        <w:t>מדינת ישראל סלהב</w:t>
      </w:r>
      <w:r>
        <w:rPr>
          <w:rFonts w:hint="cs"/>
          <w:sz w:val="28"/>
          <w:szCs w:val="28"/>
          <w:rtl/>
        </w:rPr>
        <w:t xml:space="preserve"> (25.6.08)) על חובת ענישה מרתיעה:</w:t>
      </w:r>
    </w:p>
    <w:p w14:paraId="742CBAA2" w14:textId="77777777" w:rsidR="00E10C50" w:rsidRDefault="00590AD1">
      <w:pPr>
        <w:pStyle w:val="ListParagraph"/>
        <w:spacing w:before="240" w:line="360" w:lineRule="auto"/>
        <w:ind w:left="1134" w:right="851"/>
        <w:contextualSpacing w:val="0"/>
        <w:jc w:val="both"/>
        <w:rPr>
          <w:b/>
          <w:bCs/>
          <w:sz w:val="28"/>
          <w:szCs w:val="28"/>
          <w:rtl/>
        </w:rPr>
      </w:pPr>
      <w:r>
        <w:rPr>
          <w:rFonts w:hint="cs"/>
          <w:sz w:val="28"/>
          <w:szCs w:val="28"/>
          <w:rtl/>
        </w:rPr>
        <w:t>"</w:t>
      </w:r>
      <w:r>
        <w:rPr>
          <w:b/>
          <w:bCs/>
          <w:sz w:val="28"/>
          <w:szCs w:val="28"/>
          <w:rtl/>
        </w:rPr>
        <w:t>ישנן עבירות שהרתעת הרבים היא רכיב מרכזי בענישה לגביהן. אדם המתכנן רצח נקלה הוא ומתועב ועבריין פלילי. אדם היוצא לרצוח את הזולת, זולת עלום שם, זולת שאין לו כל שיג ושיח עמו והוא מבקש לשפוך דמו רק כיוון שהוא יהודי – או ערבי, או כל שיוך אתני או קבוצתי אחר – נקלה הוא ומתועב שבעתיים. אין נפקא מינה אם ברצח לשם מטרה אידיאולוגית עסקינן או לשם בצע כסף, ולא נאמר מי בזוי ממי. כך או אחרת, החובה היא להרתיע. ייצא הקול אצל המתכננים והמעורבים בכגון דא בכל מעגל, כי אחת דינם מאסר ארוך</w:t>
      </w:r>
      <w:r>
        <w:rPr>
          <w:rFonts w:hint="cs"/>
          <w:b/>
          <w:bCs/>
          <w:sz w:val="28"/>
          <w:szCs w:val="28"/>
          <w:rtl/>
        </w:rPr>
        <w:t>".</w:t>
      </w:r>
    </w:p>
    <w:p w14:paraId="7300BD54" w14:textId="77777777" w:rsidR="00E10C50" w:rsidRDefault="00590AD1">
      <w:pPr>
        <w:pStyle w:val="ListParagraph"/>
        <w:spacing w:before="240" w:line="480" w:lineRule="auto"/>
        <w:ind w:left="357"/>
        <w:contextualSpacing w:val="0"/>
        <w:jc w:val="both"/>
        <w:rPr>
          <w:sz w:val="28"/>
          <w:szCs w:val="28"/>
          <w:rtl/>
        </w:rPr>
      </w:pPr>
      <w:r>
        <w:rPr>
          <w:rFonts w:hint="cs"/>
          <w:sz w:val="28"/>
          <w:szCs w:val="28"/>
          <w:rtl/>
        </w:rPr>
        <w:t>ב</w:t>
      </w:r>
      <w:hyperlink r:id="rId67" w:history="1">
        <w:r w:rsidRPr="00590AD1">
          <w:rPr>
            <w:rStyle w:val="Hyperlink"/>
            <w:rFonts w:hint="eastAsia"/>
            <w:sz w:val="28"/>
            <w:szCs w:val="28"/>
            <w:rtl/>
          </w:rPr>
          <w:t>ע</w:t>
        </w:r>
        <w:r w:rsidRPr="00590AD1">
          <w:rPr>
            <w:rStyle w:val="Hyperlink"/>
            <w:sz w:val="28"/>
            <w:szCs w:val="28"/>
            <w:rtl/>
          </w:rPr>
          <w:t>"פ 902/06</w:t>
        </w:r>
      </w:hyperlink>
      <w:r>
        <w:rPr>
          <w:rFonts w:hint="cs"/>
          <w:sz w:val="28"/>
          <w:szCs w:val="28"/>
          <w:rtl/>
        </w:rPr>
        <w:t xml:space="preserve"> </w:t>
      </w:r>
      <w:r>
        <w:rPr>
          <w:rFonts w:hint="cs"/>
          <w:b/>
          <w:bCs/>
          <w:sz w:val="28"/>
          <w:szCs w:val="28"/>
          <w:rtl/>
        </w:rPr>
        <w:t>פלוני</w:t>
      </w:r>
      <w:r>
        <w:rPr>
          <w:rFonts w:hint="cs"/>
          <w:sz w:val="28"/>
          <w:szCs w:val="28"/>
          <w:rtl/>
        </w:rPr>
        <w:t xml:space="preserve"> נ' </w:t>
      </w:r>
      <w:r>
        <w:rPr>
          <w:rFonts w:hint="cs"/>
          <w:b/>
          <w:bCs/>
          <w:sz w:val="28"/>
          <w:szCs w:val="28"/>
          <w:rtl/>
        </w:rPr>
        <w:t>מדינת ישראל</w:t>
      </w:r>
      <w:r>
        <w:rPr>
          <w:rFonts w:hint="cs"/>
          <w:sz w:val="28"/>
          <w:szCs w:val="28"/>
          <w:rtl/>
        </w:rPr>
        <w:t xml:space="preserve"> (23.10.07) ציין כב' השופט מלצר, כי רף הענישה בעבירה של סיוע לאויב במלחמה - ולענייננו ניסיון לסיוע </w:t>
      </w:r>
      <w:r>
        <w:rPr>
          <w:sz w:val="28"/>
          <w:szCs w:val="28"/>
          <w:rtl/>
        </w:rPr>
        <w:t>–</w:t>
      </w:r>
      <w:r>
        <w:rPr>
          <w:rFonts w:hint="cs"/>
          <w:sz w:val="28"/>
          <w:szCs w:val="28"/>
          <w:rtl/>
        </w:rPr>
        <w:t xml:space="preserve"> "</w:t>
      </w:r>
      <w:r>
        <w:rPr>
          <w:rFonts w:hint="cs"/>
          <w:b/>
          <w:bCs/>
          <w:sz w:val="28"/>
          <w:szCs w:val="28"/>
          <w:rtl/>
        </w:rPr>
        <w:t>חייב להיות גבוה ביותר</w:t>
      </w:r>
      <w:r>
        <w:rPr>
          <w:rFonts w:hint="cs"/>
          <w:sz w:val="28"/>
          <w:szCs w:val="28"/>
          <w:rtl/>
        </w:rPr>
        <w:t>".</w:t>
      </w:r>
    </w:p>
    <w:p w14:paraId="7E6C2FAE" w14:textId="77777777" w:rsidR="00E10C50" w:rsidRDefault="00590AD1">
      <w:pPr>
        <w:pStyle w:val="ListParagraph"/>
        <w:numPr>
          <w:ilvl w:val="0"/>
          <w:numId w:val="1"/>
        </w:numPr>
        <w:spacing w:before="240" w:line="480" w:lineRule="auto"/>
        <w:ind w:left="357"/>
        <w:contextualSpacing w:val="0"/>
        <w:jc w:val="both"/>
        <w:rPr>
          <w:sz w:val="28"/>
          <w:szCs w:val="28"/>
        </w:rPr>
      </w:pPr>
      <w:r>
        <w:rPr>
          <w:rFonts w:hint="cs"/>
          <w:sz w:val="28"/>
          <w:szCs w:val="28"/>
          <w:rtl/>
        </w:rPr>
        <w:t xml:space="preserve">בנסיבות המקרה דנן מצאתי לנכון להעדיף את שיקולי הרתעת היחיד והרבים על פני יתר השיקולים. כפועל יוצא מן האמור, נראה לי נכון ומוצדק להעמיד את עונשו של נאשם 1 סמוך יותר לרף העליון של המתחם שנקבע, ואת עונשו של נאשם 2 סמוך יותר לאמצע המתחם. </w:t>
      </w:r>
    </w:p>
    <w:p w14:paraId="176E2345" w14:textId="77777777" w:rsidR="00E10C50" w:rsidRDefault="00E10C50">
      <w:pPr>
        <w:pStyle w:val="ListParagraph"/>
        <w:spacing w:before="240" w:line="480" w:lineRule="auto"/>
        <w:ind w:left="360"/>
        <w:jc w:val="both"/>
        <w:rPr>
          <w:sz w:val="28"/>
          <w:szCs w:val="28"/>
          <w:rtl/>
        </w:rPr>
      </w:pPr>
    </w:p>
    <w:p w14:paraId="774BC7AF" w14:textId="77777777" w:rsidR="00E10C50" w:rsidRDefault="00590AD1">
      <w:pPr>
        <w:spacing w:before="240" w:line="480" w:lineRule="auto"/>
        <w:jc w:val="both"/>
        <w:rPr>
          <w:b/>
          <w:bCs/>
          <w:sz w:val="30"/>
          <w:szCs w:val="30"/>
          <w:u w:val="single"/>
          <w:rtl/>
        </w:rPr>
      </w:pPr>
      <w:r>
        <w:rPr>
          <w:rFonts w:hint="cs"/>
          <w:b/>
          <w:bCs/>
          <w:sz w:val="30"/>
          <w:szCs w:val="30"/>
          <w:u w:val="single"/>
          <w:rtl/>
        </w:rPr>
        <w:t>ההכרעה</w:t>
      </w:r>
    </w:p>
    <w:p w14:paraId="31387890"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בפתח הדברים אתייחס לטענת ב"כ הנאשמים, לפיה יש להשית על הנאשמים עונש נמוך מזה שהושת על חמדי, לאור עיקרון אחדות הענישה. </w:t>
      </w:r>
    </w:p>
    <w:p w14:paraId="5E760D0B"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כאמור, חמדי הגה את הרעיון לפגוע באזרחים תמימים חפים מפשע בירושלים. לשם מימוש התכנית, יצר קשר עם נאשם 1 ובהמשך אף עם נאשם 2, שסייעו לו בכך. בעניינו של חמדי נקבע מתחם ענישה בין 6 ל-10 שנות מאסר, כאשר בפועל הושתו עליו 8 שנות מאסר לצד עונשים נלווים. </w:t>
      </w:r>
    </w:p>
    <w:p w14:paraId="71DF4BF0"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התלבטתי מהי הדרך הנכונה בה עליי לילך בהתייחס לגזר דינו של חמדי. מחד גיסא, חמדי היה מעורב באותה פרשה כמו הנאשמים, ואין חולק כי במדרג הפעולות שבוצעו על ידי הנאשמים הוא אכן היה הדמות המרכזית, ואילו הדמויות הנלוות הינם נאשמים 1 ו-2. מאידך גיסא, מדובר בפסק דין שאינו חלוט, העומד עדיין בפני ערעור, שניתן על ידי ערכאה מקבילה לשלנו. הנני מבקש לציין, כי לדידי אין זה ראוי שערכאה אחת בבית המשפט תביע את עמדתה ביחס לגזר דין אחר שניתן אף הוא באותו בית משפט, העומד בפני ערעור. עם זאת, בין עניינו של חמדי לעניינם של הנאשמים שלפנינו קיימים בכל זאת מספר הבדלים מהותיים, הן לקולא והן לחומרה, אשר בגינם אינני חש כבול למתחם שנקבע בעניינו של חמדי, כפי שפורטו בהרחבה לעיל וכפי שאביא להלן.   </w:t>
      </w:r>
    </w:p>
    <w:p w14:paraId="1E713A70" w14:textId="77777777" w:rsidR="00E10C50" w:rsidRDefault="00590AD1">
      <w:pPr>
        <w:pStyle w:val="ListParagraph"/>
        <w:numPr>
          <w:ilvl w:val="0"/>
          <w:numId w:val="1"/>
        </w:numPr>
        <w:spacing w:before="240" w:line="480" w:lineRule="auto"/>
        <w:ind w:left="357"/>
        <w:contextualSpacing w:val="0"/>
        <w:jc w:val="both"/>
        <w:rPr>
          <w:sz w:val="28"/>
          <w:szCs w:val="28"/>
        </w:rPr>
      </w:pPr>
      <w:r>
        <w:rPr>
          <w:rFonts w:hint="cs"/>
          <w:sz w:val="28"/>
          <w:szCs w:val="28"/>
          <w:rtl/>
        </w:rPr>
        <w:t>הנאשמים היו מעורבים, כל אחד על פי חלקו, בתכנון ובסיוע להוציא אל הפועל פיגוע תופת, אשר נועד לזרוע הרס וחורבן בתוככי מדינת ישראל בכלל, ובלב ליבה של העיר ירושלים בפרט. האופי החבלני והעוין של המעשים מצביע כי הנאשמים חפצו לפגוע בביטחונה של מדינת ישראל ובביטחון תושביה. העובדה כי הנאשמים הינם אזרחי ישראל מוסיפה נופך של חומרה למעשים (</w:t>
      </w:r>
      <w:hyperlink r:id="rId68" w:history="1">
        <w:r w:rsidRPr="00590AD1">
          <w:rPr>
            <w:rStyle w:val="Hyperlink"/>
            <w:rFonts w:hint="eastAsia"/>
            <w:sz w:val="28"/>
            <w:szCs w:val="28"/>
            <w:rtl/>
          </w:rPr>
          <w:t>ע</w:t>
        </w:r>
        <w:r w:rsidRPr="00590AD1">
          <w:rPr>
            <w:rStyle w:val="Hyperlink"/>
            <w:sz w:val="28"/>
            <w:szCs w:val="28"/>
            <w:rtl/>
          </w:rPr>
          <w:t>"פ 11328/03</w:t>
        </w:r>
      </w:hyperlink>
      <w:r>
        <w:rPr>
          <w:rFonts w:hint="cs"/>
          <w:sz w:val="28"/>
          <w:szCs w:val="28"/>
          <w:rtl/>
        </w:rPr>
        <w:t xml:space="preserve"> </w:t>
      </w:r>
      <w:r>
        <w:rPr>
          <w:rFonts w:hint="cs"/>
          <w:b/>
          <w:bCs/>
          <w:sz w:val="28"/>
          <w:szCs w:val="28"/>
          <w:rtl/>
        </w:rPr>
        <w:t>מדינת ישראל</w:t>
      </w:r>
      <w:r>
        <w:rPr>
          <w:rFonts w:hint="cs"/>
          <w:sz w:val="28"/>
          <w:szCs w:val="28"/>
          <w:rtl/>
        </w:rPr>
        <w:t xml:space="preserve"> נ' </w:t>
      </w:r>
      <w:r>
        <w:rPr>
          <w:rFonts w:hint="cs"/>
          <w:b/>
          <w:bCs/>
          <w:sz w:val="28"/>
          <w:szCs w:val="28"/>
          <w:rtl/>
        </w:rPr>
        <w:t>מוסא נאצר</w:t>
      </w:r>
      <w:r>
        <w:rPr>
          <w:rFonts w:hint="cs"/>
          <w:sz w:val="28"/>
          <w:szCs w:val="28"/>
          <w:rtl/>
        </w:rPr>
        <w:t xml:space="preserve"> (8.9.05)). עמדה על כך כב' השופטת א' חיות בפרשת אבו קישק (שם, סעיף 5 לפסק הדין):</w:t>
      </w:r>
    </w:p>
    <w:p w14:paraId="78DBA517" w14:textId="77777777" w:rsidR="00E10C50" w:rsidRDefault="00590AD1">
      <w:pPr>
        <w:pStyle w:val="ListParagraph"/>
        <w:spacing w:before="240" w:line="360" w:lineRule="auto"/>
        <w:ind w:left="1134" w:right="851"/>
        <w:contextualSpacing w:val="0"/>
        <w:jc w:val="both"/>
        <w:rPr>
          <w:sz w:val="28"/>
          <w:szCs w:val="28"/>
          <w:rtl/>
        </w:rPr>
      </w:pPr>
      <w:r>
        <w:rPr>
          <w:rFonts w:hint="cs"/>
          <w:sz w:val="28"/>
          <w:szCs w:val="28"/>
          <w:rtl/>
        </w:rPr>
        <w:t>"...</w:t>
      </w:r>
      <w:r>
        <w:rPr>
          <w:rFonts w:hint="cs"/>
          <w:b/>
          <w:bCs/>
          <w:sz w:val="28"/>
          <w:szCs w:val="28"/>
          <w:rtl/>
        </w:rPr>
        <w:t>עבירות ביטחון חמורות הן יהא מבצען אשר יהא, אך הן חמורות פי כמה כאשר מבצעיהן נמנים עם אזרחי המדינה ותושביה החוברים אל הגרועים שבאויבי המדינה ומסייעים בידם לבצע פעולות טרור".</w:t>
      </w:r>
      <w:r>
        <w:rPr>
          <w:rFonts w:hint="cs"/>
          <w:sz w:val="28"/>
          <w:szCs w:val="28"/>
          <w:rtl/>
        </w:rPr>
        <w:t xml:space="preserve"> </w:t>
      </w:r>
    </w:p>
    <w:p w14:paraId="1D594B5C" w14:textId="77777777" w:rsidR="00E10C50" w:rsidRDefault="00590AD1">
      <w:pPr>
        <w:spacing w:before="240" w:line="480" w:lineRule="auto"/>
        <w:ind w:left="357"/>
        <w:jc w:val="both"/>
        <w:rPr>
          <w:sz w:val="28"/>
          <w:szCs w:val="28"/>
          <w:rtl/>
        </w:rPr>
      </w:pPr>
      <w:r>
        <w:rPr>
          <w:rFonts w:hint="cs"/>
          <w:sz w:val="28"/>
          <w:szCs w:val="28"/>
          <w:rtl/>
        </w:rPr>
        <w:t>הנאשמים פעלו בידיעה כי כאזרחים ישראלים תנועתם חופשית, וניצלו חופש תנועה זה. יוזכר, כי הנאשמים עבדו באותה עת במרכז הקניות "ממילא", והיה בכך כדי ליצור גישה נוחה והסוואה לכיוון היעד. בכך נודעת חומרה יתרה למעשיהם, כפועלים כנגד מדינתם, בהיותם תושבי ואזרחי המדינה.</w:t>
      </w:r>
    </w:p>
    <w:p w14:paraId="05ACC066"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נאשם 1 ביצע הכנות של ממש לביצוע הפיגוע האמור: הוא רכש חומרים שונים להכנת מטען החבלה, תכנן לרכוש אקדח, גייס למשימה את נאשם 2 ואף הציע מקום לביצוע הפיגוע. נאשם 2, אשר חבר לנאשם 1 ולחמדי בשלב מאוחר יותר, לא נמנע מליטול חלק בשרשרת הפעולות שנצרכו לביצוע הפיגוע המתוכנן. הוא העביר לידי נאשם 2 כ-40 גולות ברזל ונטל חלק שווה בתכנון כל פרטי התכנית להנחת המטען, לרבות בשאלה כיצד, מתי והיכן יניחו את המטען, כך שלא ניתן לומר כי תרומתו הייתה שולית, ולדידי, חלקו אינו נופל בהרבה מחלקו של נאשם 1, מה גם שיש לו עבר פלילי בעבירות דומות.  </w:t>
      </w:r>
    </w:p>
    <w:p w14:paraId="4F5DB077" w14:textId="77777777" w:rsidR="00E10C50" w:rsidRDefault="00590AD1">
      <w:pPr>
        <w:pStyle w:val="ListParagraph"/>
        <w:numPr>
          <w:ilvl w:val="0"/>
          <w:numId w:val="1"/>
        </w:numPr>
        <w:spacing w:before="240" w:line="480" w:lineRule="auto"/>
        <w:contextualSpacing w:val="0"/>
        <w:jc w:val="both"/>
        <w:rPr>
          <w:sz w:val="28"/>
          <w:szCs w:val="28"/>
        </w:rPr>
      </w:pPr>
      <w:r>
        <w:rPr>
          <w:rFonts w:hint="cs"/>
          <w:sz w:val="28"/>
          <w:szCs w:val="28"/>
          <w:rtl/>
        </w:rPr>
        <w:t xml:space="preserve">אין בעובדה שבסופו של יום הפיגוע לא יצא אל הפועל ולא נגרם כל נזק, כדי להמעיט מחומרת העבירות שבוצעו על ידם. </w:t>
      </w:r>
    </w:p>
    <w:p w14:paraId="5847B3E6" w14:textId="77777777" w:rsidR="00E10C50" w:rsidRDefault="00590AD1">
      <w:pPr>
        <w:pStyle w:val="ListParagraph"/>
        <w:numPr>
          <w:ilvl w:val="0"/>
          <w:numId w:val="1"/>
        </w:numPr>
        <w:spacing w:before="240" w:line="480" w:lineRule="auto"/>
        <w:jc w:val="both"/>
        <w:rPr>
          <w:sz w:val="28"/>
          <w:szCs w:val="28"/>
        </w:rPr>
      </w:pPr>
      <w:r>
        <w:rPr>
          <w:rFonts w:hint="cs"/>
          <w:sz w:val="28"/>
          <w:szCs w:val="28"/>
          <w:rtl/>
        </w:rPr>
        <w:t>הכלל בדבר אחידות בענישה נדון רבות ותמציתו היא, שמקום בו מורשעים מספר שותפים בביצוע עבירה בצוותא-חדא, הכלל הוא כי אחריותם המשותפת תבוא לידי ביטוי בעונש זהה שיוטל עליהם (</w:t>
      </w:r>
      <w:hyperlink r:id="rId69" w:history="1">
        <w:r w:rsidRPr="00590AD1">
          <w:rPr>
            <w:rStyle w:val="Hyperlink"/>
            <w:rFonts w:hint="eastAsia"/>
            <w:sz w:val="28"/>
            <w:szCs w:val="28"/>
            <w:rtl/>
          </w:rPr>
          <w:t>ע</w:t>
        </w:r>
        <w:r w:rsidRPr="00590AD1">
          <w:rPr>
            <w:rStyle w:val="Hyperlink"/>
            <w:sz w:val="28"/>
            <w:szCs w:val="28"/>
            <w:rtl/>
          </w:rPr>
          <w:t>"פ 9937/01 חורב נ' מדינת ישראל, פ"ד נח</w:t>
        </w:r>
      </w:hyperlink>
      <w:r>
        <w:rPr>
          <w:rFonts w:hint="cs"/>
          <w:sz w:val="28"/>
          <w:szCs w:val="28"/>
          <w:rtl/>
        </w:rPr>
        <w:t xml:space="preserve"> (6), 738, 752). עם זאת, ב</w:t>
      </w:r>
      <w:hyperlink r:id="rId70" w:history="1">
        <w:r w:rsidRPr="00590AD1">
          <w:rPr>
            <w:rStyle w:val="Hyperlink"/>
            <w:sz w:val="28"/>
            <w:szCs w:val="28"/>
            <w:rtl/>
          </w:rPr>
          <w:t>ע"פ 5640/97 רייך רפאל נ' מדינת ישראל, פ"ד נג</w:t>
        </w:r>
      </w:hyperlink>
      <w:r>
        <w:rPr>
          <w:sz w:val="28"/>
          <w:szCs w:val="28"/>
          <w:rtl/>
        </w:rPr>
        <w:t>(2), 433, 470</w:t>
      </w:r>
      <w:r>
        <w:rPr>
          <w:rFonts w:hint="cs"/>
          <w:sz w:val="28"/>
          <w:szCs w:val="28"/>
          <w:rtl/>
        </w:rPr>
        <w:t xml:space="preserve"> נקבע, כי עקרון אחידות הענישה אינו חזות הכל ויכול שיחרוג מפני עקרונות וערכים אחרים:</w:t>
      </w:r>
    </w:p>
    <w:p w14:paraId="51CD6342" w14:textId="77777777" w:rsidR="00E10C50" w:rsidRDefault="00590AD1">
      <w:pPr>
        <w:spacing w:before="240" w:line="360" w:lineRule="auto"/>
        <w:ind w:left="1134" w:right="851"/>
        <w:jc w:val="both"/>
        <w:rPr>
          <w:sz w:val="28"/>
          <w:szCs w:val="28"/>
        </w:rPr>
      </w:pPr>
      <w:r>
        <w:rPr>
          <w:rFonts w:hint="cs"/>
          <w:sz w:val="28"/>
          <w:szCs w:val="28"/>
          <w:rtl/>
        </w:rPr>
        <w:t>"</w:t>
      </w:r>
      <w:r>
        <w:rPr>
          <w:b/>
          <w:bCs/>
          <w:sz w:val="28"/>
          <w:szCs w:val="28"/>
          <w:rtl/>
        </w:rPr>
        <w:t>אין כלל אחידות הענישה קובע - א-פריורי - כי דין אחד לכל העבריינים המורשעים באותו סוג של עבירות, ולא בהכרח ילמד בית-המשפט מהכרעת הדין או מגזירת-הדין של אחד לגבי חברו (בין שהואשם יחד עם חברו באותו כתב-אישום ובין שלאו ...) כל מקרה והנסיבות המיוחדות שבצידו, לאמור: נסיבות העבירה ונסיבותיו האישיות של הנאשם</w:t>
      </w:r>
      <w:r>
        <w:rPr>
          <w:sz w:val="28"/>
          <w:szCs w:val="28"/>
          <w:rtl/>
        </w:rPr>
        <w:t>"</w:t>
      </w:r>
      <w:r>
        <w:rPr>
          <w:rFonts w:hint="cs"/>
          <w:sz w:val="28"/>
          <w:szCs w:val="28"/>
          <w:rtl/>
        </w:rPr>
        <w:t>.</w:t>
      </w:r>
    </w:p>
    <w:p w14:paraId="4F65B99C" w14:textId="77777777" w:rsidR="00E10C50" w:rsidRDefault="00590AD1">
      <w:pPr>
        <w:pStyle w:val="ListParagraph"/>
        <w:numPr>
          <w:ilvl w:val="0"/>
          <w:numId w:val="1"/>
        </w:numPr>
        <w:spacing w:before="240" w:line="480" w:lineRule="auto"/>
        <w:jc w:val="both"/>
        <w:rPr>
          <w:sz w:val="28"/>
          <w:szCs w:val="28"/>
        </w:rPr>
      </w:pPr>
      <w:r>
        <w:rPr>
          <w:rFonts w:hint="cs"/>
          <w:sz w:val="28"/>
          <w:szCs w:val="28"/>
          <w:rtl/>
        </w:rPr>
        <w:t xml:space="preserve">הנה כי כן, לא בכל מקרה יוטלו על מספר שותפים שהורשעו בעבירות דומות עונשים זהים, וכך גם בענייננו. הנני ער לכך שקיים מנעד רחב בנוגע לעונשים המושתים על נאשמים בעבירות דומות למקרה דנא, והיו גם מקרים בהם הושתו עונשים קלים ואף קלים מאד, אלא שהנסיבות משתנות ממקרה למקרה. </w:t>
      </w:r>
    </w:p>
    <w:p w14:paraId="0C8E7F53" w14:textId="77777777" w:rsidR="00E10C50" w:rsidRDefault="00590AD1">
      <w:pPr>
        <w:spacing w:before="240" w:line="480" w:lineRule="auto"/>
        <w:jc w:val="both"/>
        <w:rPr>
          <w:sz w:val="28"/>
          <w:szCs w:val="28"/>
          <w:rtl/>
        </w:rPr>
      </w:pPr>
      <w:r>
        <w:rPr>
          <w:rFonts w:hint="cs"/>
          <w:b/>
          <w:bCs/>
          <w:sz w:val="28"/>
          <w:szCs w:val="28"/>
          <w:u w:val="single"/>
          <w:rtl/>
        </w:rPr>
        <w:t>התוצאה</w:t>
      </w:r>
    </w:p>
    <w:p w14:paraId="51B74AF9" w14:textId="77777777" w:rsidR="00E10C50" w:rsidRDefault="00590AD1">
      <w:pPr>
        <w:pStyle w:val="ListParagraph"/>
        <w:numPr>
          <w:ilvl w:val="0"/>
          <w:numId w:val="1"/>
        </w:numPr>
        <w:spacing w:before="240" w:line="480" w:lineRule="auto"/>
        <w:ind w:left="357"/>
        <w:contextualSpacing w:val="0"/>
        <w:jc w:val="both"/>
        <w:rPr>
          <w:sz w:val="28"/>
          <w:szCs w:val="28"/>
        </w:rPr>
      </w:pPr>
      <w:r>
        <w:rPr>
          <w:rFonts w:hint="cs"/>
          <w:sz w:val="28"/>
          <w:szCs w:val="28"/>
          <w:rtl/>
        </w:rPr>
        <w:t>בהתחשב במכלול נסיבות המקרה, כמפורט לעיל, אציע לחבריי להשית על הנאשמים את העונשים הבאים:</w:t>
      </w:r>
    </w:p>
    <w:p w14:paraId="7FC418A8" w14:textId="77777777" w:rsidR="00E10C50" w:rsidRDefault="00590AD1">
      <w:pPr>
        <w:spacing w:before="240" w:line="480" w:lineRule="auto"/>
        <w:ind w:left="-3"/>
        <w:jc w:val="both"/>
        <w:rPr>
          <w:b/>
          <w:bCs/>
          <w:sz w:val="28"/>
          <w:szCs w:val="28"/>
        </w:rPr>
      </w:pPr>
      <w:r>
        <w:rPr>
          <w:rFonts w:hint="cs"/>
          <w:b/>
          <w:bCs/>
          <w:sz w:val="28"/>
          <w:szCs w:val="28"/>
          <w:rtl/>
        </w:rPr>
        <w:t xml:space="preserve">נאשם 1 - </w:t>
      </w:r>
    </w:p>
    <w:p w14:paraId="20F2DBF2" w14:textId="77777777" w:rsidR="00E10C50" w:rsidRDefault="00590AD1">
      <w:pPr>
        <w:pStyle w:val="ListParagraph"/>
        <w:numPr>
          <w:ilvl w:val="0"/>
          <w:numId w:val="2"/>
        </w:numPr>
        <w:spacing w:before="240" w:line="480" w:lineRule="auto"/>
        <w:jc w:val="both"/>
        <w:rPr>
          <w:sz w:val="28"/>
          <w:szCs w:val="28"/>
        </w:rPr>
      </w:pPr>
      <w:r>
        <w:rPr>
          <w:rFonts w:hint="cs"/>
          <w:sz w:val="28"/>
          <w:szCs w:val="28"/>
          <w:rtl/>
        </w:rPr>
        <w:t>עונש כולל של 10 שנות מאסר בפועל, החל מיום מעצרו בתיק זה (9.8.13).</w:t>
      </w:r>
    </w:p>
    <w:p w14:paraId="1FEC9095" w14:textId="77777777" w:rsidR="00E10C50" w:rsidRDefault="00590AD1">
      <w:pPr>
        <w:pStyle w:val="ListParagraph"/>
        <w:numPr>
          <w:ilvl w:val="0"/>
          <w:numId w:val="2"/>
        </w:numPr>
        <w:spacing w:before="240" w:line="480" w:lineRule="auto"/>
        <w:jc w:val="both"/>
        <w:rPr>
          <w:sz w:val="28"/>
          <w:szCs w:val="28"/>
        </w:rPr>
      </w:pPr>
      <w:r>
        <w:rPr>
          <w:rFonts w:hint="cs"/>
          <w:sz w:val="28"/>
          <w:szCs w:val="28"/>
          <w:rtl/>
        </w:rPr>
        <w:t>שנתיים מאסר על תנאי, שלא יעבור תוך 3 שנים מיום שחרורו אחת מהעבירות בהן הורשע או עבירה אחרת כלשהי הנוגעת לפגיעה בביטחון המדינה.</w:t>
      </w:r>
    </w:p>
    <w:p w14:paraId="51736A69" w14:textId="77777777" w:rsidR="00E10C50" w:rsidRDefault="00590AD1">
      <w:pPr>
        <w:spacing w:before="240" w:line="480" w:lineRule="auto"/>
        <w:jc w:val="both"/>
        <w:rPr>
          <w:b/>
          <w:bCs/>
          <w:sz w:val="28"/>
          <w:szCs w:val="28"/>
          <w:rtl/>
        </w:rPr>
      </w:pPr>
      <w:r>
        <w:rPr>
          <w:rFonts w:hint="cs"/>
          <w:b/>
          <w:bCs/>
          <w:sz w:val="28"/>
          <w:szCs w:val="28"/>
          <w:rtl/>
        </w:rPr>
        <w:t>נאשם 2 -</w:t>
      </w:r>
    </w:p>
    <w:p w14:paraId="53C62685" w14:textId="77777777" w:rsidR="00E10C50" w:rsidRDefault="00590AD1">
      <w:pPr>
        <w:pStyle w:val="ListParagraph"/>
        <w:numPr>
          <w:ilvl w:val="0"/>
          <w:numId w:val="3"/>
        </w:numPr>
        <w:spacing w:before="240" w:line="480" w:lineRule="auto"/>
        <w:jc w:val="both"/>
        <w:rPr>
          <w:sz w:val="28"/>
          <w:szCs w:val="28"/>
        </w:rPr>
      </w:pPr>
      <w:r>
        <w:rPr>
          <w:rFonts w:hint="cs"/>
          <w:sz w:val="28"/>
          <w:szCs w:val="28"/>
          <w:rtl/>
        </w:rPr>
        <w:t>עונש כולל של 8 שנות מאסר בפועל, החל מיום מעצרו בתיק זה (15.8.13).</w:t>
      </w:r>
    </w:p>
    <w:p w14:paraId="73C09720" w14:textId="77777777" w:rsidR="00E10C50" w:rsidRDefault="00590AD1">
      <w:pPr>
        <w:pStyle w:val="ListParagraph"/>
        <w:numPr>
          <w:ilvl w:val="0"/>
          <w:numId w:val="3"/>
        </w:numPr>
        <w:spacing w:before="240" w:line="480" w:lineRule="auto"/>
        <w:jc w:val="both"/>
        <w:rPr>
          <w:sz w:val="28"/>
          <w:szCs w:val="28"/>
        </w:rPr>
      </w:pPr>
      <w:r>
        <w:rPr>
          <w:rFonts w:hint="cs"/>
          <w:sz w:val="28"/>
          <w:szCs w:val="28"/>
          <w:rtl/>
        </w:rPr>
        <w:t>שנתיים מאסר על תנאי, שלא יעבור תוך 3 שנים מיום שחרורו אחת מהעבירות בהן הורשע או עבירה אחרת כלשהי הנוגעת לפגיעה בביטחון המדינה.</w:t>
      </w:r>
    </w:p>
    <w:p w14:paraId="3E72AC86" w14:textId="77777777" w:rsidR="00E10C50" w:rsidRDefault="00E10C50">
      <w:pPr>
        <w:pStyle w:val="ListParagraph"/>
        <w:spacing w:before="240" w:line="480" w:lineRule="auto"/>
        <w:jc w:val="both"/>
        <w:rPr>
          <w:sz w:val="28"/>
          <w:szCs w:val="28"/>
        </w:rPr>
      </w:pPr>
    </w:p>
    <w:tbl>
      <w:tblPr>
        <w:bidiVisual/>
        <w:tblW w:w="2691" w:type="dxa"/>
        <w:tblInd w:w="6480" w:type="dxa"/>
        <w:tblLook w:val="01E0" w:firstRow="1" w:lastRow="1" w:firstColumn="1" w:lastColumn="1" w:noHBand="0" w:noVBand="0"/>
      </w:tblPr>
      <w:tblGrid>
        <w:gridCol w:w="2691"/>
      </w:tblGrid>
      <w:tr w:rsidR="00E10C50" w14:paraId="5C1A5CE3" w14:textId="77777777">
        <w:trPr>
          <w:trHeight w:val="1438"/>
        </w:trPr>
        <w:tc>
          <w:tcPr>
            <w:tcW w:w="2691" w:type="dxa"/>
            <w:tcBorders>
              <w:top w:val="nil"/>
              <w:left w:val="nil"/>
              <w:bottom w:val="single" w:sz="4" w:space="0" w:color="auto"/>
              <w:right w:val="nil"/>
            </w:tcBorders>
            <w:vAlign w:val="center"/>
          </w:tcPr>
          <w:p w14:paraId="50515AEF" w14:textId="77777777" w:rsidR="00E10C50" w:rsidRDefault="00E10C50" w:rsidP="00D66945">
            <w:pPr>
              <w:rPr>
                <w:rFonts w:ascii="Courier New" w:hAnsi="Courier New" w:hint="cs"/>
                <w:b/>
                <w:bCs/>
                <w:rtl/>
              </w:rPr>
            </w:pPr>
          </w:p>
        </w:tc>
      </w:tr>
      <w:tr w:rsidR="00E10C50" w14:paraId="1D18CB88" w14:textId="77777777">
        <w:tc>
          <w:tcPr>
            <w:tcW w:w="2691" w:type="dxa"/>
            <w:tcBorders>
              <w:top w:val="single" w:sz="4" w:space="0" w:color="auto"/>
              <w:left w:val="nil"/>
              <w:bottom w:val="nil"/>
              <w:right w:val="nil"/>
            </w:tcBorders>
          </w:tcPr>
          <w:p w14:paraId="7A6A570A" w14:textId="77777777" w:rsidR="00E10C50" w:rsidRDefault="00590AD1">
            <w:pPr>
              <w:pStyle w:val="3"/>
              <w:spacing w:line="240" w:lineRule="auto"/>
              <w:jc w:val="center"/>
              <w:rPr>
                <w:sz w:val="24"/>
                <w:szCs w:val="28"/>
                <w:rtl/>
              </w:rPr>
            </w:pPr>
            <w:r>
              <w:rPr>
                <w:rFonts w:hint="cs"/>
                <w:sz w:val="24"/>
                <w:szCs w:val="28"/>
                <w:rtl/>
              </w:rPr>
              <w:t>צבי סגל, שופט בכיר</w:t>
            </w:r>
          </w:p>
          <w:p w14:paraId="5C9A0E05" w14:textId="77777777" w:rsidR="00E10C50" w:rsidRDefault="00590AD1">
            <w:pPr>
              <w:jc w:val="center"/>
              <w:rPr>
                <w:b/>
                <w:bCs/>
                <w:sz w:val="28"/>
                <w:szCs w:val="28"/>
                <w:rtl/>
                <w:lang w:eastAsia="he-IL"/>
              </w:rPr>
            </w:pPr>
            <w:r>
              <w:rPr>
                <w:rFonts w:hint="cs"/>
                <w:b/>
                <w:bCs/>
                <w:sz w:val="28"/>
                <w:szCs w:val="28"/>
                <w:rtl/>
                <w:lang w:eastAsia="he-IL"/>
              </w:rPr>
              <w:t>אב"ד</w:t>
            </w:r>
          </w:p>
        </w:tc>
      </w:tr>
    </w:tbl>
    <w:p w14:paraId="5B44E198" w14:textId="77777777" w:rsidR="00E10C50" w:rsidRDefault="00590AD1">
      <w:pPr>
        <w:spacing w:before="240" w:line="360" w:lineRule="auto"/>
        <w:jc w:val="both"/>
        <w:rPr>
          <w:rFonts w:ascii="Arial" w:hAnsi="Arial"/>
          <w:b/>
          <w:bCs/>
          <w:sz w:val="28"/>
          <w:szCs w:val="28"/>
          <w:u w:val="single"/>
          <w:rtl/>
        </w:rPr>
      </w:pPr>
      <w:r>
        <w:rPr>
          <w:rFonts w:ascii="Arial" w:hAnsi="Arial" w:hint="cs"/>
          <w:b/>
          <w:bCs/>
          <w:sz w:val="28"/>
          <w:szCs w:val="28"/>
          <w:u w:val="single"/>
          <w:rtl/>
        </w:rPr>
        <w:t>השופט בן ציון גרינברגר:</w:t>
      </w:r>
    </w:p>
    <w:p w14:paraId="7C8F5F1A" w14:textId="77777777" w:rsidR="00E10C50" w:rsidRDefault="00590AD1">
      <w:pPr>
        <w:spacing w:before="240" w:line="360" w:lineRule="auto"/>
        <w:jc w:val="both"/>
        <w:rPr>
          <w:rFonts w:ascii="Arial" w:hAnsi="Arial"/>
          <w:sz w:val="28"/>
          <w:szCs w:val="28"/>
          <w:rtl/>
        </w:rPr>
      </w:pPr>
      <w:r>
        <w:rPr>
          <w:rFonts w:ascii="Arial" w:hAnsi="Arial" w:hint="cs"/>
          <w:sz w:val="28"/>
          <w:szCs w:val="28"/>
          <w:rtl/>
        </w:rPr>
        <w:t xml:space="preserve">אני מסכים. </w:t>
      </w:r>
    </w:p>
    <w:tbl>
      <w:tblPr>
        <w:bidiVisual/>
        <w:tblW w:w="2995" w:type="dxa"/>
        <w:tblInd w:w="5760" w:type="dxa"/>
        <w:tblLayout w:type="fixed"/>
        <w:tblLook w:val="01E0" w:firstRow="1" w:lastRow="1" w:firstColumn="1" w:lastColumn="1" w:noHBand="0" w:noVBand="0"/>
      </w:tblPr>
      <w:tblGrid>
        <w:gridCol w:w="2995"/>
      </w:tblGrid>
      <w:tr w:rsidR="00E10C50" w14:paraId="7AE1441E" w14:textId="77777777">
        <w:tc>
          <w:tcPr>
            <w:tcW w:w="2995" w:type="dxa"/>
            <w:tcBorders>
              <w:top w:val="nil"/>
              <w:left w:val="nil"/>
              <w:bottom w:val="single" w:sz="4" w:space="0" w:color="auto"/>
              <w:right w:val="nil"/>
            </w:tcBorders>
            <w:vAlign w:val="center"/>
          </w:tcPr>
          <w:p w14:paraId="23407550" w14:textId="77777777" w:rsidR="00E10C50" w:rsidRDefault="00E10C50">
            <w:pPr>
              <w:jc w:val="center"/>
              <w:rPr>
                <w:rFonts w:ascii="Courier New" w:hAnsi="Courier New"/>
                <w:b/>
                <w:bCs/>
                <w:rtl/>
              </w:rPr>
            </w:pPr>
          </w:p>
        </w:tc>
      </w:tr>
      <w:tr w:rsidR="00E10C50" w14:paraId="0E63E943" w14:textId="77777777">
        <w:tc>
          <w:tcPr>
            <w:tcW w:w="2995" w:type="dxa"/>
            <w:tcBorders>
              <w:top w:val="single" w:sz="4" w:space="0" w:color="auto"/>
              <w:left w:val="nil"/>
              <w:bottom w:val="nil"/>
              <w:right w:val="nil"/>
            </w:tcBorders>
          </w:tcPr>
          <w:p w14:paraId="2EFF2CBC" w14:textId="77777777" w:rsidR="00E10C50" w:rsidRDefault="00590AD1">
            <w:pPr>
              <w:pStyle w:val="3"/>
              <w:jc w:val="center"/>
              <w:rPr>
                <w:sz w:val="32"/>
                <w:szCs w:val="28"/>
                <w:rtl/>
              </w:rPr>
            </w:pPr>
            <w:r>
              <w:rPr>
                <w:rFonts w:hint="cs"/>
                <w:sz w:val="32"/>
                <w:szCs w:val="28"/>
                <w:rtl/>
              </w:rPr>
              <w:t>בן ציון גרינברגר, שופט</w:t>
            </w:r>
          </w:p>
        </w:tc>
      </w:tr>
    </w:tbl>
    <w:p w14:paraId="29F87553" w14:textId="77777777" w:rsidR="00E10C50" w:rsidRDefault="00590AD1">
      <w:pPr>
        <w:spacing w:before="240" w:line="360" w:lineRule="auto"/>
        <w:jc w:val="both"/>
        <w:rPr>
          <w:rFonts w:ascii="Arial" w:hAnsi="Arial"/>
          <w:b/>
          <w:bCs/>
          <w:sz w:val="28"/>
          <w:szCs w:val="28"/>
          <w:u w:val="single"/>
          <w:rtl/>
        </w:rPr>
      </w:pPr>
      <w:r>
        <w:rPr>
          <w:rFonts w:ascii="Arial" w:hAnsi="Arial" w:hint="cs"/>
          <w:b/>
          <w:bCs/>
          <w:sz w:val="28"/>
          <w:szCs w:val="28"/>
          <w:u w:val="single"/>
          <w:rtl/>
        </w:rPr>
        <w:t>השופט ארנון דראל:</w:t>
      </w:r>
    </w:p>
    <w:p w14:paraId="3BB9BDA8" w14:textId="77777777" w:rsidR="00E10C50" w:rsidRDefault="00590AD1">
      <w:pPr>
        <w:spacing w:before="240" w:line="360" w:lineRule="auto"/>
        <w:jc w:val="both"/>
        <w:rPr>
          <w:rFonts w:ascii="Arial" w:hAnsi="Arial"/>
          <w:sz w:val="28"/>
          <w:szCs w:val="28"/>
          <w:rtl/>
        </w:rPr>
      </w:pPr>
      <w:r>
        <w:rPr>
          <w:rFonts w:ascii="Arial" w:hAnsi="Arial" w:hint="cs"/>
          <w:sz w:val="28"/>
          <w:szCs w:val="28"/>
          <w:rtl/>
        </w:rPr>
        <w:t xml:space="preserve">אני מסכים. </w:t>
      </w:r>
    </w:p>
    <w:tbl>
      <w:tblPr>
        <w:bidiVisual/>
        <w:tblW w:w="2962" w:type="dxa"/>
        <w:tblInd w:w="5760" w:type="dxa"/>
        <w:tblLook w:val="01E0" w:firstRow="1" w:lastRow="1" w:firstColumn="1" w:lastColumn="1" w:noHBand="0" w:noVBand="0"/>
      </w:tblPr>
      <w:tblGrid>
        <w:gridCol w:w="2962"/>
      </w:tblGrid>
      <w:tr w:rsidR="00E10C50" w14:paraId="221ED3C5" w14:textId="77777777">
        <w:trPr>
          <w:trHeight w:val="992"/>
        </w:trPr>
        <w:tc>
          <w:tcPr>
            <w:tcW w:w="2962" w:type="dxa"/>
            <w:tcBorders>
              <w:top w:val="nil"/>
              <w:left w:val="nil"/>
              <w:bottom w:val="single" w:sz="4" w:space="0" w:color="auto"/>
              <w:right w:val="nil"/>
            </w:tcBorders>
            <w:vAlign w:val="center"/>
          </w:tcPr>
          <w:p w14:paraId="5FAD9AF7" w14:textId="77777777" w:rsidR="00E10C50" w:rsidRDefault="00E10C50">
            <w:pPr>
              <w:jc w:val="center"/>
              <w:rPr>
                <w:rFonts w:ascii="Courier New" w:hAnsi="Courier New"/>
                <w:b/>
                <w:bCs/>
              </w:rPr>
            </w:pPr>
          </w:p>
        </w:tc>
      </w:tr>
      <w:tr w:rsidR="00E10C50" w14:paraId="36997A62" w14:textId="77777777">
        <w:tc>
          <w:tcPr>
            <w:tcW w:w="2962" w:type="dxa"/>
            <w:tcBorders>
              <w:top w:val="single" w:sz="4" w:space="0" w:color="auto"/>
              <w:left w:val="nil"/>
              <w:bottom w:val="nil"/>
              <w:right w:val="nil"/>
            </w:tcBorders>
            <w:vAlign w:val="bottom"/>
          </w:tcPr>
          <w:p w14:paraId="13AEDE79" w14:textId="77777777" w:rsidR="00E10C50" w:rsidRDefault="00590AD1">
            <w:pPr>
              <w:spacing w:before="120" w:after="120"/>
              <w:jc w:val="center"/>
              <w:rPr>
                <w:rFonts w:ascii="Courier New" w:hAnsi="Courier New"/>
                <w:b/>
                <w:bCs/>
              </w:rPr>
            </w:pPr>
            <w:r>
              <w:rPr>
                <w:rFonts w:ascii="Courier New" w:hAnsi="Courier New" w:hint="cs"/>
                <w:b/>
                <w:bCs/>
                <w:sz w:val="28"/>
                <w:szCs w:val="28"/>
                <w:rtl/>
              </w:rPr>
              <w:t>ארנון דראל, שופט</w:t>
            </w:r>
          </w:p>
        </w:tc>
      </w:tr>
    </w:tbl>
    <w:p w14:paraId="38F8E4CF" w14:textId="77777777" w:rsidR="00E10C50" w:rsidRDefault="00590AD1">
      <w:pPr>
        <w:spacing w:before="240" w:line="480" w:lineRule="auto"/>
        <w:jc w:val="both"/>
        <w:rPr>
          <w:rFonts w:ascii="Arial" w:hAnsi="Arial"/>
          <w:b/>
          <w:bCs/>
          <w:sz w:val="28"/>
          <w:szCs w:val="28"/>
          <w:rtl/>
        </w:rPr>
      </w:pPr>
      <w:r>
        <w:rPr>
          <w:rFonts w:ascii="Arial" w:hAnsi="Arial" w:hint="cs"/>
          <w:b/>
          <w:bCs/>
          <w:sz w:val="28"/>
          <w:szCs w:val="28"/>
          <w:rtl/>
        </w:rPr>
        <w:t xml:space="preserve">הוחלט אפוא לגזור על הנאשמים את העונשים כאמור בפסקה 28 לגזר דינו של אב"ד, השופט צבי סגל. </w:t>
      </w:r>
    </w:p>
    <w:p w14:paraId="3F6E9F8F" w14:textId="77777777" w:rsidR="00E10C50" w:rsidRDefault="00590AD1">
      <w:pPr>
        <w:spacing w:before="240" w:line="480" w:lineRule="auto"/>
        <w:jc w:val="both"/>
        <w:rPr>
          <w:rFonts w:ascii="Arial" w:hAnsi="Arial"/>
          <w:b/>
          <w:bCs/>
          <w:sz w:val="28"/>
          <w:szCs w:val="28"/>
          <w:u w:val="single"/>
          <w:rtl/>
        </w:rPr>
      </w:pPr>
      <w:r w:rsidRPr="00590AD1">
        <w:rPr>
          <w:rFonts w:ascii="Arial" w:hAnsi="Arial"/>
          <w:b/>
          <w:bCs/>
          <w:color w:val="FFFFFF"/>
          <w:sz w:val="2"/>
          <w:szCs w:val="2"/>
          <w:u w:val="single"/>
          <w:rtl/>
        </w:rPr>
        <w:t>5129371</w:t>
      </w:r>
      <w:r>
        <w:rPr>
          <w:rFonts w:ascii="Arial" w:hAnsi="Arial" w:hint="cs"/>
          <w:b/>
          <w:bCs/>
          <w:sz w:val="28"/>
          <w:szCs w:val="28"/>
          <w:u w:val="single"/>
          <w:rtl/>
        </w:rPr>
        <w:t xml:space="preserve">הודע על זכות ערעור לבית משפט העליון תוך 45 יום מהיום. </w:t>
      </w:r>
    </w:p>
    <w:p w14:paraId="11EBF9EF" w14:textId="77777777" w:rsidR="00D66945" w:rsidRDefault="00D66945">
      <w:pPr>
        <w:tabs>
          <w:tab w:val="left" w:pos="2597"/>
          <w:tab w:val="left" w:pos="2864"/>
          <w:tab w:val="left" w:pos="5449"/>
          <w:tab w:val="left" w:pos="5716"/>
        </w:tabs>
        <w:spacing w:before="40" w:after="40"/>
        <w:rPr>
          <w:rFonts w:ascii="Courier New" w:hAnsi="Courier New"/>
          <w:b/>
          <w:bCs/>
        </w:rPr>
      </w:pPr>
      <w:r w:rsidRPr="00590AD1">
        <w:rPr>
          <w:rFonts w:ascii="Arial" w:hAnsi="Arial"/>
          <w:b/>
          <w:bCs/>
          <w:color w:val="FFFFFF"/>
          <w:sz w:val="2"/>
          <w:szCs w:val="2"/>
          <w:rtl/>
        </w:rPr>
        <w:t>54678313</w:t>
      </w:r>
      <w:r>
        <w:rPr>
          <w:rFonts w:ascii="Arial" w:hAnsi="Arial"/>
          <w:b/>
          <w:bCs/>
          <w:sz w:val="28"/>
          <w:szCs w:val="28"/>
          <w:rtl/>
        </w:rPr>
        <w:t xml:space="preserve">ניתן היום,  ל' ניסן תשע"ה, 19 אפריל 2015, במעמד הנוכחים.  </w:t>
      </w:r>
      <w:r>
        <w:rPr>
          <w:rFonts w:ascii="Courier New" w:hAnsi="Courier New"/>
          <w:b/>
          <w:bCs/>
          <w:rtl/>
        </w:rPr>
        <w:tab/>
      </w:r>
      <w:r>
        <w:rPr>
          <w:rFonts w:ascii="Courier New" w:hAnsi="Courier New"/>
          <w:b/>
          <w:bCs/>
        </w:rPr>
        <w:tab/>
      </w:r>
      <w:r>
        <w:rPr>
          <w:rFonts w:ascii="Courier New" w:hAnsi="Courier New"/>
          <w:b/>
          <w:bCs/>
          <w:rtl/>
        </w:rPr>
        <w:tab/>
      </w:r>
      <w:r>
        <w:rPr>
          <w:rFonts w:ascii="Courier New" w:hAnsi="Courier New"/>
          <w:b/>
          <w:bCs/>
        </w:rPr>
        <w:tab/>
      </w:r>
    </w:p>
    <w:tbl>
      <w:tblPr>
        <w:bidiVisual/>
        <w:tblW w:w="8505" w:type="dxa"/>
        <w:tblLayout w:type="fixed"/>
        <w:tblLook w:val="01E0" w:firstRow="1" w:lastRow="1" w:firstColumn="1" w:lastColumn="1" w:noHBand="0" w:noVBand="0"/>
      </w:tblPr>
      <w:tblGrid>
        <w:gridCol w:w="2597"/>
        <w:gridCol w:w="267"/>
        <w:gridCol w:w="2585"/>
        <w:gridCol w:w="267"/>
        <w:gridCol w:w="2789"/>
      </w:tblGrid>
      <w:tr w:rsidR="00E10C50" w14:paraId="6FDA6A46" w14:textId="77777777">
        <w:tc>
          <w:tcPr>
            <w:tcW w:w="2597" w:type="dxa"/>
            <w:tcBorders>
              <w:top w:val="single" w:sz="4" w:space="0" w:color="auto"/>
              <w:left w:val="nil"/>
              <w:bottom w:val="nil"/>
              <w:right w:val="nil"/>
            </w:tcBorders>
          </w:tcPr>
          <w:p w14:paraId="24DFF628" w14:textId="77777777" w:rsidR="00E10C50" w:rsidRDefault="00590AD1">
            <w:pPr>
              <w:spacing w:before="40" w:after="40"/>
              <w:jc w:val="center"/>
              <w:rPr>
                <w:b/>
                <w:bCs/>
                <w:noProof/>
                <w:sz w:val="32"/>
                <w:szCs w:val="28"/>
                <w:rtl/>
              </w:rPr>
            </w:pPr>
            <w:r>
              <w:rPr>
                <w:rFonts w:hint="cs"/>
                <w:b/>
                <w:bCs/>
                <w:sz w:val="32"/>
                <w:szCs w:val="28"/>
                <w:rtl/>
              </w:rPr>
              <w:t>צבי סגל, שופט</w:t>
            </w:r>
            <w:r>
              <w:rPr>
                <w:rFonts w:hint="cs"/>
                <w:b/>
                <w:bCs/>
                <w:noProof/>
                <w:sz w:val="32"/>
                <w:szCs w:val="28"/>
                <w:rtl/>
              </w:rPr>
              <w:t xml:space="preserve"> בכיר</w:t>
            </w:r>
          </w:p>
          <w:p w14:paraId="3EF31614" w14:textId="77777777" w:rsidR="00E10C50" w:rsidRDefault="00590AD1">
            <w:pPr>
              <w:spacing w:before="40" w:after="40"/>
              <w:jc w:val="center"/>
              <w:rPr>
                <w:b/>
                <w:bCs/>
                <w:noProof/>
                <w:sz w:val="32"/>
                <w:szCs w:val="28"/>
                <w:rtl/>
              </w:rPr>
            </w:pPr>
            <w:r>
              <w:rPr>
                <w:rFonts w:hint="cs"/>
                <w:b/>
                <w:bCs/>
                <w:sz w:val="32"/>
                <w:szCs w:val="28"/>
                <w:rtl/>
              </w:rPr>
              <w:t>[אב"ד]</w:t>
            </w:r>
          </w:p>
        </w:tc>
        <w:tc>
          <w:tcPr>
            <w:tcW w:w="267" w:type="dxa"/>
          </w:tcPr>
          <w:p w14:paraId="0EA2C3ED" w14:textId="77777777" w:rsidR="00E10C50" w:rsidRDefault="00E10C50">
            <w:pPr>
              <w:spacing w:before="40" w:after="40"/>
              <w:jc w:val="center"/>
              <w:rPr>
                <w:b/>
                <w:bCs/>
                <w:noProof/>
                <w:color w:val="FF0000"/>
                <w:sz w:val="32"/>
                <w:szCs w:val="28"/>
              </w:rPr>
            </w:pPr>
          </w:p>
        </w:tc>
        <w:tc>
          <w:tcPr>
            <w:tcW w:w="2585" w:type="dxa"/>
            <w:tcBorders>
              <w:top w:val="single" w:sz="4" w:space="0" w:color="auto"/>
              <w:left w:val="nil"/>
              <w:bottom w:val="nil"/>
              <w:right w:val="nil"/>
            </w:tcBorders>
          </w:tcPr>
          <w:p w14:paraId="15431997" w14:textId="77777777" w:rsidR="00E10C50" w:rsidRDefault="00590AD1">
            <w:pPr>
              <w:pStyle w:val="3"/>
              <w:spacing w:before="40" w:after="40"/>
              <w:jc w:val="center"/>
              <w:rPr>
                <w:sz w:val="32"/>
                <w:szCs w:val="28"/>
                <w:rtl/>
              </w:rPr>
            </w:pPr>
            <w:r>
              <w:rPr>
                <w:rFonts w:hint="cs"/>
                <w:sz w:val="32"/>
                <w:szCs w:val="28"/>
                <w:rtl/>
              </w:rPr>
              <w:t>בן ציון גרינברגר, שופט</w:t>
            </w:r>
          </w:p>
        </w:tc>
        <w:tc>
          <w:tcPr>
            <w:tcW w:w="267" w:type="dxa"/>
          </w:tcPr>
          <w:p w14:paraId="4A397C10" w14:textId="77777777" w:rsidR="00E10C50" w:rsidRDefault="00E10C50">
            <w:pPr>
              <w:spacing w:before="40" w:after="40"/>
              <w:jc w:val="center"/>
              <w:rPr>
                <w:b/>
                <w:bCs/>
                <w:noProof/>
                <w:color w:val="FF0000"/>
                <w:sz w:val="32"/>
                <w:szCs w:val="28"/>
              </w:rPr>
            </w:pPr>
          </w:p>
        </w:tc>
        <w:tc>
          <w:tcPr>
            <w:tcW w:w="2789" w:type="dxa"/>
            <w:tcBorders>
              <w:top w:val="single" w:sz="4" w:space="0" w:color="auto"/>
              <w:left w:val="nil"/>
              <w:bottom w:val="nil"/>
              <w:right w:val="nil"/>
            </w:tcBorders>
          </w:tcPr>
          <w:p w14:paraId="1A595339" w14:textId="77777777" w:rsidR="00E10C50" w:rsidRDefault="00590AD1">
            <w:pPr>
              <w:spacing w:before="40" w:after="40"/>
              <w:jc w:val="center"/>
              <w:rPr>
                <w:b/>
                <w:bCs/>
                <w:noProof/>
                <w:sz w:val="32"/>
                <w:szCs w:val="28"/>
              </w:rPr>
            </w:pPr>
            <w:r>
              <w:rPr>
                <w:rFonts w:hint="cs"/>
                <w:b/>
                <w:bCs/>
                <w:noProof/>
                <w:sz w:val="32"/>
                <w:szCs w:val="28"/>
                <w:rtl/>
              </w:rPr>
              <w:t>ארנון דראל, שופט</w:t>
            </w:r>
          </w:p>
        </w:tc>
      </w:tr>
    </w:tbl>
    <w:p w14:paraId="292C04F4" w14:textId="77777777" w:rsidR="00E10C50" w:rsidRPr="00D66945" w:rsidRDefault="00D66945">
      <w:pPr>
        <w:pStyle w:val="a3"/>
        <w:jc w:val="center"/>
        <w:rPr>
          <w:color w:val="FFFFFF"/>
          <w:sz w:val="2"/>
          <w:szCs w:val="2"/>
          <w:rtl/>
        </w:rPr>
      </w:pPr>
      <w:r w:rsidRPr="00D66945">
        <w:rPr>
          <w:color w:val="FFFFFF"/>
          <w:sz w:val="2"/>
          <w:szCs w:val="2"/>
          <w:rtl/>
        </w:rPr>
        <w:t>5129371</w:t>
      </w:r>
    </w:p>
    <w:p w14:paraId="18C6D27E" w14:textId="77777777" w:rsidR="00590AD1" w:rsidRPr="00D66945" w:rsidRDefault="00D66945" w:rsidP="00590AD1">
      <w:pPr>
        <w:keepNext/>
        <w:rPr>
          <w:rFonts w:ascii="David" w:hAnsi="David"/>
          <w:color w:val="FFFFFF"/>
          <w:sz w:val="2"/>
          <w:szCs w:val="2"/>
          <w:rtl/>
        </w:rPr>
      </w:pPr>
      <w:r w:rsidRPr="00D66945">
        <w:rPr>
          <w:rFonts w:ascii="David" w:hAnsi="David"/>
          <w:color w:val="FFFFFF"/>
          <w:sz w:val="2"/>
          <w:szCs w:val="2"/>
          <w:rtl/>
        </w:rPr>
        <w:t>54678313</w:t>
      </w:r>
    </w:p>
    <w:p w14:paraId="1E85FB0D" w14:textId="77777777" w:rsidR="00590AD1" w:rsidRPr="00590AD1" w:rsidRDefault="00590AD1" w:rsidP="00590AD1">
      <w:pPr>
        <w:keepNext/>
        <w:rPr>
          <w:rFonts w:ascii="David" w:hAnsi="David"/>
          <w:color w:val="000000"/>
          <w:sz w:val="22"/>
          <w:szCs w:val="22"/>
          <w:rtl/>
        </w:rPr>
      </w:pPr>
      <w:r w:rsidRPr="00590AD1">
        <w:rPr>
          <w:rFonts w:ascii="David" w:hAnsi="David"/>
          <w:color w:val="000000"/>
          <w:sz w:val="22"/>
          <w:szCs w:val="22"/>
          <w:rtl/>
        </w:rPr>
        <w:t>צבי סגל 54678313</w:t>
      </w:r>
    </w:p>
    <w:p w14:paraId="14FCDBF2" w14:textId="77777777" w:rsidR="00590AD1" w:rsidRDefault="00590AD1" w:rsidP="00590AD1">
      <w:r w:rsidRPr="00590AD1">
        <w:rPr>
          <w:color w:val="000000"/>
          <w:rtl/>
        </w:rPr>
        <w:t>נוסח מסמך זה כפוף לשינויי ניסוח ועריכה</w:t>
      </w:r>
    </w:p>
    <w:p w14:paraId="438E8B8F" w14:textId="77777777" w:rsidR="00590AD1" w:rsidRDefault="00590AD1" w:rsidP="00590AD1">
      <w:pPr>
        <w:rPr>
          <w:rtl/>
        </w:rPr>
      </w:pPr>
    </w:p>
    <w:p w14:paraId="4E8CD313" w14:textId="77777777" w:rsidR="00590AD1" w:rsidRDefault="00590AD1" w:rsidP="00590AD1">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r w:rsidR="00CB3D92">
        <w:rPr>
          <w:rFonts w:hint="cs"/>
          <w:color w:val="0000FF"/>
          <w:u w:val="single"/>
          <w:rtl/>
        </w:rPr>
        <w:t xml:space="preserve"> </w:t>
      </w:r>
    </w:p>
    <w:p w14:paraId="0B8A6FD9" w14:textId="77777777" w:rsidR="00D66945" w:rsidRPr="00D66945" w:rsidRDefault="00D66945" w:rsidP="00D66945">
      <w:pPr>
        <w:keepNext/>
        <w:rPr>
          <w:rFonts w:ascii="David" w:hAnsi="David"/>
          <w:color w:val="000000"/>
          <w:sz w:val="22"/>
          <w:szCs w:val="22"/>
          <w:rtl/>
        </w:rPr>
      </w:pPr>
    </w:p>
    <w:sectPr w:rsidR="00D66945" w:rsidRPr="00D66945" w:rsidSect="00D66945">
      <w:headerReference w:type="even" r:id="rId72"/>
      <w:headerReference w:type="default" r:id="rId73"/>
      <w:footerReference w:type="even" r:id="rId74"/>
      <w:footerReference w:type="default" r:id="rId75"/>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F995E" w14:textId="77777777" w:rsidR="00E94D2C" w:rsidRPr="001C619F" w:rsidRDefault="00E94D2C">
      <w:pPr>
        <w:rPr>
          <w:rFonts w:cs="Arial"/>
          <w:szCs w:val="20"/>
        </w:rPr>
      </w:pPr>
      <w:r>
        <w:separator/>
      </w:r>
    </w:p>
  </w:endnote>
  <w:endnote w:type="continuationSeparator" w:id="0">
    <w:p w14:paraId="33E05347" w14:textId="77777777" w:rsidR="00E94D2C" w:rsidRPr="001C619F" w:rsidRDefault="00E94D2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BA76" w14:textId="77777777" w:rsidR="00EC2CAD" w:rsidRDefault="00EC2CAD" w:rsidP="00D6694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4EFF35" w14:textId="77777777" w:rsidR="00EC2CAD" w:rsidRPr="00D66945" w:rsidRDefault="00EC2CAD" w:rsidP="00D66945">
    <w:pPr>
      <w:pStyle w:val="a4"/>
      <w:pBdr>
        <w:top w:val="single" w:sz="4" w:space="1" w:color="auto"/>
        <w:between w:val="single" w:sz="4" w:space="0" w:color="auto"/>
      </w:pBdr>
      <w:spacing w:after="60"/>
      <w:jc w:val="center"/>
      <w:rPr>
        <w:rFonts w:ascii="FrankRuehl" w:hAnsi="FrankRuehl" w:cs="FrankRuehl"/>
        <w:color w:val="000000"/>
      </w:rPr>
    </w:pPr>
    <w:r w:rsidRPr="00D669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1581D" w14:textId="77777777" w:rsidR="00EC2CAD" w:rsidRDefault="00EC2CAD" w:rsidP="00D6694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7E9C">
      <w:rPr>
        <w:rFonts w:ascii="FrankRuehl" w:hAnsi="FrankRuehl" w:cs="FrankRuehl"/>
        <w:noProof/>
        <w:rtl/>
      </w:rPr>
      <w:t>2</w:t>
    </w:r>
    <w:r>
      <w:rPr>
        <w:rFonts w:ascii="FrankRuehl" w:hAnsi="FrankRuehl" w:cs="FrankRuehl"/>
        <w:rtl/>
      </w:rPr>
      <w:fldChar w:fldCharType="end"/>
    </w:r>
  </w:p>
  <w:p w14:paraId="035E2EB9" w14:textId="77777777" w:rsidR="00EC2CAD" w:rsidRPr="00D66945" w:rsidRDefault="00EC2CAD" w:rsidP="00D66945">
    <w:pPr>
      <w:pStyle w:val="a4"/>
      <w:pBdr>
        <w:top w:val="single" w:sz="4" w:space="1" w:color="auto"/>
        <w:between w:val="single" w:sz="4" w:space="0" w:color="auto"/>
      </w:pBdr>
      <w:spacing w:after="60"/>
      <w:jc w:val="center"/>
      <w:rPr>
        <w:rFonts w:ascii="FrankRuehl" w:hAnsi="FrankRuehl" w:cs="FrankRuehl"/>
        <w:color w:val="000000"/>
      </w:rPr>
    </w:pPr>
    <w:r w:rsidRPr="00D66945">
      <w:rPr>
        <w:rFonts w:ascii="FrankRuehl" w:hAnsi="FrankRuehl" w:cs="FrankRuehl"/>
        <w:color w:val="000000"/>
      </w:rPr>
      <w:pict w14:anchorId="24893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C4ECD" w14:textId="77777777" w:rsidR="00E94D2C" w:rsidRPr="001C619F" w:rsidRDefault="00E94D2C">
      <w:pPr>
        <w:rPr>
          <w:rFonts w:cs="Arial"/>
          <w:szCs w:val="20"/>
        </w:rPr>
      </w:pPr>
      <w:r>
        <w:separator/>
      </w:r>
    </w:p>
  </w:footnote>
  <w:footnote w:type="continuationSeparator" w:id="0">
    <w:p w14:paraId="407B32AB" w14:textId="77777777" w:rsidR="00E94D2C" w:rsidRPr="001C619F" w:rsidRDefault="00E94D2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0494" w14:textId="77777777" w:rsidR="00EC2CAD" w:rsidRPr="00D66945" w:rsidRDefault="00EC2CAD" w:rsidP="00D669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1307-09-13</w:t>
    </w:r>
    <w:r>
      <w:rPr>
        <w:rFonts w:ascii="David" w:hAnsi="David"/>
        <w:color w:val="000000"/>
        <w:sz w:val="22"/>
        <w:szCs w:val="22"/>
        <w:rtl/>
      </w:rPr>
      <w:tab/>
      <w:t xml:space="preserve"> מדינת ישראל נ' אחמד רישק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5BD0C" w14:textId="77777777" w:rsidR="00EC2CAD" w:rsidRPr="00D66945" w:rsidRDefault="00EC2CAD" w:rsidP="00D669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1307-09-13</w:t>
    </w:r>
    <w:r>
      <w:rPr>
        <w:rFonts w:ascii="David" w:hAnsi="David"/>
        <w:color w:val="000000"/>
        <w:sz w:val="22"/>
        <w:szCs w:val="22"/>
        <w:rtl/>
      </w:rPr>
      <w:tab/>
      <w:t xml:space="preserve"> מדינת ישראל נ' אחמד רישק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0385"/>
    <w:multiLevelType w:val="hybridMultilevel"/>
    <w:tmpl w:val="936E740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5B21"/>
    <w:multiLevelType w:val="hybridMultilevel"/>
    <w:tmpl w:val="7374C7F4"/>
    <w:lvl w:ilvl="0" w:tplc="534AD3BA">
      <w:start w:val="1"/>
      <w:numFmt w:val="hebrew1"/>
      <w:lvlText w:val="%1."/>
      <w:lvlJc w:val="center"/>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D646A"/>
    <w:multiLevelType w:val="hybridMultilevel"/>
    <w:tmpl w:val="38FEE3D0"/>
    <w:lvl w:ilvl="0" w:tplc="4268DFCA">
      <w:start w:val="1"/>
      <w:numFmt w:val="decimal"/>
      <w:lvlText w:val="%1."/>
      <w:lvlJc w:val="left"/>
      <w:pPr>
        <w:ind w:left="360" w:hanging="360"/>
      </w:pPr>
      <w:rPr>
        <w:rFonts w:cs="David"/>
        <w:sz w:val="26"/>
        <w:szCs w:val="26"/>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9632092">
    <w:abstractNumId w:val="2"/>
  </w:num>
  <w:num w:numId="2" w16cid:durableId="2059746344">
    <w:abstractNumId w:val="1"/>
  </w:num>
  <w:num w:numId="3" w16cid:durableId="20337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0C50"/>
    <w:rsid w:val="005049E1"/>
    <w:rsid w:val="00590AD1"/>
    <w:rsid w:val="006E6AE0"/>
    <w:rsid w:val="00735135"/>
    <w:rsid w:val="00C17E9C"/>
    <w:rsid w:val="00CB3D92"/>
    <w:rsid w:val="00D66945"/>
    <w:rsid w:val="00D9215D"/>
    <w:rsid w:val="00E10C50"/>
    <w:rsid w:val="00E94D2C"/>
    <w:rsid w:val="00EC2C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189832"/>
  <w15:chartTrackingRefBased/>
  <w15:docId w15:val="{CB52A61D-313D-4AD1-8851-8BEFEF4F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0C50"/>
    <w:pPr>
      <w:bidi/>
    </w:pPr>
    <w:rPr>
      <w:rFonts w:cs="David"/>
      <w:sz w:val="24"/>
      <w:szCs w:val="24"/>
    </w:rPr>
  </w:style>
  <w:style w:type="paragraph" w:styleId="3">
    <w:name w:val="heading 3"/>
    <w:basedOn w:val="a"/>
    <w:next w:val="a"/>
    <w:link w:val="30"/>
    <w:qFormat/>
    <w:rsid w:val="00E10C50"/>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10C50"/>
    <w:pPr>
      <w:tabs>
        <w:tab w:val="center" w:pos="4153"/>
        <w:tab w:val="right" w:pos="8306"/>
      </w:tabs>
    </w:pPr>
  </w:style>
  <w:style w:type="paragraph" w:styleId="a4">
    <w:name w:val="footer"/>
    <w:basedOn w:val="a"/>
    <w:rsid w:val="00E10C50"/>
    <w:pPr>
      <w:tabs>
        <w:tab w:val="center" w:pos="4153"/>
        <w:tab w:val="right" w:pos="8306"/>
      </w:tabs>
    </w:pPr>
  </w:style>
  <w:style w:type="character" w:styleId="a5">
    <w:name w:val="page number"/>
    <w:basedOn w:val="a0"/>
    <w:rsid w:val="00E10C50"/>
  </w:style>
  <w:style w:type="paragraph" w:customStyle="1" w:styleId="ListParagraph">
    <w:name w:val="List Paragraph"/>
    <w:basedOn w:val="a"/>
    <w:rsid w:val="00E10C50"/>
    <w:pPr>
      <w:ind w:left="720"/>
      <w:contextualSpacing/>
    </w:pPr>
  </w:style>
  <w:style w:type="character" w:customStyle="1" w:styleId="30">
    <w:name w:val="כותרת 3 תו"/>
    <w:link w:val="3"/>
    <w:rsid w:val="00E10C50"/>
    <w:rPr>
      <w:rFonts w:cs="David"/>
      <w:b/>
      <w:bCs/>
      <w:noProof/>
      <w:szCs w:val="24"/>
      <w:lang w:val="en-US" w:eastAsia="he-IL" w:bidi="he-IL"/>
    </w:rPr>
  </w:style>
  <w:style w:type="character" w:styleId="Hyperlink">
    <w:name w:val="Hyperlink"/>
    <w:rsid w:val="00590AD1"/>
    <w:rPr>
      <w:color w:val="0000FF"/>
      <w:u w:val="single"/>
    </w:rPr>
  </w:style>
  <w:style w:type="character" w:styleId="FollowedHyperlink">
    <w:name w:val="FollowedHyperlink"/>
    <w:rsid w:val="00D669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99" TargetMode="External"/><Relationship Id="rId47" Type="http://schemas.openxmlformats.org/officeDocument/2006/relationships/hyperlink" Target="http://www.nevo.co.il/law/70301/92" TargetMode="External"/><Relationship Id="rId63" Type="http://schemas.openxmlformats.org/officeDocument/2006/relationships/hyperlink" Target="http://www.nevo.co.il/law/70301/40g" TargetMode="External"/><Relationship Id="rId68" Type="http://schemas.openxmlformats.org/officeDocument/2006/relationships/hyperlink" Target="http://www.nevo.co.il/case/5997536" TargetMode="External"/><Relationship Id="rId16" Type="http://schemas.openxmlformats.org/officeDocument/2006/relationships/hyperlink" Target="http://www.nevo.co.il/law/70301/99"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law/70301/92" TargetMode="External"/><Relationship Id="rId32" Type="http://schemas.openxmlformats.org/officeDocument/2006/relationships/hyperlink" Target="http://www.nevo.co.il/law/70301/274.2" TargetMode="External"/><Relationship Id="rId37" Type="http://schemas.openxmlformats.org/officeDocument/2006/relationships/hyperlink" Target="http://www.nevo.co.il/case/5573418"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law/70301/99" TargetMode="External"/><Relationship Id="rId53" Type="http://schemas.openxmlformats.org/officeDocument/2006/relationships/hyperlink" Target="http://www.nevo.co.il/case/5871272" TargetMode="External"/><Relationship Id="rId58" Type="http://schemas.openxmlformats.org/officeDocument/2006/relationships/hyperlink" Target="http://www.nevo.co.il/law/70301/40i" TargetMode="External"/><Relationship Id="rId66" Type="http://schemas.openxmlformats.org/officeDocument/2006/relationships/hyperlink" Target="http://www.nevo.co.il/case/5684362"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274.2"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92" TargetMode="External"/><Relationship Id="rId48" Type="http://schemas.openxmlformats.org/officeDocument/2006/relationships/hyperlink" Target="http://www.nevo.co.il/law/70301/99.a" TargetMode="External"/><Relationship Id="rId56" Type="http://schemas.openxmlformats.org/officeDocument/2006/relationships/hyperlink" Target="http://www.nevo.co.il/case/5684362"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701742" TargetMode="External"/><Relationship Id="rId77"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law/70301/25"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99.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law/70301/99.a"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6196176" TargetMode="External"/><Relationship Id="rId20" Type="http://schemas.openxmlformats.org/officeDocument/2006/relationships/hyperlink" Target="http://www.nevo.co.il/law/70301/332.3"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5857023" TargetMode="External"/><Relationship Id="rId62" Type="http://schemas.openxmlformats.org/officeDocument/2006/relationships/hyperlink" Target="http://www.nevo.co.il/law/70301/40f" TargetMode="External"/><Relationship Id="rId70" Type="http://schemas.openxmlformats.org/officeDocument/2006/relationships/hyperlink" Target="http://www.nevo.co.il/case/5820942"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92" TargetMode="External"/><Relationship Id="rId23" Type="http://schemas.openxmlformats.org/officeDocument/2006/relationships/hyperlink" Target="http://www.nevo.co.il/law/70301/99.a" TargetMode="External"/><Relationship Id="rId28" Type="http://schemas.openxmlformats.org/officeDocument/2006/relationships/hyperlink" Target="http://www.nevo.co.il/law/70301/31" TargetMode="External"/><Relationship Id="rId36" Type="http://schemas.openxmlformats.org/officeDocument/2006/relationships/hyperlink" Target="http://www.nevo.co.il/case/5573417" TargetMode="External"/><Relationship Id="rId49" Type="http://schemas.openxmlformats.org/officeDocument/2006/relationships/hyperlink" Target="http://www.nevo.co.il/law/70301/92" TargetMode="External"/><Relationship Id="rId57" Type="http://schemas.openxmlformats.org/officeDocument/2006/relationships/hyperlink" Target="http://www.nevo.co.il/case/2109802"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99.a.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1" TargetMode="External"/><Relationship Id="rId60" Type="http://schemas.openxmlformats.org/officeDocument/2006/relationships/hyperlink" Target="http://www.nevo.co.il/law/70301/40c.b" TargetMode="External"/><Relationship Id="rId65" Type="http://schemas.openxmlformats.org/officeDocument/2006/relationships/hyperlink" Target="http://www.nevo.co.il/case/6235300"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8283505" TargetMode="External"/><Relationship Id="rId50" Type="http://schemas.openxmlformats.org/officeDocument/2006/relationships/hyperlink" Target="http://www.nevo.co.il/law/70301/144.b2" TargetMode="External"/><Relationship Id="rId55" Type="http://schemas.openxmlformats.org/officeDocument/2006/relationships/hyperlink" Target="http://www.nevo.co.il/case/5784759"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33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4360</Words>
  <Characters>21805</Characters>
  <Application>Microsoft Office Word</Application>
  <DocSecurity>0</DocSecurity>
  <Lines>181</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26113</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3932280</vt:i4>
      </vt:variant>
      <vt:variant>
        <vt:i4>189</vt:i4>
      </vt:variant>
      <vt:variant>
        <vt:i4>0</vt:i4>
      </vt:variant>
      <vt:variant>
        <vt:i4>5</vt:i4>
      </vt:variant>
      <vt:variant>
        <vt:lpwstr>http://www.nevo.co.il/case/5820942</vt:lpwstr>
      </vt:variant>
      <vt:variant>
        <vt:lpwstr/>
      </vt:variant>
      <vt:variant>
        <vt:i4>3145846</vt:i4>
      </vt:variant>
      <vt:variant>
        <vt:i4>186</vt:i4>
      </vt:variant>
      <vt:variant>
        <vt:i4>0</vt:i4>
      </vt:variant>
      <vt:variant>
        <vt:i4>5</vt:i4>
      </vt:variant>
      <vt:variant>
        <vt:lpwstr>http://www.nevo.co.il/case/5701742</vt:lpwstr>
      </vt:variant>
      <vt:variant>
        <vt:lpwstr/>
      </vt:variant>
      <vt:variant>
        <vt:i4>4128889</vt:i4>
      </vt:variant>
      <vt:variant>
        <vt:i4>183</vt:i4>
      </vt:variant>
      <vt:variant>
        <vt:i4>0</vt:i4>
      </vt:variant>
      <vt:variant>
        <vt:i4>5</vt:i4>
      </vt:variant>
      <vt:variant>
        <vt:lpwstr>http://www.nevo.co.il/case/5997536</vt:lpwstr>
      </vt:variant>
      <vt:variant>
        <vt:lpwstr/>
      </vt:variant>
      <vt:variant>
        <vt:i4>3670132</vt:i4>
      </vt:variant>
      <vt:variant>
        <vt:i4>180</vt:i4>
      </vt:variant>
      <vt:variant>
        <vt:i4>0</vt:i4>
      </vt:variant>
      <vt:variant>
        <vt:i4>5</vt:i4>
      </vt:variant>
      <vt:variant>
        <vt:lpwstr>http://www.nevo.co.il/case/6196176</vt:lpwstr>
      </vt:variant>
      <vt:variant>
        <vt:lpwstr/>
      </vt:variant>
      <vt:variant>
        <vt:i4>3932272</vt:i4>
      </vt:variant>
      <vt:variant>
        <vt:i4>177</vt:i4>
      </vt:variant>
      <vt:variant>
        <vt:i4>0</vt:i4>
      </vt:variant>
      <vt:variant>
        <vt:i4>5</vt:i4>
      </vt:variant>
      <vt:variant>
        <vt:lpwstr>http://www.nevo.co.il/case/5684362</vt:lpwstr>
      </vt:variant>
      <vt:variant>
        <vt:lpwstr/>
      </vt:variant>
      <vt:variant>
        <vt:i4>3539059</vt:i4>
      </vt:variant>
      <vt:variant>
        <vt:i4>174</vt:i4>
      </vt:variant>
      <vt:variant>
        <vt:i4>0</vt:i4>
      </vt:variant>
      <vt:variant>
        <vt:i4>5</vt:i4>
      </vt:variant>
      <vt:variant>
        <vt:lpwstr>http://www.nevo.co.il/case/6235300</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http://www.nevo.co.il/law/70301/40g</vt:lpwstr>
      </vt:variant>
      <vt:variant>
        <vt:lpwstr/>
      </vt:variant>
      <vt:variant>
        <vt:i4>6619233</vt:i4>
      </vt:variant>
      <vt:variant>
        <vt:i4>165</vt:i4>
      </vt:variant>
      <vt:variant>
        <vt:i4>0</vt:i4>
      </vt:variant>
      <vt:variant>
        <vt:i4>5</vt:i4>
      </vt:variant>
      <vt:variant>
        <vt:lpwstr>http://www.nevo.co.il/law/70301/40f</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4915202</vt:i4>
      </vt:variant>
      <vt:variant>
        <vt:i4>159</vt:i4>
      </vt:variant>
      <vt:variant>
        <vt:i4>0</vt:i4>
      </vt:variant>
      <vt:variant>
        <vt:i4>5</vt:i4>
      </vt:variant>
      <vt:variant>
        <vt:lpwstr>http://www.nevo.co.il/law/70301/40c.b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http://www.nevo.co.il/law/70301/40i</vt:lpwstr>
      </vt:variant>
      <vt:variant>
        <vt:lpwstr/>
      </vt:variant>
      <vt:variant>
        <vt:i4>3670140</vt:i4>
      </vt:variant>
      <vt:variant>
        <vt:i4>150</vt:i4>
      </vt:variant>
      <vt:variant>
        <vt:i4>0</vt:i4>
      </vt:variant>
      <vt:variant>
        <vt:i4>5</vt:i4>
      </vt:variant>
      <vt:variant>
        <vt:lpwstr>http://www.nevo.co.il/case/2109802</vt:lpwstr>
      </vt:variant>
      <vt:variant>
        <vt:lpwstr/>
      </vt:variant>
      <vt:variant>
        <vt:i4>3932272</vt:i4>
      </vt:variant>
      <vt:variant>
        <vt:i4>147</vt:i4>
      </vt:variant>
      <vt:variant>
        <vt:i4>0</vt:i4>
      </vt:variant>
      <vt:variant>
        <vt:i4>5</vt:i4>
      </vt:variant>
      <vt:variant>
        <vt:lpwstr>http://www.nevo.co.il/case/5684362</vt:lpwstr>
      </vt:variant>
      <vt:variant>
        <vt:lpwstr/>
      </vt:variant>
      <vt:variant>
        <vt:i4>3342450</vt:i4>
      </vt:variant>
      <vt:variant>
        <vt:i4>144</vt:i4>
      </vt:variant>
      <vt:variant>
        <vt:i4>0</vt:i4>
      </vt:variant>
      <vt:variant>
        <vt:i4>5</vt:i4>
      </vt:variant>
      <vt:variant>
        <vt:lpwstr>http://www.nevo.co.il/case/5784759</vt:lpwstr>
      </vt:variant>
      <vt:variant>
        <vt:lpwstr/>
      </vt:variant>
      <vt:variant>
        <vt:i4>3342457</vt:i4>
      </vt:variant>
      <vt:variant>
        <vt:i4>141</vt:i4>
      </vt:variant>
      <vt:variant>
        <vt:i4>0</vt:i4>
      </vt:variant>
      <vt:variant>
        <vt:i4>5</vt:i4>
      </vt:variant>
      <vt:variant>
        <vt:lpwstr>http://www.nevo.co.il/case/5857023</vt:lpwstr>
      </vt:variant>
      <vt:variant>
        <vt:lpwstr/>
      </vt:variant>
      <vt:variant>
        <vt:i4>3276922</vt:i4>
      </vt:variant>
      <vt:variant>
        <vt:i4>138</vt:i4>
      </vt:variant>
      <vt:variant>
        <vt:i4>0</vt:i4>
      </vt:variant>
      <vt:variant>
        <vt:i4>5</vt:i4>
      </vt:variant>
      <vt:variant>
        <vt:lpwstr>http://www.nevo.co.il/case/5871272</vt:lpwstr>
      </vt:variant>
      <vt:variant>
        <vt:lpwstr/>
      </vt:variant>
      <vt:variant>
        <vt:i4>6553702</vt:i4>
      </vt:variant>
      <vt:variant>
        <vt:i4>135</vt:i4>
      </vt:variant>
      <vt:variant>
        <vt:i4>0</vt:i4>
      </vt:variant>
      <vt:variant>
        <vt:i4>5</vt:i4>
      </vt:variant>
      <vt:variant>
        <vt:lpwstr>http://www.nevo.co.il/law/70301/31</vt:lpwstr>
      </vt:variant>
      <vt:variant>
        <vt:lpwstr/>
      </vt:variant>
      <vt:variant>
        <vt:i4>6291559</vt:i4>
      </vt:variant>
      <vt:variant>
        <vt:i4>132</vt:i4>
      </vt:variant>
      <vt:variant>
        <vt:i4>0</vt:i4>
      </vt:variant>
      <vt:variant>
        <vt:i4>5</vt:i4>
      </vt:variant>
      <vt:variant>
        <vt:lpwstr>http://www.nevo.co.il/law/70301/25</vt:lpwstr>
      </vt:variant>
      <vt:variant>
        <vt:lpwstr/>
      </vt:variant>
      <vt:variant>
        <vt:i4>8192050</vt:i4>
      </vt:variant>
      <vt:variant>
        <vt:i4>129</vt:i4>
      </vt:variant>
      <vt:variant>
        <vt:i4>0</vt:i4>
      </vt:variant>
      <vt:variant>
        <vt:i4>5</vt:i4>
      </vt:variant>
      <vt:variant>
        <vt:lpwstr>http://www.nevo.co.il/law/70301/144.b2</vt:lpwstr>
      </vt:variant>
      <vt:variant>
        <vt:lpwstr/>
      </vt:variant>
      <vt:variant>
        <vt:i4>6750316</vt:i4>
      </vt:variant>
      <vt:variant>
        <vt:i4>126</vt:i4>
      </vt:variant>
      <vt:variant>
        <vt:i4>0</vt:i4>
      </vt:variant>
      <vt:variant>
        <vt:i4>5</vt:i4>
      </vt:variant>
      <vt:variant>
        <vt:lpwstr>http://www.nevo.co.il/law/70301/92</vt:lpwstr>
      </vt:variant>
      <vt:variant>
        <vt:lpwstr/>
      </vt:variant>
      <vt:variant>
        <vt:i4>852034</vt:i4>
      </vt:variant>
      <vt:variant>
        <vt:i4>123</vt:i4>
      </vt:variant>
      <vt:variant>
        <vt:i4>0</vt:i4>
      </vt:variant>
      <vt:variant>
        <vt:i4>5</vt:i4>
      </vt:variant>
      <vt:variant>
        <vt:lpwstr>http://www.nevo.co.il/law/70301/99.a</vt:lpwstr>
      </vt:variant>
      <vt:variant>
        <vt:lpwstr/>
      </vt:variant>
      <vt:variant>
        <vt:i4>6750316</vt:i4>
      </vt:variant>
      <vt:variant>
        <vt:i4>120</vt:i4>
      </vt:variant>
      <vt:variant>
        <vt:i4>0</vt:i4>
      </vt:variant>
      <vt:variant>
        <vt:i4>5</vt:i4>
      </vt:variant>
      <vt:variant>
        <vt:lpwstr>http://www.nevo.co.il/law/70301/92</vt:lpwstr>
      </vt:variant>
      <vt:variant>
        <vt:lpwstr/>
      </vt:variant>
      <vt:variant>
        <vt:i4>852034</vt:i4>
      </vt:variant>
      <vt:variant>
        <vt:i4>117</vt:i4>
      </vt:variant>
      <vt:variant>
        <vt:i4>0</vt:i4>
      </vt:variant>
      <vt:variant>
        <vt:i4>5</vt:i4>
      </vt:variant>
      <vt:variant>
        <vt:lpwstr>http://www.nevo.co.il/law/70301/99.a</vt:lpwstr>
      </vt:variant>
      <vt:variant>
        <vt:lpwstr/>
      </vt:variant>
      <vt:variant>
        <vt:i4>7077996</vt:i4>
      </vt:variant>
      <vt:variant>
        <vt:i4>114</vt:i4>
      </vt:variant>
      <vt:variant>
        <vt:i4>0</vt:i4>
      </vt:variant>
      <vt:variant>
        <vt:i4>5</vt:i4>
      </vt:variant>
      <vt:variant>
        <vt:lpwstr>http://www.nevo.co.il/law/70301/99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6750316</vt:i4>
      </vt:variant>
      <vt:variant>
        <vt:i4>108</vt:i4>
      </vt:variant>
      <vt:variant>
        <vt:i4>0</vt:i4>
      </vt:variant>
      <vt:variant>
        <vt:i4>5</vt:i4>
      </vt:variant>
      <vt:variant>
        <vt:lpwstr>http://www.nevo.co.il/law/70301/92</vt:lpwstr>
      </vt:variant>
      <vt:variant>
        <vt:lpwstr/>
      </vt:variant>
      <vt:variant>
        <vt:i4>7077996</vt:i4>
      </vt:variant>
      <vt:variant>
        <vt:i4>105</vt:i4>
      </vt:variant>
      <vt:variant>
        <vt:i4>0</vt:i4>
      </vt:variant>
      <vt:variant>
        <vt:i4>5</vt:i4>
      </vt:variant>
      <vt:variant>
        <vt:lpwstr>http://www.nevo.co.il/law/70301/99</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4063347</vt:i4>
      </vt:variant>
      <vt:variant>
        <vt:i4>90</vt:i4>
      </vt:variant>
      <vt:variant>
        <vt:i4>0</vt:i4>
      </vt:variant>
      <vt:variant>
        <vt:i4>5</vt:i4>
      </vt:variant>
      <vt:variant>
        <vt:lpwstr>http://www.nevo.co.il/case/5573418</vt:lpwstr>
      </vt:variant>
      <vt:variant>
        <vt:lpwstr/>
      </vt:variant>
      <vt:variant>
        <vt:i4>3211379</vt:i4>
      </vt:variant>
      <vt:variant>
        <vt:i4>87</vt:i4>
      </vt:variant>
      <vt:variant>
        <vt:i4>0</vt:i4>
      </vt:variant>
      <vt:variant>
        <vt:i4>5</vt:i4>
      </vt:variant>
      <vt:variant>
        <vt:lpwstr>http://www.nevo.co.il/case/5573417</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3145845</vt:i4>
      </vt:variant>
      <vt:variant>
        <vt:i4>81</vt:i4>
      </vt:variant>
      <vt:variant>
        <vt:i4>0</vt:i4>
      </vt:variant>
      <vt:variant>
        <vt:i4>5</vt:i4>
      </vt:variant>
      <vt:variant>
        <vt:lpwstr>http://www.nevo.co.il/case/8283505</vt:lpwstr>
      </vt:variant>
      <vt:variant>
        <vt:lpwstr/>
      </vt:variant>
      <vt:variant>
        <vt:i4>6291559</vt:i4>
      </vt:variant>
      <vt:variant>
        <vt:i4>78</vt:i4>
      </vt:variant>
      <vt:variant>
        <vt:i4>0</vt:i4>
      </vt:variant>
      <vt:variant>
        <vt:i4>5</vt:i4>
      </vt:variant>
      <vt:variant>
        <vt:lpwstr>http://www.nevo.co.il/law/70301/25</vt:lpwstr>
      </vt:variant>
      <vt:variant>
        <vt:lpwstr/>
      </vt:variant>
      <vt:variant>
        <vt:i4>4980819</vt:i4>
      </vt:variant>
      <vt:variant>
        <vt:i4>75</vt:i4>
      </vt:variant>
      <vt:variant>
        <vt:i4>0</vt:i4>
      </vt:variant>
      <vt:variant>
        <vt:i4>5</vt:i4>
      </vt:variant>
      <vt:variant>
        <vt:lpwstr>http://www.nevo.co.il/law/70301/274.2</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4718676</vt:i4>
      </vt:variant>
      <vt:variant>
        <vt:i4>66</vt:i4>
      </vt:variant>
      <vt:variant>
        <vt:i4>0</vt:i4>
      </vt:variant>
      <vt:variant>
        <vt:i4>5</vt:i4>
      </vt:variant>
      <vt:variant>
        <vt:lpwstr>http://www.nevo.co.il/law/70301/332.3</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6750316</vt:i4>
      </vt:variant>
      <vt:variant>
        <vt:i4>51</vt:i4>
      </vt:variant>
      <vt:variant>
        <vt:i4>0</vt:i4>
      </vt:variant>
      <vt:variant>
        <vt:i4>5</vt:i4>
      </vt:variant>
      <vt:variant>
        <vt:lpwstr>http://www.nevo.co.il/law/70301/92</vt:lpwstr>
      </vt:variant>
      <vt:variant>
        <vt:lpwstr/>
      </vt:variant>
      <vt:variant>
        <vt:i4>852034</vt:i4>
      </vt:variant>
      <vt:variant>
        <vt:i4>48</vt:i4>
      </vt:variant>
      <vt:variant>
        <vt:i4>0</vt:i4>
      </vt:variant>
      <vt:variant>
        <vt:i4>5</vt:i4>
      </vt:variant>
      <vt:variant>
        <vt:lpwstr>http://www.nevo.co.il/law/70301/99.a</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4718676</vt:i4>
      </vt:variant>
      <vt:variant>
        <vt:i4>39</vt:i4>
      </vt:variant>
      <vt:variant>
        <vt:i4>0</vt:i4>
      </vt:variant>
      <vt:variant>
        <vt:i4>5</vt:i4>
      </vt:variant>
      <vt:variant>
        <vt:lpwstr>http://www.nevo.co.il/law/70301/332.3</vt:lpwstr>
      </vt:variant>
      <vt:variant>
        <vt:lpwstr/>
      </vt:variant>
      <vt:variant>
        <vt:i4>4980819</vt:i4>
      </vt:variant>
      <vt:variant>
        <vt:i4>36</vt:i4>
      </vt:variant>
      <vt:variant>
        <vt:i4>0</vt:i4>
      </vt:variant>
      <vt:variant>
        <vt:i4>5</vt:i4>
      </vt:variant>
      <vt:variant>
        <vt:lpwstr>http://www.nevo.co.il/law/70301/274.2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852034</vt:i4>
      </vt:variant>
      <vt:variant>
        <vt:i4>30</vt:i4>
      </vt:variant>
      <vt:variant>
        <vt:i4>0</vt:i4>
      </vt:variant>
      <vt:variant>
        <vt:i4>5</vt:i4>
      </vt:variant>
      <vt:variant>
        <vt:lpwstr>http://www.nevo.co.il/law/70301/99.a</vt:lpwstr>
      </vt:variant>
      <vt:variant>
        <vt:lpwstr/>
      </vt:variant>
      <vt:variant>
        <vt:i4>7077996</vt:i4>
      </vt:variant>
      <vt:variant>
        <vt:i4>27</vt:i4>
      </vt:variant>
      <vt:variant>
        <vt:i4>0</vt:i4>
      </vt:variant>
      <vt:variant>
        <vt:i4>5</vt:i4>
      </vt:variant>
      <vt:variant>
        <vt:lpwstr>http://www.nevo.co.il/law/70301/99</vt:lpwstr>
      </vt:variant>
      <vt:variant>
        <vt:lpwstr/>
      </vt:variant>
      <vt:variant>
        <vt:i4>6750316</vt:i4>
      </vt:variant>
      <vt:variant>
        <vt:i4>24</vt:i4>
      </vt:variant>
      <vt:variant>
        <vt:i4>0</vt:i4>
      </vt:variant>
      <vt:variant>
        <vt:i4>5</vt:i4>
      </vt:variant>
      <vt:variant>
        <vt:lpwstr>http://www.nevo.co.il/law/70301/92</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1307</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רישק;איסמאעיל אבו מפלפל</vt:lpwstr>
  </property>
  <property fmtid="{D5CDD505-2E9C-101B-9397-08002B2CF9AE}" pid="10" name="LAWYER">
    <vt:lpwstr>ג'ני אבני ; וסים דכוור; מוסטפא יחיא</vt:lpwstr>
  </property>
  <property fmtid="{D5CDD505-2E9C-101B-9397-08002B2CF9AE}" pid="11" name="JUDGE">
    <vt:lpwstr>צבי סגל;וים בן ציון גרינברגר ; ארנון דראל</vt:lpwstr>
  </property>
  <property fmtid="{D5CDD505-2E9C-101B-9397-08002B2CF9AE}" pid="12" name="CITY">
    <vt:lpwstr>י-ם</vt:lpwstr>
  </property>
  <property fmtid="{D5CDD505-2E9C-101B-9397-08002B2CF9AE}" pid="13" name="DATE">
    <vt:lpwstr>20150419</vt:lpwstr>
  </property>
  <property fmtid="{D5CDD505-2E9C-101B-9397-08002B2CF9AE}" pid="14" name="TYPE_N_DATE">
    <vt:lpwstr>39020150419</vt:lpwstr>
  </property>
  <property fmtid="{D5CDD505-2E9C-101B-9397-08002B2CF9AE}" pid="15" name="WORDNUMPAGES">
    <vt:lpwstr>19</vt:lpwstr>
  </property>
  <property fmtid="{D5CDD505-2E9C-101B-9397-08002B2CF9AE}" pid="16" name="TYPE_ABS_DATE">
    <vt:lpwstr>390020150419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8283505;5573417;5573418;5871272;5857023;5784759;5684362:2;2109802;6235300;6196176;5997536;5701742;5820942</vt:lpwstr>
  </property>
  <property fmtid="{D5CDD505-2E9C-101B-9397-08002B2CF9AE}" pid="36" name="LAWLISTTMP1">
    <vt:lpwstr>70301/099.a:3;092:4;144.b2:3;025:3;031:2;332.3;499.a.1;274.2;40jc;040c.a;099:2;040i;040c.b;040f;040g</vt:lpwstr>
  </property>
</Properties>
</file>