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39029D" w:rsidRPr="00497D15" w14:paraId="6AB041F4" w14:textId="77777777">
        <w:trPr>
          <w:trHeight w:hRule="exact" w:val="418"/>
          <w:jc w:val="center"/>
        </w:trPr>
        <w:tc>
          <w:tcPr>
            <w:tcW w:w="8721" w:type="dxa"/>
            <w:gridSpan w:val="2"/>
          </w:tcPr>
          <w:p w14:paraId="2AC88C04" w14:textId="77777777" w:rsidR="0039029D" w:rsidRPr="00497D15" w:rsidRDefault="00497D15">
            <w:pPr>
              <w:pStyle w:val="a3"/>
              <w:jc w:val="center"/>
              <w:rPr>
                <w:rFonts w:ascii="Tahoma" w:hAnsi="Tahoma" w:cs="Tahoma"/>
                <w:color w:val="000080"/>
                <w:rtl/>
              </w:rPr>
            </w:pPr>
            <w:r w:rsidRPr="00497D15">
              <w:rPr>
                <w:rFonts w:ascii="Tahoma" w:hAnsi="Tahoma" w:cs="Tahoma"/>
                <w:b/>
                <w:bCs/>
                <w:color w:val="000080"/>
                <w:rtl/>
              </w:rPr>
              <w:t>בית המשפט המחוזי בחיפה</w:t>
            </w:r>
          </w:p>
        </w:tc>
      </w:tr>
      <w:tr w:rsidR="0039029D" w:rsidRPr="00497D15" w14:paraId="25367840" w14:textId="77777777">
        <w:trPr>
          <w:trHeight w:val="337"/>
          <w:jc w:val="center"/>
        </w:trPr>
        <w:tc>
          <w:tcPr>
            <w:tcW w:w="5057" w:type="dxa"/>
          </w:tcPr>
          <w:p w14:paraId="06DF18F1" w14:textId="77777777" w:rsidR="0039029D" w:rsidRPr="00497D15" w:rsidRDefault="00497D15">
            <w:pPr>
              <w:rPr>
                <w:rFonts w:cs="FrankRuehl"/>
                <w:sz w:val="28"/>
                <w:szCs w:val="28"/>
                <w:rtl/>
              </w:rPr>
            </w:pPr>
            <w:r w:rsidRPr="00497D15">
              <w:rPr>
                <w:rFonts w:cs="FrankRuehl"/>
                <w:sz w:val="28"/>
                <w:szCs w:val="28"/>
                <w:rtl/>
              </w:rPr>
              <w:t>תפ"ח</w:t>
            </w:r>
            <w:r w:rsidRPr="00497D15">
              <w:rPr>
                <w:rFonts w:cs="FrankRuehl" w:hint="cs"/>
                <w:sz w:val="28"/>
                <w:szCs w:val="28"/>
                <w:rtl/>
              </w:rPr>
              <w:t xml:space="preserve"> </w:t>
            </w:r>
            <w:r w:rsidRPr="00497D15">
              <w:rPr>
                <w:rFonts w:cs="FrankRuehl"/>
                <w:sz w:val="28"/>
                <w:szCs w:val="28"/>
                <w:rtl/>
              </w:rPr>
              <w:t>355-09-13</w:t>
            </w:r>
            <w:r w:rsidRPr="00497D15">
              <w:rPr>
                <w:rFonts w:cs="FrankRuehl" w:hint="cs"/>
                <w:sz w:val="28"/>
                <w:szCs w:val="28"/>
                <w:rtl/>
              </w:rPr>
              <w:t xml:space="preserve"> </w:t>
            </w:r>
            <w:r w:rsidRPr="00497D15">
              <w:rPr>
                <w:rFonts w:cs="FrankRuehl"/>
                <w:sz w:val="28"/>
                <w:szCs w:val="28"/>
                <w:rtl/>
              </w:rPr>
              <w:t>מדינת ישראל נ' בכרי(עציר) ואח'</w:t>
            </w:r>
          </w:p>
          <w:p w14:paraId="37CC8D39" w14:textId="77777777" w:rsidR="0039029D" w:rsidRPr="00497D15" w:rsidRDefault="0039029D">
            <w:pPr>
              <w:pStyle w:val="a3"/>
              <w:rPr>
                <w:rFonts w:cs="FrankRuehl"/>
                <w:sz w:val="28"/>
                <w:szCs w:val="28"/>
                <w:rtl/>
              </w:rPr>
            </w:pPr>
          </w:p>
        </w:tc>
        <w:tc>
          <w:tcPr>
            <w:tcW w:w="3664" w:type="dxa"/>
          </w:tcPr>
          <w:p w14:paraId="3D529BF9" w14:textId="77777777" w:rsidR="0039029D" w:rsidRPr="00497D15" w:rsidRDefault="0039029D">
            <w:pPr>
              <w:pStyle w:val="a3"/>
              <w:jc w:val="right"/>
              <w:rPr>
                <w:rFonts w:cs="FrankRuehl"/>
                <w:sz w:val="28"/>
                <w:szCs w:val="28"/>
                <w:rtl/>
              </w:rPr>
            </w:pPr>
          </w:p>
        </w:tc>
      </w:tr>
    </w:tbl>
    <w:p w14:paraId="35AFEC18" w14:textId="77777777" w:rsidR="0039029D" w:rsidRPr="00497D15" w:rsidRDefault="00497D15">
      <w:pPr>
        <w:pStyle w:val="a3"/>
        <w:rPr>
          <w:rtl/>
        </w:rPr>
      </w:pPr>
      <w:r w:rsidRPr="00497D15">
        <w:rPr>
          <w:rFonts w:hint="cs"/>
          <w:rtl/>
        </w:rPr>
        <w:t xml:space="preserve"> </w:t>
      </w:r>
    </w:p>
    <w:p w14:paraId="39011B14" w14:textId="77777777" w:rsidR="0039029D" w:rsidRPr="00497D15" w:rsidRDefault="0039029D">
      <w:pPr>
        <w:rPr>
          <w:rtl/>
        </w:rPr>
      </w:pPr>
    </w:p>
    <w:tbl>
      <w:tblPr>
        <w:bidiVisual/>
        <w:tblW w:w="8802" w:type="dxa"/>
        <w:tblInd w:w="-28" w:type="dxa"/>
        <w:tblLook w:val="01E0" w:firstRow="1" w:lastRow="1" w:firstColumn="1" w:lastColumn="1" w:noHBand="0" w:noVBand="0"/>
      </w:tblPr>
      <w:tblGrid>
        <w:gridCol w:w="2880"/>
        <w:gridCol w:w="5839"/>
        <w:gridCol w:w="83"/>
      </w:tblGrid>
      <w:tr w:rsidR="0039029D" w:rsidRPr="00497D15" w14:paraId="5C44697A" w14:textId="77777777">
        <w:trPr>
          <w:gridAfter w:val="1"/>
          <w:wAfter w:w="55" w:type="dxa"/>
        </w:trPr>
        <w:tc>
          <w:tcPr>
            <w:tcW w:w="8719" w:type="dxa"/>
            <w:gridSpan w:val="2"/>
          </w:tcPr>
          <w:p w14:paraId="7A78973E" w14:textId="77777777" w:rsidR="0039029D" w:rsidRPr="00497D15" w:rsidRDefault="00497D15">
            <w:pPr>
              <w:spacing w:line="360" w:lineRule="auto"/>
              <w:jc w:val="both"/>
              <w:rPr>
                <w:b/>
                <w:bCs/>
                <w:sz w:val="26"/>
                <w:szCs w:val="26"/>
                <w:rtl/>
              </w:rPr>
            </w:pPr>
            <w:r w:rsidRPr="00497D15">
              <w:rPr>
                <w:rFonts w:hint="cs"/>
                <w:b/>
                <w:bCs/>
                <w:sz w:val="26"/>
                <w:szCs w:val="26"/>
                <w:rtl/>
              </w:rPr>
              <w:t>בפני הרכב כב' הנשיא, השופט יוסף אלרון [אב"ד]</w:t>
            </w:r>
          </w:p>
          <w:p w14:paraId="7F4F2293" w14:textId="77777777" w:rsidR="0039029D" w:rsidRPr="00497D15" w:rsidRDefault="00497D15">
            <w:pPr>
              <w:spacing w:line="360" w:lineRule="auto"/>
              <w:rPr>
                <w:b/>
                <w:bCs/>
                <w:sz w:val="26"/>
                <w:szCs w:val="26"/>
                <w:rtl/>
              </w:rPr>
            </w:pPr>
            <w:r w:rsidRPr="00497D15">
              <w:rPr>
                <w:rFonts w:hint="cs"/>
                <w:b/>
                <w:bCs/>
                <w:sz w:val="26"/>
                <w:szCs w:val="26"/>
                <w:rtl/>
              </w:rPr>
              <w:t>השופטת רבקה פוקס</w:t>
            </w:r>
          </w:p>
          <w:p w14:paraId="19EE67C0" w14:textId="77777777" w:rsidR="0039029D" w:rsidRPr="00497D15" w:rsidRDefault="00497D15">
            <w:pPr>
              <w:spacing w:line="360" w:lineRule="auto"/>
              <w:rPr>
                <w:b/>
                <w:bCs/>
                <w:sz w:val="26"/>
                <w:szCs w:val="26"/>
                <w:rtl/>
              </w:rPr>
            </w:pPr>
            <w:r w:rsidRPr="00497D15">
              <w:rPr>
                <w:rFonts w:hint="cs"/>
                <w:b/>
                <w:bCs/>
                <w:sz w:val="26"/>
                <w:szCs w:val="26"/>
                <w:rtl/>
              </w:rPr>
              <w:t>השופט דניאל פיש</w:t>
            </w:r>
          </w:p>
          <w:p w14:paraId="6A0EFE73" w14:textId="77777777" w:rsidR="0039029D" w:rsidRPr="00497D15" w:rsidRDefault="0039029D">
            <w:pPr>
              <w:spacing w:line="360" w:lineRule="auto"/>
              <w:rPr>
                <w:b/>
                <w:bCs/>
                <w:sz w:val="26"/>
                <w:szCs w:val="26"/>
              </w:rPr>
            </w:pPr>
          </w:p>
        </w:tc>
      </w:tr>
      <w:tr w:rsidR="0039029D" w:rsidRPr="00497D15" w14:paraId="58766B32" w14:textId="77777777">
        <w:tc>
          <w:tcPr>
            <w:tcW w:w="2880" w:type="dxa"/>
          </w:tcPr>
          <w:p w14:paraId="478F5625" w14:textId="77777777" w:rsidR="0039029D" w:rsidRPr="00497D15" w:rsidRDefault="00497D15">
            <w:pPr>
              <w:spacing w:line="360" w:lineRule="auto"/>
              <w:ind w:left="26"/>
              <w:rPr>
                <w:b/>
                <w:bCs/>
                <w:sz w:val="26"/>
                <w:szCs w:val="26"/>
              </w:rPr>
            </w:pPr>
            <w:bookmarkStart w:id="0" w:name="FirstAppellant"/>
            <w:bookmarkStart w:id="1" w:name="LastJudge"/>
            <w:bookmarkEnd w:id="1"/>
            <w:r w:rsidRPr="00497D15">
              <w:rPr>
                <w:rFonts w:hint="cs"/>
                <w:b/>
                <w:bCs/>
                <w:sz w:val="26"/>
                <w:szCs w:val="26"/>
                <w:rtl/>
              </w:rPr>
              <w:t>ה</w:t>
            </w:r>
            <w:r w:rsidRPr="00497D15">
              <w:rPr>
                <w:rFonts w:hint="cs"/>
                <w:rtl/>
              </w:rPr>
              <w:t>מאשימה</w:t>
            </w:r>
          </w:p>
        </w:tc>
        <w:tc>
          <w:tcPr>
            <w:tcW w:w="5922" w:type="dxa"/>
            <w:gridSpan w:val="2"/>
          </w:tcPr>
          <w:p w14:paraId="60E8A7B3" w14:textId="77777777" w:rsidR="0039029D" w:rsidRPr="00497D15" w:rsidRDefault="00497D15">
            <w:pPr>
              <w:spacing w:line="360" w:lineRule="auto"/>
              <w:rPr>
                <w:b/>
                <w:bCs/>
                <w:sz w:val="26"/>
                <w:szCs w:val="26"/>
              </w:rPr>
            </w:pPr>
            <w:r w:rsidRPr="00497D15">
              <w:rPr>
                <w:rFonts w:hint="cs"/>
                <w:rtl/>
              </w:rPr>
              <w:t>מדינת ישראל</w:t>
            </w:r>
          </w:p>
        </w:tc>
      </w:tr>
      <w:bookmarkEnd w:id="0"/>
      <w:tr w:rsidR="0039029D" w:rsidRPr="00497D15" w14:paraId="5F256A24" w14:textId="77777777">
        <w:tc>
          <w:tcPr>
            <w:tcW w:w="8802" w:type="dxa"/>
            <w:gridSpan w:val="3"/>
          </w:tcPr>
          <w:p w14:paraId="51FB4FF4" w14:textId="77777777" w:rsidR="0039029D" w:rsidRPr="00497D15" w:rsidRDefault="0039029D">
            <w:pPr>
              <w:spacing w:line="360" w:lineRule="auto"/>
              <w:jc w:val="center"/>
              <w:rPr>
                <w:rFonts w:ascii="Arial" w:hAnsi="Arial"/>
                <w:b/>
                <w:bCs/>
                <w:sz w:val="26"/>
                <w:szCs w:val="26"/>
                <w:rtl/>
              </w:rPr>
            </w:pPr>
          </w:p>
          <w:p w14:paraId="313727F9" w14:textId="77777777" w:rsidR="0039029D" w:rsidRPr="00497D15" w:rsidRDefault="00497D15">
            <w:pPr>
              <w:spacing w:line="360" w:lineRule="auto"/>
              <w:jc w:val="center"/>
              <w:rPr>
                <w:rFonts w:ascii="Arial" w:hAnsi="Arial"/>
                <w:b/>
                <w:bCs/>
                <w:sz w:val="26"/>
                <w:szCs w:val="26"/>
                <w:rtl/>
              </w:rPr>
            </w:pPr>
            <w:r w:rsidRPr="00497D15">
              <w:rPr>
                <w:rFonts w:ascii="Arial" w:hAnsi="Arial" w:hint="cs"/>
                <w:b/>
                <w:bCs/>
                <w:sz w:val="26"/>
                <w:szCs w:val="26"/>
                <w:rtl/>
              </w:rPr>
              <w:t>נגד</w:t>
            </w:r>
          </w:p>
          <w:p w14:paraId="2C053740" w14:textId="77777777" w:rsidR="0039029D" w:rsidRPr="00497D15" w:rsidRDefault="0039029D">
            <w:pPr>
              <w:spacing w:line="360" w:lineRule="auto"/>
              <w:jc w:val="center"/>
              <w:rPr>
                <w:rFonts w:ascii="Arial" w:hAnsi="Arial"/>
                <w:b/>
                <w:bCs/>
                <w:sz w:val="26"/>
                <w:szCs w:val="26"/>
              </w:rPr>
            </w:pPr>
          </w:p>
        </w:tc>
      </w:tr>
      <w:tr w:rsidR="0039029D" w:rsidRPr="00497D15" w14:paraId="62A11EBA" w14:textId="77777777">
        <w:tc>
          <w:tcPr>
            <w:tcW w:w="2880" w:type="dxa"/>
          </w:tcPr>
          <w:p w14:paraId="3965C364" w14:textId="77777777" w:rsidR="0039029D" w:rsidRPr="00497D15" w:rsidRDefault="00497D15">
            <w:pPr>
              <w:spacing w:line="360" w:lineRule="auto"/>
              <w:ind w:left="26"/>
              <w:rPr>
                <w:b/>
                <w:bCs/>
                <w:sz w:val="26"/>
                <w:szCs w:val="26"/>
              </w:rPr>
            </w:pPr>
            <w:r w:rsidRPr="00497D15">
              <w:rPr>
                <w:rFonts w:hint="cs"/>
                <w:b/>
                <w:bCs/>
                <w:sz w:val="26"/>
                <w:szCs w:val="26"/>
                <w:rtl/>
              </w:rPr>
              <w:t>ה</w:t>
            </w:r>
            <w:r w:rsidRPr="00497D15">
              <w:rPr>
                <w:rFonts w:hint="cs"/>
                <w:rtl/>
              </w:rPr>
              <w:t>נאשמים</w:t>
            </w:r>
          </w:p>
        </w:tc>
        <w:tc>
          <w:tcPr>
            <w:tcW w:w="5922" w:type="dxa"/>
            <w:gridSpan w:val="2"/>
          </w:tcPr>
          <w:p w14:paraId="1005A4C7" w14:textId="77777777" w:rsidR="0039029D" w:rsidRPr="00497D15" w:rsidRDefault="00497D15">
            <w:pPr>
              <w:spacing w:line="360" w:lineRule="auto"/>
              <w:rPr>
                <w:b/>
                <w:bCs/>
                <w:sz w:val="26"/>
                <w:szCs w:val="26"/>
                <w:rtl/>
              </w:rPr>
            </w:pPr>
            <w:r w:rsidRPr="00497D15">
              <w:rPr>
                <w:rFonts w:hint="cs"/>
                <w:b/>
                <w:bCs/>
                <w:sz w:val="26"/>
                <w:szCs w:val="26"/>
                <w:rtl/>
              </w:rPr>
              <w:t>1.  עלי בכרי,  ת"ז 059481655</w:t>
            </w:r>
          </w:p>
          <w:p w14:paraId="438F2AC7" w14:textId="77777777" w:rsidR="0039029D" w:rsidRPr="00497D15" w:rsidRDefault="00497D15">
            <w:pPr>
              <w:spacing w:line="360" w:lineRule="auto"/>
              <w:rPr>
                <w:b/>
                <w:bCs/>
                <w:sz w:val="26"/>
                <w:szCs w:val="26"/>
                <w:rtl/>
              </w:rPr>
            </w:pPr>
            <w:r w:rsidRPr="00497D15">
              <w:rPr>
                <w:rFonts w:hint="cs"/>
                <w:b/>
                <w:bCs/>
                <w:sz w:val="26"/>
                <w:szCs w:val="26"/>
                <w:rtl/>
              </w:rPr>
              <w:t>2.  עבדאללה בכרי,  ת"ז 026415471</w:t>
            </w:r>
          </w:p>
          <w:p w14:paraId="6668EEE1" w14:textId="77777777" w:rsidR="0039029D" w:rsidRPr="00497D15" w:rsidRDefault="00497D15">
            <w:pPr>
              <w:spacing w:line="360" w:lineRule="auto"/>
              <w:rPr>
                <w:b/>
                <w:bCs/>
                <w:sz w:val="26"/>
                <w:szCs w:val="26"/>
              </w:rPr>
            </w:pPr>
            <w:r w:rsidRPr="00497D15">
              <w:rPr>
                <w:rFonts w:hint="cs"/>
                <w:b/>
                <w:bCs/>
                <w:sz w:val="26"/>
                <w:szCs w:val="26"/>
                <w:rtl/>
              </w:rPr>
              <w:t>3.  רג'אב בכרי,  ת"ז 065932915</w:t>
            </w:r>
          </w:p>
        </w:tc>
      </w:tr>
    </w:tbl>
    <w:p w14:paraId="5A24C279" w14:textId="77777777" w:rsidR="008D7CEE" w:rsidRDefault="008D7CEE">
      <w:pPr>
        <w:rPr>
          <w:rtl/>
        </w:rPr>
      </w:pPr>
      <w:bookmarkStart w:id="2" w:name="LawTable"/>
      <w:bookmarkEnd w:id="2"/>
    </w:p>
    <w:p w14:paraId="4F45944B" w14:textId="77777777" w:rsidR="008D7CEE" w:rsidRPr="008D7CEE" w:rsidRDefault="008D7CEE" w:rsidP="008D7CEE">
      <w:pPr>
        <w:spacing w:after="120" w:line="240" w:lineRule="exact"/>
        <w:ind w:left="283" w:hanging="283"/>
        <w:jc w:val="both"/>
        <w:rPr>
          <w:rFonts w:ascii="FrankRuehl" w:hAnsi="FrankRuehl" w:cs="FrankRuehl"/>
          <w:rtl/>
        </w:rPr>
      </w:pPr>
    </w:p>
    <w:p w14:paraId="3B56D025" w14:textId="77777777" w:rsidR="008D7CEE" w:rsidRPr="008D7CEE" w:rsidRDefault="008D7CEE" w:rsidP="008D7CEE">
      <w:pPr>
        <w:spacing w:after="120" w:line="240" w:lineRule="exact"/>
        <w:ind w:left="283" w:hanging="283"/>
        <w:jc w:val="both"/>
        <w:rPr>
          <w:rFonts w:ascii="FrankRuehl" w:hAnsi="FrankRuehl" w:cs="FrankRuehl"/>
          <w:rtl/>
        </w:rPr>
      </w:pPr>
      <w:r w:rsidRPr="008D7CEE">
        <w:rPr>
          <w:rFonts w:ascii="FrankRuehl" w:hAnsi="FrankRuehl" w:cs="FrankRuehl"/>
          <w:rtl/>
        </w:rPr>
        <w:t xml:space="preserve">חקיקה שאוזכרה: </w:t>
      </w:r>
    </w:p>
    <w:p w14:paraId="0C7BFF8D" w14:textId="77777777" w:rsidR="008D7CEE" w:rsidRPr="008D7CEE" w:rsidRDefault="008D7CEE" w:rsidP="008D7CEE">
      <w:pPr>
        <w:spacing w:after="120" w:line="240" w:lineRule="exact"/>
        <w:ind w:left="283" w:hanging="283"/>
        <w:jc w:val="both"/>
        <w:rPr>
          <w:rFonts w:ascii="FrankRuehl" w:hAnsi="FrankRuehl" w:cs="FrankRuehl"/>
          <w:rtl/>
        </w:rPr>
      </w:pPr>
      <w:hyperlink r:id="rId6" w:history="1">
        <w:r w:rsidRPr="008D7CEE">
          <w:rPr>
            <w:rFonts w:ascii="FrankRuehl" w:hAnsi="FrankRuehl" w:cs="FrankRuehl"/>
            <w:color w:val="0000FF"/>
            <w:u w:val="single"/>
            <w:rtl/>
          </w:rPr>
          <w:t>חוק העונשין, תשל"ז-1977</w:t>
        </w:r>
      </w:hyperlink>
      <w:r w:rsidRPr="008D7CEE">
        <w:rPr>
          <w:rFonts w:ascii="FrankRuehl" w:hAnsi="FrankRuehl" w:cs="FrankRuehl"/>
          <w:rtl/>
        </w:rPr>
        <w:t xml:space="preserve">: סע'  </w:t>
      </w:r>
      <w:hyperlink r:id="rId7" w:history="1">
        <w:r w:rsidRPr="008D7CEE">
          <w:rPr>
            <w:rFonts w:ascii="FrankRuehl" w:hAnsi="FrankRuehl" w:cs="FrankRuehl"/>
            <w:color w:val="0000FF"/>
            <w:u w:val="single"/>
            <w:rtl/>
          </w:rPr>
          <w:t>40ט(א)(1)</w:t>
        </w:r>
      </w:hyperlink>
      <w:r w:rsidRPr="008D7CEE">
        <w:rPr>
          <w:rFonts w:ascii="FrankRuehl" w:hAnsi="FrankRuehl" w:cs="FrankRuehl"/>
          <w:rtl/>
        </w:rPr>
        <w:t xml:space="preserve">, </w:t>
      </w:r>
      <w:hyperlink r:id="rId8" w:history="1">
        <w:r w:rsidRPr="008D7CEE">
          <w:rPr>
            <w:rFonts w:ascii="FrankRuehl" w:hAnsi="FrankRuehl" w:cs="FrankRuehl"/>
            <w:color w:val="0000FF"/>
            <w:u w:val="single"/>
            <w:rtl/>
          </w:rPr>
          <w:t>40ט(א)(4)</w:t>
        </w:r>
      </w:hyperlink>
      <w:r w:rsidRPr="008D7CEE">
        <w:rPr>
          <w:rFonts w:ascii="FrankRuehl" w:hAnsi="FrankRuehl" w:cs="FrankRuehl"/>
          <w:rtl/>
        </w:rPr>
        <w:t xml:space="preserve">, </w:t>
      </w:r>
      <w:hyperlink r:id="rId9" w:history="1">
        <w:r w:rsidRPr="008D7CEE">
          <w:rPr>
            <w:rFonts w:ascii="FrankRuehl" w:hAnsi="FrankRuehl" w:cs="FrankRuehl"/>
            <w:color w:val="0000FF"/>
            <w:u w:val="single"/>
            <w:rtl/>
          </w:rPr>
          <w:t>40ט(א)(7)</w:t>
        </w:r>
      </w:hyperlink>
      <w:r w:rsidRPr="008D7CEE">
        <w:rPr>
          <w:rFonts w:ascii="FrankRuehl" w:hAnsi="FrankRuehl" w:cs="FrankRuehl"/>
          <w:rtl/>
        </w:rPr>
        <w:t xml:space="preserve">, </w:t>
      </w:r>
      <w:hyperlink r:id="rId10" w:history="1">
        <w:r w:rsidRPr="008D7CEE">
          <w:rPr>
            <w:rFonts w:ascii="FrankRuehl" w:hAnsi="FrankRuehl" w:cs="FrankRuehl"/>
            <w:color w:val="0000FF"/>
            <w:u w:val="single"/>
            <w:rtl/>
          </w:rPr>
          <w:t>144(א)</w:t>
        </w:r>
      </w:hyperlink>
      <w:r w:rsidRPr="008D7CEE">
        <w:rPr>
          <w:rFonts w:ascii="FrankRuehl" w:hAnsi="FrankRuehl" w:cs="FrankRuehl"/>
          <w:rtl/>
        </w:rPr>
        <w:t xml:space="preserve">, </w:t>
      </w:r>
      <w:hyperlink r:id="rId11" w:history="1">
        <w:r w:rsidRPr="008D7CEE">
          <w:rPr>
            <w:rFonts w:ascii="FrankRuehl" w:hAnsi="FrankRuehl" w:cs="FrankRuehl"/>
            <w:color w:val="0000FF"/>
            <w:u w:val="single"/>
            <w:rtl/>
          </w:rPr>
          <w:t>(ב)</w:t>
        </w:r>
      </w:hyperlink>
      <w:r w:rsidRPr="008D7CEE">
        <w:rPr>
          <w:rFonts w:ascii="FrankRuehl" w:hAnsi="FrankRuehl" w:cs="FrankRuehl"/>
          <w:rtl/>
        </w:rPr>
        <w:t xml:space="preserve">, </w:t>
      </w:r>
      <w:hyperlink r:id="rId12" w:history="1">
        <w:r w:rsidRPr="008D7CEE">
          <w:rPr>
            <w:rFonts w:ascii="FrankRuehl" w:hAnsi="FrankRuehl" w:cs="FrankRuehl"/>
            <w:color w:val="0000FF"/>
            <w:u w:val="single"/>
            <w:rtl/>
          </w:rPr>
          <w:t>262</w:t>
        </w:r>
      </w:hyperlink>
      <w:r w:rsidRPr="008D7CEE">
        <w:rPr>
          <w:rFonts w:ascii="FrankRuehl" w:hAnsi="FrankRuehl" w:cs="FrankRuehl"/>
          <w:rtl/>
        </w:rPr>
        <w:t xml:space="preserve">, </w:t>
      </w:r>
      <w:hyperlink r:id="rId13" w:history="1">
        <w:r w:rsidRPr="008D7CEE">
          <w:rPr>
            <w:rFonts w:ascii="FrankRuehl" w:hAnsi="FrankRuehl" w:cs="FrankRuehl"/>
            <w:color w:val="0000FF"/>
            <w:u w:val="single"/>
            <w:rtl/>
          </w:rPr>
          <w:t>329(א)(1)</w:t>
        </w:r>
      </w:hyperlink>
      <w:r w:rsidRPr="008D7CEE">
        <w:rPr>
          <w:rFonts w:ascii="FrankRuehl" w:hAnsi="FrankRuehl" w:cs="FrankRuehl"/>
          <w:rtl/>
        </w:rPr>
        <w:t xml:space="preserve">, </w:t>
      </w:r>
      <w:hyperlink r:id="rId14" w:history="1">
        <w:r w:rsidRPr="008D7CEE">
          <w:rPr>
            <w:rFonts w:ascii="FrankRuehl" w:hAnsi="FrankRuehl" w:cs="FrankRuehl"/>
            <w:color w:val="0000FF"/>
            <w:u w:val="single"/>
            <w:rtl/>
          </w:rPr>
          <w:t>40יא(1)</w:t>
        </w:r>
      </w:hyperlink>
      <w:r w:rsidRPr="008D7CEE">
        <w:rPr>
          <w:rFonts w:ascii="FrankRuehl" w:hAnsi="FrankRuehl" w:cs="FrankRuehl"/>
          <w:rtl/>
        </w:rPr>
        <w:t xml:space="preserve">, </w:t>
      </w:r>
      <w:hyperlink r:id="rId15" w:history="1">
        <w:r w:rsidRPr="008D7CEE">
          <w:rPr>
            <w:rFonts w:ascii="FrankRuehl" w:hAnsi="FrankRuehl" w:cs="FrankRuehl"/>
            <w:color w:val="0000FF"/>
            <w:u w:val="single"/>
            <w:rtl/>
          </w:rPr>
          <w:t>40יא(11)</w:t>
        </w:r>
      </w:hyperlink>
      <w:r w:rsidRPr="008D7CEE">
        <w:rPr>
          <w:rFonts w:ascii="FrankRuehl" w:hAnsi="FrankRuehl" w:cs="FrankRuehl"/>
          <w:rtl/>
        </w:rPr>
        <w:t xml:space="preserve">, </w:t>
      </w:r>
      <w:hyperlink r:id="rId16" w:history="1">
        <w:r w:rsidRPr="008D7CEE">
          <w:rPr>
            <w:rFonts w:ascii="FrankRuehl" w:hAnsi="FrankRuehl" w:cs="FrankRuehl"/>
            <w:color w:val="0000FF"/>
            <w:u w:val="single"/>
            <w:rtl/>
          </w:rPr>
          <w:t>40יא(2)</w:t>
        </w:r>
      </w:hyperlink>
      <w:r w:rsidRPr="008D7CEE">
        <w:rPr>
          <w:rFonts w:ascii="FrankRuehl" w:hAnsi="FrankRuehl" w:cs="FrankRuehl"/>
          <w:rtl/>
        </w:rPr>
        <w:t xml:space="preserve">, </w:t>
      </w:r>
      <w:hyperlink r:id="rId17" w:history="1">
        <w:r w:rsidRPr="008D7CEE">
          <w:rPr>
            <w:rFonts w:ascii="FrankRuehl" w:hAnsi="FrankRuehl" w:cs="FrankRuehl"/>
            <w:color w:val="0000FF"/>
            <w:u w:val="single"/>
            <w:rtl/>
          </w:rPr>
          <w:t>40יא(4)</w:t>
        </w:r>
      </w:hyperlink>
    </w:p>
    <w:p w14:paraId="0C076B1D" w14:textId="77777777" w:rsidR="008D7CEE" w:rsidRPr="008D7CEE" w:rsidRDefault="008D7CEE" w:rsidP="008D7CEE">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9029D" w14:paraId="4A4AC808" w14:textId="77777777">
        <w:trPr>
          <w:trHeight w:val="355"/>
          <w:jc w:val="center"/>
        </w:trPr>
        <w:tc>
          <w:tcPr>
            <w:tcW w:w="8820" w:type="dxa"/>
            <w:tcBorders>
              <w:top w:val="nil"/>
              <w:left w:val="nil"/>
              <w:bottom w:val="nil"/>
              <w:right w:val="nil"/>
            </w:tcBorders>
          </w:tcPr>
          <w:p w14:paraId="13A4F56E" w14:textId="77777777" w:rsidR="00497D15" w:rsidRPr="00497D15" w:rsidRDefault="00497D15" w:rsidP="00497D15">
            <w:pPr>
              <w:spacing w:line="360" w:lineRule="auto"/>
              <w:jc w:val="center"/>
              <w:rPr>
                <w:rFonts w:ascii="Arial" w:hAnsi="Arial"/>
                <w:b/>
                <w:bCs/>
                <w:sz w:val="32"/>
                <w:szCs w:val="32"/>
                <w:u w:val="single"/>
                <w:rtl/>
              </w:rPr>
            </w:pPr>
            <w:bookmarkStart w:id="3" w:name="LawTable_End"/>
            <w:bookmarkStart w:id="4" w:name="PsakDin" w:colFirst="0" w:colLast="0"/>
            <w:bookmarkEnd w:id="3"/>
            <w:r w:rsidRPr="00497D15">
              <w:rPr>
                <w:rFonts w:ascii="Arial" w:hAnsi="Arial"/>
                <w:b/>
                <w:bCs/>
                <w:sz w:val="32"/>
                <w:szCs w:val="32"/>
                <w:u w:val="single"/>
                <w:rtl/>
              </w:rPr>
              <w:t>גזר דין</w:t>
            </w:r>
          </w:p>
          <w:p w14:paraId="3A6831C9" w14:textId="77777777" w:rsidR="0039029D" w:rsidRPr="00497D15" w:rsidRDefault="0039029D" w:rsidP="00497D15">
            <w:pPr>
              <w:spacing w:line="360" w:lineRule="auto"/>
              <w:jc w:val="center"/>
              <w:rPr>
                <w:rFonts w:ascii="Arial" w:hAnsi="Arial"/>
                <w:bCs/>
                <w:sz w:val="32"/>
                <w:szCs w:val="32"/>
                <w:u w:val="single"/>
                <w:rtl/>
              </w:rPr>
            </w:pPr>
          </w:p>
        </w:tc>
      </w:tr>
      <w:bookmarkEnd w:id="4"/>
    </w:tbl>
    <w:p w14:paraId="31E8B6D8" w14:textId="77777777" w:rsidR="0039029D" w:rsidRDefault="0039029D">
      <w:pPr>
        <w:suppressLineNumbers/>
        <w:spacing w:line="360" w:lineRule="auto"/>
        <w:ind w:left="720" w:hanging="720"/>
        <w:jc w:val="both"/>
        <w:rPr>
          <w:b/>
          <w:bCs/>
          <w:rtl/>
        </w:rPr>
      </w:pPr>
    </w:p>
    <w:p w14:paraId="47BB5170" w14:textId="77777777" w:rsidR="0039029D" w:rsidRDefault="00497D15">
      <w:pPr>
        <w:suppressLineNumbers/>
        <w:spacing w:line="360" w:lineRule="auto"/>
        <w:ind w:left="720" w:hanging="720"/>
        <w:jc w:val="both"/>
        <w:rPr>
          <w:b/>
          <w:bCs/>
          <w:rtl/>
        </w:rPr>
      </w:pPr>
      <w:r>
        <w:rPr>
          <w:b/>
          <w:bCs/>
          <w:rtl/>
        </w:rPr>
        <w:t>א.</w:t>
      </w:r>
      <w:r>
        <w:rPr>
          <w:b/>
          <w:bCs/>
          <w:rtl/>
        </w:rPr>
        <w:tab/>
        <w:t>מבוא:</w:t>
      </w:r>
    </w:p>
    <w:p w14:paraId="78300EC6" w14:textId="77777777" w:rsidR="0039029D" w:rsidRDefault="0039029D">
      <w:pPr>
        <w:suppressLineNumbers/>
        <w:spacing w:line="360" w:lineRule="auto"/>
        <w:ind w:left="720" w:hanging="720"/>
        <w:jc w:val="both"/>
        <w:rPr>
          <w:rtl/>
        </w:rPr>
      </w:pPr>
    </w:p>
    <w:p w14:paraId="66B3C102" w14:textId="77777777" w:rsidR="0039029D" w:rsidRDefault="00497D15">
      <w:pPr>
        <w:suppressLineNumbers/>
        <w:spacing w:line="360" w:lineRule="auto"/>
        <w:jc w:val="both"/>
        <w:rPr>
          <w:rtl/>
        </w:rPr>
      </w:pPr>
      <w:r>
        <w:rPr>
          <w:rtl/>
        </w:rPr>
        <w:t xml:space="preserve">הנאשמים הורשעו על פי הודאתם במסגרת הסדר טיעון בעבירות שיוחסו להם בכתב האישום המתוקן (להלן: </w:t>
      </w:r>
      <w:r>
        <w:rPr>
          <w:rFonts w:cs="Miriam"/>
          <w:rtl/>
        </w:rPr>
        <w:t>"כתב האישום"</w:t>
      </w:r>
      <w:r>
        <w:rPr>
          <w:rtl/>
        </w:rPr>
        <w:t xml:space="preserve">). </w:t>
      </w:r>
    </w:p>
    <w:p w14:paraId="190045F7" w14:textId="77777777" w:rsidR="0039029D" w:rsidRDefault="0039029D">
      <w:pPr>
        <w:suppressLineNumbers/>
        <w:spacing w:line="360" w:lineRule="auto"/>
        <w:ind w:left="720" w:hanging="720"/>
        <w:jc w:val="both"/>
        <w:rPr>
          <w:rtl/>
        </w:rPr>
      </w:pPr>
    </w:p>
    <w:p w14:paraId="3A88DF36" w14:textId="77777777" w:rsidR="0039029D" w:rsidRDefault="00497D15">
      <w:pPr>
        <w:suppressLineNumbers/>
        <w:spacing w:line="360" w:lineRule="auto"/>
        <w:jc w:val="both"/>
        <w:rPr>
          <w:rtl/>
        </w:rPr>
      </w:pPr>
      <w:r>
        <w:rPr>
          <w:rtl/>
        </w:rPr>
        <w:t xml:space="preserve">במסגרת הסדר הטיעון, הנאשם 1 הורשע בעבירה לפי </w:t>
      </w:r>
      <w:hyperlink r:id="rId18" w:history="1">
        <w:r w:rsidR="008D7CEE" w:rsidRPr="008D7CEE">
          <w:rPr>
            <w:color w:val="0000FF"/>
            <w:u w:val="single"/>
            <w:rtl/>
          </w:rPr>
          <w:t>סעיף 329(א)(1)</w:t>
        </w:r>
      </w:hyperlink>
      <w:r>
        <w:rPr>
          <w:rtl/>
        </w:rPr>
        <w:t xml:space="preserve">, </w:t>
      </w:r>
      <w:hyperlink r:id="rId19" w:history="1">
        <w:r w:rsidR="008D7CEE" w:rsidRPr="008D7CEE">
          <w:rPr>
            <w:color w:val="0000FF"/>
            <w:u w:val="single"/>
            <w:rtl/>
          </w:rPr>
          <w:t>144(א)</w:t>
        </w:r>
      </w:hyperlink>
      <w:r>
        <w:rPr>
          <w:rtl/>
        </w:rPr>
        <w:t xml:space="preserve"> + </w:t>
      </w:r>
      <w:hyperlink r:id="rId20" w:history="1">
        <w:r w:rsidR="008D7CEE" w:rsidRPr="008D7CEE">
          <w:rPr>
            <w:color w:val="0000FF"/>
            <w:u w:val="single"/>
            <w:rtl/>
          </w:rPr>
          <w:t>(ב)</w:t>
        </w:r>
      </w:hyperlink>
      <w:r>
        <w:rPr>
          <w:rtl/>
        </w:rPr>
        <w:t xml:space="preserve"> ל</w:t>
      </w:r>
      <w:hyperlink r:id="rId21" w:history="1">
        <w:r w:rsidRPr="00497D15">
          <w:rPr>
            <w:color w:val="0000FF"/>
            <w:u w:val="single"/>
            <w:rtl/>
          </w:rPr>
          <w:t>חוק העונשין</w:t>
        </w:r>
      </w:hyperlink>
      <w:r>
        <w:rPr>
          <w:rtl/>
        </w:rPr>
        <w:t xml:space="preserve"> התשל"ז-1977 (להלן: </w:t>
      </w:r>
      <w:r>
        <w:rPr>
          <w:rFonts w:cs="Miriam"/>
          <w:rtl/>
        </w:rPr>
        <w:t>"חוק העונשין"</w:t>
      </w:r>
      <w:r>
        <w:rPr>
          <w:rtl/>
        </w:rPr>
        <w:t xml:space="preserve">), קרי, חבלה בכוונה מחמירה ונשיאת נשק והחזקתו שלא כדין. </w:t>
      </w:r>
    </w:p>
    <w:p w14:paraId="2FE7E339" w14:textId="77777777" w:rsidR="0039029D" w:rsidRDefault="0039029D">
      <w:pPr>
        <w:suppressLineNumbers/>
        <w:spacing w:line="360" w:lineRule="auto"/>
        <w:ind w:left="720" w:hanging="720"/>
        <w:jc w:val="both"/>
        <w:rPr>
          <w:rtl/>
        </w:rPr>
      </w:pPr>
    </w:p>
    <w:p w14:paraId="6E04DBEB" w14:textId="77777777" w:rsidR="0039029D" w:rsidRDefault="00497D15">
      <w:pPr>
        <w:suppressLineNumbers/>
        <w:spacing w:line="360" w:lineRule="auto"/>
        <w:ind w:left="720" w:hanging="720"/>
        <w:jc w:val="both"/>
        <w:rPr>
          <w:rtl/>
        </w:rPr>
      </w:pPr>
      <w:bookmarkStart w:id="5" w:name="ABSTRACT_START"/>
      <w:bookmarkEnd w:id="5"/>
      <w:r>
        <w:rPr>
          <w:rtl/>
        </w:rPr>
        <w:t xml:space="preserve">הנאשמים 2 ו-3 הורשעו בעבירה לפי </w:t>
      </w:r>
      <w:hyperlink r:id="rId22" w:history="1">
        <w:r w:rsidR="008D7CEE" w:rsidRPr="008D7CEE">
          <w:rPr>
            <w:color w:val="0000FF"/>
            <w:u w:val="single"/>
            <w:rtl/>
          </w:rPr>
          <w:t>סעיף 262</w:t>
        </w:r>
      </w:hyperlink>
      <w:r>
        <w:rPr>
          <w:rtl/>
        </w:rPr>
        <w:t xml:space="preserve"> ל</w:t>
      </w:r>
      <w:hyperlink r:id="rId23" w:history="1">
        <w:r w:rsidRPr="00497D15">
          <w:rPr>
            <w:color w:val="0000FF"/>
            <w:u w:val="single"/>
            <w:rtl/>
          </w:rPr>
          <w:t>חוק העונשין</w:t>
        </w:r>
      </w:hyperlink>
      <w:r>
        <w:rPr>
          <w:rtl/>
        </w:rPr>
        <w:t xml:space="preserve">, דהיינו אי מניעת פשע. </w:t>
      </w:r>
    </w:p>
    <w:p w14:paraId="4B75BAE2" w14:textId="77777777" w:rsidR="0039029D" w:rsidRDefault="0039029D">
      <w:pPr>
        <w:suppressLineNumbers/>
        <w:spacing w:line="360" w:lineRule="auto"/>
        <w:ind w:left="720" w:hanging="720"/>
        <w:jc w:val="both"/>
        <w:rPr>
          <w:rtl/>
        </w:rPr>
      </w:pPr>
      <w:bookmarkStart w:id="6" w:name="ABSTRACT_END"/>
      <w:bookmarkEnd w:id="6"/>
    </w:p>
    <w:p w14:paraId="7E8F5B52" w14:textId="77777777" w:rsidR="0039029D" w:rsidRDefault="00497D15">
      <w:pPr>
        <w:suppressLineNumbers/>
        <w:spacing w:line="360" w:lineRule="auto"/>
        <w:jc w:val="both"/>
        <w:rPr>
          <w:rtl/>
        </w:rPr>
      </w:pPr>
      <w:r>
        <w:rPr>
          <w:rtl/>
        </w:rPr>
        <w:t>הסדר הטיעון כלל מסגרת עונשית בעניינם של הנאשמים 2 ו- 3 ולפיה, ייגזר עליהם עונש מאסר בפועל של 6 חודשים שירוצו בדרך של עבודות שירות בכפוף לחוות דעת חיובית של הממונה על עבודות שירות, וכן פיצוי ומאסר על תנאי לשיקול דעת בית המשפט.</w:t>
      </w:r>
    </w:p>
    <w:p w14:paraId="5CAF5638" w14:textId="77777777" w:rsidR="0039029D" w:rsidRDefault="0039029D">
      <w:pPr>
        <w:suppressLineNumbers/>
        <w:spacing w:line="360" w:lineRule="auto"/>
        <w:jc w:val="both"/>
        <w:rPr>
          <w:rtl/>
        </w:rPr>
      </w:pPr>
    </w:p>
    <w:p w14:paraId="4D8B7EE1" w14:textId="77777777" w:rsidR="0039029D" w:rsidRDefault="00497D15">
      <w:pPr>
        <w:suppressLineNumbers/>
        <w:spacing w:line="360" w:lineRule="auto"/>
        <w:jc w:val="both"/>
        <w:rPr>
          <w:rtl/>
        </w:rPr>
      </w:pPr>
      <w:r>
        <w:rPr>
          <w:rtl/>
        </w:rPr>
        <w:t xml:space="preserve">בעניינו של הנאשם 1 סוכם בין באי כח הצדדים כי הצדדים יטענו באופן חופשי. </w:t>
      </w:r>
    </w:p>
    <w:p w14:paraId="7B8F6416" w14:textId="77777777" w:rsidR="0039029D" w:rsidRDefault="0039029D">
      <w:pPr>
        <w:suppressLineNumbers/>
        <w:spacing w:line="360" w:lineRule="auto"/>
        <w:ind w:left="720" w:hanging="720"/>
        <w:jc w:val="both"/>
        <w:rPr>
          <w:rtl/>
        </w:rPr>
      </w:pPr>
    </w:p>
    <w:p w14:paraId="46FFA4D7" w14:textId="77777777" w:rsidR="0039029D" w:rsidRDefault="00497D15">
      <w:pPr>
        <w:suppressLineNumbers/>
        <w:spacing w:line="360" w:lineRule="auto"/>
        <w:jc w:val="both"/>
        <w:rPr>
          <w:rtl/>
        </w:rPr>
      </w:pPr>
      <w:r>
        <w:rPr>
          <w:rtl/>
        </w:rPr>
        <w:t xml:space="preserve">כמו כן הוצהר על ידי ב"כ המאשימה כי הסדר הטיעון כמפורט לעיל, הינו על דעתו ובהסכמתו של המתלונן. </w:t>
      </w:r>
    </w:p>
    <w:p w14:paraId="5863A7E4" w14:textId="77777777" w:rsidR="0039029D" w:rsidRDefault="0039029D">
      <w:pPr>
        <w:suppressLineNumbers/>
        <w:spacing w:line="360" w:lineRule="auto"/>
        <w:ind w:left="720" w:hanging="720"/>
        <w:jc w:val="both"/>
        <w:rPr>
          <w:rtl/>
        </w:rPr>
      </w:pPr>
    </w:p>
    <w:p w14:paraId="022CC33A" w14:textId="77777777" w:rsidR="0039029D" w:rsidRDefault="00497D15">
      <w:pPr>
        <w:suppressLineNumbers/>
        <w:spacing w:line="360" w:lineRule="auto"/>
        <w:ind w:left="720" w:hanging="720"/>
        <w:jc w:val="both"/>
        <w:rPr>
          <w:b/>
          <w:bCs/>
          <w:rtl/>
        </w:rPr>
      </w:pPr>
      <w:r>
        <w:rPr>
          <w:b/>
          <w:bCs/>
          <w:rtl/>
        </w:rPr>
        <w:t>ב.</w:t>
      </w:r>
      <w:r>
        <w:rPr>
          <w:b/>
          <w:bCs/>
          <w:rtl/>
        </w:rPr>
        <w:tab/>
        <w:t>עובדות כתב האישום:</w:t>
      </w:r>
    </w:p>
    <w:p w14:paraId="0A4A430B" w14:textId="77777777" w:rsidR="0039029D" w:rsidRDefault="0039029D">
      <w:pPr>
        <w:suppressLineNumbers/>
        <w:spacing w:line="360" w:lineRule="auto"/>
        <w:ind w:left="720" w:hanging="720"/>
        <w:jc w:val="both"/>
        <w:rPr>
          <w:rtl/>
        </w:rPr>
      </w:pPr>
    </w:p>
    <w:p w14:paraId="5DFAAE99" w14:textId="77777777" w:rsidR="0039029D" w:rsidRDefault="00497D15">
      <w:pPr>
        <w:suppressLineNumbers/>
        <w:spacing w:line="360" w:lineRule="auto"/>
        <w:jc w:val="both"/>
        <w:rPr>
          <w:rtl/>
        </w:rPr>
      </w:pPr>
      <w:r>
        <w:rPr>
          <w:rtl/>
        </w:rPr>
        <w:t>בכתב האישום צויין כי הנאשמים, שהינם אחים, וכן המתלונן מתגוררים בכפר בענה. בין משפחת המתלונן לבין משפחת הנאשמים קיים סכסוך קודם על רקע בעלות בחלקת קרקע בכפר.</w:t>
      </w:r>
    </w:p>
    <w:p w14:paraId="75091DDA" w14:textId="77777777" w:rsidR="0039029D" w:rsidRDefault="0039029D">
      <w:pPr>
        <w:suppressLineNumbers/>
        <w:spacing w:line="360" w:lineRule="auto"/>
        <w:jc w:val="both"/>
        <w:rPr>
          <w:rtl/>
        </w:rPr>
      </w:pPr>
    </w:p>
    <w:p w14:paraId="79CB35E5" w14:textId="77777777" w:rsidR="0039029D" w:rsidRDefault="00497D15">
      <w:pPr>
        <w:suppressLineNumbers/>
        <w:spacing w:line="360" w:lineRule="auto"/>
        <w:jc w:val="both"/>
        <w:rPr>
          <w:rtl/>
        </w:rPr>
      </w:pPr>
      <w:r>
        <w:rPr>
          <w:rtl/>
        </w:rPr>
        <w:t xml:space="preserve">בשל הסכסוך האמור ביום </w:t>
      </w:r>
      <w:r>
        <w:rPr>
          <w:rFonts w:hint="cs"/>
          <w:rtl/>
        </w:rPr>
        <w:t>02/10/11</w:t>
      </w:r>
      <w:r>
        <w:rPr>
          <w:rtl/>
        </w:rPr>
        <w:t xml:space="preserve">, אחדים מבני משפחת המתלונן תקפו את הנאשמים 1 ו- 2 וכן בן משפחה נוסף, ופצעו אותם. במהלך האירוע האמור הנאשם 1 נורה ברגלו על ידי אחיו של המתלונן. </w:t>
      </w:r>
    </w:p>
    <w:p w14:paraId="03DF7C38" w14:textId="77777777" w:rsidR="0039029D" w:rsidRDefault="0039029D">
      <w:pPr>
        <w:suppressLineNumbers/>
        <w:spacing w:line="360" w:lineRule="auto"/>
        <w:ind w:left="720" w:hanging="720"/>
        <w:jc w:val="both"/>
        <w:rPr>
          <w:rtl/>
        </w:rPr>
      </w:pPr>
    </w:p>
    <w:p w14:paraId="2FAD24B8" w14:textId="77777777" w:rsidR="0039029D" w:rsidRDefault="00497D15">
      <w:pPr>
        <w:suppressLineNumbers/>
        <w:spacing w:line="360" w:lineRule="auto"/>
        <w:jc w:val="both"/>
        <w:rPr>
          <w:rtl/>
        </w:rPr>
      </w:pPr>
      <w:r>
        <w:rPr>
          <w:rtl/>
        </w:rPr>
        <w:t xml:space="preserve">בהמשך לאמור לעיל, ביום </w:t>
      </w:r>
      <w:r>
        <w:rPr>
          <w:rFonts w:hint="cs"/>
          <w:rtl/>
        </w:rPr>
        <w:t>16/08/13</w:t>
      </w:r>
      <w:r>
        <w:rPr>
          <w:rtl/>
        </w:rPr>
        <w:t xml:space="preserve">, בסמוך לשעה 00:10 בכפר, כאשר המתלונן עמד מחוץ לביתו והוציא ממכוניתו שקיות שהכילו סחורה שרכש ולצידו עמדה בתו, ילידת 2009, הגיעו הנאשמים במכוניתו של הנאשם 1 בסמוך לבית מגורי המתלונן ועצרו את הרכב במרחק של כ- </w:t>
      </w:r>
      <w:smartTag w:uri="urn:schemas-microsoft-com:office:smarttags" w:element="metricconverter">
        <w:smartTagPr>
          <w:attr w:name="ProductID" w:val="30 מ'"/>
        </w:smartTagPr>
        <w:r>
          <w:rPr>
            <w:rtl/>
          </w:rPr>
          <w:t>30 מ'</w:t>
        </w:r>
      </w:smartTag>
      <w:r>
        <w:rPr>
          <w:rtl/>
        </w:rPr>
        <w:t xml:space="preserve"> ממנו. </w:t>
      </w:r>
    </w:p>
    <w:p w14:paraId="20667F69" w14:textId="77777777" w:rsidR="0039029D" w:rsidRDefault="0039029D">
      <w:pPr>
        <w:suppressLineNumbers/>
        <w:spacing w:line="360" w:lineRule="auto"/>
        <w:jc w:val="both"/>
        <w:rPr>
          <w:rtl/>
        </w:rPr>
      </w:pPr>
    </w:p>
    <w:p w14:paraId="1732AD73" w14:textId="77777777" w:rsidR="0039029D" w:rsidRDefault="00497D15">
      <w:pPr>
        <w:suppressLineNumbers/>
        <w:spacing w:line="360" w:lineRule="auto"/>
        <w:jc w:val="both"/>
        <w:rPr>
          <w:rtl/>
        </w:rPr>
      </w:pPr>
      <w:r>
        <w:rPr>
          <w:rtl/>
        </w:rPr>
        <w:t xml:space="preserve">הנאשמים יצאו יחד מהרכב, כאשר הנאשם 1 חמוש ברובה אמ-16, שהוחזק על ידו ללא רשות כדין, התקרב למתלונן וירה לעברו בכוונה להטיל בו נכות או מום או לגרום לו לחבלה חמורה וכן ירה מספר כדורים נוספים לעבר מתחם הבית. סך הכל ירה הנאשם לעבר המתלונן והמתחם, 25 כדורים. </w:t>
      </w:r>
    </w:p>
    <w:p w14:paraId="0E34C123" w14:textId="77777777" w:rsidR="0039029D" w:rsidRDefault="0039029D">
      <w:pPr>
        <w:suppressLineNumbers/>
        <w:spacing w:line="360" w:lineRule="auto"/>
        <w:jc w:val="both"/>
        <w:rPr>
          <w:rtl/>
        </w:rPr>
      </w:pPr>
    </w:p>
    <w:p w14:paraId="18E22393" w14:textId="77777777" w:rsidR="0039029D" w:rsidRDefault="00497D15">
      <w:pPr>
        <w:suppressLineNumbers/>
        <w:spacing w:line="360" w:lineRule="auto"/>
        <w:jc w:val="both"/>
        <w:rPr>
          <w:rtl/>
        </w:rPr>
      </w:pPr>
      <w:r>
        <w:rPr>
          <w:rtl/>
        </w:rPr>
        <w:t xml:space="preserve">כמו כן צויין בכתב האישום, כי הנאשמים 2 ו- 3 שידעו כי הנאשם 1 זומם לפגוע במתלונן באמצעות רובה, לא נקטו בכל האמצעים הסבירים כדי למנוע זאת ממנו. </w:t>
      </w:r>
    </w:p>
    <w:p w14:paraId="367B794C" w14:textId="77777777" w:rsidR="0039029D" w:rsidRDefault="0039029D">
      <w:pPr>
        <w:suppressLineNumbers/>
        <w:spacing w:line="360" w:lineRule="auto"/>
        <w:jc w:val="both"/>
        <w:rPr>
          <w:rtl/>
        </w:rPr>
      </w:pPr>
    </w:p>
    <w:p w14:paraId="39E9299C" w14:textId="77777777" w:rsidR="0039029D" w:rsidRDefault="00497D15">
      <w:pPr>
        <w:suppressLineNumbers/>
        <w:spacing w:line="360" w:lineRule="auto"/>
        <w:jc w:val="both"/>
        <w:rPr>
          <w:rtl/>
        </w:rPr>
      </w:pPr>
      <w:r>
        <w:rPr>
          <w:rtl/>
        </w:rPr>
        <w:t xml:space="preserve">כתוצאה מהירי, נפגע המתלונן באמתו הימנית, בירך ובשוק השמאליים, הובהל לבית חולים, נותח ואושפז למעלה משבועיים ימים. </w:t>
      </w:r>
    </w:p>
    <w:p w14:paraId="40EE06B6" w14:textId="77777777" w:rsidR="0039029D" w:rsidRDefault="0039029D">
      <w:pPr>
        <w:suppressLineNumbers/>
        <w:spacing w:line="360" w:lineRule="auto"/>
        <w:ind w:left="720" w:hanging="720"/>
        <w:jc w:val="both"/>
        <w:rPr>
          <w:rtl/>
        </w:rPr>
      </w:pPr>
    </w:p>
    <w:p w14:paraId="06844113" w14:textId="77777777" w:rsidR="0039029D" w:rsidRDefault="00497D15">
      <w:pPr>
        <w:suppressLineNumbers/>
        <w:spacing w:line="360" w:lineRule="auto"/>
        <w:ind w:left="720" w:hanging="720"/>
        <w:jc w:val="both"/>
        <w:rPr>
          <w:b/>
          <w:bCs/>
          <w:rtl/>
        </w:rPr>
      </w:pPr>
      <w:r>
        <w:rPr>
          <w:rtl/>
        </w:rPr>
        <w:t xml:space="preserve">ג. </w:t>
      </w:r>
      <w:r>
        <w:rPr>
          <w:rtl/>
        </w:rPr>
        <w:tab/>
      </w:r>
      <w:r>
        <w:rPr>
          <w:b/>
          <w:bCs/>
          <w:rtl/>
        </w:rPr>
        <w:t>טיעוני באת כח המאשימה לעונש:</w:t>
      </w:r>
    </w:p>
    <w:p w14:paraId="1AC117EC" w14:textId="77777777" w:rsidR="0039029D" w:rsidRDefault="0039029D">
      <w:pPr>
        <w:suppressLineNumbers/>
        <w:spacing w:line="360" w:lineRule="auto"/>
        <w:ind w:left="720" w:hanging="720"/>
        <w:jc w:val="both"/>
        <w:rPr>
          <w:b/>
          <w:bCs/>
          <w:u w:val="single"/>
          <w:rtl/>
        </w:rPr>
      </w:pPr>
    </w:p>
    <w:p w14:paraId="7CBF7E0A" w14:textId="77777777" w:rsidR="0039029D" w:rsidRDefault="00497D15">
      <w:pPr>
        <w:suppressLineNumbers/>
        <w:spacing w:line="360" w:lineRule="auto"/>
        <w:jc w:val="both"/>
        <w:rPr>
          <w:rtl/>
        </w:rPr>
      </w:pPr>
      <w:r>
        <w:rPr>
          <w:rtl/>
        </w:rPr>
        <w:lastRenderedPageBreak/>
        <w:t xml:space="preserve">באת כח המאשימה בפתח טיעוניה לעונש, הניחה בפנינו את גיליון הרישום הפלילי של כל אחד מהנאשמים (ט/1 - ט/3), ולפיהם: לחובתו של נאשם 1 שמונה הרשעות קודמות בין השנים 1987 עד 2009 בעבירות שונות לרבות עבירות אלימות ורכוש, כשבהרשעה אחרונה מיום 12.2.09 נדון נאשם 1 לתקופת מאסר של 16 חודשים בפועל בגין הצתה של מבנה במזיד; לנאשם 2 שלוש הרשעות קודמות בין השנים 1998 עד 2011 בעבירות אלימות וסמים; לנאשם 3 שתי הרשעות קודמות בין השנים 2007 עד 2010 בעבירות נשק והיעדרות משירות צבאי. </w:t>
      </w:r>
    </w:p>
    <w:p w14:paraId="59534682" w14:textId="77777777" w:rsidR="0039029D" w:rsidRDefault="00497D15">
      <w:pPr>
        <w:suppressLineNumbers/>
        <w:spacing w:line="360" w:lineRule="auto"/>
        <w:jc w:val="both"/>
        <w:rPr>
          <w:rtl/>
        </w:rPr>
      </w:pPr>
      <w:r>
        <w:rPr>
          <w:rtl/>
        </w:rPr>
        <w:t xml:space="preserve">בנוסף לכך, הגישה באת כח המאשימה הצהרת נפגע של המתלונן (ט/4), במסגרתה טען כי נפגע בצורה קשה מן האירוע, בגוף, בנפש ובאופן כלכלי, כאשר קודם לכן היה בריא. כמו כן הוגש מסמך סיכום מידע רפואי – ט/5, בנוגע לפציעה בעקבות הירי וכן אישור קצבת נכות שניתנה מיום </w:t>
      </w:r>
      <w:r>
        <w:rPr>
          <w:rFonts w:hint="cs"/>
          <w:rtl/>
        </w:rPr>
        <w:t>01/04/14</w:t>
      </w:r>
      <w:r>
        <w:rPr>
          <w:rtl/>
        </w:rPr>
        <w:t xml:space="preserve"> עד יום </w:t>
      </w:r>
      <w:r>
        <w:rPr>
          <w:rFonts w:hint="cs"/>
          <w:rtl/>
        </w:rPr>
        <w:t>31/12/14</w:t>
      </w:r>
      <w:r>
        <w:rPr>
          <w:rtl/>
        </w:rPr>
        <w:t xml:space="preserve"> לפי דרגת נכות רפואית משוקללת בשיעור של 57% ואי כושר בשיעור של 100%. הוגשו גם דפי חשבון של המתלונן המצביעים על קשיים כלכליים (ט/7). </w:t>
      </w:r>
    </w:p>
    <w:p w14:paraId="6AC4D33F" w14:textId="77777777" w:rsidR="0039029D" w:rsidRDefault="0039029D">
      <w:pPr>
        <w:suppressLineNumbers/>
        <w:spacing w:line="360" w:lineRule="auto"/>
        <w:jc w:val="both"/>
        <w:rPr>
          <w:rtl/>
        </w:rPr>
      </w:pPr>
    </w:p>
    <w:p w14:paraId="1BE918EA" w14:textId="77777777" w:rsidR="0039029D" w:rsidRDefault="00497D15">
      <w:pPr>
        <w:suppressLineNumbers/>
        <w:spacing w:line="360" w:lineRule="auto"/>
        <w:jc w:val="both"/>
        <w:rPr>
          <w:rtl/>
        </w:rPr>
      </w:pPr>
      <w:r>
        <w:rPr>
          <w:rtl/>
        </w:rPr>
        <w:t>עוד טענה באת כח המאשימה כי הערכים החברתיים שנפגעו במקרה דנן עניינם בשמירה על גופו ובטחונו של אדם וכי מדיניות הענישה במקרים דומים לעבירות בהן הורשע הנאשם 1, מחייבת להשית עליו עונש מאסר משמעותי.</w:t>
      </w:r>
    </w:p>
    <w:p w14:paraId="586D9AC1" w14:textId="77777777" w:rsidR="0039029D" w:rsidRDefault="0039029D">
      <w:pPr>
        <w:suppressLineNumbers/>
        <w:spacing w:line="360" w:lineRule="auto"/>
        <w:jc w:val="both"/>
        <w:rPr>
          <w:rtl/>
        </w:rPr>
      </w:pPr>
    </w:p>
    <w:p w14:paraId="7FD6BE78" w14:textId="77777777" w:rsidR="0039029D" w:rsidRDefault="00497D15">
      <w:pPr>
        <w:suppressLineNumbers/>
        <w:spacing w:line="360" w:lineRule="auto"/>
        <w:jc w:val="both"/>
        <w:rPr>
          <w:rtl/>
        </w:rPr>
      </w:pPr>
      <w:r>
        <w:rPr>
          <w:rtl/>
        </w:rPr>
        <w:t xml:space="preserve">במקרה דנן נטען כי המדובר בנסיבות חמורות בשל השימוש בנשק חם, שהוחזק שלא כדין, כאשר קדמו לביצוע העבירה תכנון, הכנה והצטיידות בנשק על ידי הנאשם 1, בו נעשה שימוש ושבעטיו נגרמה פגיעה פיזית למתלונן. </w:t>
      </w:r>
    </w:p>
    <w:p w14:paraId="6C55F20F" w14:textId="77777777" w:rsidR="0039029D" w:rsidRDefault="0039029D">
      <w:pPr>
        <w:suppressLineNumbers/>
        <w:spacing w:line="360" w:lineRule="auto"/>
        <w:jc w:val="both"/>
        <w:rPr>
          <w:rtl/>
        </w:rPr>
      </w:pPr>
    </w:p>
    <w:p w14:paraId="38341C04" w14:textId="77777777" w:rsidR="0039029D" w:rsidRDefault="00497D15">
      <w:pPr>
        <w:suppressLineNumbers/>
        <w:spacing w:line="360" w:lineRule="auto"/>
        <w:jc w:val="both"/>
        <w:rPr>
          <w:rtl/>
        </w:rPr>
      </w:pPr>
      <w:r>
        <w:rPr>
          <w:rtl/>
        </w:rPr>
        <w:t xml:space="preserve">בהתייחס לנסיבות ביצוע העבירה, הפנתה באת כח המאשימה לאמור בכתב האישום, לפיו, הירי והפגיעה במתלונן היו כתגמול לירי על ידי  אחיו של המתלונן. </w:t>
      </w:r>
    </w:p>
    <w:p w14:paraId="422394F4" w14:textId="77777777" w:rsidR="0039029D" w:rsidRDefault="0039029D">
      <w:pPr>
        <w:suppressLineNumbers/>
        <w:spacing w:line="360" w:lineRule="auto"/>
        <w:jc w:val="both"/>
        <w:rPr>
          <w:rtl/>
        </w:rPr>
      </w:pPr>
    </w:p>
    <w:p w14:paraId="6A1623C3" w14:textId="77777777" w:rsidR="0039029D" w:rsidRDefault="00497D15">
      <w:pPr>
        <w:suppressLineNumbers/>
        <w:spacing w:line="360" w:lineRule="auto"/>
        <w:jc w:val="both"/>
        <w:rPr>
          <w:rtl/>
        </w:rPr>
      </w:pPr>
      <w:r>
        <w:rPr>
          <w:rtl/>
        </w:rPr>
        <w:t xml:space="preserve">עוד הודגש, כי עד עתה כלי הנשק ששימש את הנאשם 1 באירוע, לא אותר. </w:t>
      </w:r>
    </w:p>
    <w:p w14:paraId="6E66E8D9" w14:textId="77777777" w:rsidR="0039029D" w:rsidRDefault="0039029D">
      <w:pPr>
        <w:suppressLineNumbers/>
        <w:spacing w:line="360" w:lineRule="auto"/>
        <w:ind w:left="720" w:hanging="720"/>
        <w:jc w:val="both"/>
        <w:rPr>
          <w:rtl/>
        </w:rPr>
      </w:pPr>
    </w:p>
    <w:p w14:paraId="7CFFB414" w14:textId="77777777" w:rsidR="0039029D" w:rsidRDefault="00497D15">
      <w:pPr>
        <w:suppressLineNumbers/>
        <w:spacing w:line="360" w:lineRule="auto"/>
        <w:jc w:val="both"/>
        <w:rPr>
          <w:rtl/>
        </w:rPr>
      </w:pPr>
      <w:r>
        <w:rPr>
          <w:rtl/>
        </w:rPr>
        <w:t xml:space="preserve">בנסיבות העניין, טענה באת כח המאשימה כי מתחם העונש ההולם בעניינו של נאשם 1 הינו בין 9 ל- 13 שנות מאסר, וכן הפנתה להרשעותיו הקודמות בפלילים. כמו כן, מבלי להתעלם מהודייתו של הנאשם במסגרת הסדר הטיעון, טענה ב"כ המאשימה כי הדבר נעשה לאחר ניהול חלק משמעותי ממשפטו. </w:t>
      </w:r>
    </w:p>
    <w:p w14:paraId="78AC6F27" w14:textId="77777777" w:rsidR="0039029D" w:rsidRDefault="0039029D">
      <w:pPr>
        <w:suppressLineNumbers/>
        <w:spacing w:line="360" w:lineRule="auto"/>
        <w:jc w:val="both"/>
        <w:rPr>
          <w:rtl/>
        </w:rPr>
      </w:pPr>
    </w:p>
    <w:p w14:paraId="0A31302B" w14:textId="77777777" w:rsidR="0039029D" w:rsidRDefault="00497D15">
      <w:pPr>
        <w:suppressLineNumbers/>
        <w:spacing w:line="360" w:lineRule="auto"/>
        <w:jc w:val="both"/>
        <w:rPr>
          <w:rtl/>
        </w:rPr>
      </w:pPr>
      <w:r>
        <w:rPr>
          <w:rtl/>
        </w:rPr>
        <w:t xml:space="preserve">בעניינם של הנאשמים 2 ו- 3 ביקשה באת כח המאשימה לכבד את ההסדר, בהדגישה כי ההסכמה עתה, עניינה במאסר בפועל ולא מאסר בדרך של עבודות שירות. </w:t>
      </w:r>
    </w:p>
    <w:p w14:paraId="1C11A4FC" w14:textId="77777777" w:rsidR="0039029D" w:rsidRDefault="0039029D">
      <w:pPr>
        <w:suppressLineNumbers/>
        <w:spacing w:line="360" w:lineRule="auto"/>
        <w:ind w:left="720" w:hanging="720"/>
        <w:jc w:val="both"/>
        <w:rPr>
          <w:b/>
          <w:bCs/>
          <w:u w:val="single"/>
          <w:rtl/>
        </w:rPr>
      </w:pPr>
    </w:p>
    <w:p w14:paraId="6BF31656" w14:textId="77777777" w:rsidR="0039029D" w:rsidRDefault="00497D15">
      <w:pPr>
        <w:suppressLineNumbers/>
        <w:spacing w:line="360" w:lineRule="auto"/>
        <w:ind w:left="720" w:hanging="720"/>
        <w:jc w:val="both"/>
        <w:rPr>
          <w:b/>
          <w:bCs/>
          <w:rtl/>
        </w:rPr>
      </w:pPr>
      <w:r>
        <w:rPr>
          <w:b/>
          <w:bCs/>
          <w:rtl/>
        </w:rPr>
        <w:t>ד.</w:t>
      </w:r>
      <w:r>
        <w:rPr>
          <w:b/>
          <w:bCs/>
          <w:rtl/>
        </w:rPr>
        <w:tab/>
        <w:t>טיעוני ב"כ הנאשם 1 לעונש:</w:t>
      </w:r>
    </w:p>
    <w:p w14:paraId="67ACC352" w14:textId="77777777" w:rsidR="0039029D" w:rsidRDefault="0039029D">
      <w:pPr>
        <w:suppressLineNumbers/>
        <w:spacing w:line="360" w:lineRule="auto"/>
        <w:ind w:left="720" w:hanging="720"/>
        <w:jc w:val="both"/>
        <w:rPr>
          <w:b/>
          <w:bCs/>
          <w:u w:val="single"/>
          <w:rtl/>
        </w:rPr>
      </w:pPr>
    </w:p>
    <w:p w14:paraId="69CE1826" w14:textId="77777777" w:rsidR="0039029D" w:rsidRDefault="00497D15">
      <w:pPr>
        <w:suppressLineNumbers/>
        <w:spacing w:line="360" w:lineRule="auto"/>
        <w:jc w:val="both"/>
        <w:rPr>
          <w:rtl/>
        </w:rPr>
      </w:pPr>
      <w:r>
        <w:rPr>
          <w:rtl/>
        </w:rPr>
        <w:t xml:space="preserve">ב"כ נאשם 1 בטיעוניו לעונש הפנה לתיקון כתב האישום וטען כי המדובר בתיקון מהותי תוך שהצביע על מחיקתה של העבירה החמורה שבכתב האישום, קרי, ניסיון לרצח. </w:t>
      </w:r>
    </w:p>
    <w:p w14:paraId="22815135" w14:textId="77777777" w:rsidR="0039029D" w:rsidRDefault="0039029D">
      <w:pPr>
        <w:suppressLineNumbers/>
        <w:spacing w:line="360" w:lineRule="auto"/>
        <w:jc w:val="both"/>
        <w:rPr>
          <w:rtl/>
        </w:rPr>
      </w:pPr>
    </w:p>
    <w:p w14:paraId="56152B34" w14:textId="77777777" w:rsidR="0039029D" w:rsidRDefault="00497D15">
      <w:pPr>
        <w:suppressLineNumbers/>
        <w:spacing w:line="360" w:lineRule="auto"/>
        <w:jc w:val="both"/>
        <w:rPr>
          <w:rtl/>
        </w:rPr>
      </w:pPr>
      <w:r>
        <w:rPr>
          <w:rtl/>
        </w:rPr>
        <w:t xml:space="preserve">באשר לנסיבות האירוע, נטען כי המדובר בירי שאינו ברמת חומרה גבוהה, שכן אם חפץ הנאשם 1 בגרימת נזק משמעותי יותר, אזי, היה יכול לעשות זאת בנקל, אולם בחר שלא לעשות כן. </w:t>
      </w:r>
    </w:p>
    <w:p w14:paraId="052758A3" w14:textId="77777777" w:rsidR="0039029D" w:rsidRDefault="00497D15">
      <w:pPr>
        <w:suppressLineNumbers/>
        <w:spacing w:line="360" w:lineRule="auto"/>
        <w:jc w:val="both"/>
        <w:rPr>
          <w:rtl/>
        </w:rPr>
      </w:pPr>
      <w:r>
        <w:rPr>
          <w:rtl/>
        </w:rPr>
        <w:t xml:space="preserve"> לשיטת ב"כ נאשם 1, יש לראות את האירוע דנן כחלק מאירוע מתמשך בין שתי משפחות, ולדבריו, ארבעה מתוך בני משפחת המתלונן הורשעו בעבר בעבירות דומות של שימוש בנשק (אמ-16) שגרם לפגיעה קשה של הנאשם 1, שהותירה אותו נכה לצמיתות. </w:t>
      </w:r>
    </w:p>
    <w:p w14:paraId="51802A86" w14:textId="77777777" w:rsidR="0039029D" w:rsidRDefault="0039029D">
      <w:pPr>
        <w:suppressLineNumbers/>
        <w:spacing w:line="360" w:lineRule="auto"/>
        <w:jc w:val="both"/>
        <w:rPr>
          <w:rtl/>
        </w:rPr>
      </w:pPr>
    </w:p>
    <w:p w14:paraId="3CEC3132" w14:textId="77777777" w:rsidR="0039029D" w:rsidRDefault="00497D15">
      <w:pPr>
        <w:suppressLineNumbers/>
        <w:spacing w:line="360" w:lineRule="auto"/>
        <w:jc w:val="both"/>
        <w:rPr>
          <w:rtl/>
        </w:rPr>
      </w:pPr>
      <w:r>
        <w:rPr>
          <w:rtl/>
        </w:rPr>
        <w:t xml:space="preserve">לעניין זה, הפנה ב"כ הנאשם 1 לגזר הדין שניתן  בהקשר לאירוע קודם שהתרחש ואשר גרם לפגיעה קשה של הנאשם 1, והותרתו נכה לצמיתות. </w:t>
      </w:r>
    </w:p>
    <w:p w14:paraId="4C280ED3" w14:textId="77777777" w:rsidR="0039029D" w:rsidRDefault="0039029D">
      <w:pPr>
        <w:suppressLineNumbers/>
        <w:spacing w:line="360" w:lineRule="auto"/>
        <w:jc w:val="both"/>
        <w:rPr>
          <w:rtl/>
        </w:rPr>
      </w:pPr>
    </w:p>
    <w:p w14:paraId="37CD8F51" w14:textId="77777777" w:rsidR="0039029D" w:rsidRDefault="00497D15">
      <w:pPr>
        <w:suppressLineNumbers/>
        <w:spacing w:line="360" w:lineRule="auto"/>
        <w:jc w:val="both"/>
        <w:rPr>
          <w:rtl/>
        </w:rPr>
      </w:pPr>
      <w:r>
        <w:rPr>
          <w:rtl/>
        </w:rPr>
        <w:t xml:space="preserve">במאמר מוסגר יצויין כי אין חולק על כך שבגין אירוע הפגיעה בנאשם 1 נגזרו 4 שנות מאסר בפועל אף שלחובתו של הנאשם שם עבר פלילי עשיר. </w:t>
      </w:r>
    </w:p>
    <w:p w14:paraId="63FFE805" w14:textId="77777777" w:rsidR="0039029D" w:rsidRDefault="0039029D">
      <w:pPr>
        <w:suppressLineNumbers/>
        <w:spacing w:line="360" w:lineRule="auto"/>
        <w:jc w:val="both"/>
        <w:rPr>
          <w:rtl/>
        </w:rPr>
      </w:pPr>
    </w:p>
    <w:p w14:paraId="6B750099" w14:textId="77777777" w:rsidR="0039029D" w:rsidRDefault="00497D15">
      <w:pPr>
        <w:suppressLineNumbers/>
        <w:spacing w:line="360" w:lineRule="auto"/>
        <w:jc w:val="both"/>
        <w:rPr>
          <w:rtl/>
        </w:rPr>
      </w:pPr>
      <w:r>
        <w:rPr>
          <w:rtl/>
        </w:rPr>
        <w:t>משכך, ביקש ב"כ הנאשם לגזור גזירה שווה מאותו גזר דין על הנאשם שבפנינו, תוך שהדגיש כי לשיטתו, נסיבות המקרה שם, היו אף חמורות יותר מאחר שלא רק שהנאשם 1 נפגע מירי מנשק חם, אלא גם הותקף באלות, וכי תקיפה בו ובבני משפחתו נמשכה גם לאחר הגעת האמבולנס לזירת האירוע.</w:t>
      </w:r>
    </w:p>
    <w:p w14:paraId="02A4E64C" w14:textId="77777777" w:rsidR="0039029D" w:rsidRDefault="0039029D">
      <w:pPr>
        <w:suppressLineNumbers/>
        <w:spacing w:line="360" w:lineRule="auto"/>
        <w:jc w:val="both"/>
        <w:rPr>
          <w:rtl/>
        </w:rPr>
      </w:pPr>
    </w:p>
    <w:p w14:paraId="0B2396B4" w14:textId="77777777" w:rsidR="0039029D" w:rsidRDefault="00497D15">
      <w:pPr>
        <w:suppressLineNumbers/>
        <w:spacing w:line="360" w:lineRule="auto"/>
        <w:jc w:val="both"/>
        <w:rPr>
          <w:rtl/>
        </w:rPr>
      </w:pPr>
      <w:r>
        <w:rPr>
          <w:rtl/>
        </w:rPr>
        <w:t xml:space="preserve">בנוסף לכך נטען, כי החבלה והנזק שנגרמו לנאשם 1 כתוצאה מתקיפתו, היו אף חמורים יותר מנזקו של המתלונן כאן, ולצורך כך, הפנה לתיעוד רפואי בעניינו של המתלונן דנן, בו מתועדת פגיעה קלה, לא חמורה, שלא הותירה נכות צמיתה ואף לא פגיעה במערכות גוף רגישות, כהגדרתו. </w:t>
      </w:r>
    </w:p>
    <w:p w14:paraId="6F59277F" w14:textId="77777777" w:rsidR="0039029D" w:rsidRDefault="0039029D">
      <w:pPr>
        <w:suppressLineNumbers/>
        <w:spacing w:line="360" w:lineRule="auto"/>
        <w:jc w:val="both"/>
        <w:rPr>
          <w:rtl/>
        </w:rPr>
      </w:pPr>
    </w:p>
    <w:p w14:paraId="4A4D1522" w14:textId="77777777" w:rsidR="0039029D" w:rsidRDefault="00497D15">
      <w:pPr>
        <w:suppressLineNumbers/>
        <w:spacing w:line="360" w:lineRule="auto"/>
        <w:jc w:val="both"/>
        <w:rPr>
          <w:rtl/>
        </w:rPr>
      </w:pPr>
      <w:r>
        <w:rPr>
          <w:rtl/>
        </w:rPr>
        <w:t>ב"כ הנאשם 1 הפנה לנסיבותיו האישיות והמשפחתיות של הנאשם 1, היותו אב לחמישה ילדים, מפרנס יחיד של משפחתו, שכתוצאה מהאירוע בו נפצע כמצויין לעיל, יצא ממעגל העבודה. לטענתו, כיום משפחתו חווה קשיים כלכליים ולפיכך, ביקש להימנע מהטלת תשלום פיצוי למתלונן, ולהותיר זאת להליך אזרחי, שם יאמדו את נזקיו והפיצוי הראוי לו.</w:t>
      </w:r>
    </w:p>
    <w:p w14:paraId="0A309A8A" w14:textId="77777777" w:rsidR="0039029D" w:rsidRDefault="0039029D">
      <w:pPr>
        <w:suppressLineNumbers/>
        <w:spacing w:line="360" w:lineRule="auto"/>
        <w:jc w:val="both"/>
        <w:rPr>
          <w:rtl/>
        </w:rPr>
      </w:pPr>
    </w:p>
    <w:p w14:paraId="05A543CD" w14:textId="77777777" w:rsidR="0039029D" w:rsidRDefault="00497D15">
      <w:pPr>
        <w:suppressLineNumbers/>
        <w:spacing w:line="360" w:lineRule="auto"/>
        <w:jc w:val="both"/>
        <w:rPr>
          <w:rtl/>
        </w:rPr>
      </w:pPr>
      <w:r>
        <w:rPr>
          <w:rtl/>
        </w:rPr>
        <w:t>עוד ציין ב"כ הנאשם 1, את העובדה כי הנאשם שוהה במעצר מיום 16/08/13 תוך הדגשת הקושי בשהייה בתנאי מעצר בשונה ממאסר ועל כן ביקש להסתפק בעונש מאסר בפועל של שנתיים בלבד.</w:t>
      </w:r>
    </w:p>
    <w:p w14:paraId="3026D4A2" w14:textId="77777777" w:rsidR="0039029D" w:rsidRDefault="0039029D">
      <w:pPr>
        <w:suppressLineNumbers/>
        <w:ind w:left="720" w:hanging="720"/>
        <w:jc w:val="both"/>
        <w:rPr>
          <w:b/>
          <w:bCs/>
          <w:u w:val="single"/>
          <w:rtl/>
        </w:rPr>
      </w:pPr>
    </w:p>
    <w:p w14:paraId="5CB8176D" w14:textId="77777777" w:rsidR="0039029D" w:rsidRDefault="00497D15">
      <w:pPr>
        <w:suppressLineNumbers/>
        <w:spacing w:line="360" w:lineRule="auto"/>
        <w:ind w:left="720" w:hanging="720"/>
        <w:jc w:val="both"/>
        <w:rPr>
          <w:b/>
          <w:bCs/>
          <w:rtl/>
        </w:rPr>
      </w:pPr>
      <w:r>
        <w:rPr>
          <w:b/>
          <w:bCs/>
          <w:rtl/>
        </w:rPr>
        <w:t>טיעוני ב"כ הנאשמים 2 ו- 3  לעונש:</w:t>
      </w:r>
    </w:p>
    <w:p w14:paraId="1D67A2DE" w14:textId="77777777" w:rsidR="0039029D" w:rsidRDefault="0039029D">
      <w:pPr>
        <w:suppressLineNumbers/>
        <w:ind w:left="720" w:hanging="720"/>
        <w:jc w:val="both"/>
        <w:rPr>
          <w:b/>
          <w:bCs/>
          <w:u w:val="single"/>
          <w:rtl/>
        </w:rPr>
      </w:pPr>
    </w:p>
    <w:p w14:paraId="2BDFD233" w14:textId="77777777" w:rsidR="0039029D" w:rsidRDefault="00497D15">
      <w:pPr>
        <w:suppressLineNumbers/>
        <w:spacing w:line="360" w:lineRule="auto"/>
        <w:jc w:val="both"/>
        <w:rPr>
          <w:rtl/>
        </w:rPr>
      </w:pPr>
      <w:r>
        <w:rPr>
          <w:rtl/>
        </w:rPr>
        <w:t xml:space="preserve">עו"ד מסרי, ב"כ הנאשמים 2 ו- 3, הפנה אף הוא לתיקון עובדותיו של כתב האישום המקורי וביקש לאמץ את הסדר הטיעון אליו הגיעו באי כח הצדדים בהיותו לדידו סביר. כמו כן, הדגיש כי ההגעה להסדר היתה לנוכח קשיים ראייתיים של ממש בחומר הראיות של המאשימה, ועל כן ביקש לגזור על הנאשמים את עונש המאסר בפועל עליו סוכם, קרי, 6 חודשים, בניכוי ימי המעצר. </w:t>
      </w:r>
    </w:p>
    <w:p w14:paraId="448FC72B" w14:textId="77777777" w:rsidR="0039029D" w:rsidRDefault="00497D15">
      <w:pPr>
        <w:suppressLineNumbers/>
        <w:spacing w:line="360" w:lineRule="auto"/>
        <w:jc w:val="both"/>
        <w:rPr>
          <w:rtl/>
        </w:rPr>
      </w:pPr>
      <w:r>
        <w:rPr>
          <w:rtl/>
        </w:rPr>
        <w:t xml:space="preserve">באשר לאפשרות של חיובם של הנאשמים 2 ו- 3 בפיצוי כספי, ביקש אף הוא להותיר זאת להליך אזרחי. </w:t>
      </w:r>
    </w:p>
    <w:p w14:paraId="5AD891E3" w14:textId="77777777" w:rsidR="0039029D" w:rsidRDefault="0039029D">
      <w:pPr>
        <w:suppressLineNumbers/>
        <w:spacing w:line="360" w:lineRule="auto"/>
        <w:jc w:val="both"/>
        <w:rPr>
          <w:rtl/>
        </w:rPr>
      </w:pPr>
    </w:p>
    <w:p w14:paraId="4161A66E" w14:textId="77777777" w:rsidR="0039029D" w:rsidRDefault="00497D15">
      <w:pPr>
        <w:suppressLineNumbers/>
        <w:spacing w:line="360" w:lineRule="auto"/>
        <w:jc w:val="both"/>
        <w:rPr>
          <w:b/>
          <w:bCs/>
          <w:rtl/>
        </w:rPr>
      </w:pPr>
      <w:r>
        <w:rPr>
          <w:b/>
          <w:bCs/>
          <w:rtl/>
        </w:rPr>
        <w:t>ה.</w:t>
      </w:r>
      <w:r>
        <w:rPr>
          <w:b/>
          <w:bCs/>
          <w:rtl/>
        </w:rPr>
        <w:tab/>
        <w:t>דיון:</w:t>
      </w:r>
    </w:p>
    <w:p w14:paraId="5A3A9231" w14:textId="77777777" w:rsidR="0039029D" w:rsidRDefault="0039029D">
      <w:pPr>
        <w:suppressLineNumbers/>
        <w:spacing w:line="360" w:lineRule="auto"/>
        <w:jc w:val="both"/>
        <w:rPr>
          <w:b/>
          <w:bCs/>
          <w:rtl/>
        </w:rPr>
      </w:pPr>
    </w:p>
    <w:p w14:paraId="14073F8A" w14:textId="77777777" w:rsidR="0039029D" w:rsidRDefault="00497D15">
      <w:pPr>
        <w:suppressLineNumbers/>
        <w:spacing w:line="360" w:lineRule="auto"/>
        <w:jc w:val="both"/>
        <w:rPr>
          <w:rtl/>
        </w:rPr>
      </w:pPr>
      <w:r>
        <w:rPr>
          <w:rtl/>
        </w:rPr>
        <w:t>אין חולק באשר לחומרה שיש לראות בביצוע עבירות של החזקת הנשק שלא כדין ובשימוש שנעשה בו, כמפורט בכתב האישום.</w:t>
      </w:r>
    </w:p>
    <w:p w14:paraId="751D4D86" w14:textId="77777777" w:rsidR="0039029D" w:rsidRDefault="0039029D">
      <w:pPr>
        <w:suppressLineNumbers/>
        <w:spacing w:line="360" w:lineRule="auto"/>
        <w:jc w:val="both"/>
        <w:rPr>
          <w:rtl/>
        </w:rPr>
      </w:pPr>
    </w:p>
    <w:p w14:paraId="0033F6F5" w14:textId="77777777" w:rsidR="0039029D" w:rsidRDefault="00497D15">
      <w:pPr>
        <w:suppressLineNumbers/>
        <w:spacing w:line="360" w:lineRule="auto"/>
        <w:jc w:val="both"/>
        <w:rPr>
          <w:rtl/>
        </w:rPr>
      </w:pPr>
      <w:r>
        <w:rPr>
          <w:rtl/>
        </w:rPr>
        <w:t xml:space="preserve">המסכת העובדתית שבכתב האישום, מלמדת על נטילת החוק לידיים, על ידי המתלונן בעבר ועל ידי הנאשמים, כיום. </w:t>
      </w:r>
    </w:p>
    <w:p w14:paraId="6495D06C" w14:textId="77777777" w:rsidR="0039029D" w:rsidRDefault="0039029D">
      <w:pPr>
        <w:suppressLineNumbers/>
        <w:spacing w:line="360" w:lineRule="auto"/>
        <w:jc w:val="both"/>
        <w:rPr>
          <w:rtl/>
        </w:rPr>
      </w:pPr>
    </w:p>
    <w:p w14:paraId="62699AA6" w14:textId="77777777" w:rsidR="0039029D" w:rsidRDefault="00497D15">
      <w:pPr>
        <w:suppressLineNumbers/>
        <w:spacing w:line="360" w:lineRule="auto"/>
        <w:jc w:val="both"/>
        <w:rPr>
          <w:rtl/>
        </w:rPr>
      </w:pPr>
      <w:r>
        <w:rPr>
          <w:rtl/>
        </w:rPr>
        <w:t>יוצא מכך, כי המדובר באימוץ דפוס התנהגות עברייני לכל דבר ועניין.</w:t>
      </w:r>
    </w:p>
    <w:p w14:paraId="085EAB40" w14:textId="77777777" w:rsidR="0039029D" w:rsidRDefault="0039029D">
      <w:pPr>
        <w:suppressLineNumbers/>
        <w:spacing w:line="360" w:lineRule="auto"/>
        <w:jc w:val="both"/>
        <w:rPr>
          <w:rtl/>
        </w:rPr>
      </w:pPr>
    </w:p>
    <w:p w14:paraId="32DC5AAB" w14:textId="77777777" w:rsidR="0039029D" w:rsidRDefault="00497D15">
      <w:pPr>
        <w:suppressLineNumbers/>
        <w:spacing w:line="360" w:lineRule="auto"/>
        <w:jc w:val="both"/>
        <w:rPr>
          <w:rtl/>
        </w:rPr>
      </w:pPr>
      <w:r>
        <w:rPr>
          <w:rtl/>
        </w:rPr>
        <w:t xml:space="preserve">במקרה דנן, לא רק שבפנינו החזקת נשק שלא כדין, אלא גם, שימוש שנעשה בו לצורך הפגיעה באחר. </w:t>
      </w:r>
    </w:p>
    <w:p w14:paraId="4A8F103D" w14:textId="77777777" w:rsidR="0039029D" w:rsidRDefault="0039029D">
      <w:pPr>
        <w:suppressLineNumbers/>
        <w:spacing w:line="360" w:lineRule="auto"/>
        <w:jc w:val="both"/>
        <w:rPr>
          <w:rtl/>
        </w:rPr>
      </w:pPr>
    </w:p>
    <w:p w14:paraId="6D6EBDE3" w14:textId="77777777" w:rsidR="0039029D" w:rsidRDefault="00497D15">
      <w:pPr>
        <w:suppressLineNumbers/>
        <w:spacing w:line="360" w:lineRule="auto"/>
        <w:jc w:val="both"/>
        <w:rPr>
          <w:rtl/>
        </w:rPr>
      </w:pPr>
      <w:r>
        <w:rPr>
          <w:rtl/>
        </w:rPr>
        <w:t>בבואנו לגזור את דינם של הנאשמים ובמיוחד את דינו של הנאשם 1, עלינו לתת את הדעת לשיקולים של הרתעת עבריינים פוטנציאליים, העלולים במעשיהם להביא לתוצאות חמורות ובין היתר, קיפוח חיי אדם אשר במקרה זה, אך כפסע לא הסתיים בתוצאה טראגית הרבה יותר, לנוכח מספרם הרב של היריות שבוצעו מכלי הנשק.</w:t>
      </w:r>
    </w:p>
    <w:p w14:paraId="4C77A37A" w14:textId="77777777" w:rsidR="0039029D" w:rsidRDefault="0039029D">
      <w:pPr>
        <w:suppressLineNumbers/>
        <w:spacing w:line="360" w:lineRule="auto"/>
        <w:jc w:val="both"/>
        <w:rPr>
          <w:rtl/>
        </w:rPr>
      </w:pPr>
    </w:p>
    <w:p w14:paraId="24C75C75" w14:textId="77777777" w:rsidR="0039029D" w:rsidRDefault="00497D15">
      <w:pPr>
        <w:suppressLineNumbers/>
        <w:spacing w:line="360" w:lineRule="auto"/>
        <w:jc w:val="both"/>
        <w:rPr>
          <w:rtl/>
        </w:rPr>
      </w:pPr>
      <w:r>
        <w:rPr>
          <w:rtl/>
        </w:rPr>
        <w:t xml:space="preserve">חומרה מיוחדת אנו רואים בעובדה כי כלי הנשק לא נתפס ועדיין קיים סיכון של ממש להמשך השימוש שיעשה בו שלא כדין, לרבות העברתו לידיהם של מי שמסכנים את בטחון הציבור, בין אם על דרך של ביצוע פעולות ביטחוניות עויינות, ובין אם בדרך של ביצוע מעשים פליליים. </w:t>
      </w:r>
    </w:p>
    <w:p w14:paraId="0F32C5E1" w14:textId="77777777" w:rsidR="0039029D" w:rsidRDefault="0039029D">
      <w:pPr>
        <w:suppressLineNumbers/>
        <w:spacing w:line="360" w:lineRule="auto"/>
        <w:jc w:val="both"/>
        <w:rPr>
          <w:rtl/>
        </w:rPr>
      </w:pPr>
    </w:p>
    <w:p w14:paraId="29DE0642" w14:textId="77777777" w:rsidR="0039029D" w:rsidRDefault="00497D15">
      <w:pPr>
        <w:suppressLineNumbers/>
        <w:spacing w:line="360" w:lineRule="auto"/>
        <w:jc w:val="both"/>
        <w:rPr>
          <w:rtl/>
        </w:rPr>
      </w:pPr>
      <w:r>
        <w:rPr>
          <w:rtl/>
        </w:rPr>
        <w:t xml:space="preserve">אין אנו מתעלמים מהודיית הנאשמים במסגרת הסדר טיעון, תיקון עובדותיו של כתב האישום והמסגרת העונשית שהותוותה בעניינם של הנאשמים 2 ו- 3. </w:t>
      </w:r>
    </w:p>
    <w:p w14:paraId="45A2CA53" w14:textId="77777777" w:rsidR="0039029D" w:rsidRDefault="0039029D">
      <w:pPr>
        <w:suppressLineNumbers/>
        <w:spacing w:line="360" w:lineRule="auto"/>
        <w:jc w:val="both"/>
        <w:rPr>
          <w:rtl/>
        </w:rPr>
      </w:pPr>
    </w:p>
    <w:p w14:paraId="11389C69" w14:textId="77777777" w:rsidR="0039029D" w:rsidRDefault="00497D15">
      <w:pPr>
        <w:suppressLineNumbers/>
        <w:spacing w:line="360" w:lineRule="auto"/>
        <w:jc w:val="both"/>
        <w:rPr>
          <w:rtl/>
        </w:rPr>
      </w:pPr>
      <w:r>
        <w:rPr>
          <w:rtl/>
        </w:rPr>
        <w:t xml:space="preserve">יחד עם האמור לעיל, באת כח המאשימה לא חלקה על דברי ב"כ הנאשם 1 באשר לנסיבותיו של המקרה בו נפגע הנאשם 1 ועונש המאסר שהוטל שם בגין אירוע זה (4 שנות מאסר בפועל). </w:t>
      </w:r>
    </w:p>
    <w:p w14:paraId="43D51BD8" w14:textId="77777777" w:rsidR="0039029D" w:rsidRDefault="0039029D">
      <w:pPr>
        <w:suppressLineNumbers/>
        <w:spacing w:line="360" w:lineRule="auto"/>
        <w:jc w:val="both"/>
        <w:rPr>
          <w:rtl/>
        </w:rPr>
      </w:pPr>
    </w:p>
    <w:p w14:paraId="619A140B" w14:textId="77777777" w:rsidR="0039029D" w:rsidRDefault="00497D15">
      <w:pPr>
        <w:suppressLineNumbers/>
        <w:spacing w:line="360" w:lineRule="auto"/>
        <w:jc w:val="both"/>
        <w:rPr>
          <w:rtl/>
        </w:rPr>
      </w:pPr>
      <w:r>
        <w:rPr>
          <w:rtl/>
        </w:rPr>
        <w:t xml:space="preserve">במקרה דנן, הערכים החברתיים שנפגעו הם הזכות לשלמות הגוף, שמירה על שלום הציבור ושמירה על שלטון החוק. ביצוע ירי מרובה סער של כדורים רבים מטווחים קרובים יחסית, בכוונה לפגוע באחר, תוך גרימת נזקים גופניים ממשיים, מהווים פגיעה חמורה בערכים האמורים. </w:t>
      </w:r>
    </w:p>
    <w:p w14:paraId="6EFFDD62" w14:textId="77777777" w:rsidR="0039029D" w:rsidRDefault="00497D15">
      <w:pPr>
        <w:suppressLineNumbers/>
        <w:spacing w:line="360" w:lineRule="auto"/>
        <w:jc w:val="both"/>
        <w:rPr>
          <w:rtl/>
        </w:rPr>
      </w:pPr>
      <w:r>
        <w:rPr>
          <w:rtl/>
        </w:rPr>
        <w:t xml:space="preserve">בעניין מדיניות הענישה הנהוגה, באשר לעבירות בנסיבות דומות, הובאה פסיקה על ידי ב"כ המאשימה שיש בה כדי לשקף את החומרה אשר יש לראות בעבירות אלה.  </w:t>
      </w:r>
    </w:p>
    <w:p w14:paraId="68DCEE50" w14:textId="77777777" w:rsidR="0039029D" w:rsidRDefault="0039029D">
      <w:pPr>
        <w:suppressLineNumbers/>
        <w:spacing w:line="360" w:lineRule="auto"/>
        <w:ind w:left="720" w:hanging="720"/>
        <w:jc w:val="both"/>
        <w:rPr>
          <w:rtl/>
        </w:rPr>
      </w:pPr>
    </w:p>
    <w:p w14:paraId="7EAF5AAF" w14:textId="77777777" w:rsidR="0039029D" w:rsidRDefault="00497D15">
      <w:pPr>
        <w:suppressLineNumbers/>
        <w:spacing w:line="360" w:lineRule="auto"/>
        <w:jc w:val="both"/>
        <w:rPr>
          <w:rtl/>
        </w:rPr>
      </w:pPr>
      <w:r>
        <w:rPr>
          <w:rtl/>
        </w:rPr>
        <w:t>באשר לנסיבות הקשורות בביצוע העבירה; ההצטיידות ברובה והנסיעה לסביבת ביתו של המתלונן, דרשו תכנון מוקדם (</w:t>
      </w:r>
      <w:hyperlink r:id="rId24" w:history="1">
        <w:r w:rsidR="008D7CEE" w:rsidRPr="008D7CEE">
          <w:rPr>
            <w:color w:val="0000FF"/>
            <w:u w:val="single"/>
            <w:rtl/>
          </w:rPr>
          <w:t>סעיף 40ט(א)(1)</w:t>
        </w:r>
      </w:hyperlink>
      <w:r>
        <w:rPr>
          <w:rtl/>
        </w:rPr>
        <w:t xml:space="preserve"> ל</w:t>
      </w:r>
      <w:hyperlink r:id="rId25" w:history="1">
        <w:r w:rsidRPr="00497D15">
          <w:rPr>
            <w:color w:val="0000FF"/>
            <w:u w:val="single"/>
            <w:rtl/>
          </w:rPr>
          <w:t>חוק העונשין</w:t>
        </w:r>
      </w:hyperlink>
      <w:r>
        <w:rPr>
          <w:rtl/>
        </w:rPr>
        <w:t>). חלקו של הנאשם 1 כמי שירה ונהג ברכב שהוביל למקום האירוע – גדול יותר לעומת חלקם של האחרים בפרשה. כפי שניתן לראות מהמסמכים הרפואיים שצוינו לעיל, הנזק שנגרם מביצוע העבירה חמור (</w:t>
      </w:r>
      <w:hyperlink r:id="rId26" w:history="1">
        <w:r w:rsidR="008D7CEE" w:rsidRPr="008D7CEE">
          <w:rPr>
            <w:color w:val="0000FF"/>
            <w:u w:val="single"/>
            <w:rtl/>
          </w:rPr>
          <w:t>סעיף 40ט(א)(4)</w:t>
        </w:r>
      </w:hyperlink>
      <w:r>
        <w:rPr>
          <w:rtl/>
        </w:rPr>
        <w:t xml:space="preserve"> ל</w:t>
      </w:r>
      <w:hyperlink r:id="rId27" w:history="1">
        <w:r w:rsidRPr="00497D15">
          <w:rPr>
            <w:color w:val="0000FF"/>
            <w:u w:val="single"/>
            <w:rtl/>
          </w:rPr>
          <w:t>חוק העונשין</w:t>
        </w:r>
      </w:hyperlink>
      <w:r>
        <w:rPr>
          <w:rtl/>
        </w:rPr>
        <w:t xml:space="preserve">). </w:t>
      </w:r>
    </w:p>
    <w:p w14:paraId="2836F3CC" w14:textId="77777777" w:rsidR="0039029D" w:rsidRDefault="0039029D">
      <w:pPr>
        <w:suppressLineNumbers/>
        <w:spacing w:line="360" w:lineRule="auto"/>
        <w:jc w:val="both"/>
        <w:rPr>
          <w:rtl/>
        </w:rPr>
      </w:pPr>
    </w:p>
    <w:p w14:paraId="5F339546" w14:textId="77777777" w:rsidR="0039029D" w:rsidRDefault="00497D15">
      <w:pPr>
        <w:suppressLineNumbers/>
        <w:spacing w:line="360" w:lineRule="auto"/>
        <w:jc w:val="both"/>
        <w:rPr>
          <w:rtl/>
        </w:rPr>
      </w:pPr>
      <w:r>
        <w:rPr>
          <w:rtl/>
        </w:rPr>
        <w:t>הסיבות שהביאו את הנאשם 1 לבצע את העבירה היו סיבות של נקם ועשיית דין עצמי שהן חמורות כשלעצמן. בתי המשפט חזרו והדגישו את החומרה של "פתרון" סכסוכים באלימות ובאמצעות נשק ואין צורך להוסיף על כך דבר. הנאשם 1 ידע את הפסול במעשיו ויכול היה להימנע מעשייתם (</w:t>
      </w:r>
      <w:hyperlink r:id="rId28" w:history="1">
        <w:r w:rsidR="008D7CEE" w:rsidRPr="008D7CEE">
          <w:rPr>
            <w:color w:val="0000FF"/>
            <w:u w:val="single"/>
            <w:rtl/>
          </w:rPr>
          <w:t>סעיף 40ט(א)(7)</w:t>
        </w:r>
      </w:hyperlink>
      <w:r>
        <w:rPr>
          <w:rtl/>
        </w:rPr>
        <w:t xml:space="preserve"> ל</w:t>
      </w:r>
      <w:hyperlink r:id="rId29" w:history="1">
        <w:r w:rsidRPr="00497D15">
          <w:rPr>
            <w:color w:val="0000FF"/>
            <w:u w:val="single"/>
            <w:rtl/>
          </w:rPr>
          <w:t>חוק העונשין</w:t>
        </w:r>
      </w:hyperlink>
      <w:r>
        <w:rPr>
          <w:rtl/>
        </w:rPr>
        <w:t xml:space="preserve">). </w:t>
      </w:r>
    </w:p>
    <w:p w14:paraId="58F29929" w14:textId="77777777" w:rsidR="0039029D" w:rsidRDefault="0039029D">
      <w:pPr>
        <w:suppressLineNumbers/>
        <w:spacing w:line="360" w:lineRule="auto"/>
        <w:jc w:val="both"/>
        <w:rPr>
          <w:rtl/>
        </w:rPr>
      </w:pPr>
    </w:p>
    <w:p w14:paraId="6DEAA7F6" w14:textId="77777777" w:rsidR="0039029D" w:rsidRDefault="00497D15">
      <w:pPr>
        <w:suppressLineNumbers/>
        <w:spacing w:line="360" w:lineRule="auto"/>
        <w:jc w:val="both"/>
        <w:rPr>
          <w:rtl/>
        </w:rPr>
      </w:pPr>
      <w:r>
        <w:rPr>
          <w:rtl/>
        </w:rPr>
        <w:t xml:space="preserve">מכל האמור לעיל, הגענו למסקנה שמתחם העונש ההולם לגבי נאשם 1 נמצא בטווח שבין 4 עד 10 שנות מאסר. </w:t>
      </w:r>
    </w:p>
    <w:p w14:paraId="5E3A820D" w14:textId="77777777" w:rsidR="0039029D" w:rsidRDefault="0039029D">
      <w:pPr>
        <w:suppressLineNumbers/>
        <w:spacing w:line="360" w:lineRule="auto"/>
        <w:ind w:left="720" w:hanging="720"/>
        <w:jc w:val="both"/>
        <w:rPr>
          <w:rtl/>
        </w:rPr>
      </w:pPr>
    </w:p>
    <w:p w14:paraId="059C05F7" w14:textId="77777777" w:rsidR="0039029D" w:rsidRDefault="00497D15">
      <w:pPr>
        <w:suppressLineNumbers/>
        <w:spacing w:line="360" w:lineRule="auto"/>
        <w:jc w:val="both"/>
        <w:rPr>
          <w:rtl/>
        </w:rPr>
      </w:pPr>
      <w:r>
        <w:rPr>
          <w:rtl/>
        </w:rPr>
        <w:t xml:space="preserve">בבחינת רף הענישה בתוך מתחם העונש ההולם, בהרתעת היחיד והרבים, נשוב ונציין את </w:t>
      </w:r>
      <w:r>
        <w:rPr>
          <w:rFonts w:cs="Miriam"/>
          <w:rtl/>
        </w:rPr>
        <w:t xml:space="preserve">"התיק המקביל" </w:t>
      </w:r>
      <w:r>
        <w:rPr>
          <w:rtl/>
        </w:rPr>
        <w:t>בו נפצע הנאשם 1 מירי שבוצע על ידי המשפחה היריבה – משפחת המתלונן (</w:t>
      </w:r>
      <w:hyperlink r:id="rId30" w:history="1">
        <w:r w:rsidRPr="00497D15">
          <w:rPr>
            <w:b/>
            <w:bCs/>
            <w:color w:val="0000FF"/>
            <w:u w:val="single"/>
            <w:rtl/>
          </w:rPr>
          <w:t>ת"פ 29014-10-11</w:t>
        </w:r>
      </w:hyperlink>
      <w:r>
        <w:rPr>
          <w:rtl/>
        </w:rPr>
        <w:t xml:space="preserve"> אשר צויין לעיל), שם הוטלו אמנם 4 שנות מאסר בפועל בלבד.</w:t>
      </w:r>
    </w:p>
    <w:p w14:paraId="4D9D9505" w14:textId="77777777" w:rsidR="0039029D" w:rsidRDefault="0039029D">
      <w:pPr>
        <w:suppressLineNumbers/>
        <w:spacing w:line="360" w:lineRule="auto"/>
        <w:ind w:left="720" w:hanging="720"/>
        <w:jc w:val="both"/>
        <w:rPr>
          <w:rtl/>
        </w:rPr>
      </w:pPr>
    </w:p>
    <w:p w14:paraId="316AB4D0" w14:textId="77777777" w:rsidR="0039029D" w:rsidRDefault="00497D15">
      <w:pPr>
        <w:suppressLineNumbers/>
        <w:spacing w:line="360" w:lineRule="auto"/>
        <w:ind w:left="720" w:hanging="720"/>
        <w:jc w:val="both"/>
        <w:rPr>
          <w:rtl/>
        </w:rPr>
      </w:pPr>
      <w:r>
        <w:rPr>
          <w:rtl/>
        </w:rPr>
        <w:t>אשר לנסיבות שאינן קשורות בביצוע העבירה:</w:t>
      </w:r>
    </w:p>
    <w:p w14:paraId="65A75ACA" w14:textId="77777777" w:rsidR="0039029D" w:rsidRDefault="0039029D">
      <w:pPr>
        <w:suppressLineNumbers/>
        <w:spacing w:line="360" w:lineRule="auto"/>
        <w:jc w:val="both"/>
        <w:rPr>
          <w:rtl/>
        </w:rPr>
      </w:pPr>
    </w:p>
    <w:p w14:paraId="6052DF4F" w14:textId="77777777" w:rsidR="0039029D" w:rsidRDefault="00497D15">
      <w:pPr>
        <w:suppressLineNumbers/>
        <w:spacing w:line="360" w:lineRule="auto"/>
        <w:jc w:val="both"/>
        <w:rPr>
          <w:rtl/>
        </w:rPr>
      </w:pPr>
      <w:r>
        <w:rPr>
          <w:rtl/>
        </w:rPr>
        <w:t>בשלב גזירת העונש יש לקחת בחשבון את הפגיעה של העונש בנאשם על רקע בעיותיו הרפואיות (</w:t>
      </w:r>
      <w:hyperlink r:id="rId31" w:history="1">
        <w:r w:rsidR="008D7CEE" w:rsidRPr="008D7CEE">
          <w:rPr>
            <w:color w:val="0000FF"/>
            <w:u w:val="single"/>
            <w:rtl/>
          </w:rPr>
          <w:t>סעיף 40יא(1)</w:t>
        </w:r>
      </w:hyperlink>
      <w:r>
        <w:rPr>
          <w:rtl/>
        </w:rPr>
        <w:t xml:space="preserve"> ל</w:t>
      </w:r>
      <w:hyperlink r:id="rId32" w:history="1">
        <w:r w:rsidRPr="00497D15">
          <w:rPr>
            <w:color w:val="0000FF"/>
            <w:u w:val="single"/>
            <w:rtl/>
          </w:rPr>
          <w:t>חוק העונשין</w:t>
        </w:r>
      </w:hyperlink>
      <w:r>
        <w:rPr>
          <w:rtl/>
        </w:rPr>
        <w:t>), הפגיעה במשפחתו (</w:t>
      </w:r>
      <w:hyperlink r:id="rId33" w:history="1">
        <w:r w:rsidR="008D7CEE" w:rsidRPr="008D7CEE">
          <w:rPr>
            <w:color w:val="0000FF"/>
            <w:u w:val="single"/>
            <w:rtl/>
          </w:rPr>
          <w:t>סעיף 40יא(2)</w:t>
        </w:r>
      </w:hyperlink>
      <w:r>
        <w:rPr>
          <w:rtl/>
        </w:rPr>
        <w:t xml:space="preserve"> לחוק העונשין), והנזקים שייגרמו למשפחה ממאסרו. </w:t>
      </w:r>
    </w:p>
    <w:p w14:paraId="664DB110" w14:textId="77777777" w:rsidR="0039029D" w:rsidRDefault="0039029D">
      <w:pPr>
        <w:suppressLineNumbers/>
        <w:spacing w:line="360" w:lineRule="auto"/>
        <w:jc w:val="both"/>
        <w:rPr>
          <w:rtl/>
        </w:rPr>
      </w:pPr>
    </w:p>
    <w:p w14:paraId="4D8EAB12" w14:textId="77777777" w:rsidR="0039029D" w:rsidRDefault="00497D15">
      <w:pPr>
        <w:suppressLineNumbers/>
        <w:spacing w:line="360" w:lineRule="auto"/>
        <w:jc w:val="both"/>
        <w:rPr>
          <w:rtl/>
        </w:rPr>
      </w:pPr>
      <w:r>
        <w:rPr>
          <w:rtl/>
        </w:rPr>
        <w:t>לקולא יצויין עוד שאין ספק שהנאשם 1 – שנפגע קודם על  ידי המשפחה היריבה –</w:t>
      </w:r>
      <w:r>
        <w:rPr>
          <w:rFonts w:hint="cs"/>
          <w:rtl/>
        </w:rPr>
        <w:t xml:space="preserve"> </w:t>
      </w:r>
      <w:r>
        <w:rPr>
          <w:rtl/>
        </w:rPr>
        <w:t xml:space="preserve">סבל ממצוקה נפשית בעקבות הפגיעה בו. </w:t>
      </w:r>
    </w:p>
    <w:p w14:paraId="7545BFD5" w14:textId="77777777" w:rsidR="0039029D" w:rsidRDefault="0039029D">
      <w:pPr>
        <w:suppressLineNumbers/>
        <w:spacing w:line="360" w:lineRule="auto"/>
        <w:jc w:val="both"/>
        <w:rPr>
          <w:rtl/>
        </w:rPr>
      </w:pPr>
    </w:p>
    <w:p w14:paraId="0FDD369C" w14:textId="77777777" w:rsidR="0039029D" w:rsidRDefault="00497D15">
      <w:pPr>
        <w:suppressLineNumbers/>
        <w:spacing w:line="360" w:lineRule="auto"/>
        <w:jc w:val="both"/>
        <w:rPr>
          <w:rtl/>
        </w:rPr>
      </w:pPr>
      <w:r>
        <w:rPr>
          <w:rtl/>
        </w:rPr>
        <w:t>כמו כן נדגיש את העובדה שהנאשם הודה בסופו של יום בביצוע העבירה בכתב האישום המתוקן, ובכך לקח אחריות (</w:t>
      </w:r>
      <w:hyperlink r:id="rId34" w:history="1">
        <w:r w:rsidR="008D7CEE" w:rsidRPr="008D7CEE">
          <w:rPr>
            <w:color w:val="0000FF"/>
            <w:u w:val="single"/>
            <w:rtl/>
          </w:rPr>
          <w:t>סעיף 40יא(4)</w:t>
        </w:r>
      </w:hyperlink>
      <w:r>
        <w:rPr>
          <w:rtl/>
        </w:rPr>
        <w:t xml:space="preserve"> ל</w:t>
      </w:r>
      <w:hyperlink r:id="rId35" w:history="1">
        <w:r w:rsidRPr="00497D15">
          <w:rPr>
            <w:color w:val="0000FF"/>
            <w:u w:val="single"/>
            <w:rtl/>
          </w:rPr>
          <w:t>חוק העונשין</w:t>
        </w:r>
      </w:hyperlink>
      <w:r>
        <w:rPr>
          <w:rtl/>
        </w:rPr>
        <w:t>), אף אם לא נחסך זמן שיפוטי במלוא מובן המילה. לחומרה יש לציין את עברו הפלילי שאינו מן הקלים (</w:t>
      </w:r>
      <w:hyperlink r:id="rId36" w:history="1">
        <w:r w:rsidR="008D7CEE" w:rsidRPr="008D7CEE">
          <w:rPr>
            <w:color w:val="0000FF"/>
            <w:u w:val="single"/>
            <w:rtl/>
          </w:rPr>
          <w:t>סעיף 40יא(11)</w:t>
        </w:r>
      </w:hyperlink>
      <w:r>
        <w:rPr>
          <w:rtl/>
        </w:rPr>
        <w:t xml:space="preserve"> ל</w:t>
      </w:r>
      <w:hyperlink r:id="rId37" w:history="1">
        <w:r w:rsidRPr="00497D15">
          <w:rPr>
            <w:color w:val="0000FF"/>
            <w:u w:val="single"/>
            <w:rtl/>
          </w:rPr>
          <w:t>חוק העונשין</w:t>
        </w:r>
      </w:hyperlink>
      <w:r>
        <w:rPr>
          <w:rtl/>
        </w:rPr>
        <w:t>).</w:t>
      </w:r>
    </w:p>
    <w:p w14:paraId="3484A543" w14:textId="77777777" w:rsidR="0039029D" w:rsidRDefault="00497D15">
      <w:pPr>
        <w:suppressLineNumbers/>
        <w:spacing w:line="360" w:lineRule="auto"/>
        <w:jc w:val="both"/>
        <w:rPr>
          <w:rtl/>
        </w:rPr>
      </w:pPr>
      <w:r>
        <w:rPr>
          <w:rtl/>
        </w:rPr>
        <w:t>נתנו דעתנו גם להסדר הטיעון הכולל, שעניינו הסדר גם לגבי יתר הנאשמים והעונשים שיושתו עליהם, והכל בראי עקרון האחידות בענישה בין כל הנאשמים, כל אחד על פי חלקו.</w:t>
      </w:r>
    </w:p>
    <w:p w14:paraId="5FC4C3B8" w14:textId="77777777" w:rsidR="0039029D" w:rsidRDefault="0039029D">
      <w:pPr>
        <w:suppressLineNumbers/>
        <w:spacing w:line="360" w:lineRule="auto"/>
        <w:jc w:val="both"/>
        <w:rPr>
          <w:rtl/>
        </w:rPr>
      </w:pPr>
    </w:p>
    <w:p w14:paraId="1A955585" w14:textId="77777777" w:rsidR="0039029D" w:rsidRDefault="00497D15">
      <w:pPr>
        <w:suppressLineNumbers/>
        <w:spacing w:line="360" w:lineRule="auto"/>
        <w:jc w:val="both"/>
        <w:rPr>
          <w:rtl/>
        </w:rPr>
      </w:pPr>
      <w:r>
        <w:rPr>
          <w:rtl/>
        </w:rPr>
        <w:t xml:space="preserve">באי כח הצדדים הגישו לבית המשפט אסופת פסיקה, כאשר באת כח המאשימה מפנה לפסיקה מחמירה וב"כ הנאשם 1 לפסיקה מקלה. אנו סבורים כי כל מקרה ומקרה יש לדון לגופו, וכך ננהג גם במקרה דנן. </w:t>
      </w:r>
    </w:p>
    <w:p w14:paraId="6DFE8377" w14:textId="77777777" w:rsidR="0039029D" w:rsidRDefault="0039029D">
      <w:pPr>
        <w:suppressLineNumbers/>
        <w:spacing w:line="360" w:lineRule="auto"/>
        <w:jc w:val="both"/>
        <w:rPr>
          <w:rtl/>
        </w:rPr>
      </w:pPr>
    </w:p>
    <w:p w14:paraId="58065641" w14:textId="77777777" w:rsidR="0039029D" w:rsidRDefault="00497D15">
      <w:pPr>
        <w:suppressLineNumbers/>
        <w:spacing w:line="360" w:lineRule="auto"/>
        <w:jc w:val="both"/>
        <w:rPr>
          <w:rtl/>
        </w:rPr>
      </w:pPr>
      <w:r>
        <w:rPr>
          <w:rtl/>
        </w:rPr>
        <w:t xml:space="preserve">על כל אלה נוסיף כי לקחנו בחשבון את פרק הזמן הארוך יחסית בו שוהה הנאשם 1 בתנאים של מעצר. </w:t>
      </w:r>
    </w:p>
    <w:p w14:paraId="0627D65B" w14:textId="77777777" w:rsidR="0039029D" w:rsidRDefault="0039029D">
      <w:pPr>
        <w:suppressLineNumbers/>
        <w:spacing w:line="360" w:lineRule="auto"/>
        <w:jc w:val="both"/>
        <w:rPr>
          <w:rtl/>
        </w:rPr>
      </w:pPr>
    </w:p>
    <w:p w14:paraId="41571343" w14:textId="77777777" w:rsidR="0039029D" w:rsidRDefault="00497D15">
      <w:pPr>
        <w:suppressLineNumbers/>
        <w:spacing w:line="360" w:lineRule="auto"/>
        <w:jc w:val="both"/>
        <w:rPr>
          <w:rtl/>
        </w:rPr>
      </w:pPr>
      <w:r>
        <w:rPr>
          <w:rtl/>
        </w:rPr>
        <w:t>אשר על כן, לאחר ששקלנו את מכלול השיקולים, הן לקולא והן לחומרה, ובנסיבות העניין כפי שפורטו לעיל, אנו גוזרים על הנאשמים את העונשים הבאים:</w:t>
      </w:r>
    </w:p>
    <w:p w14:paraId="448ABFA4" w14:textId="77777777" w:rsidR="0039029D" w:rsidRDefault="0039029D">
      <w:pPr>
        <w:suppressLineNumbers/>
        <w:spacing w:line="360" w:lineRule="auto"/>
        <w:jc w:val="both"/>
        <w:rPr>
          <w:rtl/>
        </w:rPr>
      </w:pPr>
    </w:p>
    <w:p w14:paraId="19E6C94D" w14:textId="77777777" w:rsidR="0039029D" w:rsidRDefault="00497D15">
      <w:pPr>
        <w:suppressLineNumbers/>
        <w:spacing w:line="360" w:lineRule="auto"/>
        <w:jc w:val="both"/>
        <w:rPr>
          <w:b/>
          <w:bCs/>
          <w:rtl/>
        </w:rPr>
      </w:pPr>
      <w:r>
        <w:rPr>
          <w:b/>
          <w:bCs/>
          <w:rtl/>
        </w:rPr>
        <w:t xml:space="preserve">על הנאשם 1 - </w:t>
      </w:r>
    </w:p>
    <w:p w14:paraId="45C556D4" w14:textId="77777777" w:rsidR="0039029D" w:rsidRDefault="0039029D">
      <w:pPr>
        <w:suppressLineNumbers/>
        <w:spacing w:line="360" w:lineRule="auto"/>
        <w:jc w:val="both"/>
        <w:rPr>
          <w:rtl/>
        </w:rPr>
      </w:pPr>
    </w:p>
    <w:p w14:paraId="3EA0E446" w14:textId="77777777" w:rsidR="0039029D" w:rsidRDefault="00497D15">
      <w:pPr>
        <w:suppressLineNumbers/>
        <w:spacing w:line="360" w:lineRule="auto"/>
        <w:jc w:val="both"/>
        <w:rPr>
          <w:rtl/>
        </w:rPr>
      </w:pPr>
      <w:r>
        <w:rPr>
          <w:rtl/>
        </w:rPr>
        <w:t xml:space="preserve">7 שנות מאסר, מתוכן </w:t>
      </w:r>
      <w:r>
        <w:rPr>
          <w:u w:val="single"/>
          <w:rtl/>
        </w:rPr>
        <w:t>חמש וחצי שנות</w:t>
      </w:r>
      <w:r>
        <w:rPr>
          <w:rtl/>
        </w:rPr>
        <w:t xml:space="preserve"> מאסר בפועל והיתרה על תנאי למשך 3 שנים לבל יעבור עבירת אלימות מסוג פשע או עבירות נשק מסוג פשע. </w:t>
      </w:r>
    </w:p>
    <w:p w14:paraId="3D62226D" w14:textId="77777777" w:rsidR="0039029D" w:rsidRDefault="0039029D">
      <w:pPr>
        <w:suppressLineNumbers/>
        <w:spacing w:line="360" w:lineRule="auto"/>
        <w:jc w:val="both"/>
        <w:rPr>
          <w:rtl/>
        </w:rPr>
      </w:pPr>
    </w:p>
    <w:p w14:paraId="78CF96FF" w14:textId="77777777" w:rsidR="0039029D" w:rsidRDefault="00497D15">
      <w:pPr>
        <w:suppressLineNumbers/>
        <w:spacing w:line="360" w:lineRule="auto"/>
        <w:jc w:val="both"/>
        <w:rPr>
          <w:rtl/>
        </w:rPr>
      </w:pPr>
      <w:r>
        <w:rPr>
          <w:rtl/>
        </w:rPr>
        <w:t>לצורך מניין תקופת המאסר, תימנה תקופת שהייתו במעצר מיום 16/08/13.</w:t>
      </w:r>
    </w:p>
    <w:p w14:paraId="4EE0A7F3" w14:textId="77777777" w:rsidR="0039029D" w:rsidRDefault="0039029D">
      <w:pPr>
        <w:suppressLineNumbers/>
        <w:spacing w:line="360" w:lineRule="auto"/>
        <w:jc w:val="both"/>
        <w:rPr>
          <w:rtl/>
        </w:rPr>
      </w:pPr>
    </w:p>
    <w:p w14:paraId="1B980419" w14:textId="77777777" w:rsidR="0039029D" w:rsidRDefault="00497D15">
      <w:pPr>
        <w:suppressLineNumbers/>
        <w:spacing w:line="360" w:lineRule="auto"/>
        <w:jc w:val="both"/>
        <w:rPr>
          <w:rtl/>
        </w:rPr>
      </w:pPr>
      <w:r>
        <w:rPr>
          <w:rtl/>
        </w:rPr>
        <w:t>כמו כן, על הנאשם 1 לפצות את המתלונן בסך של 35,000 ₪ עד לא יאוחר מיום 01/06/15.</w:t>
      </w:r>
    </w:p>
    <w:p w14:paraId="31E1FF5C" w14:textId="77777777" w:rsidR="0039029D" w:rsidRDefault="0039029D">
      <w:pPr>
        <w:suppressLineNumbers/>
        <w:spacing w:line="360" w:lineRule="auto"/>
        <w:ind w:left="720" w:hanging="720"/>
        <w:jc w:val="both"/>
        <w:rPr>
          <w:rtl/>
        </w:rPr>
      </w:pPr>
    </w:p>
    <w:p w14:paraId="460E42D0" w14:textId="77777777" w:rsidR="0039029D" w:rsidRDefault="00497D15">
      <w:pPr>
        <w:suppressLineNumbers/>
        <w:spacing w:line="360" w:lineRule="auto"/>
        <w:jc w:val="both"/>
        <w:rPr>
          <w:rtl/>
        </w:rPr>
      </w:pPr>
      <w:r>
        <w:rPr>
          <w:rtl/>
        </w:rPr>
        <w:t xml:space="preserve">בעניינם של </w:t>
      </w:r>
      <w:r>
        <w:rPr>
          <w:b/>
          <w:bCs/>
          <w:rtl/>
        </w:rPr>
        <w:t xml:space="preserve">הנאשמים 2 ו- 3 </w:t>
      </w:r>
      <w:r>
        <w:rPr>
          <w:rtl/>
        </w:rPr>
        <w:t xml:space="preserve">אנו מאמצים את הסדר הטיעון אליו הגיעו באי כח הצדדים, וזאת, כפי שנקבע </w:t>
      </w:r>
      <w:r>
        <w:rPr>
          <w:b/>
          <w:bCs/>
          <w:rtl/>
        </w:rPr>
        <w:t>בעניין פלוני</w:t>
      </w:r>
      <w:r>
        <w:rPr>
          <w:rtl/>
        </w:rPr>
        <w:t xml:space="preserve"> (</w:t>
      </w:r>
      <w:hyperlink r:id="rId38" w:history="1">
        <w:r w:rsidRPr="00497D15">
          <w:rPr>
            <w:color w:val="0000FF"/>
            <w:u w:val="single"/>
            <w:rtl/>
          </w:rPr>
          <w:t>ע"פ 1958/98</w:t>
        </w:r>
      </w:hyperlink>
      <w:r>
        <w:rPr>
          <w:rtl/>
        </w:rPr>
        <w:t xml:space="preserve"> </w:t>
      </w:r>
      <w:r>
        <w:rPr>
          <w:b/>
          <w:bCs/>
          <w:rtl/>
        </w:rPr>
        <w:t>פלוני נ' מדינת ישראל</w:t>
      </w:r>
      <w:r>
        <w:rPr>
          <w:rtl/>
        </w:rPr>
        <w:t xml:space="preserve">, פ"ד, נז(1)577), והלכת האיזון שנקבעה בו, ומשכך, אנו גוזרים על הנאשמים 18 חודשי מאסר, מתוכם </w:t>
      </w:r>
      <w:r>
        <w:rPr>
          <w:u w:val="single"/>
          <w:rtl/>
        </w:rPr>
        <w:t>6</w:t>
      </w:r>
      <w:r>
        <w:rPr>
          <w:rtl/>
        </w:rPr>
        <w:t xml:space="preserve"> חודשי מאסר בפועל והיתרה על תנאי למשך 3 שנים לבל יעברו עבירת אלימות מסוג פשע. </w:t>
      </w:r>
    </w:p>
    <w:p w14:paraId="2C260FF6" w14:textId="77777777" w:rsidR="0039029D" w:rsidRDefault="0039029D">
      <w:pPr>
        <w:suppressLineNumbers/>
        <w:spacing w:line="360" w:lineRule="auto"/>
        <w:jc w:val="both"/>
        <w:rPr>
          <w:rtl/>
        </w:rPr>
      </w:pPr>
    </w:p>
    <w:p w14:paraId="4B3F2782" w14:textId="77777777" w:rsidR="0039029D" w:rsidRDefault="00497D15">
      <w:pPr>
        <w:suppressLineNumbers/>
        <w:spacing w:line="360" w:lineRule="auto"/>
        <w:jc w:val="both"/>
        <w:rPr>
          <w:rtl/>
        </w:rPr>
      </w:pPr>
      <w:r>
        <w:rPr>
          <w:rtl/>
        </w:rPr>
        <w:t>לצורך מניין תקופת המאסר, תימנה תקופת שהייתם של הנאשמים במעצר מיום 18/08/13 עד ליום 02/12/13.</w:t>
      </w:r>
    </w:p>
    <w:p w14:paraId="50DB8995" w14:textId="77777777" w:rsidR="0039029D" w:rsidRDefault="0039029D">
      <w:pPr>
        <w:suppressLineNumbers/>
        <w:spacing w:line="360" w:lineRule="auto"/>
        <w:jc w:val="both"/>
        <w:rPr>
          <w:rtl/>
        </w:rPr>
      </w:pPr>
    </w:p>
    <w:p w14:paraId="1139ED6D" w14:textId="77777777" w:rsidR="0039029D" w:rsidRDefault="00497D15">
      <w:pPr>
        <w:suppressLineNumbers/>
        <w:spacing w:line="360" w:lineRule="auto"/>
        <w:jc w:val="both"/>
        <w:rPr>
          <w:rtl/>
        </w:rPr>
      </w:pPr>
      <w:r>
        <w:rPr>
          <w:rtl/>
        </w:rPr>
        <w:t>כל אחד מהנאשמים 2 ו- 3 יפצה את המתלונן בסך של 15,000 ₪ עד לא יאוחר מיום 01/06/15.</w:t>
      </w:r>
    </w:p>
    <w:p w14:paraId="76562F55" w14:textId="77777777" w:rsidR="0039029D" w:rsidRDefault="0039029D">
      <w:pPr>
        <w:suppressLineNumbers/>
        <w:spacing w:line="360" w:lineRule="auto"/>
        <w:jc w:val="both"/>
        <w:rPr>
          <w:rtl/>
        </w:rPr>
      </w:pPr>
    </w:p>
    <w:p w14:paraId="6362CDAF" w14:textId="77777777" w:rsidR="0039029D" w:rsidRDefault="0039029D">
      <w:pPr>
        <w:suppressLineNumbers/>
        <w:spacing w:line="360" w:lineRule="auto"/>
        <w:jc w:val="both"/>
        <w:rPr>
          <w:rtl/>
        </w:rPr>
      </w:pPr>
    </w:p>
    <w:p w14:paraId="60798B83" w14:textId="77777777" w:rsidR="0039029D" w:rsidRDefault="0039029D">
      <w:pPr>
        <w:suppressLineNumbers/>
        <w:spacing w:line="360" w:lineRule="auto"/>
        <w:jc w:val="both"/>
        <w:rPr>
          <w:rtl/>
        </w:rPr>
      </w:pPr>
    </w:p>
    <w:p w14:paraId="31EA11BC" w14:textId="77777777" w:rsidR="0039029D" w:rsidRDefault="0039029D">
      <w:pPr>
        <w:suppressLineNumbers/>
        <w:spacing w:line="360" w:lineRule="auto"/>
        <w:jc w:val="both"/>
        <w:rPr>
          <w:rtl/>
        </w:rPr>
      </w:pPr>
    </w:p>
    <w:p w14:paraId="7BB71769" w14:textId="77777777" w:rsidR="0039029D" w:rsidRDefault="0039029D">
      <w:pPr>
        <w:suppressLineNumbers/>
        <w:spacing w:line="360" w:lineRule="auto"/>
        <w:jc w:val="both"/>
        <w:rPr>
          <w:rtl/>
        </w:rPr>
      </w:pPr>
    </w:p>
    <w:p w14:paraId="3A0A073D" w14:textId="77777777" w:rsidR="0039029D" w:rsidRDefault="00497D15">
      <w:pPr>
        <w:suppressLineNumbers/>
        <w:spacing w:line="360" w:lineRule="auto"/>
        <w:jc w:val="both"/>
        <w:rPr>
          <w:rtl/>
        </w:rPr>
      </w:pPr>
      <w:r>
        <w:rPr>
          <w:rtl/>
        </w:rPr>
        <w:t xml:space="preserve">על הנאשמים 2 ו- 3 להתייצב בבית מעצר </w:t>
      </w:r>
      <w:r>
        <w:rPr>
          <w:rFonts w:hint="cs"/>
          <w:rtl/>
        </w:rPr>
        <w:t>"</w:t>
      </w:r>
      <w:r>
        <w:rPr>
          <w:rtl/>
        </w:rPr>
        <w:t>קישון</w:t>
      </w:r>
      <w:r>
        <w:rPr>
          <w:rFonts w:hint="cs"/>
          <w:rtl/>
        </w:rPr>
        <w:t>"</w:t>
      </w:r>
      <w:r>
        <w:rPr>
          <w:rtl/>
        </w:rPr>
        <w:t xml:space="preserve"> ביום 03/05/15 לא יאוחר מהשעה 10:00.</w:t>
      </w:r>
    </w:p>
    <w:p w14:paraId="2DC47ECF" w14:textId="77777777" w:rsidR="0039029D" w:rsidRDefault="0039029D">
      <w:pPr>
        <w:suppressLineNumbers/>
        <w:spacing w:line="360" w:lineRule="auto"/>
        <w:jc w:val="both"/>
        <w:rPr>
          <w:rtl/>
        </w:rPr>
      </w:pPr>
    </w:p>
    <w:p w14:paraId="6641A842" w14:textId="77777777" w:rsidR="0039029D" w:rsidRDefault="00497D15">
      <w:pPr>
        <w:suppressLineNumbers/>
        <w:spacing w:line="360" w:lineRule="auto"/>
        <w:jc w:val="both"/>
        <w:rPr>
          <w:rtl/>
        </w:rPr>
      </w:pPr>
      <w:r>
        <w:rPr>
          <w:rtl/>
        </w:rPr>
        <w:t xml:space="preserve">הפיצוי שהושת על הנאשמים יופקד בקופת בית המשפט עד ליום 01/06/15 ויועבר למתלונן על פי פרטי חשבון של המתלונן, שימסרו על ידי באת כח המאשימה. </w:t>
      </w:r>
    </w:p>
    <w:p w14:paraId="7FE0DCBD" w14:textId="77777777" w:rsidR="0039029D" w:rsidRDefault="0039029D">
      <w:pPr>
        <w:suppressLineNumbers/>
        <w:spacing w:line="360" w:lineRule="auto"/>
        <w:ind w:left="720" w:hanging="720"/>
        <w:jc w:val="both"/>
        <w:rPr>
          <w:rtl/>
        </w:rPr>
      </w:pPr>
    </w:p>
    <w:p w14:paraId="70814D05" w14:textId="77777777" w:rsidR="0039029D" w:rsidRDefault="00497D15">
      <w:pPr>
        <w:suppressLineNumbers/>
        <w:spacing w:line="360" w:lineRule="auto"/>
        <w:ind w:left="720" w:hanging="720"/>
        <w:jc w:val="both"/>
        <w:rPr>
          <w:b/>
          <w:bCs/>
          <w:rtl/>
        </w:rPr>
      </w:pPr>
      <w:r>
        <w:rPr>
          <w:b/>
          <w:bCs/>
          <w:rtl/>
        </w:rPr>
        <w:t>זכות ערעור לבית המשפט העליון תוך 45 יום מהיום.</w:t>
      </w:r>
    </w:p>
    <w:p w14:paraId="2B74BD84" w14:textId="77777777" w:rsidR="0039029D" w:rsidRDefault="0039029D">
      <w:pPr>
        <w:spacing w:line="360" w:lineRule="auto"/>
        <w:rPr>
          <w:rtl/>
        </w:rPr>
      </w:pPr>
    </w:p>
    <w:p w14:paraId="38973ECE" w14:textId="77777777" w:rsidR="0039029D" w:rsidRDefault="00497D15">
      <w:pPr>
        <w:spacing w:line="360" w:lineRule="auto"/>
        <w:rPr>
          <w:rFonts w:cs="FrankRuehl"/>
          <w:sz w:val="28"/>
          <w:szCs w:val="28"/>
          <w:rtl/>
        </w:rPr>
      </w:pPr>
      <w:r>
        <w:rPr>
          <w:rFonts w:ascii="Arial" w:hAnsi="Arial"/>
          <w:b/>
          <w:bCs/>
          <w:rtl/>
        </w:rPr>
        <w:t xml:space="preserve">ניתן היום,  ו' ניסן תשע"ה, 26 מרץ 2015, במעמד באי כח הצדדים והנאשמים.  </w:t>
      </w:r>
    </w:p>
    <w:p w14:paraId="1D51341D" w14:textId="77777777" w:rsidR="0039029D" w:rsidRPr="00497D15" w:rsidRDefault="00497D15">
      <w:pPr>
        <w:spacing w:line="360" w:lineRule="auto"/>
        <w:jc w:val="center"/>
        <w:rPr>
          <w:rFonts w:cs="FrankRuehl"/>
          <w:color w:val="FFFFFF"/>
          <w:sz w:val="2"/>
          <w:szCs w:val="2"/>
          <w:rtl/>
        </w:rPr>
      </w:pPr>
      <w:r w:rsidRPr="00497D15">
        <w:rPr>
          <w:color w:val="FFFFFF"/>
          <w:sz w:val="2"/>
          <w:szCs w:val="2"/>
          <w:rtl/>
        </w:rPr>
        <w:t>5129371</w:t>
      </w:r>
      <w:r w:rsidRPr="00497D15">
        <w:rPr>
          <w:rFonts w:hint="cs"/>
          <w:color w:val="FFFFFF"/>
          <w:sz w:val="2"/>
          <w:szCs w:val="2"/>
          <w:rtl/>
        </w:rPr>
        <w:t xml:space="preserve">   </w:t>
      </w:r>
      <w:r w:rsidRPr="00497D15">
        <w:rPr>
          <w:rFonts w:hint="cs"/>
          <w:color w:val="FFFFFF"/>
          <w:sz w:val="2"/>
          <w:szCs w:val="2"/>
          <w:rtl/>
        </w:rPr>
        <w:tab/>
      </w:r>
      <w:r w:rsidRPr="00497D15">
        <w:rPr>
          <w:rFonts w:hint="cs"/>
          <w:color w:val="FFFFFF"/>
          <w:sz w:val="2"/>
          <w:szCs w:val="2"/>
          <w:rtl/>
        </w:rPr>
        <w:tab/>
      </w:r>
      <w:r w:rsidRPr="00497D15">
        <w:rPr>
          <w:rFonts w:hint="cs"/>
          <w:color w:val="FFFFFF"/>
          <w:sz w:val="2"/>
          <w:szCs w:val="2"/>
          <w:rtl/>
        </w:rPr>
        <w:tab/>
      </w:r>
    </w:p>
    <w:tbl>
      <w:tblPr>
        <w:bidiVisual/>
        <w:tblW w:w="0" w:type="auto"/>
        <w:tblLook w:val="01E0" w:firstRow="1" w:lastRow="1" w:firstColumn="1" w:lastColumn="1" w:noHBand="0" w:noVBand="0"/>
      </w:tblPr>
      <w:tblGrid>
        <w:gridCol w:w="2474"/>
        <w:gridCol w:w="360"/>
        <w:gridCol w:w="2392"/>
        <w:gridCol w:w="308"/>
        <w:gridCol w:w="2520"/>
      </w:tblGrid>
      <w:tr w:rsidR="0039029D" w14:paraId="2D21E170" w14:textId="77777777">
        <w:tc>
          <w:tcPr>
            <w:tcW w:w="2474" w:type="dxa"/>
            <w:tcBorders>
              <w:top w:val="nil"/>
              <w:left w:val="nil"/>
              <w:bottom w:val="single" w:sz="4" w:space="0" w:color="auto"/>
              <w:right w:val="nil"/>
            </w:tcBorders>
            <w:vAlign w:val="center"/>
          </w:tcPr>
          <w:p w14:paraId="4F48F6C1" w14:textId="77777777" w:rsidR="0039029D" w:rsidRPr="00497D15" w:rsidRDefault="00497D15">
            <w:pPr>
              <w:spacing w:line="360" w:lineRule="auto"/>
              <w:jc w:val="center"/>
              <w:rPr>
                <w:rFonts w:ascii="Courier New" w:hAnsi="Courier New"/>
                <w:b/>
                <w:bCs/>
                <w:color w:val="FFFFFF"/>
                <w:sz w:val="2"/>
                <w:szCs w:val="2"/>
              </w:rPr>
            </w:pPr>
            <w:r w:rsidRPr="00497D15">
              <w:rPr>
                <w:rFonts w:ascii="Courier New" w:hAnsi="Courier New"/>
                <w:b/>
                <w:bCs/>
                <w:color w:val="FFFFFF"/>
                <w:sz w:val="2"/>
                <w:szCs w:val="2"/>
                <w:rtl/>
              </w:rPr>
              <w:t>54678313</w:t>
            </w:r>
          </w:p>
        </w:tc>
        <w:tc>
          <w:tcPr>
            <w:tcW w:w="360" w:type="dxa"/>
            <w:vAlign w:val="center"/>
          </w:tcPr>
          <w:p w14:paraId="3D2F291F" w14:textId="77777777" w:rsidR="0039029D" w:rsidRDefault="0039029D">
            <w:pPr>
              <w:spacing w:line="360" w:lineRule="auto"/>
              <w:jc w:val="center"/>
              <w:rPr>
                <w:rFonts w:ascii="Courier New" w:hAnsi="Courier New"/>
                <w:b/>
                <w:bCs/>
              </w:rPr>
            </w:pPr>
          </w:p>
        </w:tc>
        <w:tc>
          <w:tcPr>
            <w:tcW w:w="2392" w:type="dxa"/>
            <w:tcBorders>
              <w:top w:val="nil"/>
              <w:left w:val="nil"/>
              <w:bottom w:val="single" w:sz="4" w:space="0" w:color="auto"/>
              <w:right w:val="nil"/>
            </w:tcBorders>
            <w:vAlign w:val="center"/>
          </w:tcPr>
          <w:p w14:paraId="55497063" w14:textId="77777777" w:rsidR="0039029D" w:rsidRDefault="0039029D">
            <w:pPr>
              <w:spacing w:line="360" w:lineRule="auto"/>
              <w:jc w:val="center"/>
              <w:rPr>
                <w:rFonts w:ascii="Courier New" w:hAnsi="Courier New"/>
                <w:b/>
                <w:bCs/>
              </w:rPr>
            </w:pPr>
          </w:p>
        </w:tc>
        <w:tc>
          <w:tcPr>
            <w:tcW w:w="308" w:type="dxa"/>
            <w:vAlign w:val="center"/>
          </w:tcPr>
          <w:p w14:paraId="7D6975E7" w14:textId="77777777" w:rsidR="0039029D" w:rsidRDefault="0039029D">
            <w:pPr>
              <w:spacing w:line="360" w:lineRule="auto"/>
              <w:jc w:val="center"/>
              <w:rPr>
                <w:rFonts w:ascii="Courier New" w:hAnsi="Courier New"/>
                <w:b/>
                <w:bCs/>
              </w:rPr>
            </w:pPr>
          </w:p>
        </w:tc>
        <w:tc>
          <w:tcPr>
            <w:tcW w:w="2520" w:type="dxa"/>
            <w:tcBorders>
              <w:top w:val="nil"/>
              <w:left w:val="nil"/>
              <w:bottom w:val="single" w:sz="4" w:space="0" w:color="auto"/>
              <w:right w:val="nil"/>
            </w:tcBorders>
            <w:vAlign w:val="center"/>
          </w:tcPr>
          <w:p w14:paraId="51DD2D5B" w14:textId="77777777" w:rsidR="0039029D" w:rsidRDefault="0039029D">
            <w:pPr>
              <w:spacing w:line="360" w:lineRule="auto"/>
              <w:jc w:val="center"/>
              <w:rPr>
                <w:rFonts w:ascii="Courier New" w:hAnsi="Courier New"/>
                <w:b/>
                <w:bCs/>
              </w:rPr>
            </w:pPr>
          </w:p>
        </w:tc>
      </w:tr>
      <w:tr w:rsidR="0039029D" w14:paraId="6F26B96E" w14:textId="77777777">
        <w:tc>
          <w:tcPr>
            <w:tcW w:w="2474" w:type="dxa"/>
            <w:tcBorders>
              <w:top w:val="single" w:sz="4" w:space="0" w:color="auto"/>
              <w:left w:val="nil"/>
              <w:bottom w:val="nil"/>
              <w:right w:val="nil"/>
            </w:tcBorders>
          </w:tcPr>
          <w:p w14:paraId="07D25650" w14:textId="77777777" w:rsidR="0039029D" w:rsidRDefault="00497D15">
            <w:pPr>
              <w:spacing w:line="360" w:lineRule="auto"/>
              <w:jc w:val="center"/>
              <w:rPr>
                <w:b/>
                <w:bCs/>
                <w:noProof/>
                <w:sz w:val="28"/>
                <w:rtl/>
              </w:rPr>
            </w:pPr>
            <w:r>
              <w:rPr>
                <w:rFonts w:hint="cs"/>
                <w:b/>
                <w:bCs/>
                <w:sz w:val="28"/>
                <w:rtl/>
              </w:rPr>
              <w:t>י. אלרון - נשיא</w:t>
            </w:r>
          </w:p>
          <w:p w14:paraId="2B45FFA0" w14:textId="77777777" w:rsidR="0039029D" w:rsidRDefault="00497D15">
            <w:pPr>
              <w:spacing w:line="360" w:lineRule="auto"/>
              <w:jc w:val="center"/>
              <w:rPr>
                <w:b/>
                <w:bCs/>
                <w:noProof/>
                <w:sz w:val="28"/>
              </w:rPr>
            </w:pPr>
            <w:r>
              <w:rPr>
                <w:rFonts w:hint="cs"/>
                <w:b/>
                <w:bCs/>
                <w:sz w:val="28"/>
                <w:rtl/>
              </w:rPr>
              <w:t>[אב"ד]</w:t>
            </w:r>
          </w:p>
        </w:tc>
        <w:tc>
          <w:tcPr>
            <w:tcW w:w="360" w:type="dxa"/>
          </w:tcPr>
          <w:p w14:paraId="376C5852" w14:textId="77777777" w:rsidR="0039029D" w:rsidRDefault="0039029D">
            <w:pPr>
              <w:spacing w:line="360" w:lineRule="auto"/>
              <w:jc w:val="center"/>
              <w:rPr>
                <w:b/>
                <w:bCs/>
                <w:noProof/>
                <w:color w:val="FF0000"/>
                <w:sz w:val="28"/>
              </w:rPr>
            </w:pPr>
          </w:p>
        </w:tc>
        <w:tc>
          <w:tcPr>
            <w:tcW w:w="2392" w:type="dxa"/>
            <w:tcBorders>
              <w:top w:val="single" w:sz="4" w:space="0" w:color="auto"/>
              <w:left w:val="nil"/>
              <w:bottom w:val="nil"/>
              <w:right w:val="nil"/>
            </w:tcBorders>
          </w:tcPr>
          <w:p w14:paraId="5285084C" w14:textId="77777777" w:rsidR="0039029D" w:rsidRDefault="00497D15">
            <w:pPr>
              <w:pStyle w:val="3"/>
              <w:jc w:val="center"/>
              <w:rPr>
                <w:sz w:val="28"/>
              </w:rPr>
            </w:pPr>
            <w:r>
              <w:rPr>
                <w:rFonts w:hint="cs"/>
                <w:sz w:val="28"/>
                <w:rtl/>
              </w:rPr>
              <w:t>ר. פוקס, שופטת</w:t>
            </w:r>
          </w:p>
        </w:tc>
        <w:tc>
          <w:tcPr>
            <w:tcW w:w="308" w:type="dxa"/>
          </w:tcPr>
          <w:p w14:paraId="549C2286" w14:textId="77777777" w:rsidR="0039029D" w:rsidRDefault="0039029D">
            <w:pPr>
              <w:spacing w:line="360" w:lineRule="auto"/>
              <w:jc w:val="center"/>
              <w:rPr>
                <w:b/>
                <w:bCs/>
                <w:noProof/>
                <w:color w:val="FF0000"/>
                <w:sz w:val="28"/>
              </w:rPr>
            </w:pPr>
          </w:p>
        </w:tc>
        <w:tc>
          <w:tcPr>
            <w:tcW w:w="2520" w:type="dxa"/>
            <w:tcBorders>
              <w:top w:val="single" w:sz="4" w:space="0" w:color="auto"/>
              <w:left w:val="nil"/>
              <w:bottom w:val="nil"/>
              <w:right w:val="nil"/>
            </w:tcBorders>
          </w:tcPr>
          <w:p w14:paraId="04E5637F" w14:textId="77777777" w:rsidR="0039029D" w:rsidRDefault="00497D15">
            <w:pPr>
              <w:spacing w:line="360" w:lineRule="auto"/>
              <w:jc w:val="center"/>
              <w:rPr>
                <w:b/>
                <w:bCs/>
                <w:noProof/>
                <w:sz w:val="28"/>
                <w:rtl/>
              </w:rPr>
            </w:pPr>
            <w:r>
              <w:rPr>
                <w:rFonts w:hint="cs"/>
                <w:b/>
                <w:bCs/>
                <w:sz w:val="28"/>
                <w:rtl/>
              </w:rPr>
              <w:t>ד. פיש, שופט</w:t>
            </w:r>
          </w:p>
        </w:tc>
      </w:tr>
    </w:tbl>
    <w:p w14:paraId="3BA496F0" w14:textId="77777777" w:rsidR="0039029D" w:rsidRPr="008D7CEE" w:rsidRDefault="008D7CEE">
      <w:pPr>
        <w:rPr>
          <w:color w:val="FFFFFF"/>
          <w:sz w:val="2"/>
          <w:szCs w:val="2"/>
        </w:rPr>
      </w:pPr>
      <w:bookmarkStart w:id="7" w:name="_GoBack"/>
      <w:bookmarkEnd w:id="7"/>
      <w:r w:rsidRPr="008D7CEE">
        <w:rPr>
          <w:color w:val="FFFFFF"/>
          <w:sz w:val="2"/>
          <w:szCs w:val="2"/>
          <w:rtl/>
        </w:rPr>
        <w:t>5129371</w:t>
      </w:r>
    </w:p>
    <w:p w14:paraId="343F5745" w14:textId="77777777" w:rsidR="00497D15" w:rsidRPr="008D7CEE" w:rsidRDefault="008D7CEE" w:rsidP="00497D15">
      <w:pPr>
        <w:keepNext/>
        <w:rPr>
          <w:rFonts w:ascii="David" w:hAnsi="David"/>
          <w:color w:val="FFFFFF"/>
          <w:sz w:val="2"/>
          <w:szCs w:val="2"/>
          <w:rtl/>
        </w:rPr>
      </w:pPr>
      <w:r w:rsidRPr="008D7CEE">
        <w:rPr>
          <w:rFonts w:ascii="David" w:hAnsi="David"/>
          <w:color w:val="FFFFFF"/>
          <w:sz w:val="2"/>
          <w:szCs w:val="2"/>
          <w:rtl/>
        </w:rPr>
        <w:t>54678313</w:t>
      </w:r>
    </w:p>
    <w:p w14:paraId="7D03C2FC" w14:textId="77777777" w:rsidR="00497D15" w:rsidRDefault="00497D15" w:rsidP="00497D15">
      <w:r w:rsidRPr="00497D15">
        <w:rPr>
          <w:color w:val="000000"/>
          <w:rtl/>
        </w:rPr>
        <w:t>נוסח מסמך זה כפוף לשינויי ניסוח ועריכה</w:t>
      </w:r>
    </w:p>
    <w:p w14:paraId="145C4459" w14:textId="77777777" w:rsidR="00497D15" w:rsidRDefault="00497D15" w:rsidP="00497D15">
      <w:pPr>
        <w:rPr>
          <w:rtl/>
        </w:rPr>
      </w:pPr>
    </w:p>
    <w:p w14:paraId="32B6B51E" w14:textId="77777777" w:rsidR="00497D15" w:rsidRDefault="00497D15" w:rsidP="00497D15">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r w:rsidR="006B2527">
        <w:rPr>
          <w:rFonts w:hint="cs"/>
          <w:color w:val="0000FF"/>
          <w:u w:val="single"/>
          <w:rtl/>
        </w:rPr>
        <w:t xml:space="preserve"> </w:t>
      </w:r>
    </w:p>
    <w:p w14:paraId="264F0EE0" w14:textId="77777777" w:rsidR="008D7CEE" w:rsidRPr="008D7CEE" w:rsidRDefault="008D7CEE" w:rsidP="008D7CEE">
      <w:pPr>
        <w:keepNext/>
        <w:rPr>
          <w:rFonts w:ascii="David" w:hAnsi="David"/>
          <w:color w:val="000000"/>
          <w:sz w:val="22"/>
          <w:szCs w:val="22"/>
          <w:rtl/>
        </w:rPr>
      </w:pPr>
    </w:p>
    <w:p w14:paraId="41FA6C16" w14:textId="77777777" w:rsidR="008D7CEE" w:rsidRPr="008D7CEE" w:rsidRDefault="008D7CEE" w:rsidP="008D7CEE">
      <w:pPr>
        <w:keepNext/>
        <w:rPr>
          <w:rFonts w:ascii="David" w:hAnsi="David"/>
          <w:color w:val="000000"/>
          <w:sz w:val="22"/>
          <w:szCs w:val="22"/>
          <w:rtl/>
        </w:rPr>
      </w:pPr>
      <w:r w:rsidRPr="008D7CEE">
        <w:rPr>
          <w:rFonts w:ascii="David" w:hAnsi="David"/>
          <w:color w:val="000000"/>
          <w:sz w:val="22"/>
          <w:szCs w:val="22"/>
          <w:rtl/>
        </w:rPr>
        <w:t>יוסף אלרון  54678313-/</w:t>
      </w:r>
    </w:p>
    <w:sectPr w:rsidR="008D7CEE" w:rsidRPr="008D7CEE" w:rsidSect="008D7CEE">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AB10" w14:textId="77777777" w:rsidR="006B758C" w:rsidRPr="009D19F1" w:rsidRDefault="006B758C">
      <w:pPr>
        <w:rPr>
          <w:rFonts w:cs="Arial"/>
          <w:szCs w:val="20"/>
        </w:rPr>
      </w:pPr>
      <w:r>
        <w:separator/>
      </w:r>
    </w:p>
  </w:endnote>
  <w:endnote w:type="continuationSeparator" w:id="0">
    <w:p w14:paraId="08692CE7" w14:textId="77777777" w:rsidR="006B758C" w:rsidRPr="009D19F1" w:rsidRDefault="006B758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00D88" w14:textId="77777777" w:rsidR="004F2840" w:rsidRDefault="004F2840" w:rsidP="008D7C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4B3E003" w14:textId="77777777" w:rsidR="004F2840" w:rsidRPr="008D7CEE" w:rsidRDefault="004F2840" w:rsidP="008D7CEE">
    <w:pPr>
      <w:pStyle w:val="a5"/>
      <w:pBdr>
        <w:top w:val="single" w:sz="4" w:space="1" w:color="auto"/>
        <w:between w:val="single" w:sz="4" w:space="0" w:color="auto"/>
      </w:pBdr>
      <w:spacing w:after="60"/>
      <w:jc w:val="center"/>
      <w:rPr>
        <w:rFonts w:ascii="FrankRuehl" w:hAnsi="FrankRuehl" w:cs="FrankRuehl"/>
        <w:color w:val="000000"/>
      </w:rPr>
    </w:pPr>
    <w:r w:rsidRPr="008D7C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F26DB" w14:textId="77777777" w:rsidR="004F2840" w:rsidRDefault="004F2840" w:rsidP="008D7C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B3F65">
      <w:rPr>
        <w:rFonts w:ascii="FrankRuehl" w:hAnsi="FrankRuehl" w:cs="FrankRuehl"/>
        <w:noProof/>
        <w:rtl/>
      </w:rPr>
      <w:t>2</w:t>
    </w:r>
    <w:r>
      <w:rPr>
        <w:rFonts w:ascii="FrankRuehl" w:hAnsi="FrankRuehl" w:cs="FrankRuehl"/>
        <w:rtl/>
      </w:rPr>
      <w:fldChar w:fldCharType="end"/>
    </w:r>
  </w:p>
  <w:p w14:paraId="2DF2A216" w14:textId="77777777" w:rsidR="004F2840" w:rsidRPr="008D7CEE" w:rsidRDefault="004F2840" w:rsidP="008D7CEE">
    <w:pPr>
      <w:pStyle w:val="a5"/>
      <w:pBdr>
        <w:top w:val="single" w:sz="4" w:space="1" w:color="auto"/>
        <w:between w:val="single" w:sz="4" w:space="0" w:color="auto"/>
      </w:pBdr>
      <w:spacing w:after="60"/>
      <w:jc w:val="center"/>
      <w:rPr>
        <w:rFonts w:ascii="FrankRuehl" w:hAnsi="FrankRuehl" w:cs="FrankRuehl"/>
        <w:color w:val="000000"/>
      </w:rPr>
    </w:pPr>
    <w:r w:rsidRPr="008D7CEE">
      <w:rPr>
        <w:rFonts w:ascii="FrankRuehl" w:hAnsi="FrankRuehl" w:cs="FrankRuehl"/>
        <w:color w:val="000000"/>
      </w:rPr>
      <w:pict w14:anchorId="00B16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1F6E5" w14:textId="77777777" w:rsidR="006B758C" w:rsidRPr="009D19F1" w:rsidRDefault="006B758C">
      <w:pPr>
        <w:rPr>
          <w:rFonts w:cs="Arial"/>
          <w:szCs w:val="20"/>
        </w:rPr>
      </w:pPr>
      <w:r>
        <w:separator/>
      </w:r>
    </w:p>
  </w:footnote>
  <w:footnote w:type="continuationSeparator" w:id="0">
    <w:p w14:paraId="6507AF8B" w14:textId="77777777" w:rsidR="006B758C" w:rsidRPr="009D19F1" w:rsidRDefault="006B758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DC3DE" w14:textId="77777777" w:rsidR="004F2840" w:rsidRPr="008D7CEE" w:rsidRDefault="004F2840" w:rsidP="008D7C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355-09-13</w:t>
    </w:r>
    <w:r>
      <w:rPr>
        <w:rFonts w:ascii="David" w:hAnsi="David"/>
        <w:color w:val="000000"/>
        <w:sz w:val="22"/>
        <w:szCs w:val="22"/>
        <w:rtl/>
      </w:rPr>
      <w:tab/>
      <w:t xml:space="preserve"> מדינת ישראל נ' עלי בכרי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2234B" w14:textId="77777777" w:rsidR="004F2840" w:rsidRPr="008D7CEE" w:rsidRDefault="004F2840" w:rsidP="008D7C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355-09-13</w:t>
    </w:r>
    <w:r>
      <w:rPr>
        <w:rFonts w:ascii="David" w:hAnsi="David"/>
        <w:color w:val="000000"/>
        <w:sz w:val="22"/>
        <w:szCs w:val="22"/>
        <w:rtl/>
      </w:rPr>
      <w:tab/>
      <w:t xml:space="preserve"> מדינת ישראל נ' עלי בכרי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029D"/>
    <w:rsid w:val="00274B3E"/>
    <w:rsid w:val="00282B42"/>
    <w:rsid w:val="0039029D"/>
    <w:rsid w:val="00497D15"/>
    <w:rsid w:val="004F2840"/>
    <w:rsid w:val="006B2527"/>
    <w:rsid w:val="006B758C"/>
    <w:rsid w:val="00762DD3"/>
    <w:rsid w:val="008D7CEE"/>
    <w:rsid w:val="009B3F65"/>
    <w:rsid w:val="00DB423A"/>
    <w:rsid w:val="00F07C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2392AA1"/>
  <w15:chartTrackingRefBased/>
  <w15:docId w15:val="{213BFFCB-8161-494D-BB40-68188F4D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029D"/>
    <w:pPr>
      <w:bidi/>
    </w:pPr>
    <w:rPr>
      <w:rFonts w:cs="David"/>
      <w:sz w:val="24"/>
      <w:szCs w:val="24"/>
    </w:rPr>
  </w:style>
  <w:style w:type="paragraph" w:styleId="3">
    <w:name w:val="heading 3"/>
    <w:basedOn w:val="a"/>
    <w:next w:val="a"/>
    <w:link w:val="30"/>
    <w:qFormat/>
    <w:rsid w:val="0039029D"/>
    <w:pPr>
      <w:keepNext/>
      <w:spacing w:line="360" w:lineRule="auto"/>
      <w:jc w:val="both"/>
      <w:outlineLvl w:val="2"/>
    </w:pPr>
    <w:rPr>
      <w:b/>
      <w:bCs/>
      <w:noProof/>
      <w:sz w:val="20"/>
      <w:lang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39029D"/>
    <w:pPr>
      <w:tabs>
        <w:tab w:val="center" w:pos="4153"/>
        <w:tab w:val="right" w:pos="8306"/>
      </w:tabs>
    </w:pPr>
  </w:style>
  <w:style w:type="paragraph" w:styleId="a5">
    <w:name w:val="footer"/>
    <w:basedOn w:val="a"/>
    <w:rsid w:val="0039029D"/>
    <w:pPr>
      <w:tabs>
        <w:tab w:val="center" w:pos="4153"/>
        <w:tab w:val="right" w:pos="8306"/>
      </w:tabs>
    </w:pPr>
  </w:style>
  <w:style w:type="character" w:styleId="a6">
    <w:name w:val="page number"/>
    <w:basedOn w:val="a0"/>
    <w:rsid w:val="0039029D"/>
  </w:style>
  <w:style w:type="character" w:customStyle="1" w:styleId="a4">
    <w:name w:val="כותרת עליונה תו"/>
    <w:link w:val="a3"/>
    <w:rsid w:val="0039029D"/>
    <w:rPr>
      <w:rFonts w:cs="David"/>
      <w:sz w:val="24"/>
      <w:szCs w:val="24"/>
      <w:lang w:val="en-US" w:eastAsia="en-US" w:bidi="he-IL"/>
    </w:rPr>
  </w:style>
  <w:style w:type="character" w:customStyle="1" w:styleId="30">
    <w:name w:val="כותרת 3 תו"/>
    <w:link w:val="3"/>
    <w:rsid w:val="0039029D"/>
    <w:rPr>
      <w:rFonts w:cs="David"/>
      <w:b/>
      <w:bCs/>
      <w:noProof/>
      <w:szCs w:val="24"/>
      <w:lang w:val="en-US" w:eastAsia="he-IL" w:bidi="he-IL"/>
    </w:rPr>
  </w:style>
  <w:style w:type="character" w:styleId="Hyperlink">
    <w:name w:val="Hyperlink"/>
    <w:rsid w:val="00497D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a.1" TargetMode="External"/><Relationship Id="rId18" Type="http://schemas.openxmlformats.org/officeDocument/2006/relationships/hyperlink" Target="http://www.nevo.co.il/law/70301/329.a.1" TargetMode="External"/><Relationship Id="rId26" Type="http://schemas.openxmlformats.org/officeDocument/2006/relationships/hyperlink" Target="http://www.nevo.co.il/law/70301/40i.a.4"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40ja.4" TargetMode="External"/><Relationship Id="rId42" Type="http://schemas.openxmlformats.org/officeDocument/2006/relationships/footer" Target="footer1.xml"/><Relationship Id="rId7" Type="http://schemas.openxmlformats.org/officeDocument/2006/relationships/hyperlink" Target="http://www.nevo.co.il/law/70301/40i.a.1" TargetMode="External"/><Relationship Id="rId2" Type="http://schemas.openxmlformats.org/officeDocument/2006/relationships/settings" Target="settings.xml"/><Relationship Id="rId16" Type="http://schemas.openxmlformats.org/officeDocument/2006/relationships/hyperlink" Target="http://www.nevo.co.il/law/70301/40ja.2"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40i.a.1"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40ja.1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0i.a.7" TargetMode="External"/><Relationship Id="rId36" Type="http://schemas.openxmlformats.org/officeDocument/2006/relationships/hyperlink" Target="http://www.nevo.co.il/law/70301/40ja.11"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law/70301/40ja.1"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40i.a.7" TargetMode="External"/><Relationship Id="rId14" Type="http://schemas.openxmlformats.org/officeDocument/2006/relationships/hyperlink" Target="http://www.nevo.co.il/law/70301/40ja.1" TargetMode="External"/><Relationship Id="rId22" Type="http://schemas.openxmlformats.org/officeDocument/2006/relationships/hyperlink" Target="http://www.nevo.co.il/law/70301/262"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811176" TargetMode="External"/><Relationship Id="rId35" Type="http://schemas.openxmlformats.org/officeDocument/2006/relationships/hyperlink" Target="http://www.nevo.co.il/law/70301" TargetMode="External"/><Relationship Id="rId43" Type="http://schemas.openxmlformats.org/officeDocument/2006/relationships/footer" Target="footer2.xml"/><Relationship Id="rId8" Type="http://schemas.openxmlformats.org/officeDocument/2006/relationships/hyperlink" Target="http://www.nevo.co.il/law/70301/40i.a.4" TargetMode="External"/><Relationship Id="rId3" Type="http://schemas.openxmlformats.org/officeDocument/2006/relationships/webSettings" Target="webSettings.xml"/><Relationship Id="rId12" Type="http://schemas.openxmlformats.org/officeDocument/2006/relationships/hyperlink" Target="http://www.nevo.co.il/law/70301/262" TargetMode="External"/><Relationship Id="rId17" Type="http://schemas.openxmlformats.org/officeDocument/2006/relationships/hyperlink" Target="http://www.nevo.co.il/law/70301/40ja.4"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40ja.2" TargetMode="External"/><Relationship Id="rId38" Type="http://schemas.openxmlformats.org/officeDocument/2006/relationships/hyperlink" Target="http://www.nevo.co.il/case/161892" TargetMode="External"/><Relationship Id="rId20" Type="http://schemas.openxmlformats.org/officeDocument/2006/relationships/hyperlink" Target="http://www.nevo.co.il/law/70301/144.b"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2225</Words>
  <Characters>11125</Characters>
  <Application>Microsoft Office Word</Application>
  <DocSecurity>0</DocSecurity>
  <Lines>92</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13324</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589898</vt:i4>
      </vt:variant>
      <vt:variant>
        <vt:i4>96</vt:i4>
      </vt:variant>
      <vt:variant>
        <vt:i4>0</vt:i4>
      </vt:variant>
      <vt:variant>
        <vt:i4>5</vt:i4>
      </vt:variant>
      <vt:variant>
        <vt:lpwstr>http://www.nevo.co.il/case/161892</vt:lpwstr>
      </vt:variant>
      <vt:variant>
        <vt:lpwstr/>
      </vt:variant>
      <vt:variant>
        <vt:i4>7995492</vt:i4>
      </vt:variant>
      <vt:variant>
        <vt:i4>93</vt:i4>
      </vt:variant>
      <vt:variant>
        <vt:i4>0</vt:i4>
      </vt:variant>
      <vt:variant>
        <vt:i4>5</vt:i4>
      </vt:variant>
      <vt:variant>
        <vt:lpwstr>http://www.nevo.co.il/law/70301</vt:lpwstr>
      </vt:variant>
      <vt:variant>
        <vt:lpwstr/>
      </vt:variant>
      <vt:variant>
        <vt:i4>3473445</vt:i4>
      </vt:variant>
      <vt:variant>
        <vt:i4>90</vt:i4>
      </vt:variant>
      <vt:variant>
        <vt:i4>0</vt:i4>
      </vt:variant>
      <vt:variant>
        <vt:i4>5</vt:i4>
      </vt:variant>
      <vt:variant>
        <vt:lpwstr>http://www.nevo.co.il/law/70301/40ja.11</vt:lpwstr>
      </vt:variant>
      <vt:variant>
        <vt:lpwstr/>
      </vt:variant>
      <vt:variant>
        <vt:i4>7995492</vt:i4>
      </vt:variant>
      <vt:variant>
        <vt:i4>87</vt:i4>
      </vt:variant>
      <vt:variant>
        <vt:i4>0</vt:i4>
      </vt:variant>
      <vt:variant>
        <vt:i4>5</vt:i4>
      </vt:variant>
      <vt:variant>
        <vt:lpwstr>http://www.nevo.co.il/law/70301</vt:lpwstr>
      </vt:variant>
      <vt:variant>
        <vt:lpwstr/>
      </vt:variant>
      <vt:variant>
        <vt:i4>3145765</vt:i4>
      </vt:variant>
      <vt:variant>
        <vt:i4>84</vt:i4>
      </vt:variant>
      <vt:variant>
        <vt:i4>0</vt:i4>
      </vt:variant>
      <vt:variant>
        <vt:i4>5</vt:i4>
      </vt:variant>
      <vt:variant>
        <vt:lpwstr>http://www.nevo.co.il/law/70301/40ja.4</vt:lpwstr>
      </vt:variant>
      <vt:variant>
        <vt:lpwstr/>
      </vt:variant>
      <vt:variant>
        <vt:i4>3538981</vt:i4>
      </vt:variant>
      <vt:variant>
        <vt:i4>81</vt:i4>
      </vt:variant>
      <vt:variant>
        <vt:i4>0</vt:i4>
      </vt:variant>
      <vt:variant>
        <vt:i4>5</vt:i4>
      </vt:variant>
      <vt:variant>
        <vt:lpwstr>http://www.nevo.co.il/law/70301/40ja.2</vt:lpwstr>
      </vt:variant>
      <vt:variant>
        <vt:lpwstr/>
      </vt:variant>
      <vt:variant>
        <vt:i4>7995492</vt:i4>
      </vt:variant>
      <vt:variant>
        <vt:i4>78</vt:i4>
      </vt:variant>
      <vt:variant>
        <vt:i4>0</vt:i4>
      </vt:variant>
      <vt:variant>
        <vt:i4>5</vt:i4>
      </vt:variant>
      <vt:variant>
        <vt:lpwstr>http://www.nevo.co.il/law/70301</vt:lpwstr>
      </vt:variant>
      <vt:variant>
        <vt:lpwstr/>
      </vt:variant>
      <vt:variant>
        <vt:i4>3473445</vt:i4>
      </vt:variant>
      <vt:variant>
        <vt:i4>75</vt:i4>
      </vt:variant>
      <vt:variant>
        <vt:i4>0</vt:i4>
      </vt:variant>
      <vt:variant>
        <vt:i4>5</vt:i4>
      </vt:variant>
      <vt:variant>
        <vt:lpwstr>http://www.nevo.co.il/law/70301/40ja.1</vt:lpwstr>
      </vt:variant>
      <vt:variant>
        <vt:lpwstr/>
      </vt:variant>
      <vt:variant>
        <vt:i4>3407994</vt:i4>
      </vt:variant>
      <vt:variant>
        <vt:i4>72</vt:i4>
      </vt:variant>
      <vt:variant>
        <vt:i4>0</vt:i4>
      </vt:variant>
      <vt:variant>
        <vt:i4>5</vt:i4>
      </vt:variant>
      <vt:variant>
        <vt:lpwstr>http://www.nevo.co.il/case/2811176</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6619241</vt:i4>
      </vt:variant>
      <vt:variant>
        <vt:i4>66</vt:i4>
      </vt:variant>
      <vt:variant>
        <vt:i4>0</vt:i4>
      </vt:variant>
      <vt:variant>
        <vt:i4>5</vt:i4>
      </vt:variant>
      <vt:variant>
        <vt:lpwstr>http://www.nevo.co.il/law/70301/40i.a.7</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6619241</vt:i4>
      </vt:variant>
      <vt:variant>
        <vt:i4>60</vt:i4>
      </vt:variant>
      <vt:variant>
        <vt:i4>0</vt:i4>
      </vt:variant>
      <vt:variant>
        <vt:i4>5</vt:i4>
      </vt:variant>
      <vt:variant>
        <vt:lpwstr>http://www.nevo.co.il/law/70301/40i.a.4</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6619241</vt:i4>
      </vt:variant>
      <vt:variant>
        <vt:i4>54</vt:i4>
      </vt:variant>
      <vt:variant>
        <vt:i4>0</vt:i4>
      </vt:variant>
      <vt:variant>
        <vt:i4>5</vt:i4>
      </vt:variant>
      <vt:variant>
        <vt:lpwstr>http://www.nevo.co.il/law/70301/40i.a.1</vt:lpwstr>
      </vt:variant>
      <vt:variant>
        <vt:lpwstr/>
      </vt:variant>
      <vt:variant>
        <vt:i4>7995492</vt:i4>
      </vt:variant>
      <vt:variant>
        <vt:i4>51</vt:i4>
      </vt:variant>
      <vt:variant>
        <vt:i4>0</vt:i4>
      </vt:variant>
      <vt:variant>
        <vt:i4>5</vt:i4>
      </vt:variant>
      <vt:variant>
        <vt:lpwstr>http://www.nevo.co.il/law/70301</vt:lpwstr>
      </vt:variant>
      <vt:variant>
        <vt:lpwstr/>
      </vt:variant>
      <vt:variant>
        <vt:i4>6488167</vt:i4>
      </vt:variant>
      <vt:variant>
        <vt:i4>48</vt:i4>
      </vt:variant>
      <vt:variant>
        <vt:i4>0</vt:i4>
      </vt:variant>
      <vt:variant>
        <vt:i4>5</vt:i4>
      </vt:variant>
      <vt:variant>
        <vt:lpwstr>http://www.nevo.co.il/law/70301/262</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6750270</vt:i4>
      </vt:variant>
      <vt:variant>
        <vt:i4>36</vt:i4>
      </vt:variant>
      <vt:variant>
        <vt:i4>0</vt:i4>
      </vt:variant>
      <vt:variant>
        <vt:i4>5</vt:i4>
      </vt:variant>
      <vt:variant>
        <vt:lpwstr>http://www.nevo.co.il/law/70301/329.a.1</vt:lpwstr>
      </vt:variant>
      <vt:variant>
        <vt:lpwstr/>
      </vt:variant>
      <vt:variant>
        <vt:i4>3145765</vt:i4>
      </vt:variant>
      <vt:variant>
        <vt:i4>33</vt:i4>
      </vt:variant>
      <vt:variant>
        <vt:i4>0</vt:i4>
      </vt:variant>
      <vt:variant>
        <vt:i4>5</vt:i4>
      </vt:variant>
      <vt:variant>
        <vt:lpwstr>http://www.nevo.co.il/law/70301/40ja.4</vt:lpwstr>
      </vt:variant>
      <vt:variant>
        <vt:lpwstr/>
      </vt:variant>
      <vt:variant>
        <vt:i4>3538981</vt:i4>
      </vt:variant>
      <vt:variant>
        <vt:i4>30</vt:i4>
      </vt:variant>
      <vt:variant>
        <vt:i4>0</vt:i4>
      </vt:variant>
      <vt:variant>
        <vt:i4>5</vt:i4>
      </vt:variant>
      <vt:variant>
        <vt:lpwstr>http://www.nevo.co.il/law/70301/40ja.2</vt:lpwstr>
      </vt:variant>
      <vt:variant>
        <vt:lpwstr/>
      </vt:variant>
      <vt:variant>
        <vt:i4>3473445</vt:i4>
      </vt:variant>
      <vt:variant>
        <vt:i4>27</vt:i4>
      </vt:variant>
      <vt:variant>
        <vt:i4>0</vt:i4>
      </vt:variant>
      <vt:variant>
        <vt:i4>5</vt:i4>
      </vt:variant>
      <vt:variant>
        <vt:lpwstr>http://www.nevo.co.il/law/70301/40ja.11</vt:lpwstr>
      </vt:variant>
      <vt:variant>
        <vt:lpwstr/>
      </vt:variant>
      <vt:variant>
        <vt:i4>3473445</vt:i4>
      </vt:variant>
      <vt:variant>
        <vt:i4>24</vt:i4>
      </vt:variant>
      <vt:variant>
        <vt:i4>0</vt:i4>
      </vt:variant>
      <vt:variant>
        <vt:i4>5</vt:i4>
      </vt:variant>
      <vt:variant>
        <vt:lpwstr>http://www.nevo.co.il/law/70301/40ja.1</vt:lpwstr>
      </vt:variant>
      <vt:variant>
        <vt:lpwstr/>
      </vt:variant>
      <vt:variant>
        <vt:i4>6750270</vt:i4>
      </vt:variant>
      <vt:variant>
        <vt:i4>21</vt:i4>
      </vt:variant>
      <vt:variant>
        <vt:i4>0</vt:i4>
      </vt:variant>
      <vt:variant>
        <vt:i4>5</vt:i4>
      </vt:variant>
      <vt:variant>
        <vt:lpwstr>http://www.nevo.co.il/law/70301/329.a.1</vt:lpwstr>
      </vt:variant>
      <vt:variant>
        <vt:lpwstr/>
      </vt:variant>
      <vt:variant>
        <vt:i4>6488167</vt:i4>
      </vt:variant>
      <vt:variant>
        <vt:i4>18</vt:i4>
      </vt:variant>
      <vt:variant>
        <vt:i4>0</vt:i4>
      </vt:variant>
      <vt:variant>
        <vt:i4>5</vt:i4>
      </vt:variant>
      <vt:variant>
        <vt:lpwstr>http://www.nevo.co.il/law/70301/262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6619241</vt:i4>
      </vt:variant>
      <vt:variant>
        <vt:i4>9</vt:i4>
      </vt:variant>
      <vt:variant>
        <vt:i4>0</vt:i4>
      </vt:variant>
      <vt:variant>
        <vt:i4>5</vt:i4>
      </vt:variant>
      <vt:variant>
        <vt:lpwstr>http://www.nevo.co.il/law/70301/40i.a.7</vt:lpwstr>
      </vt:variant>
      <vt:variant>
        <vt:lpwstr/>
      </vt:variant>
      <vt:variant>
        <vt:i4>6619241</vt:i4>
      </vt:variant>
      <vt:variant>
        <vt:i4>6</vt:i4>
      </vt:variant>
      <vt:variant>
        <vt:i4>0</vt:i4>
      </vt:variant>
      <vt:variant>
        <vt:i4>5</vt:i4>
      </vt:variant>
      <vt:variant>
        <vt:lpwstr>http://www.nevo.co.il/law/70301/40i.a.4</vt:lpwstr>
      </vt:variant>
      <vt:variant>
        <vt:lpwstr/>
      </vt:variant>
      <vt:variant>
        <vt:i4>6619241</vt:i4>
      </vt:variant>
      <vt:variant>
        <vt:i4>3</vt:i4>
      </vt:variant>
      <vt:variant>
        <vt:i4>0</vt:i4>
      </vt:variant>
      <vt:variant>
        <vt:i4>5</vt:i4>
      </vt:variant>
      <vt:variant>
        <vt:lpwstr>http://www.nevo.co.il/law/70301/40i.a.1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2025-04-25T10:31:00Z</dcterms:created>
  <dcterms:modified xsi:type="dcterms:W3CDTF">2025-04-25T10:31:00Z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355</vt:lpwstr>
  </property>
  <property fmtid="{D5CDD505-2E9C-101B-9397-08002B2CF9AE}" pid="6" name="NEWPARTB">
    <vt:lpwstr>09</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עלי בכרי;עבדאללה בכרי;רג'אב בכרי</vt:lpwstr>
  </property>
  <property fmtid="{D5CDD505-2E9C-101B-9397-08002B2CF9AE}" pid="10" name="JUDGE">
    <vt:lpwstr>יוסף אלרון ;רבקה פוקס;דניאל פיש</vt:lpwstr>
  </property>
  <property fmtid="{D5CDD505-2E9C-101B-9397-08002B2CF9AE}" pid="11" name="CITY">
    <vt:lpwstr>חי'</vt:lpwstr>
  </property>
  <property fmtid="{D5CDD505-2E9C-101B-9397-08002B2CF9AE}" pid="12" name="DATE">
    <vt:lpwstr>20150326</vt:lpwstr>
  </property>
  <property fmtid="{D5CDD505-2E9C-101B-9397-08002B2CF9AE}" pid="13" name="TYPE_N_DATE">
    <vt:lpwstr>39020150326</vt:lpwstr>
  </property>
  <property fmtid="{D5CDD505-2E9C-101B-9397-08002B2CF9AE}" pid="14" name="CASESLISTTMP1">
    <vt:lpwstr>2811176;161892</vt:lpwstr>
  </property>
  <property fmtid="{D5CDD505-2E9C-101B-9397-08002B2CF9AE}" pid="15" name="WORDNUMPAGES">
    <vt:lpwstr>8</vt:lpwstr>
  </property>
  <property fmtid="{D5CDD505-2E9C-101B-9397-08002B2CF9AE}" pid="16" name="TYPE_ABS_DATE">
    <vt:lpwstr>390020150326</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70301/329.a.1;144.a;144.b;262;040i.a.1;040i.a.4;040i.a.7;40ja.1;40ja.2;40ja.4;40ja.11</vt:lpwstr>
  </property>
</Properties>
</file>