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14CE9" w:rsidRPr="00F03B52" w14:paraId="7E1ECDF8" w14:textId="77777777">
        <w:trPr>
          <w:trHeight w:hRule="exact" w:val="418"/>
          <w:jc w:val="center"/>
        </w:trPr>
        <w:tc>
          <w:tcPr>
            <w:tcW w:w="8721" w:type="dxa"/>
            <w:gridSpan w:val="2"/>
          </w:tcPr>
          <w:p w14:paraId="5DE03A06" w14:textId="77777777" w:rsidR="00D14CE9" w:rsidRPr="00F03B52" w:rsidRDefault="00F03B52">
            <w:pPr>
              <w:pStyle w:val="a3"/>
              <w:jc w:val="center"/>
              <w:rPr>
                <w:rFonts w:ascii="Tahoma" w:hAnsi="Tahoma" w:cs="Tahoma"/>
                <w:color w:val="000080"/>
                <w:rtl/>
              </w:rPr>
            </w:pPr>
            <w:bookmarkStart w:id="0" w:name="LastJudge"/>
            <w:r w:rsidRPr="00F03B52">
              <w:rPr>
                <w:rFonts w:ascii="Tahoma" w:hAnsi="Tahoma" w:cs="Tahoma"/>
                <w:b/>
                <w:bCs/>
                <w:color w:val="000080"/>
                <w:rtl/>
              </w:rPr>
              <w:t>בית המשפט המחוזי בחיפה</w:t>
            </w:r>
          </w:p>
        </w:tc>
      </w:tr>
      <w:tr w:rsidR="00D14CE9" w:rsidRPr="00F03B52" w14:paraId="533339B9" w14:textId="77777777">
        <w:trPr>
          <w:trHeight w:val="337"/>
          <w:jc w:val="center"/>
        </w:trPr>
        <w:tc>
          <w:tcPr>
            <w:tcW w:w="5054" w:type="dxa"/>
          </w:tcPr>
          <w:p w14:paraId="7ED0A278" w14:textId="77777777" w:rsidR="00D14CE9" w:rsidRPr="00F03B52" w:rsidRDefault="00F03B52">
            <w:pPr>
              <w:rPr>
                <w:rFonts w:cs="FrankRuehl"/>
                <w:sz w:val="28"/>
                <w:szCs w:val="28"/>
                <w:rtl/>
              </w:rPr>
            </w:pPr>
            <w:r w:rsidRPr="00F03B52">
              <w:rPr>
                <w:rFonts w:cs="FrankRuehl"/>
                <w:sz w:val="28"/>
                <w:szCs w:val="28"/>
                <w:rtl/>
              </w:rPr>
              <w:t>ת"פ</w:t>
            </w:r>
            <w:r w:rsidRPr="00F03B52">
              <w:rPr>
                <w:rFonts w:cs="FrankRuehl" w:hint="cs"/>
                <w:sz w:val="28"/>
                <w:szCs w:val="28"/>
                <w:rtl/>
              </w:rPr>
              <w:t xml:space="preserve"> </w:t>
            </w:r>
            <w:r w:rsidRPr="00F03B52">
              <w:rPr>
                <w:rFonts w:cs="FrankRuehl"/>
                <w:sz w:val="28"/>
                <w:szCs w:val="28"/>
                <w:rtl/>
              </w:rPr>
              <w:t>3622-10-13</w:t>
            </w:r>
            <w:r w:rsidRPr="00F03B52">
              <w:rPr>
                <w:rFonts w:cs="FrankRuehl" w:hint="cs"/>
                <w:sz w:val="28"/>
                <w:szCs w:val="28"/>
                <w:rtl/>
              </w:rPr>
              <w:t xml:space="preserve"> </w:t>
            </w:r>
            <w:r w:rsidRPr="00F03B52">
              <w:rPr>
                <w:rFonts w:cs="FrankRuehl"/>
                <w:sz w:val="28"/>
                <w:szCs w:val="28"/>
                <w:rtl/>
              </w:rPr>
              <w:t>מדינת ישראל נ' עמאש</w:t>
            </w:r>
          </w:p>
          <w:p w14:paraId="24F5CDB5" w14:textId="77777777" w:rsidR="00D14CE9" w:rsidRPr="00F03B52" w:rsidRDefault="00D14CE9">
            <w:pPr>
              <w:pStyle w:val="a3"/>
              <w:rPr>
                <w:rFonts w:cs="FrankRuehl"/>
                <w:sz w:val="28"/>
                <w:szCs w:val="28"/>
                <w:rtl/>
              </w:rPr>
            </w:pPr>
          </w:p>
        </w:tc>
        <w:tc>
          <w:tcPr>
            <w:tcW w:w="3667" w:type="dxa"/>
          </w:tcPr>
          <w:p w14:paraId="04E152D4" w14:textId="77777777" w:rsidR="00D14CE9" w:rsidRPr="00F03B52" w:rsidRDefault="00D14CE9">
            <w:pPr>
              <w:pStyle w:val="a3"/>
              <w:jc w:val="right"/>
              <w:rPr>
                <w:rFonts w:cs="FrankRuehl"/>
                <w:sz w:val="28"/>
                <w:szCs w:val="28"/>
                <w:rtl/>
              </w:rPr>
            </w:pPr>
          </w:p>
        </w:tc>
      </w:tr>
    </w:tbl>
    <w:p w14:paraId="6F3A5C93" w14:textId="77777777" w:rsidR="00D14CE9" w:rsidRPr="00F03B52" w:rsidRDefault="00F03B52">
      <w:pPr>
        <w:pStyle w:val="a3"/>
        <w:rPr>
          <w:rtl/>
        </w:rPr>
      </w:pPr>
      <w:r w:rsidRPr="00F03B52">
        <w:rPr>
          <w:rFonts w:hint="cs"/>
          <w:rtl/>
        </w:rPr>
        <w:t xml:space="preserve"> </w:t>
      </w:r>
    </w:p>
    <w:p w14:paraId="2CFE6299" w14:textId="77777777" w:rsidR="00D14CE9" w:rsidRPr="00F03B52" w:rsidRDefault="00D14CE9">
      <w:pPr>
        <w:rPr>
          <w:rtl/>
        </w:rPr>
      </w:pPr>
    </w:p>
    <w:tbl>
      <w:tblPr>
        <w:bidiVisual/>
        <w:tblW w:w="8802" w:type="dxa"/>
        <w:tblInd w:w="-28" w:type="dxa"/>
        <w:tblLook w:val="01E0" w:firstRow="1" w:lastRow="1" w:firstColumn="1" w:lastColumn="1" w:noHBand="0" w:noVBand="0"/>
      </w:tblPr>
      <w:tblGrid>
        <w:gridCol w:w="2880"/>
        <w:gridCol w:w="5839"/>
        <w:gridCol w:w="83"/>
      </w:tblGrid>
      <w:tr w:rsidR="00D14CE9" w:rsidRPr="00F03B52" w14:paraId="042BDB66" w14:textId="77777777">
        <w:trPr>
          <w:gridAfter w:val="1"/>
          <w:wAfter w:w="55" w:type="dxa"/>
        </w:trPr>
        <w:tc>
          <w:tcPr>
            <w:tcW w:w="8719" w:type="dxa"/>
            <w:gridSpan w:val="2"/>
          </w:tcPr>
          <w:p w14:paraId="36195057" w14:textId="77777777" w:rsidR="00D14CE9" w:rsidRPr="00F03B52" w:rsidRDefault="00F03B52">
            <w:pPr>
              <w:spacing w:line="360" w:lineRule="auto"/>
              <w:rPr>
                <w:b/>
                <w:bCs/>
                <w:sz w:val="26"/>
                <w:szCs w:val="26"/>
              </w:rPr>
            </w:pPr>
            <w:bookmarkStart w:id="1" w:name="_GoBack"/>
            <w:bookmarkEnd w:id="1"/>
            <w:r w:rsidRPr="00F03B52">
              <w:rPr>
                <w:rFonts w:hint="cs"/>
                <w:b/>
                <w:bCs/>
                <w:sz w:val="26"/>
                <w:szCs w:val="26"/>
                <w:rtl/>
              </w:rPr>
              <w:t>בפני כב' ה</w:t>
            </w:r>
            <w:r w:rsidRPr="00F03B52">
              <w:rPr>
                <w:rFonts w:hint="cs"/>
                <w:rtl/>
              </w:rPr>
              <w:t>שופט אברהם אליקים</w:t>
            </w:r>
            <w:r w:rsidRPr="00F03B52">
              <w:rPr>
                <w:rStyle w:val="TimesNewRomanTimesNewRoman"/>
                <w:rFonts w:hint="cs"/>
                <w:rtl/>
              </w:rPr>
              <w:t xml:space="preserve"> </w:t>
            </w:r>
          </w:p>
        </w:tc>
      </w:tr>
      <w:tr w:rsidR="00D14CE9" w:rsidRPr="00F03B52" w14:paraId="1D7F7BBE" w14:textId="77777777">
        <w:tc>
          <w:tcPr>
            <w:tcW w:w="2880" w:type="dxa"/>
          </w:tcPr>
          <w:p w14:paraId="218C779A" w14:textId="77777777" w:rsidR="00D14CE9" w:rsidRPr="00F03B52" w:rsidRDefault="00F03B52">
            <w:pPr>
              <w:ind w:left="26"/>
              <w:rPr>
                <w:b/>
                <w:bCs/>
                <w:sz w:val="26"/>
                <w:szCs w:val="26"/>
              </w:rPr>
            </w:pPr>
            <w:bookmarkStart w:id="2" w:name="FirstAppellant"/>
            <w:r w:rsidRPr="00F03B52">
              <w:rPr>
                <w:rFonts w:hint="cs"/>
                <w:b/>
                <w:bCs/>
                <w:sz w:val="26"/>
                <w:szCs w:val="26"/>
                <w:rtl/>
              </w:rPr>
              <w:t>ה</w:t>
            </w:r>
            <w:r w:rsidRPr="00F03B52">
              <w:rPr>
                <w:rFonts w:hint="cs"/>
                <w:rtl/>
              </w:rPr>
              <w:t>מאשימה</w:t>
            </w:r>
          </w:p>
        </w:tc>
        <w:tc>
          <w:tcPr>
            <w:tcW w:w="5922" w:type="dxa"/>
            <w:gridSpan w:val="2"/>
          </w:tcPr>
          <w:p w14:paraId="24D5147B" w14:textId="77777777" w:rsidR="00D14CE9" w:rsidRPr="00F03B52" w:rsidRDefault="00F03B52">
            <w:pPr>
              <w:rPr>
                <w:b/>
                <w:bCs/>
                <w:sz w:val="26"/>
                <w:szCs w:val="26"/>
              </w:rPr>
            </w:pPr>
            <w:r w:rsidRPr="00F03B52">
              <w:rPr>
                <w:rFonts w:hint="cs"/>
                <w:rtl/>
              </w:rPr>
              <w:t>מדינת ישראל</w:t>
            </w:r>
          </w:p>
        </w:tc>
      </w:tr>
      <w:bookmarkEnd w:id="2"/>
      <w:tr w:rsidR="00D14CE9" w:rsidRPr="00F03B52" w14:paraId="1E037F72" w14:textId="77777777">
        <w:tc>
          <w:tcPr>
            <w:tcW w:w="8802" w:type="dxa"/>
            <w:gridSpan w:val="3"/>
          </w:tcPr>
          <w:p w14:paraId="3EBADF52" w14:textId="77777777" w:rsidR="00D14CE9" w:rsidRPr="00F03B52" w:rsidRDefault="00D14CE9">
            <w:pPr>
              <w:jc w:val="both"/>
              <w:rPr>
                <w:rFonts w:ascii="Arial" w:hAnsi="Arial"/>
                <w:b/>
                <w:bCs/>
                <w:sz w:val="26"/>
                <w:szCs w:val="26"/>
                <w:rtl/>
              </w:rPr>
            </w:pPr>
          </w:p>
          <w:p w14:paraId="22162894" w14:textId="77777777" w:rsidR="00D14CE9" w:rsidRPr="00F03B52" w:rsidRDefault="00F03B52">
            <w:pPr>
              <w:jc w:val="center"/>
              <w:rPr>
                <w:rFonts w:ascii="Arial" w:hAnsi="Arial"/>
                <w:b/>
                <w:bCs/>
                <w:sz w:val="26"/>
                <w:szCs w:val="26"/>
                <w:rtl/>
              </w:rPr>
            </w:pPr>
            <w:r w:rsidRPr="00F03B52">
              <w:rPr>
                <w:rFonts w:ascii="Arial" w:hAnsi="Arial" w:hint="cs"/>
                <w:b/>
                <w:bCs/>
                <w:sz w:val="26"/>
                <w:szCs w:val="26"/>
                <w:rtl/>
              </w:rPr>
              <w:t>נגד</w:t>
            </w:r>
          </w:p>
          <w:p w14:paraId="471F7CCC" w14:textId="77777777" w:rsidR="00D14CE9" w:rsidRPr="00F03B52" w:rsidRDefault="00D14CE9">
            <w:pPr>
              <w:jc w:val="center"/>
              <w:rPr>
                <w:rFonts w:ascii="Arial" w:hAnsi="Arial"/>
                <w:b/>
                <w:bCs/>
                <w:sz w:val="26"/>
                <w:szCs w:val="26"/>
              </w:rPr>
            </w:pPr>
          </w:p>
        </w:tc>
      </w:tr>
      <w:tr w:rsidR="00D14CE9" w:rsidRPr="00F03B52" w14:paraId="2D0CBFA0" w14:textId="77777777">
        <w:tc>
          <w:tcPr>
            <w:tcW w:w="2880" w:type="dxa"/>
          </w:tcPr>
          <w:p w14:paraId="073CEA05" w14:textId="77777777" w:rsidR="00D14CE9" w:rsidRPr="00F03B52" w:rsidRDefault="00F03B52">
            <w:pPr>
              <w:ind w:left="26"/>
              <w:rPr>
                <w:b/>
                <w:bCs/>
                <w:sz w:val="26"/>
                <w:szCs w:val="26"/>
              </w:rPr>
            </w:pPr>
            <w:r w:rsidRPr="00F03B52">
              <w:rPr>
                <w:rFonts w:hint="cs"/>
                <w:b/>
                <w:bCs/>
                <w:sz w:val="26"/>
                <w:szCs w:val="26"/>
                <w:rtl/>
              </w:rPr>
              <w:t>ה</w:t>
            </w:r>
            <w:r w:rsidRPr="00F03B52">
              <w:rPr>
                <w:rFonts w:hint="cs"/>
                <w:rtl/>
              </w:rPr>
              <w:t>נאשם</w:t>
            </w:r>
          </w:p>
        </w:tc>
        <w:tc>
          <w:tcPr>
            <w:tcW w:w="5922" w:type="dxa"/>
            <w:gridSpan w:val="2"/>
          </w:tcPr>
          <w:p w14:paraId="46EA7EBC" w14:textId="77777777" w:rsidR="00D14CE9" w:rsidRPr="00F03B52" w:rsidRDefault="00F03B52">
            <w:pPr>
              <w:rPr>
                <w:b/>
                <w:bCs/>
                <w:sz w:val="26"/>
                <w:szCs w:val="26"/>
              </w:rPr>
            </w:pPr>
            <w:r w:rsidRPr="00F03B52">
              <w:rPr>
                <w:rFonts w:hint="cs"/>
                <w:rtl/>
              </w:rPr>
              <w:t>מוחמד עמאש ת.ז. 205764640</w:t>
            </w:r>
          </w:p>
        </w:tc>
      </w:tr>
    </w:tbl>
    <w:p w14:paraId="5D2021FC" w14:textId="77777777" w:rsidR="00AE197F" w:rsidRDefault="00AE197F">
      <w:pPr>
        <w:rPr>
          <w:rtl/>
        </w:rPr>
      </w:pPr>
      <w:bookmarkStart w:id="3" w:name="LawTable"/>
      <w:bookmarkEnd w:id="3"/>
    </w:p>
    <w:p w14:paraId="34C4979D" w14:textId="77777777" w:rsidR="00AE197F" w:rsidRPr="00AE197F" w:rsidRDefault="00AE197F" w:rsidP="00AE197F">
      <w:pPr>
        <w:spacing w:after="120" w:line="240" w:lineRule="exact"/>
        <w:ind w:left="283" w:hanging="283"/>
        <w:jc w:val="both"/>
        <w:rPr>
          <w:rFonts w:ascii="FrankRuehl" w:hAnsi="FrankRuehl" w:cs="FrankRuehl"/>
          <w:rtl/>
        </w:rPr>
      </w:pPr>
    </w:p>
    <w:p w14:paraId="74F93E6B" w14:textId="77777777" w:rsidR="00AE197F" w:rsidRPr="00AE197F" w:rsidRDefault="00AE197F" w:rsidP="00AE197F">
      <w:pPr>
        <w:spacing w:after="120" w:line="240" w:lineRule="exact"/>
        <w:ind w:left="283" w:hanging="283"/>
        <w:jc w:val="both"/>
        <w:rPr>
          <w:rFonts w:ascii="FrankRuehl" w:hAnsi="FrankRuehl" w:cs="FrankRuehl"/>
          <w:rtl/>
        </w:rPr>
      </w:pPr>
      <w:r w:rsidRPr="00AE197F">
        <w:rPr>
          <w:rFonts w:ascii="FrankRuehl" w:hAnsi="FrankRuehl" w:cs="FrankRuehl"/>
          <w:rtl/>
        </w:rPr>
        <w:t xml:space="preserve">חקיקה שאוזכרה: </w:t>
      </w:r>
    </w:p>
    <w:p w14:paraId="18DC8DA7" w14:textId="77777777" w:rsidR="00AE197F" w:rsidRPr="00AE197F" w:rsidRDefault="00AE197F" w:rsidP="00AE197F">
      <w:pPr>
        <w:spacing w:after="120" w:line="240" w:lineRule="exact"/>
        <w:ind w:left="283" w:hanging="283"/>
        <w:jc w:val="both"/>
        <w:rPr>
          <w:rFonts w:ascii="FrankRuehl" w:hAnsi="FrankRuehl" w:cs="FrankRuehl"/>
          <w:color w:val="0000FF"/>
          <w:u w:val="single"/>
          <w:rtl/>
        </w:rPr>
      </w:pPr>
      <w:hyperlink r:id="rId7" w:history="1">
        <w:r w:rsidRPr="00AE197F">
          <w:rPr>
            <w:rStyle w:val="Hyperlink"/>
            <w:rFonts w:ascii="FrankRuehl" w:hAnsi="FrankRuehl" w:cs="FrankRuehl"/>
            <w:rtl/>
          </w:rPr>
          <w:t>חוק העונשין, תשל"ז-1977</w:t>
        </w:r>
      </w:hyperlink>
      <w:r w:rsidRPr="00AE197F">
        <w:rPr>
          <w:rFonts w:ascii="FrankRuehl" w:hAnsi="FrankRuehl" w:cs="FrankRuehl"/>
          <w:color w:val="0000FF"/>
          <w:u w:val="single"/>
          <w:rtl/>
        </w:rPr>
        <w:t xml:space="preserve">: סע'  </w:t>
      </w:r>
      <w:hyperlink r:id="rId8" w:history="1">
        <w:r w:rsidRPr="00AE197F">
          <w:rPr>
            <w:rStyle w:val="Hyperlink"/>
            <w:rFonts w:ascii="FrankRuehl" w:hAnsi="FrankRuehl" w:cs="FrankRuehl"/>
          </w:rPr>
          <w:t>29</w:t>
        </w:r>
      </w:hyperlink>
      <w:r w:rsidRPr="00AE197F">
        <w:rPr>
          <w:rFonts w:ascii="FrankRuehl" w:hAnsi="FrankRuehl" w:cs="FrankRuehl"/>
          <w:color w:val="0000FF"/>
          <w:u w:val="single"/>
          <w:rtl/>
        </w:rPr>
        <w:t xml:space="preserve">, </w:t>
      </w:r>
      <w:hyperlink r:id="rId9" w:history="1">
        <w:r w:rsidRPr="00AE197F">
          <w:rPr>
            <w:rStyle w:val="Hyperlink"/>
            <w:rFonts w:ascii="FrankRuehl" w:hAnsi="FrankRuehl" w:cs="FrankRuehl"/>
          </w:rPr>
          <w:t>31</w:t>
        </w:r>
      </w:hyperlink>
      <w:r w:rsidRPr="00AE197F">
        <w:rPr>
          <w:rFonts w:ascii="FrankRuehl" w:hAnsi="FrankRuehl" w:cs="FrankRuehl"/>
          <w:color w:val="0000FF"/>
          <w:u w:val="single"/>
          <w:rtl/>
        </w:rPr>
        <w:t xml:space="preserve">, </w:t>
      </w:r>
      <w:hyperlink r:id="rId10" w:history="1">
        <w:r w:rsidRPr="00AE197F">
          <w:rPr>
            <w:rStyle w:val="Hyperlink"/>
            <w:rFonts w:ascii="FrankRuehl" w:hAnsi="FrankRuehl" w:cs="FrankRuehl"/>
          </w:rPr>
          <w:t>40</w:t>
        </w:r>
        <w:r w:rsidRPr="00AE197F">
          <w:rPr>
            <w:rStyle w:val="Hyperlink"/>
            <w:rFonts w:ascii="FrankRuehl" w:hAnsi="FrankRuehl" w:cs="FrankRuehl"/>
            <w:rtl/>
          </w:rPr>
          <w:t>ב</w:t>
        </w:r>
        <w:r w:rsidRPr="00AE197F">
          <w:rPr>
            <w:rStyle w:val="Hyperlink"/>
            <w:rFonts w:ascii="FrankRuehl" w:hAnsi="FrankRuehl" w:cs="FrankRuehl"/>
          </w:rPr>
          <w:t>'</w:t>
        </w:r>
      </w:hyperlink>
      <w:r w:rsidRPr="00AE197F">
        <w:rPr>
          <w:rFonts w:ascii="FrankRuehl" w:hAnsi="FrankRuehl" w:cs="FrankRuehl"/>
          <w:color w:val="0000FF"/>
          <w:u w:val="single"/>
          <w:rtl/>
        </w:rPr>
        <w:t xml:space="preserve">, </w:t>
      </w:r>
      <w:hyperlink r:id="rId11" w:history="1">
        <w:r w:rsidRPr="00AE197F">
          <w:rPr>
            <w:rStyle w:val="Hyperlink"/>
            <w:rFonts w:ascii="FrankRuehl" w:hAnsi="FrankRuehl" w:cs="FrankRuehl"/>
          </w:rPr>
          <w:t>144(</w:t>
        </w:r>
        <w:r w:rsidRPr="00AE197F">
          <w:rPr>
            <w:rStyle w:val="Hyperlink"/>
            <w:rFonts w:ascii="FrankRuehl" w:hAnsi="FrankRuehl" w:cs="FrankRuehl"/>
            <w:rtl/>
          </w:rPr>
          <w:t>א</w:t>
        </w:r>
        <w:r w:rsidRPr="00AE197F">
          <w:rPr>
            <w:rStyle w:val="Hyperlink"/>
            <w:rFonts w:ascii="FrankRuehl" w:hAnsi="FrankRuehl" w:cs="FrankRuehl"/>
          </w:rPr>
          <w:t>)</w:t>
        </w:r>
      </w:hyperlink>
      <w:r w:rsidRPr="00AE197F">
        <w:rPr>
          <w:rFonts w:ascii="FrankRuehl" w:hAnsi="FrankRuehl" w:cs="FrankRuehl"/>
          <w:color w:val="0000FF"/>
          <w:u w:val="single"/>
          <w:rtl/>
        </w:rPr>
        <w:t xml:space="preserve">, </w:t>
      </w:r>
      <w:hyperlink r:id="rId12" w:history="1">
        <w:r w:rsidRPr="00AE197F">
          <w:rPr>
            <w:rStyle w:val="Hyperlink"/>
            <w:rFonts w:ascii="FrankRuehl" w:hAnsi="FrankRuehl" w:cs="FrankRuehl"/>
          </w:rPr>
          <w:t>144(</w:t>
        </w:r>
        <w:r w:rsidRPr="00AE197F">
          <w:rPr>
            <w:rStyle w:val="Hyperlink"/>
            <w:rFonts w:ascii="FrankRuehl" w:hAnsi="FrankRuehl" w:cs="FrankRuehl"/>
            <w:rtl/>
          </w:rPr>
          <w:t>ב</w:t>
        </w:r>
        <w:r w:rsidRPr="00AE197F">
          <w:rPr>
            <w:rStyle w:val="Hyperlink"/>
            <w:rFonts w:ascii="FrankRuehl" w:hAnsi="FrankRuehl" w:cs="FrankRuehl"/>
          </w:rPr>
          <w:t>)</w:t>
        </w:r>
      </w:hyperlink>
    </w:p>
    <w:p w14:paraId="60330008" w14:textId="77777777" w:rsidR="00AE197F" w:rsidRPr="00AE197F" w:rsidRDefault="00AE197F" w:rsidP="00AE197F">
      <w:pPr>
        <w:spacing w:after="120" w:line="240" w:lineRule="exact"/>
        <w:ind w:left="283" w:hanging="283"/>
        <w:jc w:val="both"/>
        <w:rPr>
          <w:rFonts w:ascii="FrankRuehl" w:hAnsi="FrankRuehl" w:cs="FrankRuehl"/>
          <w:color w:val="0000FF"/>
          <w:u w:val="single"/>
          <w:rtl/>
        </w:rPr>
      </w:pPr>
      <w:hyperlink r:id="rId13" w:history="1">
        <w:r w:rsidRPr="00AE197F">
          <w:rPr>
            <w:rStyle w:val="Hyperlink"/>
            <w:rFonts w:ascii="FrankRuehl" w:hAnsi="FrankRuehl" w:cs="FrankRuehl"/>
            <w:rtl/>
          </w:rPr>
          <w:t>פקודת המבחן [נוסח חדש], תשכ"ט-1969</w:t>
        </w:r>
      </w:hyperlink>
      <w:r w:rsidRPr="00AE197F">
        <w:rPr>
          <w:rFonts w:ascii="FrankRuehl" w:hAnsi="FrankRuehl" w:cs="FrankRuehl"/>
          <w:color w:val="0000FF"/>
          <w:u w:val="single"/>
          <w:rtl/>
        </w:rPr>
        <w:t xml:space="preserve">: סע'  </w:t>
      </w:r>
      <w:hyperlink r:id="rId14" w:history="1">
        <w:r w:rsidRPr="00AE197F">
          <w:rPr>
            <w:rStyle w:val="Hyperlink"/>
            <w:rFonts w:ascii="FrankRuehl" w:hAnsi="FrankRuehl" w:cs="FrankRuehl"/>
          </w:rPr>
          <w:t>1(</w:t>
        </w:r>
        <w:r w:rsidRPr="00AE197F">
          <w:rPr>
            <w:rStyle w:val="Hyperlink"/>
            <w:rFonts w:ascii="FrankRuehl" w:hAnsi="FrankRuehl" w:cs="FrankRuehl"/>
            <w:rtl/>
          </w:rPr>
          <w:t>ב</w:t>
        </w:r>
        <w:r w:rsidRPr="00AE197F">
          <w:rPr>
            <w:rStyle w:val="Hyperlink"/>
            <w:rFonts w:ascii="FrankRuehl" w:hAnsi="FrankRuehl" w:cs="FrankRuehl"/>
          </w:rPr>
          <w:t>)</w:t>
        </w:r>
      </w:hyperlink>
    </w:p>
    <w:p w14:paraId="1F950DDF" w14:textId="77777777" w:rsidR="00AE197F" w:rsidRPr="00AE197F" w:rsidRDefault="00AE197F" w:rsidP="00AE197F">
      <w:pPr>
        <w:spacing w:after="120" w:line="240" w:lineRule="exact"/>
        <w:ind w:left="283" w:hanging="283"/>
        <w:jc w:val="both"/>
        <w:rPr>
          <w:rFonts w:ascii="FrankRuehl" w:hAnsi="FrankRuehl" w:cs="FrankRuehl"/>
          <w:rtl/>
        </w:rPr>
      </w:pPr>
    </w:p>
    <w:p w14:paraId="3441EB1F" w14:textId="77777777" w:rsidR="00D14CE9" w:rsidRPr="00F03B52" w:rsidRDefault="00D14CE9">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4CE9" w14:paraId="23F12E2B" w14:textId="77777777">
        <w:trPr>
          <w:trHeight w:val="355"/>
          <w:jc w:val="center"/>
        </w:trPr>
        <w:tc>
          <w:tcPr>
            <w:tcW w:w="8820" w:type="dxa"/>
            <w:tcBorders>
              <w:top w:val="nil"/>
              <w:left w:val="nil"/>
              <w:bottom w:val="nil"/>
              <w:right w:val="nil"/>
            </w:tcBorders>
          </w:tcPr>
          <w:p w14:paraId="5FE5C632" w14:textId="77777777" w:rsidR="00F03B52" w:rsidRPr="00F03B52" w:rsidRDefault="00F03B52" w:rsidP="00F03B52">
            <w:pPr>
              <w:jc w:val="center"/>
              <w:rPr>
                <w:rFonts w:ascii="Arial" w:hAnsi="Arial" w:cs="FrankRuehl"/>
                <w:b/>
                <w:bCs/>
                <w:sz w:val="32"/>
                <w:szCs w:val="32"/>
                <w:u w:val="single"/>
                <w:rtl/>
              </w:rPr>
            </w:pPr>
            <w:bookmarkStart w:id="5" w:name="PsakDin" w:colFirst="0" w:colLast="0"/>
            <w:bookmarkEnd w:id="0"/>
            <w:r w:rsidRPr="00F03B52">
              <w:rPr>
                <w:rFonts w:ascii="Arial" w:hAnsi="Arial" w:cs="FrankRuehl"/>
                <w:b/>
                <w:bCs/>
                <w:sz w:val="32"/>
                <w:szCs w:val="32"/>
                <w:u w:val="single"/>
                <w:rtl/>
              </w:rPr>
              <w:t>גזר דין</w:t>
            </w:r>
          </w:p>
          <w:p w14:paraId="0CF16660" w14:textId="77777777" w:rsidR="00D14CE9" w:rsidRPr="00F03B52" w:rsidRDefault="00D14CE9" w:rsidP="00F03B52">
            <w:pPr>
              <w:jc w:val="center"/>
              <w:rPr>
                <w:rFonts w:ascii="Arial" w:hAnsi="Arial" w:cs="FrankRuehl"/>
                <w:bCs/>
                <w:sz w:val="32"/>
                <w:szCs w:val="32"/>
                <w:u w:val="single"/>
                <w:rtl/>
              </w:rPr>
            </w:pPr>
          </w:p>
        </w:tc>
      </w:tr>
      <w:bookmarkEnd w:id="5"/>
    </w:tbl>
    <w:p w14:paraId="7684F16C" w14:textId="77777777" w:rsidR="00D14CE9" w:rsidRDefault="00D14CE9">
      <w:pPr>
        <w:rPr>
          <w:rFonts w:ascii="Arial" w:hAnsi="Arial"/>
          <w:rtl/>
        </w:rPr>
      </w:pPr>
    </w:p>
    <w:p w14:paraId="652EB936" w14:textId="77777777" w:rsidR="00D14CE9" w:rsidRDefault="00D14CE9">
      <w:pPr>
        <w:rPr>
          <w:rFonts w:ascii="Arial" w:hAnsi="Arial"/>
          <w:rtl/>
        </w:rPr>
      </w:pPr>
    </w:p>
    <w:p w14:paraId="4C844BEB" w14:textId="77777777" w:rsidR="00D14CE9" w:rsidRDefault="00F03B52">
      <w:pPr>
        <w:spacing w:line="360" w:lineRule="auto"/>
        <w:ind w:left="360" w:firstLine="360"/>
        <w:rPr>
          <w:rFonts w:cs="Miriam"/>
          <w:sz w:val="28"/>
          <w:szCs w:val="28"/>
        </w:rPr>
      </w:pPr>
      <w:r>
        <w:rPr>
          <w:rFonts w:cs="Miriam"/>
          <w:sz w:val="28"/>
          <w:szCs w:val="28"/>
          <w:rtl/>
        </w:rPr>
        <w:t>מבוא</w:t>
      </w:r>
    </w:p>
    <w:p w14:paraId="0A616784" w14:textId="77777777" w:rsidR="00D14CE9" w:rsidRDefault="00F03B52">
      <w:pPr>
        <w:spacing w:line="360" w:lineRule="auto"/>
        <w:ind w:left="720"/>
        <w:jc w:val="both"/>
        <w:rPr>
          <w:rFonts w:cs="FrankRuehl"/>
          <w:sz w:val="28"/>
          <w:szCs w:val="28"/>
          <w:rtl/>
        </w:rPr>
      </w:pPr>
      <w:bookmarkStart w:id="6" w:name="ABSTRACT_START"/>
      <w:bookmarkEnd w:id="6"/>
      <w:r>
        <w:rPr>
          <w:rFonts w:cs="FrankRuehl"/>
          <w:sz w:val="28"/>
          <w:szCs w:val="28"/>
          <w:rtl/>
        </w:rPr>
        <w:t>במסגרת הסדר טיעון שלא כולל הסכמה לענ</w:t>
      </w:r>
      <w:r>
        <w:rPr>
          <w:rFonts w:cs="FrankRuehl" w:hint="cs"/>
          <w:sz w:val="28"/>
          <w:szCs w:val="28"/>
          <w:rtl/>
        </w:rPr>
        <w:t>י</w:t>
      </w:r>
      <w:r>
        <w:rPr>
          <w:rFonts w:cs="FrankRuehl"/>
          <w:sz w:val="28"/>
          <w:szCs w:val="28"/>
          <w:rtl/>
        </w:rPr>
        <w:t xml:space="preserve">ין העונש, הורשע הנאשם בביצוע עבירה בנשק (נשיאה והובלה)- עבירה לפי </w:t>
      </w:r>
      <w:hyperlink r:id="rId15" w:history="1">
        <w:r w:rsidR="00AE197F" w:rsidRPr="00AE197F">
          <w:rPr>
            <w:rStyle w:val="Hyperlink"/>
            <w:rFonts w:cs="FrankRuehl"/>
            <w:sz w:val="28"/>
            <w:szCs w:val="28"/>
            <w:rtl/>
          </w:rPr>
          <w:t>סעיף 144(ב)</w:t>
        </w:r>
      </w:hyperlink>
      <w:r>
        <w:rPr>
          <w:rFonts w:cs="FrankRuehl"/>
          <w:sz w:val="28"/>
          <w:szCs w:val="28"/>
          <w:rtl/>
        </w:rPr>
        <w:t xml:space="preserve"> רישא ביחד עם </w:t>
      </w:r>
      <w:hyperlink r:id="rId16" w:history="1">
        <w:r w:rsidR="00AE197F" w:rsidRPr="00AE197F">
          <w:rPr>
            <w:rStyle w:val="Hyperlink"/>
            <w:rFonts w:cs="FrankRuehl"/>
            <w:sz w:val="28"/>
            <w:szCs w:val="28"/>
            <w:rtl/>
          </w:rPr>
          <w:t>סעיף 29</w:t>
        </w:r>
      </w:hyperlink>
      <w:r>
        <w:rPr>
          <w:rFonts w:cs="FrankRuehl"/>
          <w:sz w:val="28"/>
          <w:szCs w:val="28"/>
          <w:rtl/>
        </w:rPr>
        <w:t xml:space="preserve"> </w:t>
      </w:r>
      <w:r>
        <w:rPr>
          <w:rFonts w:cs="Miriam"/>
          <w:rtl/>
        </w:rPr>
        <w:t>ל</w:t>
      </w:r>
      <w:hyperlink r:id="rId17" w:history="1">
        <w:r w:rsidRPr="00F03B52">
          <w:rPr>
            <w:rFonts w:cs="Miriam"/>
            <w:color w:val="0000FF"/>
            <w:u w:val="single"/>
            <w:rtl/>
          </w:rPr>
          <w:t>חוק העונשין</w:t>
        </w:r>
      </w:hyperlink>
      <w:r>
        <w:rPr>
          <w:rFonts w:cs="Miriam"/>
          <w:rtl/>
        </w:rPr>
        <w:t>-התשל"ז-1977</w:t>
      </w:r>
      <w:r>
        <w:rPr>
          <w:rFonts w:cs="FrankRuehl"/>
          <w:sz w:val="28"/>
          <w:szCs w:val="28"/>
          <w:rtl/>
        </w:rPr>
        <w:t xml:space="preserve">, (להלן-החוק). </w:t>
      </w:r>
    </w:p>
    <w:p w14:paraId="55CCF111" w14:textId="77777777" w:rsidR="00D14CE9" w:rsidRDefault="00D14CE9">
      <w:pPr>
        <w:spacing w:line="360" w:lineRule="auto"/>
        <w:ind w:left="720"/>
        <w:jc w:val="both"/>
        <w:rPr>
          <w:rFonts w:cs="FrankRuehl"/>
          <w:sz w:val="28"/>
          <w:szCs w:val="28"/>
        </w:rPr>
      </w:pPr>
    </w:p>
    <w:p w14:paraId="32490945" w14:textId="77777777" w:rsidR="00D14CE9" w:rsidRDefault="00F03B52">
      <w:pPr>
        <w:spacing w:line="360" w:lineRule="auto"/>
        <w:ind w:left="720"/>
        <w:jc w:val="both"/>
        <w:rPr>
          <w:rFonts w:cs="FrankRuehl"/>
          <w:sz w:val="28"/>
          <w:szCs w:val="28"/>
          <w:rtl/>
        </w:rPr>
      </w:pPr>
      <w:r>
        <w:rPr>
          <w:rFonts w:cs="FrankRuehl"/>
          <w:sz w:val="28"/>
          <w:szCs w:val="28"/>
          <w:rtl/>
        </w:rPr>
        <w:t>על פי עובדות כתב האישום המתוקן, ביום 17.9.2013, הנאשם יליד 23.8.1994, ישב לצד חברו זיד ג'רבאן (להלן-זיד) ברכב, כשלמרגלות מושבו, נשק מסוג תת מקלע דמוי קארל גוסטב שסוגל לירות כדור ולהמית אדם.</w:t>
      </w:r>
    </w:p>
    <w:p w14:paraId="36F56BB7" w14:textId="77777777" w:rsidR="00D14CE9" w:rsidRDefault="00D14CE9">
      <w:pPr>
        <w:spacing w:line="360" w:lineRule="auto"/>
        <w:ind w:left="720"/>
        <w:jc w:val="both"/>
        <w:rPr>
          <w:rFonts w:cs="FrankRuehl"/>
          <w:sz w:val="28"/>
          <w:szCs w:val="28"/>
        </w:rPr>
      </w:pPr>
      <w:bookmarkStart w:id="7" w:name="ABSTRACT_END"/>
      <w:bookmarkEnd w:id="7"/>
    </w:p>
    <w:p w14:paraId="0032288C" w14:textId="77777777" w:rsidR="00D14CE9" w:rsidRDefault="00F03B52">
      <w:pPr>
        <w:spacing w:line="360" w:lineRule="auto"/>
        <w:ind w:left="720"/>
        <w:jc w:val="both"/>
        <w:rPr>
          <w:rFonts w:cs="FrankRuehl"/>
          <w:sz w:val="28"/>
          <w:szCs w:val="28"/>
          <w:rtl/>
        </w:rPr>
      </w:pPr>
      <w:r>
        <w:rPr>
          <w:rFonts w:cs="FrankRuehl" w:hint="cs"/>
          <w:sz w:val="28"/>
          <w:szCs w:val="28"/>
          <w:rtl/>
        </w:rPr>
        <w:t xml:space="preserve">במהלך שמיעת העדויות, </w:t>
      </w:r>
      <w:r>
        <w:rPr>
          <w:rFonts w:cs="FrankRuehl"/>
          <w:sz w:val="28"/>
          <w:szCs w:val="28"/>
          <w:rtl/>
        </w:rPr>
        <w:t>ביום 28.1.2014 הורשע הנאשם בעקבות הודאתו בעובדות כתב אישום מתוקן ובשל גילו  הצעיר התבקש שירות המבחן להכין תסקיר לעני</w:t>
      </w:r>
      <w:r>
        <w:rPr>
          <w:rFonts w:cs="FrankRuehl" w:hint="cs"/>
          <w:sz w:val="28"/>
          <w:szCs w:val="28"/>
          <w:rtl/>
        </w:rPr>
        <w:t>י</w:t>
      </w:r>
      <w:r>
        <w:rPr>
          <w:rFonts w:cs="FrankRuehl"/>
          <w:sz w:val="28"/>
          <w:szCs w:val="28"/>
          <w:rtl/>
        </w:rPr>
        <w:t>ן העונש</w:t>
      </w:r>
      <w:r>
        <w:rPr>
          <w:rFonts w:cs="FrankRuehl" w:hint="cs"/>
          <w:sz w:val="28"/>
          <w:szCs w:val="28"/>
          <w:rtl/>
        </w:rPr>
        <w:t xml:space="preserve">. </w:t>
      </w:r>
      <w:r>
        <w:rPr>
          <w:rFonts w:cs="FrankRuehl"/>
          <w:sz w:val="28"/>
          <w:szCs w:val="28"/>
          <w:rtl/>
        </w:rPr>
        <w:t>ביום 1.5.2014 הוגש תסקיר ממנו עלה כי הנאשם לא הודה בביצוע העבירה, ולבקשת הסנגור א</w:t>
      </w:r>
      <w:r>
        <w:rPr>
          <w:rFonts w:cs="FrankRuehl" w:hint="cs"/>
          <w:sz w:val="28"/>
          <w:szCs w:val="28"/>
          <w:rtl/>
        </w:rPr>
        <w:t>י</w:t>
      </w:r>
      <w:r>
        <w:rPr>
          <w:rFonts w:cs="FrankRuehl"/>
          <w:sz w:val="28"/>
          <w:szCs w:val="28"/>
          <w:rtl/>
        </w:rPr>
        <w:t>פשרתי לנאשם לחזור בו מהודאתו, וביטלתי את הרשעתו. זיד שבינתיים משפטו הסתיים צורף כעד תביעה ונמשכה שמיעת העדויות.</w:t>
      </w:r>
    </w:p>
    <w:p w14:paraId="1F4A26E7" w14:textId="77777777" w:rsidR="00D14CE9" w:rsidRDefault="00D14CE9">
      <w:pPr>
        <w:spacing w:line="360" w:lineRule="auto"/>
        <w:ind w:left="720"/>
        <w:jc w:val="both"/>
        <w:rPr>
          <w:rFonts w:cs="FrankRuehl"/>
          <w:sz w:val="28"/>
          <w:szCs w:val="28"/>
          <w:rtl/>
        </w:rPr>
      </w:pPr>
    </w:p>
    <w:p w14:paraId="7AC32D8E" w14:textId="77777777" w:rsidR="00D14CE9" w:rsidRDefault="00F03B52">
      <w:pPr>
        <w:spacing w:line="360" w:lineRule="auto"/>
        <w:ind w:left="720"/>
        <w:jc w:val="both"/>
        <w:rPr>
          <w:rFonts w:cs="FrankRuehl"/>
          <w:sz w:val="28"/>
          <w:szCs w:val="28"/>
          <w:rtl/>
        </w:rPr>
      </w:pPr>
      <w:r>
        <w:rPr>
          <w:rFonts w:cs="FrankRuehl"/>
          <w:sz w:val="28"/>
          <w:szCs w:val="28"/>
          <w:rtl/>
        </w:rPr>
        <w:t>ביום 30.11.2014 שוב הודיעו הצדדים כי הגיעו להסדר טיעון, כתב האישום תוקן, הנאשם הורשע כאמור ושירות המבחן התבקש להכין תסקיר לענ</w:t>
      </w:r>
      <w:r>
        <w:rPr>
          <w:rFonts w:cs="FrankRuehl" w:hint="cs"/>
          <w:sz w:val="28"/>
          <w:szCs w:val="28"/>
          <w:rtl/>
        </w:rPr>
        <w:t>י</w:t>
      </w:r>
      <w:r>
        <w:rPr>
          <w:rFonts w:cs="FrankRuehl"/>
          <w:sz w:val="28"/>
          <w:szCs w:val="28"/>
          <w:rtl/>
        </w:rPr>
        <w:t>ין העונש.</w:t>
      </w:r>
    </w:p>
    <w:p w14:paraId="2CB78D4F" w14:textId="77777777" w:rsidR="00D14CE9" w:rsidRDefault="00D14CE9">
      <w:pPr>
        <w:spacing w:line="360" w:lineRule="auto"/>
        <w:ind w:left="720"/>
        <w:jc w:val="both"/>
        <w:rPr>
          <w:rFonts w:cs="FrankRuehl"/>
          <w:sz w:val="28"/>
          <w:szCs w:val="28"/>
          <w:rtl/>
        </w:rPr>
      </w:pPr>
    </w:p>
    <w:p w14:paraId="18B4D8C2" w14:textId="77777777" w:rsidR="00D14CE9" w:rsidRDefault="00D14CE9">
      <w:pPr>
        <w:spacing w:line="360" w:lineRule="auto"/>
        <w:ind w:left="720"/>
        <w:jc w:val="both"/>
        <w:rPr>
          <w:rFonts w:cs="FrankRuehl"/>
          <w:sz w:val="28"/>
          <w:szCs w:val="28"/>
          <w:rtl/>
        </w:rPr>
      </w:pPr>
    </w:p>
    <w:p w14:paraId="6CEC41C5" w14:textId="77777777" w:rsidR="00D14CE9" w:rsidRDefault="00D14CE9">
      <w:pPr>
        <w:spacing w:line="360" w:lineRule="auto"/>
        <w:ind w:left="720"/>
        <w:jc w:val="both"/>
        <w:rPr>
          <w:rFonts w:cs="FrankRuehl"/>
          <w:sz w:val="28"/>
          <w:szCs w:val="28"/>
        </w:rPr>
      </w:pPr>
    </w:p>
    <w:p w14:paraId="3EA424B8" w14:textId="77777777" w:rsidR="00D14CE9" w:rsidRDefault="00F03B52">
      <w:pPr>
        <w:spacing w:line="360" w:lineRule="auto"/>
        <w:ind w:left="720"/>
        <w:jc w:val="both"/>
        <w:rPr>
          <w:rFonts w:cs="FrankRuehl"/>
          <w:sz w:val="28"/>
          <w:szCs w:val="28"/>
          <w:rtl/>
        </w:rPr>
      </w:pPr>
      <w:r>
        <w:rPr>
          <w:rFonts w:cs="FrankRuehl"/>
          <w:sz w:val="28"/>
          <w:szCs w:val="28"/>
          <w:rtl/>
        </w:rPr>
        <w:t xml:space="preserve">זיד הועמד למשפט בגין אותו אירוע כשיוחסה לו עבירה של סיוע להחזקת אותו נשק, עבירה לפי </w:t>
      </w:r>
      <w:hyperlink r:id="rId18" w:history="1">
        <w:r w:rsidR="00AE197F" w:rsidRPr="00AE197F">
          <w:rPr>
            <w:rStyle w:val="Hyperlink"/>
            <w:rFonts w:cs="FrankRuehl"/>
            <w:sz w:val="28"/>
            <w:szCs w:val="28"/>
            <w:rtl/>
          </w:rPr>
          <w:t>סעיף 144(א)</w:t>
        </w:r>
      </w:hyperlink>
      <w:r>
        <w:rPr>
          <w:rFonts w:cs="FrankRuehl"/>
          <w:sz w:val="28"/>
          <w:szCs w:val="28"/>
          <w:rtl/>
        </w:rPr>
        <w:t xml:space="preserve"> רישא ביחד עם </w:t>
      </w:r>
      <w:hyperlink r:id="rId19" w:history="1">
        <w:r w:rsidR="00AE197F" w:rsidRPr="00AE197F">
          <w:rPr>
            <w:rStyle w:val="Hyperlink"/>
            <w:rFonts w:cs="FrankRuehl"/>
            <w:sz w:val="28"/>
            <w:szCs w:val="28"/>
            <w:rtl/>
          </w:rPr>
          <w:t>סעיף 31</w:t>
        </w:r>
      </w:hyperlink>
      <w:r>
        <w:rPr>
          <w:rFonts w:cs="FrankRuehl"/>
          <w:sz w:val="28"/>
          <w:szCs w:val="28"/>
          <w:rtl/>
        </w:rPr>
        <w:t xml:space="preserve"> לחוק. הוא הודה במסגרת הסדר טיעון  ונדון למאסר על תנאי למשך 8 חודשים ביחד עם תשלום קנס בשיעור של 3,000 ש"ח (ראו ס/1, גזר הדין ב</w:t>
      </w:r>
      <w:hyperlink r:id="rId20" w:history="1">
        <w:r w:rsidRPr="00F03B52">
          <w:rPr>
            <w:rFonts w:cs="FrankRuehl"/>
            <w:color w:val="0000FF"/>
            <w:sz w:val="28"/>
            <w:szCs w:val="28"/>
            <w:u w:val="single"/>
            <w:rtl/>
          </w:rPr>
          <w:t>ת"פ 3615-10-13</w:t>
        </w:r>
      </w:hyperlink>
      <w:r>
        <w:rPr>
          <w:rFonts w:cs="FrankRuehl"/>
          <w:sz w:val="28"/>
          <w:szCs w:val="28"/>
          <w:rtl/>
        </w:rPr>
        <w:t>).</w:t>
      </w:r>
    </w:p>
    <w:p w14:paraId="3A216DF4" w14:textId="77777777" w:rsidR="00D14CE9" w:rsidRDefault="00D14CE9">
      <w:pPr>
        <w:spacing w:line="360" w:lineRule="auto"/>
        <w:ind w:left="720"/>
        <w:jc w:val="both"/>
        <w:rPr>
          <w:rFonts w:cs="FrankRuehl"/>
          <w:sz w:val="28"/>
          <w:szCs w:val="28"/>
        </w:rPr>
      </w:pPr>
    </w:p>
    <w:p w14:paraId="2F83EB94" w14:textId="77777777" w:rsidR="00D14CE9" w:rsidRDefault="00F03B52">
      <w:pPr>
        <w:spacing w:line="360" w:lineRule="auto"/>
        <w:ind w:left="360" w:firstLine="360"/>
        <w:rPr>
          <w:rFonts w:cs="Miriam"/>
        </w:rPr>
      </w:pPr>
      <w:r>
        <w:rPr>
          <w:rFonts w:cs="Miriam"/>
          <w:rtl/>
        </w:rPr>
        <w:t>ראיות לעונש</w:t>
      </w:r>
    </w:p>
    <w:p w14:paraId="72F1609C" w14:textId="77777777" w:rsidR="00D14CE9" w:rsidRDefault="00F03B52">
      <w:pPr>
        <w:spacing w:line="360" w:lineRule="auto"/>
        <w:ind w:left="720"/>
        <w:jc w:val="both"/>
        <w:rPr>
          <w:rFonts w:cs="FrankRuehl"/>
          <w:sz w:val="28"/>
          <w:szCs w:val="28"/>
          <w:rtl/>
        </w:rPr>
      </w:pPr>
      <w:r>
        <w:rPr>
          <w:rFonts w:cs="FrankRuehl"/>
          <w:sz w:val="28"/>
          <w:szCs w:val="28"/>
          <w:rtl/>
        </w:rPr>
        <w:t>מטעם המאשימה הוגש תדפיס המידע הפלילי (ט/1) לפיו ביום 10.6.2014 ביצע הנאשם עבירה של הפרת הוראה חוקית, בגינה נדון למאסר מותנה בן חודשיים.</w:t>
      </w:r>
    </w:p>
    <w:p w14:paraId="31142454" w14:textId="77777777" w:rsidR="00D14CE9" w:rsidRDefault="00D14CE9">
      <w:pPr>
        <w:spacing w:line="360" w:lineRule="auto"/>
        <w:ind w:left="720"/>
        <w:jc w:val="both"/>
        <w:rPr>
          <w:rFonts w:cs="FrankRuehl"/>
          <w:sz w:val="28"/>
          <w:szCs w:val="28"/>
        </w:rPr>
      </w:pPr>
    </w:p>
    <w:p w14:paraId="6CC27478" w14:textId="77777777" w:rsidR="00D14CE9" w:rsidRDefault="00F03B52">
      <w:pPr>
        <w:spacing w:line="360" w:lineRule="auto"/>
        <w:ind w:left="360" w:firstLine="360"/>
        <w:rPr>
          <w:rFonts w:cs="Miriam"/>
          <w:rtl/>
        </w:rPr>
      </w:pPr>
      <w:r>
        <w:rPr>
          <w:rFonts w:cs="Miriam"/>
          <w:rtl/>
        </w:rPr>
        <w:t>תסקיר שירות המבחן, חוות דעת הממונה על עבודות השירות</w:t>
      </w:r>
    </w:p>
    <w:p w14:paraId="7AFB0425" w14:textId="77777777" w:rsidR="00D14CE9" w:rsidRDefault="00F03B52">
      <w:pPr>
        <w:spacing w:line="360" w:lineRule="auto"/>
        <w:ind w:left="720"/>
        <w:jc w:val="both"/>
        <w:rPr>
          <w:rFonts w:cs="FrankRuehl"/>
          <w:sz w:val="28"/>
          <w:szCs w:val="28"/>
          <w:rtl/>
        </w:rPr>
      </w:pPr>
      <w:r>
        <w:rPr>
          <w:rFonts w:cs="FrankRuehl"/>
          <w:sz w:val="28"/>
          <w:szCs w:val="28"/>
          <w:rtl/>
        </w:rPr>
        <w:t>בתסקיר מיום 17.2.2015</w:t>
      </w:r>
      <w:r>
        <w:rPr>
          <w:rFonts w:cs="FrankRuehl" w:hint="cs"/>
          <w:sz w:val="28"/>
          <w:szCs w:val="28"/>
          <w:rtl/>
        </w:rPr>
        <w:t xml:space="preserve"> </w:t>
      </w:r>
      <w:r>
        <w:rPr>
          <w:rFonts w:cs="FrankRuehl"/>
          <w:sz w:val="28"/>
          <w:szCs w:val="28"/>
          <w:rtl/>
        </w:rPr>
        <w:t>העריכה קצינת המבחן כי הסיכון להישנות התנהגות דומה נמוך, והומלץ להעמיד הנאשם בצו מבחן לתקופה של שנה במהלכו ישולב הנאשם בתהליך טיפול קבוצתי ומאחר ועל פי הערכת</w:t>
      </w:r>
      <w:r>
        <w:rPr>
          <w:rFonts w:cs="FrankRuehl" w:hint="cs"/>
          <w:sz w:val="28"/>
          <w:szCs w:val="28"/>
          <w:rtl/>
        </w:rPr>
        <w:t>ה</w:t>
      </w:r>
      <w:r>
        <w:rPr>
          <w:rFonts w:cs="FrankRuehl"/>
          <w:sz w:val="28"/>
          <w:szCs w:val="28"/>
          <w:rtl/>
        </w:rPr>
        <w:t xml:space="preserve"> קיימת סכנה לנאשם אם יו</w:t>
      </w:r>
      <w:r>
        <w:rPr>
          <w:rFonts w:cs="FrankRuehl" w:hint="cs"/>
          <w:sz w:val="28"/>
          <w:szCs w:val="28"/>
          <w:rtl/>
        </w:rPr>
        <w:t>ט</w:t>
      </w:r>
      <w:r>
        <w:rPr>
          <w:rFonts w:cs="FrankRuehl"/>
          <w:sz w:val="28"/>
          <w:szCs w:val="28"/>
          <w:rtl/>
        </w:rPr>
        <w:t>ל עליו עונש של מאסר בפועל, הומלץ לשקול אפשרות שילובו בביצוע עבודות שירות.</w:t>
      </w:r>
    </w:p>
    <w:p w14:paraId="0ADAF6A8" w14:textId="77777777" w:rsidR="00D14CE9" w:rsidRDefault="00D14CE9">
      <w:pPr>
        <w:spacing w:line="360" w:lineRule="auto"/>
        <w:ind w:left="720"/>
        <w:jc w:val="both"/>
        <w:rPr>
          <w:rFonts w:cs="FrankRuehl"/>
          <w:sz w:val="28"/>
          <w:szCs w:val="28"/>
          <w:rtl/>
        </w:rPr>
      </w:pPr>
    </w:p>
    <w:p w14:paraId="0D353E36" w14:textId="77777777" w:rsidR="00D14CE9" w:rsidRDefault="00F03B52">
      <w:pPr>
        <w:spacing w:line="360" w:lineRule="auto"/>
        <w:ind w:left="720"/>
        <w:jc w:val="both"/>
        <w:rPr>
          <w:rFonts w:cs="FrankRuehl"/>
          <w:sz w:val="28"/>
          <w:szCs w:val="28"/>
          <w:rtl/>
        </w:rPr>
      </w:pPr>
      <w:r>
        <w:rPr>
          <w:rFonts w:cs="FrankRuehl"/>
          <w:sz w:val="28"/>
          <w:szCs w:val="28"/>
          <w:rtl/>
        </w:rPr>
        <w:t xml:space="preserve">בחוות דעת הממונה מיום </w:t>
      </w:r>
      <w:r>
        <w:rPr>
          <w:rFonts w:cs="FrankRuehl" w:hint="cs"/>
          <w:sz w:val="28"/>
          <w:szCs w:val="28"/>
          <w:rtl/>
        </w:rPr>
        <w:t xml:space="preserve">4.5.2015 </w:t>
      </w:r>
      <w:r>
        <w:rPr>
          <w:rFonts w:cs="FrankRuehl"/>
          <w:sz w:val="28"/>
          <w:szCs w:val="28"/>
          <w:rtl/>
        </w:rPr>
        <w:t>נקבע כי הנאשם כשיר לבצע עבודות שירות</w:t>
      </w:r>
      <w:r>
        <w:rPr>
          <w:rFonts w:cs="FrankRuehl" w:hint="cs"/>
          <w:sz w:val="28"/>
          <w:szCs w:val="28"/>
          <w:rtl/>
        </w:rPr>
        <w:t>.</w:t>
      </w:r>
    </w:p>
    <w:p w14:paraId="4EA0536A" w14:textId="77777777" w:rsidR="00D14CE9" w:rsidRDefault="00D14CE9">
      <w:pPr>
        <w:spacing w:line="360" w:lineRule="auto"/>
        <w:ind w:left="720"/>
        <w:jc w:val="both"/>
        <w:rPr>
          <w:rFonts w:cs="FrankRuehl"/>
          <w:sz w:val="28"/>
          <w:szCs w:val="28"/>
          <w:rtl/>
        </w:rPr>
      </w:pPr>
    </w:p>
    <w:p w14:paraId="77ACF361" w14:textId="77777777" w:rsidR="00D14CE9" w:rsidRDefault="00F03B52">
      <w:pPr>
        <w:spacing w:line="360" w:lineRule="auto"/>
        <w:ind w:left="720"/>
        <w:rPr>
          <w:rFonts w:cs="Miriam"/>
        </w:rPr>
      </w:pPr>
      <w:r>
        <w:rPr>
          <w:rFonts w:cs="Miriam"/>
          <w:rtl/>
        </w:rPr>
        <w:t>תמצית טענות הצדדים</w:t>
      </w:r>
    </w:p>
    <w:p w14:paraId="4101C354" w14:textId="77777777" w:rsidR="00D14CE9" w:rsidRDefault="00F03B52">
      <w:pPr>
        <w:numPr>
          <w:ilvl w:val="0"/>
          <w:numId w:val="2"/>
        </w:numPr>
        <w:spacing w:line="360" w:lineRule="auto"/>
        <w:jc w:val="both"/>
        <w:rPr>
          <w:rFonts w:cs="FrankRuehl"/>
          <w:sz w:val="28"/>
          <w:szCs w:val="28"/>
        </w:rPr>
      </w:pPr>
      <w:r>
        <w:rPr>
          <w:rFonts w:cs="FrankRuehl"/>
          <w:sz w:val="28"/>
          <w:szCs w:val="28"/>
          <w:rtl/>
        </w:rPr>
        <w:t xml:space="preserve">ב"כ המאשימה בטיעוניה בכתב (ט/2) ובע"פ ביקשה לקבוע מתחם ענישה הולם של שנתיים עד ארבע שנות מאסר, לקבוע את עונשו </w:t>
      </w:r>
      <w:r>
        <w:rPr>
          <w:rFonts w:cs="FrankRuehl" w:hint="cs"/>
          <w:sz w:val="28"/>
          <w:szCs w:val="28"/>
          <w:rtl/>
        </w:rPr>
        <w:t xml:space="preserve">של הנאשם </w:t>
      </w:r>
      <w:r>
        <w:rPr>
          <w:rFonts w:cs="FrankRuehl"/>
          <w:sz w:val="28"/>
          <w:szCs w:val="28"/>
          <w:rtl/>
        </w:rPr>
        <w:t>בתו</w:t>
      </w:r>
      <w:r>
        <w:rPr>
          <w:rFonts w:cs="FrankRuehl" w:hint="cs"/>
          <w:sz w:val="28"/>
          <w:szCs w:val="28"/>
          <w:rtl/>
        </w:rPr>
        <w:t>ך</w:t>
      </w:r>
      <w:r>
        <w:rPr>
          <w:rFonts w:cs="FrankRuehl"/>
          <w:sz w:val="28"/>
          <w:szCs w:val="28"/>
          <w:rtl/>
        </w:rPr>
        <w:t xml:space="preserve"> המתחם בנוסף למאסר מותנה וקנס מרתיעים. בטיעוניה שמה דגש על חומרת העבירה שרק במזל גדול ובשל תושיית השוטרים שעצרו את הנאשם וחברו, לא נגרם נזק בפועל</w:t>
      </w:r>
      <w:r>
        <w:rPr>
          <w:rFonts w:cs="FrankRuehl" w:hint="cs"/>
          <w:sz w:val="28"/>
          <w:szCs w:val="28"/>
          <w:rtl/>
        </w:rPr>
        <w:t xml:space="preserve">. </w:t>
      </w:r>
      <w:r>
        <w:rPr>
          <w:rFonts w:cs="FrankRuehl"/>
          <w:sz w:val="28"/>
          <w:szCs w:val="28"/>
          <w:rtl/>
        </w:rPr>
        <w:t xml:space="preserve">לתמיכה בטיעוניה הפנתה לפסקי דין שונים באשר למדיניות הענישה לגבי עבירות בנשק: פסק דין שבו החמיר בית המשפט העליון בעונשו של נאשם שהורשע בהחזקת נשק והעמידו על 18 </w:t>
      </w:r>
      <w:r>
        <w:rPr>
          <w:rFonts w:cs="FrankRuehl"/>
          <w:sz w:val="28"/>
          <w:szCs w:val="28"/>
          <w:rtl/>
        </w:rPr>
        <w:lastRenderedPageBreak/>
        <w:t>חודשי מאסר בפועל (</w:t>
      </w:r>
      <w:hyperlink r:id="rId21" w:history="1">
        <w:r w:rsidRPr="00F03B52">
          <w:rPr>
            <w:rFonts w:cs="FrankRuehl"/>
            <w:color w:val="0000FF"/>
            <w:sz w:val="28"/>
            <w:szCs w:val="28"/>
            <w:u w:val="single"/>
            <w:rtl/>
          </w:rPr>
          <w:t>ע"פ 3288/14</w:t>
        </w:r>
      </w:hyperlink>
      <w:r>
        <w:rPr>
          <w:rFonts w:cs="FrankRuehl"/>
          <w:sz w:val="28"/>
          <w:szCs w:val="28"/>
          <w:rtl/>
        </w:rPr>
        <w:t>), תיקים בהם נגזר</w:t>
      </w:r>
      <w:r>
        <w:rPr>
          <w:rFonts w:cs="FrankRuehl" w:hint="cs"/>
          <w:sz w:val="28"/>
          <w:szCs w:val="28"/>
          <w:rtl/>
        </w:rPr>
        <w:t>ו</w:t>
      </w:r>
      <w:r>
        <w:rPr>
          <w:rFonts w:cs="FrankRuehl"/>
          <w:sz w:val="28"/>
          <w:szCs w:val="28"/>
          <w:rtl/>
        </w:rPr>
        <w:t xml:space="preserve"> עונש</w:t>
      </w:r>
      <w:r>
        <w:rPr>
          <w:rFonts w:cs="FrankRuehl" w:hint="cs"/>
          <w:sz w:val="28"/>
          <w:szCs w:val="28"/>
          <w:rtl/>
        </w:rPr>
        <w:t>ים</w:t>
      </w:r>
      <w:r>
        <w:rPr>
          <w:rFonts w:cs="FrankRuehl"/>
          <w:sz w:val="28"/>
          <w:szCs w:val="28"/>
          <w:rtl/>
        </w:rPr>
        <w:t xml:space="preserve"> של 24 חודשי מאסר (</w:t>
      </w:r>
      <w:hyperlink r:id="rId22" w:history="1">
        <w:r w:rsidRPr="00F03B52">
          <w:rPr>
            <w:rFonts w:cs="FrankRuehl"/>
            <w:color w:val="0000FF"/>
            <w:sz w:val="28"/>
            <w:szCs w:val="28"/>
            <w:u w:val="single"/>
            <w:rtl/>
          </w:rPr>
          <w:t>רע"פ 5909/03</w:t>
        </w:r>
      </w:hyperlink>
      <w:r>
        <w:rPr>
          <w:rFonts w:cs="FrankRuehl"/>
          <w:sz w:val="28"/>
          <w:szCs w:val="28"/>
          <w:rtl/>
        </w:rPr>
        <w:t xml:space="preserve">, </w:t>
      </w:r>
      <w:hyperlink r:id="rId23" w:history="1">
        <w:r w:rsidRPr="00F03B52">
          <w:rPr>
            <w:rFonts w:cs="FrankRuehl"/>
            <w:color w:val="0000FF"/>
            <w:sz w:val="28"/>
            <w:szCs w:val="28"/>
            <w:u w:val="single"/>
            <w:rtl/>
          </w:rPr>
          <w:t>ע"פ 761/07</w:t>
        </w:r>
      </w:hyperlink>
      <w:r>
        <w:rPr>
          <w:rFonts w:cs="FrankRuehl"/>
          <w:sz w:val="28"/>
          <w:szCs w:val="28"/>
          <w:rtl/>
        </w:rPr>
        <w:t xml:space="preserve"> ו</w:t>
      </w:r>
      <w:hyperlink r:id="rId24" w:history="1">
        <w:r w:rsidRPr="00F03B52">
          <w:rPr>
            <w:rFonts w:cs="FrankRuehl"/>
            <w:color w:val="0000FF"/>
            <w:sz w:val="28"/>
            <w:szCs w:val="28"/>
            <w:u w:val="single"/>
            <w:rtl/>
          </w:rPr>
          <w:t>ע"פ 7955/06</w:t>
        </w:r>
      </w:hyperlink>
      <w:r>
        <w:rPr>
          <w:rFonts w:cs="FrankRuehl"/>
          <w:sz w:val="28"/>
          <w:szCs w:val="28"/>
          <w:rtl/>
        </w:rPr>
        <w:t xml:space="preserve">), </w:t>
      </w:r>
      <w:hyperlink r:id="rId25" w:history="1">
        <w:r w:rsidRPr="00F03B52">
          <w:rPr>
            <w:rFonts w:cs="FrankRuehl"/>
            <w:color w:val="0000FF"/>
            <w:sz w:val="28"/>
            <w:szCs w:val="28"/>
            <w:u w:val="single"/>
            <w:rtl/>
          </w:rPr>
          <w:t>ע"פ 9373/10</w:t>
        </w:r>
      </w:hyperlink>
      <w:r>
        <w:rPr>
          <w:rFonts w:cs="FrankRuehl"/>
          <w:sz w:val="28"/>
          <w:szCs w:val="28"/>
          <w:rtl/>
        </w:rPr>
        <w:t xml:space="preserve"> בו הוטל עונש של 30 חודשי מאסר, </w:t>
      </w:r>
      <w:hyperlink r:id="rId26" w:history="1">
        <w:r w:rsidRPr="00F03B52">
          <w:rPr>
            <w:rFonts w:cs="FrankRuehl"/>
            <w:color w:val="0000FF"/>
            <w:sz w:val="28"/>
            <w:szCs w:val="28"/>
            <w:u w:val="single"/>
            <w:rtl/>
          </w:rPr>
          <w:t>ע"פ 3156/11</w:t>
        </w:r>
      </w:hyperlink>
      <w:r>
        <w:rPr>
          <w:rFonts w:cs="FrankRuehl"/>
          <w:sz w:val="28"/>
          <w:szCs w:val="28"/>
          <w:rtl/>
        </w:rPr>
        <w:t xml:space="preserve"> או </w:t>
      </w:r>
      <w:hyperlink r:id="rId27" w:history="1">
        <w:r w:rsidRPr="00F03B52">
          <w:rPr>
            <w:rFonts w:cs="FrankRuehl"/>
            <w:color w:val="0000FF"/>
            <w:sz w:val="28"/>
            <w:szCs w:val="28"/>
            <w:u w:val="single"/>
            <w:rtl/>
          </w:rPr>
          <w:t>ע"פ 2839/05</w:t>
        </w:r>
      </w:hyperlink>
      <w:r>
        <w:rPr>
          <w:rFonts w:cs="FrankRuehl"/>
          <w:sz w:val="28"/>
          <w:szCs w:val="28"/>
          <w:rtl/>
        </w:rPr>
        <w:t xml:space="preserve"> בהם הוטל עונש של 3 שנות מאסר. בנוסף הבהירה כי יש לאבחן לחומרה מקרה זה ביחס לעונשו של זיד, משום שהנאשם היה המבצע העיקרי בעוד שזיד הורשע רק בסיוע.</w:t>
      </w:r>
    </w:p>
    <w:p w14:paraId="7BAF475A" w14:textId="77777777" w:rsidR="00D14CE9" w:rsidRDefault="00F03B52">
      <w:pPr>
        <w:spacing w:line="360" w:lineRule="auto"/>
        <w:ind w:left="720"/>
        <w:jc w:val="both"/>
        <w:rPr>
          <w:rFonts w:cs="FrankRuehl"/>
          <w:sz w:val="28"/>
          <w:szCs w:val="28"/>
          <w:rtl/>
        </w:rPr>
      </w:pPr>
      <w:r>
        <w:rPr>
          <w:rFonts w:cs="FrankRuehl"/>
          <w:sz w:val="28"/>
          <w:szCs w:val="28"/>
          <w:rtl/>
        </w:rPr>
        <w:t>[בטיעונים בכתב ט/2 הועלו בטעות טעונים מתיק אחר ראו פרק "קביעת עונשו של הנאשם" עמודים 5  ואילך, שם מדובר על נאשם ללא עבר פלילי שדודו העיד לטובתו והוצגו מוצגים מטעם סנגורו].</w:t>
      </w:r>
    </w:p>
    <w:p w14:paraId="0E513FBC" w14:textId="77777777" w:rsidR="00D14CE9" w:rsidRDefault="00D14CE9">
      <w:pPr>
        <w:spacing w:line="360" w:lineRule="auto"/>
        <w:ind w:left="720"/>
        <w:jc w:val="both"/>
        <w:rPr>
          <w:rFonts w:cs="FrankRuehl"/>
          <w:sz w:val="28"/>
          <w:szCs w:val="28"/>
        </w:rPr>
      </w:pPr>
    </w:p>
    <w:p w14:paraId="5E06C279" w14:textId="77777777" w:rsidR="00D14CE9" w:rsidRDefault="00F03B52">
      <w:pPr>
        <w:numPr>
          <w:ilvl w:val="0"/>
          <w:numId w:val="2"/>
        </w:numPr>
        <w:spacing w:line="360" w:lineRule="auto"/>
        <w:jc w:val="both"/>
        <w:rPr>
          <w:rFonts w:cs="FrankRuehl"/>
          <w:sz w:val="28"/>
          <w:szCs w:val="28"/>
        </w:rPr>
      </w:pPr>
      <w:r>
        <w:rPr>
          <w:rFonts w:cs="FrankRuehl"/>
          <w:sz w:val="28"/>
          <w:szCs w:val="28"/>
          <w:rtl/>
        </w:rPr>
        <w:t>ב"כ  הנאשם שם דגש בטיעוניו על אחידות ה</w:t>
      </w:r>
      <w:r>
        <w:rPr>
          <w:rFonts w:cs="FrankRuehl" w:hint="cs"/>
          <w:sz w:val="28"/>
          <w:szCs w:val="28"/>
          <w:rtl/>
        </w:rPr>
        <w:t>ענישה</w:t>
      </w:r>
      <w:r>
        <w:rPr>
          <w:rFonts w:cs="FrankRuehl"/>
          <w:sz w:val="28"/>
          <w:szCs w:val="28"/>
          <w:rtl/>
        </w:rPr>
        <w:t>, לצורך כך הפנה לגזר הדין בעני</w:t>
      </w:r>
      <w:r>
        <w:rPr>
          <w:rFonts w:cs="FrankRuehl" w:hint="cs"/>
          <w:sz w:val="28"/>
          <w:szCs w:val="28"/>
          <w:rtl/>
        </w:rPr>
        <w:t>י</w:t>
      </w:r>
      <w:r>
        <w:rPr>
          <w:rFonts w:cs="FrankRuehl"/>
          <w:sz w:val="28"/>
          <w:szCs w:val="28"/>
          <w:rtl/>
        </w:rPr>
        <w:t>נו של זיד (ס/1) שהיה המסייע באותה פרשה. זיד נדון למאסר מותנה וקנס ו</w:t>
      </w:r>
      <w:r>
        <w:rPr>
          <w:rFonts w:cs="FrankRuehl" w:hint="cs"/>
          <w:sz w:val="28"/>
          <w:szCs w:val="28"/>
          <w:rtl/>
        </w:rPr>
        <w:t xml:space="preserve">לטענתו </w:t>
      </w:r>
      <w:r>
        <w:rPr>
          <w:rFonts w:cs="FrankRuehl"/>
          <w:sz w:val="28"/>
          <w:szCs w:val="28"/>
          <w:rtl/>
        </w:rPr>
        <w:t xml:space="preserve">בהוראת המחוקק עונשו של הנאשם צריך להיות כפול ולא מעבר לכך כבקשת המאשימה, במיוחד שהמאשימה לא הגישה ערעור על גזר דינו של זיד. בנוסף ביקש לקחת בחשבון תקופת "מעצר בית" ארוכה מאוד למשך שנה בה שהה הנאשם, (תקופה ארוכה לטענתו מהתקופה בה שהה זיד), </w:t>
      </w:r>
      <w:r>
        <w:rPr>
          <w:rFonts w:cs="FrankRuehl" w:hint="cs"/>
          <w:sz w:val="28"/>
          <w:szCs w:val="28"/>
          <w:rtl/>
        </w:rPr>
        <w:t xml:space="preserve">ועוד הוסיף כי </w:t>
      </w:r>
      <w:r>
        <w:rPr>
          <w:rFonts w:cs="FrankRuehl"/>
          <w:sz w:val="28"/>
          <w:szCs w:val="28"/>
          <w:rtl/>
        </w:rPr>
        <w:t>הנאשם  היה כבן 19 בעת ביצוע העבירה (צעיר לטענתו מזיד).</w:t>
      </w:r>
    </w:p>
    <w:p w14:paraId="445F781E" w14:textId="77777777" w:rsidR="00D14CE9" w:rsidRDefault="00D14CE9">
      <w:pPr>
        <w:spacing w:line="360" w:lineRule="auto"/>
        <w:ind w:left="720"/>
        <w:jc w:val="both"/>
        <w:rPr>
          <w:rFonts w:cs="FrankRuehl"/>
          <w:sz w:val="28"/>
          <w:szCs w:val="28"/>
        </w:rPr>
      </w:pPr>
    </w:p>
    <w:p w14:paraId="1D9000C6" w14:textId="77777777" w:rsidR="00D14CE9" w:rsidRDefault="00F03B52">
      <w:pPr>
        <w:spacing w:line="360" w:lineRule="auto"/>
        <w:ind w:left="720"/>
        <w:jc w:val="both"/>
        <w:rPr>
          <w:rFonts w:cs="FrankRuehl"/>
          <w:sz w:val="28"/>
          <w:szCs w:val="28"/>
          <w:rtl/>
        </w:rPr>
      </w:pPr>
      <w:r>
        <w:rPr>
          <w:rFonts w:cs="FrankRuehl"/>
          <w:sz w:val="28"/>
          <w:szCs w:val="28"/>
          <w:rtl/>
        </w:rPr>
        <w:t>הנאשם הביע בתום הטיעונים צער רב על מעשיו והסכים לשאת בעונש גם בדרך של עבודות שירות.</w:t>
      </w:r>
    </w:p>
    <w:p w14:paraId="387A78A8" w14:textId="77777777" w:rsidR="00D14CE9" w:rsidRDefault="00D14CE9">
      <w:pPr>
        <w:spacing w:line="360" w:lineRule="auto"/>
        <w:ind w:left="720"/>
        <w:jc w:val="both"/>
        <w:rPr>
          <w:rFonts w:cs="FrankRuehl"/>
          <w:sz w:val="28"/>
          <w:szCs w:val="28"/>
        </w:rPr>
      </w:pPr>
    </w:p>
    <w:p w14:paraId="4D739EDF" w14:textId="77777777" w:rsidR="00D14CE9" w:rsidRDefault="00F03B52">
      <w:pPr>
        <w:spacing w:line="360" w:lineRule="auto"/>
        <w:ind w:left="360" w:firstLine="360"/>
        <w:rPr>
          <w:rFonts w:cs="Miriam"/>
        </w:rPr>
      </w:pPr>
      <w:r>
        <w:rPr>
          <w:rFonts w:cs="Miriam"/>
          <w:rtl/>
        </w:rPr>
        <w:t>דיון</w:t>
      </w:r>
    </w:p>
    <w:p w14:paraId="67A2A2AE" w14:textId="77777777" w:rsidR="00D14CE9" w:rsidRDefault="00F03B52">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שקובע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28" w:history="1">
        <w:r w:rsidR="00AE197F" w:rsidRPr="00AE197F">
          <w:rPr>
            <w:rStyle w:val="Hyperlink"/>
            <w:rFonts w:cs="FrankRuehl"/>
            <w:sz w:val="28"/>
            <w:szCs w:val="28"/>
            <w:rtl/>
          </w:rPr>
          <w:t>סעיף 40ב'</w:t>
        </w:r>
      </w:hyperlink>
      <w:r>
        <w:rPr>
          <w:rFonts w:cs="FrankRuehl"/>
          <w:color w:val="000000"/>
          <w:sz w:val="28"/>
          <w:szCs w:val="28"/>
          <w:rtl/>
        </w:rPr>
        <w:t xml:space="preserve"> לחוק).</w:t>
      </w:r>
    </w:p>
    <w:p w14:paraId="6547ECF6" w14:textId="77777777" w:rsidR="00D14CE9" w:rsidRDefault="00D14CE9">
      <w:pPr>
        <w:spacing w:line="360" w:lineRule="auto"/>
        <w:ind w:left="720"/>
        <w:jc w:val="both"/>
        <w:rPr>
          <w:rFonts w:cs="FrankRuehl"/>
          <w:color w:val="000000"/>
          <w:sz w:val="28"/>
          <w:szCs w:val="28"/>
          <w:rtl/>
        </w:rPr>
      </w:pPr>
    </w:p>
    <w:p w14:paraId="135A8DF5" w14:textId="77777777" w:rsidR="00D14CE9" w:rsidRDefault="00F03B52">
      <w:pPr>
        <w:spacing w:line="360" w:lineRule="auto"/>
        <w:ind w:left="360" w:firstLine="360"/>
        <w:rPr>
          <w:rFonts w:cs="Miriam"/>
          <w:rtl/>
        </w:rPr>
      </w:pPr>
      <w:r>
        <w:rPr>
          <w:rFonts w:cs="Miriam"/>
          <w:rtl/>
        </w:rPr>
        <w:t>מתחם העונש ההולם</w:t>
      </w:r>
    </w:p>
    <w:p w14:paraId="1404BBC2" w14:textId="77777777" w:rsidR="00D14CE9" w:rsidRDefault="00F03B52">
      <w:pPr>
        <w:spacing w:line="360" w:lineRule="auto"/>
        <w:ind w:firstLine="720"/>
        <w:jc w:val="both"/>
        <w:rPr>
          <w:rFonts w:cs="FrankRuehl"/>
          <w:sz w:val="28"/>
          <w:szCs w:val="28"/>
          <w:rtl/>
        </w:rPr>
      </w:pPr>
      <w:r>
        <w:rPr>
          <w:rFonts w:cs="FrankRuehl"/>
          <w:sz w:val="28"/>
          <w:szCs w:val="28"/>
          <w:rtl/>
        </w:rPr>
        <w:t>במקרה זה נפגע במידה לא חמורה, הערך החברתי של שלום הציבור ובטחונו.</w:t>
      </w:r>
    </w:p>
    <w:p w14:paraId="14A3CD75" w14:textId="77777777" w:rsidR="00D14CE9" w:rsidRDefault="00D14CE9">
      <w:pPr>
        <w:spacing w:line="360" w:lineRule="auto"/>
        <w:ind w:firstLine="720"/>
        <w:jc w:val="both"/>
        <w:rPr>
          <w:rFonts w:cs="FrankRuehl"/>
          <w:sz w:val="28"/>
          <w:szCs w:val="28"/>
          <w:rtl/>
        </w:rPr>
      </w:pPr>
    </w:p>
    <w:p w14:paraId="6B0DBC05" w14:textId="77777777" w:rsidR="00D14CE9" w:rsidRDefault="00F03B52">
      <w:pPr>
        <w:spacing w:line="360" w:lineRule="auto"/>
        <w:ind w:left="720"/>
        <w:jc w:val="both"/>
        <w:rPr>
          <w:rFonts w:cs="FrankRuehl"/>
          <w:sz w:val="28"/>
          <w:szCs w:val="28"/>
          <w:rtl/>
        </w:rPr>
      </w:pPr>
      <w:r>
        <w:rPr>
          <w:rFonts w:cs="FrankRuehl"/>
          <w:sz w:val="28"/>
          <w:szCs w:val="28"/>
          <w:rtl/>
        </w:rPr>
        <w:t>הנאשם נשא והוביל ברכב השייך לזיד, נשק מסוג תת מקלע דמוי קארל גוסטב, הנשק הוא כמובן בעל פוטנציאל פגיעה רב, אך חשוב לזכור כי במקרה זה הנשק היה ללא מחסנית או כדורים.</w:t>
      </w:r>
    </w:p>
    <w:p w14:paraId="08F306B4" w14:textId="77777777" w:rsidR="00D14CE9" w:rsidRDefault="00D14CE9">
      <w:pPr>
        <w:spacing w:line="360" w:lineRule="auto"/>
        <w:ind w:left="720"/>
        <w:jc w:val="both"/>
        <w:rPr>
          <w:rFonts w:cs="FrankRuehl"/>
          <w:sz w:val="28"/>
          <w:szCs w:val="28"/>
          <w:rtl/>
        </w:rPr>
      </w:pPr>
    </w:p>
    <w:p w14:paraId="6E54D6AB" w14:textId="77777777" w:rsidR="00D14CE9" w:rsidRDefault="00F03B52">
      <w:pPr>
        <w:spacing w:line="360" w:lineRule="auto"/>
        <w:ind w:left="720"/>
        <w:jc w:val="both"/>
        <w:rPr>
          <w:rFonts w:cs="FrankRuehl"/>
          <w:sz w:val="28"/>
          <w:szCs w:val="28"/>
        </w:rPr>
      </w:pPr>
      <w:r>
        <w:rPr>
          <w:rFonts w:cs="FrankRuehl"/>
          <w:sz w:val="28"/>
          <w:szCs w:val="28"/>
          <w:rtl/>
        </w:rPr>
        <w:t>זה השלב להזכיר את המטרה לשמה נועד תיקון 113 לחוק, ואפנה לעני</w:t>
      </w:r>
      <w:r>
        <w:rPr>
          <w:rFonts w:cs="FrankRuehl" w:hint="cs"/>
          <w:sz w:val="28"/>
          <w:szCs w:val="28"/>
          <w:rtl/>
        </w:rPr>
        <w:t>י</w:t>
      </w:r>
      <w:r>
        <w:rPr>
          <w:rFonts w:cs="FrankRuehl"/>
          <w:sz w:val="28"/>
          <w:szCs w:val="28"/>
          <w:rtl/>
        </w:rPr>
        <w:t>ן זה לפסק דינה של כב' השופטת ארבל שמוזכר בטיעוני המאשימה:</w:t>
      </w:r>
    </w:p>
    <w:p w14:paraId="47BC4F90" w14:textId="77777777" w:rsidR="00D14CE9" w:rsidRDefault="00F03B52">
      <w:pPr>
        <w:pStyle w:val="Ruller3"/>
        <w:spacing w:line="240" w:lineRule="auto"/>
        <w:ind w:left="1440" w:right="540"/>
        <w:jc w:val="both"/>
        <w:rPr>
          <w:sz w:val="28"/>
          <w:rtl/>
        </w:rPr>
      </w:pPr>
      <w:bookmarkStart w:id="8" w:name="BeginProtocol"/>
      <w:bookmarkStart w:id="9" w:name="secretary"/>
      <w:bookmarkEnd w:id="8"/>
      <w:bookmarkEnd w:id="9"/>
      <w:r>
        <w:rPr>
          <w:sz w:val="28"/>
          <w:rtl/>
        </w:rPr>
        <w:t>"לפני כשנה נכנס לתוקף תיקון מספר 113 ל</w:t>
      </w:r>
      <w:hyperlink r:id="rId29" w:history="1">
        <w:r w:rsidRPr="00F03B52">
          <w:rPr>
            <w:color w:val="0000FF"/>
            <w:sz w:val="28"/>
            <w:u w:val="single"/>
            <w:rtl/>
          </w:rPr>
          <w:t>חוק העונשין</w:t>
        </w:r>
      </w:hyperlink>
      <w:r>
        <w:rPr>
          <w:sz w:val="28"/>
          <w:rtl/>
        </w:rPr>
        <w:t>, אשר מטרתו היא להבנות את שיקול-דעתו של בית המשפט במלאכת גזירת הדין בהתאם לעקרונות ושיקולים מנחים, המפורטים בסעיפיו של סימן א'1 בפרק ו' לחוק... שמתחם העונש אינו משמש כ"תעריף ענישה קבוע" שאותו יש להחיל בצורה אוטומטית בכל המקרים העתידיים. הדברים שלהלן מיטיבים להסביר זאת: "...אכן, ניתן לחשוב על עבירות פשוטות ונפוצות (דוגמת עבירות תעבורה מסוימות) בהן אין בדרך כלל שונות גדולה בנסיבות ביצוע העבירה או במידת האשם של מבצעי העבירה. ניתן לשער כי בעבירות מסוג זה ייווצרו בפועל מתחמי ענישה אשר ישמשו את בתי המשפט השונים ואשר ייצרו האחדה ושוויון ברף הענישה." (</w:t>
      </w:r>
      <w:r>
        <w:rPr>
          <w:rFonts w:cs="Miriam"/>
          <w:sz w:val="24"/>
          <w:szCs w:val="24"/>
          <w:rtl/>
        </w:rPr>
        <w:t xml:space="preserve">חגית לרנאו וישי שרון "שמונה הכרעות ערכיות בחקיקת חוק הבניית שיקול הדעת השיפוטי בענישה" </w:t>
      </w:r>
      <w:r>
        <w:rPr>
          <w:sz w:val="28"/>
          <w:rtl/>
        </w:rPr>
        <w:t xml:space="preserve">הסנגור 183 14, 17 (2012)", (ההדגשות אינו במקור, א.א), </w:t>
      </w:r>
      <w:hyperlink r:id="rId30" w:history="1">
        <w:r w:rsidRPr="00F03B52">
          <w:rPr>
            <w:color w:val="0000FF"/>
            <w:sz w:val="28"/>
            <w:u w:val="single"/>
            <w:rtl/>
          </w:rPr>
          <w:t>ע"פ 1323/13</w:t>
        </w:r>
      </w:hyperlink>
      <w:r>
        <w:rPr>
          <w:sz w:val="28"/>
          <w:rtl/>
        </w:rPr>
        <w:t xml:space="preserve"> </w:t>
      </w:r>
      <w:r>
        <w:rPr>
          <w:rFonts w:cs="Miriam"/>
          <w:sz w:val="24"/>
          <w:szCs w:val="24"/>
          <w:rtl/>
        </w:rPr>
        <w:t>רך נגד מדינת ישראל</w:t>
      </w:r>
      <w:r>
        <w:rPr>
          <w:sz w:val="28"/>
          <w:rtl/>
        </w:rPr>
        <w:t xml:space="preserve"> (5.6.2013).</w:t>
      </w:r>
    </w:p>
    <w:p w14:paraId="1E452174" w14:textId="77777777" w:rsidR="00D14CE9" w:rsidRDefault="00D14CE9">
      <w:pPr>
        <w:pStyle w:val="Ruller3"/>
        <w:spacing w:line="240" w:lineRule="auto"/>
        <w:ind w:left="1440" w:right="540"/>
        <w:jc w:val="both"/>
        <w:rPr>
          <w:sz w:val="28"/>
          <w:rtl/>
        </w:rPr>
      </w:pPr>
    </w:p>
    <w:p w14:paraId="5D212652" w14:textId="77777777" w:rsidR="00D14CE9" w:rsidRDefault="00F03B52">
      <w:pPr>
        <w:pStyle w:val="Ruller3"/>
        <w:ind w:left="720"/>
        <w:jc w:val="both"/>
        <w:rPr>
          <w:sz w:val="28"/>
        </w:rPr>
      </w:pPr>
      <w:r>
        <w:rPr>
          <w:sz w:val="28"/>
          <w:rtl/>
        </w:rPr>
        <w:t xml:space="preserve">בנסיבות זהות באותה פרשה, קבע בית משפט אחר בענינו של זיד מתחם ענישה, (בקשר לעבירת סיוע להחזקת אותו נשק), מתחם שבין </w:t>
      </w:r>
      <w:r>
        <w:rPr>
          <w:rFonts w:hint="cs"/>
          <w:sz w:val="28"/>
          <w:rtl/>
        </w:rPr>
        <w:t>"</w:t>
      </w:r>
      <w:r>
        <w:rPr>
          <w:sz w:val="28"/>
          <w:rtl/>
        </w:rPr>
        <w:t>מאסר קצר בעבודות שירות ועד שנת מאסר</w:t>
      </w:r>
      <w:r>
        <w:rPr>
          <w:rFonts w:hint="cs"/>
          <w:sz w:val="28"/>
          <w:rtl/>
        </w:rPr>
        <w:t>"</w:t>
      </w:r>
      <w:r>
        <w:rPr>
          <w:sz w:val="28"/>
          <w:rtl/>
        </w:rPr>
        <w:t xml:space="preserve">. </w:t>
      </w:r>
    </w:p>
    <w:p w14:paraId="5BC8070E" w14:textId="77777777" w:rsidR="00D14CE9" w:rsidRDefault="00D14CE9">
      <w:pPr>
        <w:pStyle w:val="Ruller3"/>
        <w:ind w:left="720"/>
        <w:jc w:val="both"/>
        <w:rPr>
          <w:sz w:val="28"/>
        </w:rPr>
      </w:pPr>
    </w:p>
    <w:p w14:paraId="23C39A2D" w14:textId="77777777" w:rsidR="00D14CE9" w:rsidRDefault="00F03B52">
      <w:pPr>
        <w:spacing w:line="360" w:lineRule="auto"/>
        <w:ind w:left="720"/>
        <w:jc w:val="both"/>
        <w:rPr>
          <w:rFonts w:cs="FrankRuehl"/>
          <w:sz w:val="28"/>
          <w:szCs w:val="28"/>
          <w:rtl/>
        </w:rPr>
      </w:pPr>
      <w:r>
        <w:rPr>
          <w:rFonts w:cs="FrankRuehl"/>
          <w:sz w:val="28"/>
          <w:szCs w:val="28"/>
          <w:rtl/>
        </w:rPr>
        <w:t xml:space="preserve">עוד אזכיר כי מינעד </w:t>
      </w:r>
      <w:r>
        <w:rPr>
          <w:rFonts w:cs="FrankRuehl" w:hint="cs"/>
          <w:sz w:val="28"/>
          <w:szCs w:val="28"/>
          <w:rtl/>
        </w:rPr>
        <w:t xml:space="preserve">הענישה </w:t>
      </w:r>
      <w:r>
        <w:rPr>
          <w:rFonts w:cs="FrankRuehl"/>
          <w:sz w:val="28"/>
          <w:szCs w:val="28"/>
          <w:rtl/>
        </w:rPr>
        <w:t>בעבירות בנשק רחב, בין השאר בהתחשב בסוג העבירה (החזקה, נשיאה, סחר)</w:t>
      </w:r>
      <w:r>
        <w:rPr>
          <w:rFonts w:cs="FrankRuehl" w:hint="cs"/>
          <w:sz w:val="28"/>
          <w:szCs w:val="28"/>
          <w:rtl/>
        </w:rPr>
        <w:t xml:space="preserve">, </w:t>
      </w:r>
      <w:r>
        <w:rPr>
          <w:rFonts w:cs="FrankRuehl"/>
          <w:sz w:val="28"/>
          <w:szCs w:val="28"/>
          <w:rtl/>
        </w:rPr>
        <w:t>סוג הנשק וכמותו</w:t>
      </w:r>
      <w:r>
        <w:rPr>
          <w:rFonts w:cs="FrankRuehl" w:hint="cs"/>
          <w:sz w:val="28"/>
          <w:szCs w:val="28"/>
          <w:rtl/>
        </w:rPr>
        <w:t xml:space="preserve">. </w:t>
      </w:r>
    </w:p>
    <w:p w14:paraId="21FE6E04" w14:textId="77777777" w:rsidR="00D14CE9" w:rsidRDefault="00F03B52">
      <w:pPr>
        <w:spacing w:line="360" w:lineRule="auto"/>
        <w:ind w:left="720"/>
        <w:jc w:val="both"/>
        <w:rPr>
          <w:rFonts w:cs="FrankRuehl"/>
          <w:sz w:val="28"/>
          <w:szCs w:val="28"/>
        </w:rPr>
      </w:pPr>
      <w:r>
        <w:rPr>
          <w:rFonts w:cs="FrankRuehl"/>
          <w:sz w:val="28"/>
          <w:szCs w:val="28"/>
          <w:rtl/>
        </w:rPr>
        <w:t>לעני</w:t>
      </w:r>
      <w:r>
        <w:rPr>
          <w:rFonts w:cs="FrankRuehl" w:hint="cs"/>
          <w:sz w:val="28"/>
          <w:szCs w:val="28"/>
          <w:rtl/>
        </w:rPr>
        <w:t>י</w:t>
      </w:r>
      <w:r>
        <w:rPr>
          <w:rFonts w:cs="FrankRuehl"/>
          <w:sz w:val="28"/>
          <w:szCs w:val="28"/>
          <w:rtl/>
        </w:rPr>
        <w:t xml:space="preserve">ן מדיניות הענישה ראו </w:t>
      </w:r>
      <w:hyperlink r:id="rId31" w:history="1">
        <w:r w:rsidRPr="00F03B52">
          <w:rPr>
            <w:rFonts w:cs="FrankRuehl"/>
            <w:color w:val="0000FF"/>
            <w:sz w:val="28"/>
            <w:szCs w:val="28"/>
            <w:u w:val="single"/>
            <w:rtl/>
          </w:rPr>
          <w:t>ע"פ 5681/14</w:t>
        </w:r>
      </w:hyperlink>
      <w:r>
        <w:rPr>
          <w:rFonts w:cs="FrankRuehl"/>
          <w:sz w:val="28"/>
          <w:szCs w:val="28"/>
          <w:rtl/>
        </w:rPr>
        <w:t xml:space="preserve"> </w:t>
      </w:r>
      <w:r>
        <w:rPr>
          <w:rFonts w:cs="Miriam"/>
          <w:rtl/>
        </w:rPr>
        <w:t>מדינת ישראל נגד טאטור</w:t>
      </w:r>
      <w:r>
        <w:rPr>
          <w:rFonts w:cs="FrankRuehl" w:hint="cs"/>
          <w:sz w:val="28"/>
          <w:szCs w:val="28"/>
          <w:rtl/>
        </w:rPr>
        <w:t xml:space="preserve"> (1.2.2015)</w:t>
      </w:r>
      <w:r>
        <w:rPr>
          <w:rFonts w:cs="FrankRuehl"/>
          <w:sz w:val="28"/>
          <w:szCs w:val="28"/>
          <w:rtl/>
        </w:rPr>
        <w:t xml:space="preserve">, באותו מקרה דובר על עבירות של רכישה, החזקה, נשיאה והובלה של נשק והפרעה לשוטר במילוי תפקידו, בית המשפט החמיר בעונשו של הנאשם והעמידו על 8 חודשי מאסר, בית המשפט העליון קבע </w:t>
      </w:r>
      <w:r>
        <w:rPr>
          <w:rFonts w:cs="FrankRuehl" w:hint="cs"/>
          <w:sz w:val="28"/>
          <w:szCs w:val="28"/>
          <w:rtl/>
        </w:rPr>
        <w:t xml:space="preserve">את מדיניות הענישה </w:t>
      </w:r>
      <w:r>
        <w:rPr>
          <w:rFonts w:cs="FrankRuehl"/>
          <w:sz w:val="28"/>
          <w:szCs w:val="28"/>
          <w:rtl/>
        </w:rPr>
        <w:t>בעבירות בנשק, תוך הפניה ל</w:t>
      </w:r>
      <w:hyperlink r:id="rId32" w:history="1">
        <w:r w:rsidRPr="00F03B52">
          <w:rPr>
            <w:rFonts w:cs="FrankRuehl"/>
            <w:color w:val="0000FF"/>
            <w:sz w:val="28"/>
            <w:szCs w:val="28"/>
            <w:u w:val="single"/>
            <w:rtl/>
          </w:rPr>
          <w:t>ע"פ 5220/09</w:t>
        </w:r>
      </w:hyperlink>
      <w:r>
        <w:rPr>
          <w:rFonts w:cs="FrankRuehl"/>
          <w:sz w:val="28"/>
          <w:szCs w:val="28"/>
          <w:rtl/>
        </w:rPr>
        <w:t xml:space="preserve"> </w:t>
      </w:r>
      <w:r>
        <w:rPr>
          <w:rFonts w:cs="Miriam"/>
          <w:rtl/>
        </w:rPr>
        <w:t>עוואודה נ' מדינת ישראל</w:t>
      </w:r>
      <w:r>
        <w:rPr>
          <w:rFonts w:cs="FrankRuehl"/>
          <w:sz w:val="28"/>
          <w:szCs w:val="28"/>
          <w:rtl/>
        </w:rPr>
        <w:t xml:space="preserve"> (2009)</w:t>
      </w:r>
      <w:r>
        <w:rPr>
          <w:rFonts w:cs="FrankRuehl" w:hint="cs"/>
          <w:sz w:val="28"/>
          <w:szCs w:val="28"/>
          <w:rtl/>
        </w:rPr>
        <w:t>:</w:t>
      </w:r>
      <w:r>
        <w:rPr>
          <w:rFonts w:cs="FrankRuehl"/>
          <w:sz w:val="28"/>
          <w:szCs w:val="28"/>
          <w:rtl/>
        </w:rPr>
        <w:t xml:space="preserve"> </w:t>
      </w:r>
    </w:p>
    <w:p w14:paraId="38CF55BD" w14:textId="77777777" w:rsidR="00D14CE9" w:rsidRDefault="00F03B52">
      <w:pPr>
        <w:pStyle w:val="Ruller5"/>
        <w:rPr>
          <w:sz w:val="28"/>
          <w:rtl/>
        </w:rPr>
      </w:pPr>
      <w:bookmarkStart w:id="10" w:name="Writer_Name"/>
      <w:bookmarkStart w:id="11" w:name="Start_Write"/>
      <w:bookmarkEnd w:id="10"/>
      <w:bookmarkEnd w:id="11"/>
      <w:r>
        <w:rPr>
          <w:sz w:val="28"/>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p>
    <w:p w14:paraId="0518F5AD" w14:textId="77777777" w:rsidR="00D14CE9" w:rsidRDefault="00D14CE9">
      <w:pPr>
        <w:pStyle w:val="Ruller40"/>
        <w:rPr>
          <w:sz w:val="28"/>
        </w:rPr>
      </w:pPr>
    </w:p>
    <w:p w14:paraId="2995A24D" w14:textId="77777777" w:rsidR="00D14CE9" w:rsidRDefault="00F03B52">
      <w:pPr>
        <w:spacing w:line="360" w:lineRule="auto"/>
        <w:ind w:left="720"/>
        <w:jc w:val="both"/>
        <w:rPr>
          <w:rFonts w:cs="FrankRuehl"/>
          <w:sz w:val="28"/>
          <w:szCs w:val="28"/>
          <w:rtl/>
        </w:rPr>
      </w:pPr>
      <w:r>
        <w:rPr>
          <w:rFonts w:cs="FrankRuehl"/>
          <w:sz w:val="28"/>
          <w:szCs w:val="28"/>
          <w:rtl/>
        </w:rPr>
        <w:t>מעצם טבעו של המעשה ו</w:t>
      </w:r>
      <w:r>
        <w:rPr>
          <w:rFonts w:cs="FrankRuehl" w:hint="cs"/>
          <w:sz w:val="28"/>
          <w:szCs w:val="28"/>
          <w:rtl/>
        </w:rPr>
        <w:t xml:space="preserve">גם </w:t>
      </w:r>
      <w:r>
        <w:rPr>
          <w:rFonts w:cs="FrankRuehl"/>
          <w:sz w:val="28"/>
          <w:szCs w:val="28"/>
          <w:rtl/>
        </w:rPr>
        <w:t>על פי המתואר בכתב האישום המתוקן, לא ידוע על תכנון מוקדם</w:t>
      </w:r>
      <w:r>
        <w:rPr>
          <w:rFonts w:cs="FrankRuehl" w:hint="cs"/>
          <w:sz w:val="28"/>
          <w:szCs w:val="28"/>
          <w:rtl/>
        </w:rPr>
        <w:t xml:space="preserve">. </w:t>
      </w:r>
    </w:p>
    <w:p w14:paraId="6C801D24" w14:textId="77777777" w:rsidR="00D14CE9" w:rsidRDefault="00F03B52">
      <w:pPr>
        <w:spacing w:line="360" w:lineRule="auto"/>
        <w:ind w:left="720"/>
        <w:jc w:val="both"/>
        <w:rPr>
          <w:rFonts w:cs="FrankRuehl"/>
          <w:sz w:val="28"/>
          <w:szCs w:val="28"/>
          <w:rtl/>
        </w:rPr>
      </w:pPr>
      <w:r>
        <w:rPr>
          <w:rFonts w:cs="FrankRuehl"/>
          <w:sz w:val="28"/>
          <w:szCs w:val="28"/>
          <w:rtl/>
        </w:rPr>
        <w:t>לא הובאו ראיות לעני</w:t>
      </w:r>
      <w:r>
        <w:rPr>
          <w:rFonts w:cs="FrankRuehl" w:hint="cs"/>
          <w:sz w:val="28"/>
          <w:szCs w:val="28"/>
          <w:rtl/>
        </w:rPr>
        <w:t>י</w:t>
      </w:r>
      <w:r>
        <w:rPr>
          <w:rFonts w:cs="FrankRuehl"/>
          <w:sz w:val="28"/>
          <w:szCs w:val="28"/>
          <w:rtl/>
        </w:rPr>
        <w:t>ן המניע למעשיו של הנאשם</w:t>
      </w:r>
      <w:r>
        <w:rPr>
          <w:rFonts w:cs="FrankRuehl" w:hint="cs"/>
          <w:sz w:val="28"/>
          <w:szCs w:val="28"/>
          <w:rtl/>
        </w:rPr>
        <w:t xml:space="preserve">, ומיותר לציין כי </w:t>
      </w:r>
      <w:r>
        <w:rPr>
          <w:rFonts w:cs="FrankRuehl"/>
          <w:sz w:val="28"/>
          <w:szCs w:val="28"/>
          <w:rtl/>
        </w:rPr>
        <w:t>פוטנציאל הנזק משימוש בנשק, הוא גבוה, אך כפי שצוין לעיל וכפי שצוין בגזר דינו של זיד, יש להתייחס לעובדה כי הנשק היה ללא מחסנית וללא כדורים.</w:t>
      </w:r>
    </w:p>
    <w:p w14:paraId="09EADEA0" w14:textId="77777777" w:rsidR="00D14CE9" w:rsidRDefault="00D14CE9">
      <w:pPr>
        <w:spacing w:line="360" w:lineRule="auto"/>
        <w:ind w:left="720"/>
        <w:jc w:val="both"/>
        <w:rPr>
          <w:rFonts w:cs="FrankRuehl"/>
          <w:sz w:val="28"/>
          <w:szCs w:val="28"/>
          <w:rtl/>
        </w:rPr>
      </w:pPr>
    </w:p>
    <w:p w14:paraId="126B4D03" w14:textId="77777777" w:rsidR="00D14CE9" w:rsidRDefault="00F03B52">
      <w:pPr>
        <w:spacing w:line="360" w:lineRule="auto"/>
        <w:ind w:left="720"/>
        <w:jc w:val="both"/>
        <w:rPr>
          <w:rFonts w:cs="FrankRuehl"/>
          <w:sz w:val="28"/>
          <w:szCs w:val="28"/>
          <w:rtl/>
        </w:rPr>
      </w:pPr>
      <w:r>
        <w:rPr>
          <w:rFonts w:cs="FrankRuehl"/>
          <w:sz w:val="28"/>
          <w:szCs w:val="28"/>
          <w:rtl/>
        </w:rPr>
        <w:t>בנוסף לנגד עיניי עומד עקרון אחידות הענישה וקביעת מותב בהליך מקביל-באותה פרשה, קביעה בגזר דין מיום 4.9.2014 (ס/1) שהמאשימה בחרה שלא לערער על תוכנו, הגם שטיעוניה בפני אותו מותב זהים בהתאמה לטיעונים בפניי</w:t>
      </w:r>
      <w:r>
        <w:rPr>
          <w:rFonts w:cs="FrankRuehl" w:hint="cs"/>
          <w:sz w:val="28"/>
          <w:szCs w:val="28"/>
          <w:rtl/>
        </w:rPr>
        <w:t xml:space="preserve"> וחשוב לציין כי </w:t>
      </w:r>
      <w:r>
        <w:rPr>
          <w:rFonts w:cs="FrankRuehl"/>
          <w:sz w:val="28"/>
          <w:szCs w:val="28"/>
          <w:rtl/>
        </w:rPr>
        <w:t>ערעור לא הוגש למרות שטיעוני</w:t>
      </w:r>
      <w:r>
        <w:rPr>
          <w:rFonts w:cs="FrankRuehl" w:hint="cs"/>
          <w:sz w:val="28"/>
          <w:szCs w:val="28"/>
          <w:rtl/>
        </w:rPr>
        <w:t xml:space="preserve"> המאשימה </w:t>
      </w:r>
      <w:r>
        <w:rPr>
          <w:rFonts w:cs="FrankRuehl"/>
          <w:sz w:val="28"/>
          <w:szCs w:val="28"/>
          <w:rtl/>
        </w:rPr>
        <w:t>באותו הליך לא התקבלו על ידי בית המשפט.</w:t>
      </w:r>
    </w:p>
    <w:p w14:paraId="39761800" w14:textId="77777777" w:rsidR="00D14CE9" w:rsidRDefault="00D14CE9">
      <w:pPr>
        <w:spacing w:line="360" w:lineRule="auto"/>
        <w:ind w:left="720"/>
        <w:jc w:val="both"/>
        <w:rPr>
          <w:rFonts w:cs="FrankRuehl"/>
          <w:sz w:val="28"/>
          <w:szCs w:val="28"/>
          <w:rtl/>
        </w:rPr>
      </w:pPr>
    </w:p>
    <w:p w14:paraId="02837C6A" w14:textId="77777777" w:rsidR="00D14CE9" w:rsidRDefault="00F03B52">
      <w:pPr>
        <w:pStyle w:val="Ruller3"/>
        <w:numPr>
          <w:ilvl w:val="0"/>
          <w:numId w:val="2"/>
        </w:numPr>
        <w:jc w:val="both"/>
        <w:rPr>
          <w:sz w:val="28"/>
        </w:rPr>
      </w:pPr>
      <w:r>
        <w:rPr>
          <w:sz w:val="28"/>
          <w:rtl/>
        </w:rPr>
        <w:t xml:space="preserve">תוך התחשבות בשיקולי </w:t>
      </w:r>
      <w:r>
        <w:rPr>
          <w:rFonts w:hint="cs"/>
          <w:sz w:val="28"/>
          <w:rtl/>
        </w:rPr>
        <w:t>האחדה ו</w:t>
      </w:r>
      <w:r>
        <w:rPr>
          <w:sz w:val="28"/>
          <w:rtl/>
        </w:rPr>
        <w:t xml:space="preserve">שוויון ומדיניות הענישה הראויה, אני סבור כי מתחם הענישה ההולם בתיק זה, יהיה מתחם שבין </w:t>
      </w:r>
      <w:r>
        <w:rPr>
          <w:sz w:val="28"/>
          <w:u w:val="single"/>
          <w:rtl/>
        </w:rPr>
        <w:t xml:space="preserve">8 </w:t>
      </w:r>
      <w:r>
        <w:rPr>
          <w:sz w:val="28"/>
          <w:rtl/>
        </w:rPr>
        <w:t xml:space="preserve"> לבין </w:t>
      </w:r>
      <w:r>
        <w:rPr>
          <w:sz w:val="28"/>
          <w:u w:val="single"/>
          <w:rtl/>
        </w:rPr>
        <w:t>24</w:t>
      </w:r>
      <w:r>
        <w:rPr>
          <w:sz w:val="28"/>
          <w:rtl/>
        </w:rPr>
        <w:t xml:space="preserve"> חודשי מאסר בפועל.</w:t>
      </w:r>
    </w:p>
    <w:p w14:paraId="09489BC5" w14:textId="77777777" w:rsidR="00D14CE9" w:rsidRDefault="00D14CE9">
      <w:pPr>
        <w:spacing w:line="360" w:lineRule="auto"/>
        <w:ind w:left="720"/>
        <w:jc w:val="both"/>
        <w:rPr>
          <w:rFonts w:cs="FrankRuehl"/>
          <w:sz w:val="28"/>
          <w:szCs w:val="28"/>
          <w:rtl/>
        </w:rPr>
      </w:pPr>
    </w:p>
    <w:p w14:paraId="418C7CF5" w14:textId="77777777" w:rsidR="00D14CE9" w:rsidRDefault="00F03B52">
      <w:pPr>
        <w:spacing w:line="360" w:lineRule="auto"/>
        <w:ind w:left="360" w:firstLine="360"/>
        <w:rPr>
          <w:rFonts w:cs="Miriam"/>
          <w:rtl/>
        </w:rPr>
      </w:pPr>
      <w:r>
        <w:rPr>
          <w:rFonts w:cs="Miriam"/>
          <w:rtl/>
        </w:rPr>
        <w:t>העונש המתאים</w:t>
      </w:r>
    </w:p>
    <w:p w14:paraId="45A289CD" w14:textId="77777777" w:rsidR="00D14CE9" w:rsidRDefault="00F03B52">
      <w:pPr>
        <w:spacing w:line="360" w:lineRule="auto"/>
        <w:ind w:left="720"/>
        <w:jc w:val="both"/>
        <w:rPr>
          <w:rFonts w:cs="FrankRuehl"/>
          <w:sz w:val="28"/>
          <w:szCs w:val="28"/>
          <w:rtl/>
        </w:rPr>
      </w:pPr>
      <w:r>
        <w:rPr>
          <w:rFonts w:cs="FrankRuehl"/>
          <w:sz w:val="28"/>
          <w:szCs w:val="28"/>
          <w:rtl/>
        </w:rPr>
        <w:t>הנאשם צעיר כבן 19 במועד ביצוע העבירה (כבן 20.5 כיום), מאורס מזה ארבעה חודשים לבחורה מכפרו כבת 18, מתגורר בבית הוריו בכפר ג'סר אלזרקא, סיים 12 שנות לימוד, הוא בהליכי השלמת תעודת הבגרות ומתעתד להמשיך בלימודים אקדמאיים. הוא בן למשפחה המקפידה על רכישת השכלה ונ</w:t>
      </w:r>
      <w:r>
        <w:rPr>
          <w:rFonts w:cs="FrankRuehl" w:hint="cs"/>
          <w:sz w:val="28"/>
          <w:szCs w:val="28"/>
          <w:rtl/>
        </w:rPr>
        <w:t>י</w:t>
      </w:r>
      <w:r>
        <w:rPr>
          <w:rFonts w:cs="FrankRuehl"/>
          <w:sz w:val="28"/>
          <w:szCs w:val="28"/>
          <w:rtl/>
        </w:rPr>
        <w:t>הול אורח חיים נורמטיבי.</w:t>
      </w:r>
    </w:p>
    <w:p w14:paraId="078D60FB" w14:textId="77777777" w:rsidR="00D14CE9" w:rsidRDefault="00D14CE9">
      <w:pPr>
        <w:spacing w:line="360" w:lineRule="auto"/>
        <w:ind w:left="720"/>
        <w:jc w:val="both"/>
        <w:rPr>
          <w:rFonts w:cs="FrankRuehl"/>
          <w:sz w:val="28"/>
          <w:szCs w:val="28"/>
        </w:rPr>
      </w:pPr>
    </w:p>
    <w:p w14:paraId="55CE390D" w14:textId="77777777" w:rsidR="00D14CE9" w:rsidRDefault="00F03B52">
      <w:pPr>
        <w:spacing w:line="360" w:lineRule="auto"/>
        <w:ind w:left="720"/>
        <w:jc w:val="both"/>
        <w:rPr>
          <w:rFonts w:cs="FrankRuehl"/>
          <w:sz w:val="28"/>
          <w:szCs w:val="28"/>
          <w:rtl/>
        </w:rPr>
      </w:pPr>
      <w:r>
        <w:rPr>
          <w:rFonts w:cs="FrankRuehl"/>
          <w:sz w:val="28"/>
          <w:szCs w:val="28"/>
          <w:rtl/>
        </w:rPr>
        <w:t xml:space="preserve">למעשה </w:t>
      </w:r>
      <w:r>
        <w:rPr>
          <w:rFonts w:cs="FrankRuehl" w:hint="cs"/>
          <w:sz w:val="28"/>
          <w:szCs w:val="28"/>
          <w:rtl/>
        </w:rPr>
        <w:t xml:space="preserve">לנאשם אין </w:t>
      </w:r>
      <w:r>
        <w:rPr>
          <w:rFonts w:cs="FrankRuehl"/>
          <w:sz w:val="28"/>
          <w:szCs w:val="28"/>
          <w:rtl/>
        </w:rPr>
        <w:t>הרשעות קודמות, (העבירה היחידה בה הורשע, היא בשל הפרת תנאי "מעצר הבית" שנקבעו לו בתיק זה).</w:t>
      </w:r>
    </w:p>
    <w:p w14:paraId="636F8694" w14:textId="77777777" w:rsidR="00D14CE9" w:rsidRDefault="00D14CE9">
      <w:pPr>
        <w:spacing w:line="360" w:lineRule="auto"/>
        <w:ind w:left="720"/>
        <w:jc w:val="both"/>
        <w:rPr>
          <w:rFonts w:cs="FrankRuehl"/>
          <w:sz w:val="28"/>
          <w:szCs w:val="28"/>
        </w:rPr>
      </w:pPr>
    </w:p>
    <w:p w14:paraId="488ADA52" w14:textId="77777777" w:rsidR="00D14CE9" w:rsidRDefault="00F03B52">
      <w:pPr>
        <w:spacing w:line="360" w:lineRule="auto"/>
        <w:ind w:left="720"/>
        <w:jc w:val="both"/>
        <w:rPr>
          <w:rFonts w:cs="FrankRuehl"/>
          <w:sz w:val="28"/>
          <w:szCs w:val="28"/>
          <w:rtl/>
        </w:rPr>
      </w:pPr>
      <w:r>
        <w:rPr>
          <w:rFonts w:cs="FrankRuehl"/>
          <w:sz w:val="28"/>
          <w:szCs w:val="28"/>
          <w:rtl/>
        </w:rPr>
        <w:t>שירות המבחן העריך כי הסיכון להישנות התנהגות דומה בעתיד הוא נמוך, וכי יש מקום לשלבו בהליך טיפולי קבוצתי ולכן המליץ שירות המבחן על העמדת הנאשם בצו מבחן לתקופה של שנה במהלכו ישולב בהליך טיפולי, עוד העריכה קצינת המבחן כי מאסר בין כותלי הכלא יעמיד את הנאשם בסכנה כי ינוצל על ידי אסירים אחרים חזקים ובוגרים ממנו והוא גם י</w:t>
      </w:r>
      <w:r>
        <w:rPr>
          <w:rFonts w:cs="FrankRuehl" w:hint="cs"/>
          <w:sz w:val="28"/>
          <w:szCs w:val="28"/>
          <w:rtl/>
        </w:rPr>
        <w:t>י</w:t>
      </w:r>
      <w:r>
        <w:rPr>
          <w:rFonts w:cs="FrankRuehl"/>
          <w:sz w:val="28"/>
          <w:szCs w:val="28"/>
          <w:rtl/>
        </w:rPr>
        <w:t>חשף לנורמות התנהגות וחשיבה עברייניים.</w:t>
      </w:r>
    </w:p>
    <w:p w14:paraId="11E64D9D" w14:textId="77777777" w:rsidR="00D14CE9" w:rsidRDefault="00D14CE9">
      <w:pPr>
        <w:spacing w:line="360" w:lineRule="auto"/>
        <w:ind w:left="720"/>
        <w:jc w:val="both"/>
        <w:rPr>
          <w:rFonts w:cs="FrankRuehl"/>
          <w:sz w:val="28"/>
          <w:szCs w:val="28"/>
        </w:rPr>
      </w:pPr>
    </w:p>
    <w:p w14:paraId="4B3C40FF" w14:textId="77777777" w:rsidR="00D14CE9" w:rsidRDefault="00F03B52">
      <w:pPr>
        <w:numPr>
          <w:ilvl w:val="0"/>
          <w:numId w:val="2"/>
        </w:numPr>
        <w:spacing w:line="360" w:lineRule="auto"/>
        <w:jc w:val="both"/>
        <w:rPr>
          <w:rFonts w:cs="FrankRuehl"/>
          <w:sz w:val="28"/>
          <w:szCs w:val="28"/>
        </w:rPr>
      </w:pPr>
      <w:r>
        <w:rPr>
          <w:rFonts w:cs="FrankRuehl"/>
          <w:sz w:val="28"/>
          <w:szCs w:val="28"/>
          <w:rtl/>
        </w:rPr>
        <w:t>לאור המלצת שירות המבחן, גילו הצעיר של הנאשם ונסיבות חייו, אני סבור כי יש סיכוי של ממש שהנאשם ישתקם, לו יועמד במבחן וישתתף בהליכים הטיפוליים המומלצים על ידי שירות המבחן ולכן אני סבור כי יש לחרוג במקרה זה ממתחם העונש ההולם, והעונש המתאים ייקבע לפי שיקולי השיקום ולכ</w:t>
      </w:r>
      <w:r>
        <w:rPr>
          <w:rFonts w:cs="FrankRuehl" w:hint="cs"/>
          <w:sz w:val="28"/>
          <w:szCs w:val="28"/>
          <w:rtl/>
        </w:rPr>
        <w:t>ך</w:t>
      </w:r>
      <w:r>
        <w:rPr>
          <w:rFonts w:cs="FrankRuehl"/>
          <w:sz w:val="28"/>
          <w:szCs w:val="28"/>
          <w:rtl/>
        </w:rPr>
        <w:t xml:space="preserve"> מצטרפים שיקולי האחידות בענישה ואפנה בענין זה לפסק דינו של כב' השופט שוהם מיום 15.4.2015:</w:t>
      </w:r>
    </w:p>
    <w:p w14:paraId="619662FB" w14:textId="77777777" w:rsidR="00D14CE9" w:rsidRDefault="00F03B52">
      <w:pPr>
        <w:pStyle w:val="Ruller40"/>
        <w:spacing w:line="240" w:lineRule="auto"/>
        <w:ind w:left="1440" w:right="540"/>
        <w:rPr>
          <w:rFonts w:ascii="Century" w:hAnsi="Century"/>
          <w:sz w:val="28"/>
          <w:rtl/>
        </w:rPr>
      </w:pPr>
      <w:r>
        <w:rPr>
          <w:sz w:val="28"/>
          <w:rtl/>
        </w:rPr>
        <w:t>"עקרון אחידות הענישה מנחה את בית המשפט לגזור עונשים דומים על נאשמים שהורשעו בביצוע אותן עבירות, בנסיבות דומות ...כאשר עסקינן בנאשמים שהורשעו  באותה פרשה, על בית המשפט ליתן את הדעת ליַחס בין חלקם של הנאשמים באירוע הפלילי, ובהתאם לכך לגזור את עונשו של כל אחד מהם. כפי שנקבע, לא אחת: "עקרון אחידות הענישה הוא עקרון יסוד במשפט הפלילי אשר נועד להבטיח שוויון בפני החוק ולמנוע שרירות בענישה...עקרון זה מקבל משנה חשיבות כאשר מדובר בנאשמים שונים המורשעים בגדרה של אותה פרשה.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המבצע</w:t>
      </w:r>
      <w:r>
        <w:rPr>
          <w:rFonts w:ascii="Century" w:hAnsi="Century"/>
          <w:sz w:val="28"/>
          <w:rtl/>
        </w:rPr>
        <w:t>"</w:t>
      </w:r>
      <w:r>
        <w:rPr>
          <w:sz w:val="28"/>
          <w:rtl/>
        </w:rPr>
        <w:t xml:space="preserve"> </w:t>
      </w:r>
      <w:hyperlink r:id="rId33" w:history="1">
        <w:r w:rsidRPr="00F03B52">
          <w:rPr>
            <w:rFonts w:hint="eastAsia"/>
            <w:color w:val="0000FF"/>
            <w:sz w:val="28"/>
            <w:u w:val="single"/>
            <w:rtl/>
          </w:rPr>
          <w:t>ע</w:t>
        </w:r>
        <w:r w:rsidRPr="00F03B52">
          <w:rPr>
            <w:color w:val="0000FF"/>
            <w:sz w:val="28"/>
            <w:u w:val="single"/>
            <w:rtl/>
          </w:rPr>
          <w:t>"</w:t>
        </w:r>
        <w:r w:rsidRPr="00F03B52">
          <w:rPr>
            <w:rFonts w:hint="eastAsia"/>
            <w:color w:val="0000FF"/>
            <w:sz w:val="28"/>
            <w:u w:val="single"/>
            <w:rtl/>
          </w:rPr>
          <w:t>פ</w:t>
        </w:r>
        <w:r w:rsidRPr="00F03B52">
          <w:rPr>
            <w:color w:val="0000FF"/>
            <w:sz w:val="28"/>
            <w:u w:val="single"/>
            <w:rtl/>
          </w:rPr>
          <w:t xml:space="preserve">  8204/14</w:t>
        </w:r>
      </w:hyperlink>
      <w:r>
        <w:rPr>
          <w:rFonts w:ascii="Century" w:hAnsi="Century"/>
          <w:sz w:val="28"/>
          <w:rtl/>
        </w:rPr>
        <w:t xml:space="preserve"> </w:t>
      </w:r>
      <w:r>
        <w:rPr>
          <w:rFonts w:ascii="Century" w:hAnsi="Century" w:cs="Miriam" w:hint="eastAsia"/>
          <w:sz w:val="24"/>
          <w:szCs w:val="24"/>
          <w:rtl/>
        </w:rPr>
        <w:t>זלום</w:t>
      </w:r>
      <w:r>
        <w:rPr>
          <w:rFonts w:ascii="Century" w:hAnsi="Century" w:cs="Miriam"/>
          <w:sz w:val="24"/>
          <w:szCs w:val="24"/>
          <w:rtl/>
        </w:rPr>
        <w:t xml:space="preserve"> </w:t>
      </w:r>
      <w:r>
        <w:rPr>
          <w:rFonts w:ascii="Century" w:hAnsi="Century" w:cs="Miriam" w:hint="eastAsia"/>
          <w:sz w:val="24"/>
          <w:szCs w:val="24"/>
          <w:rtl/>
        </w:rPr>
        <w:t>נגד</w:t>
      </w:r>
      <w:r>
        <w:rPr>
          <w:rFonts w:ascii="Century" w:hAnsi="Century" w:cs="Miriam"/>
          <w:sz w:val="24"/>
          <w:szCs w:val="24"/>
          <w:rtl/>
        </w:rPr>
        <w:t xml:space="preserve"> </w:t>
      </w:r>
      <w:r>
        <w:rPr>
          <w:rFonts w:ascii="Century" w:hAnsi="Century" w:cs="Miriam" w:hint="eastAsia"/>
          <w:sz w:val="24"/>
          <w:szCs w:val="24"/>
          <w:rtl/>
        </w:rPr>
        <w:t>מדינת</w:t>
      </w:r>
      <w:r>
        <w:rPr>
          <w:rFonts w:ascii="Century" w:hAnsi="Century" w:cs="Miriam"/>
          <w:sz w:val="24"/>
          <w:szCs w:val="24"/>
          <w:rtl/>
        </w:rPr>
        <w:t xml:space="preserve"> </w:t>
      </w:r>
      <w:r>
        <w:rPr>
          <w:rFonts w:ascii="Century" w:hAnsi="Century" w:cs="Miriam" w:hint="eastAsia"/>
          <w:sz w:val="24"/>
          <w:szCs w:val="24"/>
          <w:rtl/>
        </w:rPr>
        <w:t>ישראל</w:t>
      </w:r>
      <w:r>
        <w:rPr>
          <w:rFonts w:ascii="Century" w:hAnsi="Century"/>
          <w:sz w:val="28"/>
          <w:rtl/>
        </w:rPr>
        <w:t xml:space="preserve"> (15.4.2015). </w:t>
      </w:r>
    </w:p>
    <w:p w14:paraId="61602A0C" w14:textId="77777777" w:rsidR="00D14CE9" w:rsidRDefault="00D14CE9">
      <w:pPr>
        <w:pStyle w:val="Ruller40"/>
        <w:spacing w:line="240" w:lineRule="auto"/>
        <w:ind w:left="1440" w:right="540"/>
        <w:rPr>
          <w:rFonts w:ascii="Century" w:hAnsi="Century"/>
          <w:sz w:val="28"/>
          <w:rtl/>
        </w:rPr>
      </w:pPr>
    </w:p>
    <w:p w14:paraId="4139F9A8" w14:textId="77777777" w:rsidR="00D14CE9" w:rsidRDefault="00F03B52">
      <w:pPr>
        <w:spacing w:line="360" w:lineRule="auto"/>
        <w:ind w:left="720"/>
        <w:jc w:val="both"/>
        <w:rPr>
          <w:rFonts w:cs="FrankRuehl"/>
          <w:sz w:val="28"/>
          <w:szCs w:val="28"/>
        </w:rPr>
      </w:pPr>
      <w:r>
        <w:rPr>
          <w:rFonts w:cs="FrankRuehl"/>
          <w:sz w:val="28"/>
          <w:szCs w:val="28"/>
          <w:rtl/>
        </w:rPr>
        <w:t xml:space="preserve">ובאשר ליחס שבין </w:t>
      </w:r>
      <w:r>
        <w:rPr>
          <w:rFonts w:cs="FrankRuehl" w:hint="cs"/>
          <w:sz w:val="28"/>
          <w:szCs w:val="28"/>
          <w:rtl/>
        </w:rPr>
        <w:t xml:space="preserve">עונשו של </w:t>
      </w:r>
      <w:r>
        <w:rPr>
          <w:rFonts w:cs="FrankRuehl"/>
          <w:sz w:val="28"/>
          <w:szCs w:val="28"/>
          <w:rtl/>
        </w:rPr>
        <w:t>מבצע עיקרי ל</w:t>
      </w:r>
      <w:r>
        <w:rPr>
          <w:rFonts w:cs="FrankRuehl" w:hint="cs"/>
          <w:sz w:val="28"/>
          <w:szCs w:val="28"/>
          <w:rtl/>
        </w:rPr>
        <w:t xml:space="preserve">בין עונשו של </w:t>
      </w:r>
      <w:r>
        <w:rPr>
          <w:rFonts w:cs="FrankRuehl"/>
          <w:sz w:val="28"/>
          <w:szCs w:val="28"/>
          <w:rtl/>
        </w:rPr>
        <w:t>מסייע אפנה ל</w:t>
      </w:r>
      <w:hyperlink r:id="rId34" w:history="1">
        <w:r w:rsidRPr="00F03B52">
          <w:rPr>
            <w:rFonts w:cs="FrankRuehl"/>
            <w:color w:val="0000FF"/>
            <w:sz w:val="28"/>
            <w:szCs w:val="28"/>
            <w:u w:val="single"/>
            <w:rtl/>
          </w:rPr>
          <w:t>רע"פ  792/14</w:t>
        </w:r>
      </w:hyperlink>
      <w:r>
        <w:rPr>
          <w:rFonts w:cs="FrankRuehl"/>
          <w:sz w:val="28"/>
          <w:szCs w:val="28"/>
          <w:rtl/>
        </w:rPr>
        <w:t>:</w:t>
      </w:r>
    </w:p>
    <w:p w14:paraId="682B8010" w14:textId="77777777" w:rsidR="00D14CE9" w:rsidRDefault="00F03B52">
      <w:pPr>
        <w:pStyle w:val="Ruller4"/>
        <w:numPr>
          <w:ilvl w:val="0"/>
          <w:numId w:val="0"/>
        </w:numPr>
        <w:spacing w:line="240" w:lineRule="auto"/>
        <w:ind w:left="1440"/>
        <w:rPr>
          <w:sz w:val="28"/>
          <w:rtl/>
        </w:rPr>
      </w:pPr>
      <w:r>
        <w:rPr>
          <w:sz w:val="28"/>
          <w:rtl/>
        </w:rPr>
        <w:t>"</w:t>
      </w:r>
      <w:r>
        <w:rPr>
          <w:rFonts w:hint="eastAsia"/>
          <w:sz w:val="28"/>
          <w:rtl/>
        </w:rPr>
        <w:t>ביטוי</w:t>
      </w:r>
      <w:r>
        <w:rPr>
          <w:sz w:val="28"/>
          <w:rtl/>
        </w:rPr>
        <w:t xml:space="preserve"> </w:t>
      </w:r>
      <w:r>
        <w:rPr>
          <w:rFonts w:hint="eastAsia"/>
          <w:sz w:val="28"/>
          <w:rtl/>
        </w:rPr>
        <w:t>להבחנה</w:t>
      </w:r>
      <w:r>
        <w:rPr>
          <w:sz w:val="28"/>
          <w:rtl/>
        </w:rPr>
        <w:t xml:space="preserve"> </w:t>
      </w:r>
      <w:r>
        <w:rPr>
          <w:rFonts w:hint="eastAsia"/>
          <w:sz w:val="28"/>
          <w:rtl/>
        </w:rPr>
        <w:t>בין</w:t>
      </w:r>
      <w:r>
        <w:rPr>
          <w:sz w:val="28"/>
          <w:rtl/>
        </w:rPr>
        <w:t xml:space="preserve"> </w:t>
      </w:r>
      <w:r>
        <w:rPr>
          <w:rFonts w:hint="eastAsia"/>
          <w:sz w:val="28"/>
          <w:rtl/>
        </w:rPr>
        <w:t>אחריותו</w:t>
      </w:r>
      <w:r>
        <w:rPr>
          <w:sz w:val="28"/>
          <w:rtl/>
        </w:rPr>
        <w:t xml:space="preserve"> </w:t>
      </w:r>
      <w:r>
        <w:rPr>
          <w:rFonts w:hint="eastAsia"/>
          <w:sz w:val="28"/>
          <w:rtl/>
        </w:rPr>
        <w:t>של</w:t>
      </w:r>
      <w:r>
        <w:rPr>
          <w:sz w:val="28"/>
          <w:rtl/>
        </w:rPr>
        <w:t xml:space="preserve"> </w:t>
      </w:r>
      <w:r>
        <w:rPr>
          <w:rFonts w:hint="eastAsia"/>
          <w:sz w:val="28"/>
          <w:rtl/>
        </w:rPr>
        <w:t>המסייע</w:t>
      </w:r>
      <w:r>
        <w:rPr>
          <w:sz w:val="28"/>
          <w:rtl/>
        </w:rPr>
        <w:t xml:space="preserve"> </w:t>
      </w:r>
      <w:r>
        <w:rPr>
          <w:rFonts w:hint="eastAsia"/>
          <w:sz w:val="28"/>
          <w:rtl/>
        </w:rPr>
        <w:t>לאחריותו</w:t>
      </w:r>
      <w:r>
        <w:rPr>
          <w:sz w:val="28"/>
          <w:rtl/>
        </w:rPr>
        <w:t xml:space="preserve"> </w:t>
      </w:r>
      <w:r>
        <w:rPr>
          <w:rFonts w:hint="eastAsia"/>
          <w:sz w:val="28"/>
          <w:rtl/>
        </w:rPr>
        <w:t>של</w:t>
      </w:r>
      <w:r>
        <w:rPr>
          <w:sz w:val="28"/>
          <w:rtl/>
        </w:rPr>
        <w:t xml:space="preserve"> </w:t>
      </w:r>
      <w:r>
        <w:rPr>
          <w:rFonts w:hint="eastAsia"/>
          <w:sz w:val="28"/>
          <w:rtl/>
        </w:rPr>
        <w:t>המבצע</w:t>
      </w:r>
      <w:r>
        <w:rPr>
          <w:sz w:val="28"/>
          <w:rtl/>
        </w:rPr>
        <w:t xml:space="preserve"> </w:t>
      </w:r>
      <w:r>
        <w:rPr>
          <w:rFonts w:hint="eastAsia"/>
          <w:sz w:val="28"/>
          <w:rtl/>
        </w:rPr>
        <w:t>העיקרי</w:t>
      </w:r>
      <w:r>
        <w:rPr>
          <w:sz w:val="28"/>
          <w:rtl/>
        </w:rPr>
        <w:t xml:space="preserve">, </w:t>
      </w:r>
      <w:r>
        <w:rPr>
          <w:rFonts w:hint="eastAsia"/>
          <w:sz w:val="28"/>
          <w:rtl/>
        </w:rPr>
        <w:t>מופיע</w:t>
      </w:r>
      <w:r>
        <w:rPr>
          <w:sz w:val="28"/>
          <w:rtl/>
        </w:rPr>
        <w:t xml:space="preserve"> </w:t>
      </w:r>
      <w:r>
        <w:rPr>
          <w:rFonts w:hint="eastAsia"/>
          <w:sz w:val="28"/>
          <w:rtl/>
        </w:rPr>
        <w:t>בסעיף</w:t>
      </w:r>
      <w:r>
        <w:rPr>
          <w:sz w:val="28"/>
          <w:rtl/>
        </w:rPr>
        <w:t xml:space="preserve"> 32 </w:t>
      </w:r>
      <w:r>
        <w:rPr>
          <w:rFonts w:hint="eastAsia"/>
          <w:sz w:val="28"/>
          <w:rtl/>
        </w:rPr>
        <w:t>ל</w:t>
      </w:r>
      <w:hyperlink r:id="rId35" w:history="1">
        <w:r w:rsidRPr="00F03B52">
          <w:rPr>
            <w:rFonts w:hint="eastAsia"/>
            <w:color w:val="0000FF"/>
            <w:sz w:val="28"/>
            <w:u w:val="single"/>
            <w:rtl/>
          </w:rPr>
          <w:t>חוק</w:t>
        </w:r>
        <w:r w:rsidRPr="00F03B52">
          <w:rPr>
            <w:color w:val="0000FF"/>
            <w:sz w:val="28"/>
            <w:u w:val="single"/>
            <w:rtl/>
          </w:rPr>
          <w:t xml:space="preserve"> </w:t>
        </w:r>
        <w:r w:rsidRPr="00F03B52">
          <w:rPr>
            <w:rFonts w:hint="eastAsia"/>
            <w:color w:val="0000FF"/>
            <w:sz w:val="28"/>
            <w:u w:val="single"/>
            <w:rtl/>
          </w:rPr>
          <w:t>העונשין</w:t>
        </w:r>
      </w:hyperlink>
      <w:r>
        <w:rPr>
          <w:sz w:val="28"/>
          <w:rtl/>
        </w:rPr>
        <w:t xml:space="preserve">, </w:t>
      </w:r>
      <w:r>
        <w:rPr>
          <w:rFonts w:hint="eastAsia"/>
          <w:sz w:val="28"/>
          <w:rtl/>
        </w:rPr>
        <w:t>הקובע</w:t>
      </w:r>
      <w:r>
        <w:rPr>
          <w:sz w:val="28"/>
          <w:rtl/>
        </w:rPr>
        <w:t xml:space="preserve"> </w:t>
      </w:r>
      <w:r>
        <w:rPr>
          <w:rFonts w:hint="eastAsia"/>
          <w:sz w:val="28"/>
          <w:rtl/>
        </w:rPr>
        <w:t>כי</w:t>
      </w:r>
      <w:r>
        <w:rPr>
          <w:sz w:val="28"/>
          <w:rtl/>
        </w:rPr>
        <w:t xml:space="preserve"> </w:t>
      </w:r>
      <w:r>
        <w:rPr>
          <w:rFonts w:hint="eastAsia"/>
          <w:sz w:val="28"/>
          <w:rtl/>
        </w:rPr>
        <w:t>העונש</w:t>
      </w:r>
      <w:r>
        <w:rPr>
          <w:sz w:val="28"/>
          <w:rtl/>
        </w:rPr>
        <w:t xml:space="preserve"> </w:t>
      </w:r>
      <w:r>
        <w:rPr>
          <w:rFonts w:hint="eastAsia"/>
          <w:sz w:val="28"/>
          <w:rtl/>
        </w:rPr>
        <w:t>המירבי</w:t>
      </w:r>
      <w:r>
        <w:rPr>
          <w:sz w:val="28"/>
          <w:rtl/>
        </w:rPr>
        <w:t xml:space="preserve"> </w:t>
      </w:r>
      <w:r>
        <w:rPr>
          <w:rFonts w:hint="eastAsia"/>
          <w:sz w:val="28"/>
          <w:rtl/>
        </w:rPr>
        <w:t>בגין</w:t>
      </w:r>
      <w:r>
        <w:rPr>
          <w:sz w:val="28"/>
          <w:rtl/>
        </w:rPr>
        <w:t xml:space="preserve"> </w:t>
      </w:r>
      <w:r>
        <w:rPr>
          <w:rFonts w:hint="eastAsia"/>
          <w:sz w:val="28"/>
          <w:rtl/>
        </w:rPr>
        <w:t>ביצוע</w:t>
      </w:r>
      <w:r>
        <w:rPr>
          <w:sz w:val="28"/>
          <w:rtl/>
        </w:rPr>
        <w:t xml:space="preserve"> </w:t>
      </w:r>
      <w:r>
        <w:rPr>
          <w:rFonts w:hint="eastAsia"/>
          <w:sz w:val="28"/>
          <w:rtl/>
        </w:rPr>
        <w:t>עבירת</w:t>
      </w:r>
      <w:r>
        <w:rPr>
          <w:sz w:val="28"/>
          <w:rtl/>
        </w:rPr>
        <w:t xml:space="preserve"> </w:t>
      </w:r>
      <w:r>
        <w:rPr>
          <w:rFonts w:hint="eastAsia"/>
          <w:sz w:val="28"/>
          <w:rtl/>
        </w:rPr>
        <w:t>סיוע</w:t>
      </w:r>
      <w:r>
        <w:rPr>
          <w:sz w:val="28"/>
          <w:rtl/>
        </w:rPr>
        <w:t xml:space="preserve">, </w:t>
      </w:r>
      <w:r>
        <w:rPr>
          <w:rFonts w:hint="eastAsia"/>
          <w:sz w:val="28"/>
          <w:rtl/>
        </w:rPr>
        <w:t>הינו</w:t>
      </w:r>
      <w:r>
        <w:rPr>
          <w:sz w:val="28"/>
          <w:rtl/>
        </w:rPr>
        <w:t xml:space="preserve"> </w:t>
      </w:r>
      <w:r>
        <w:rPr>
          <w:rFonts w:hint="eastAsia"/>
          <w:sz w:val="28"/>
          <w:rtl/>
        </w:rPr>
        <w:t>מחצית</w:t>
      </w:r>
      <w:r>
        <w:rPr>
          <w:sz w:val="28"/>
          <w:rtl/>
        </w:rPr>
        <w:t xml:space="preserve"> </w:t>
      </w:r>
      <w:r>
        <w:rPr>
          <w:rFonts w:hint="eastAsia"/>
          <w:sz w:val="28"/>
          <w:rtl/>
        </w:rPr>
        <w:t>העונש</w:t>
      </w:r>
      <w:r>
        <w:rPr>
          <w:sz w:val="28"/>
          <w:rtl/>
        </w:rPr>
        <w:t xml:space="preserve"> </w:t>
      </w:r>
      <w:r>
        <w:rPr>
          <w:rFonts w:hint="eastAsia"/>
          <w:sz w:val="28"/>
          <w:rtl/>
        </w:rPr>
        <w:t>המירבי</w:t>
      </w:r>
      <w:r>
        <w:rPr>
          <w:sz w:val="28"/>
          <w:rtl/>
        </w:rPr>
        <w:t xml:space="preserve"> </w:t>
      </w:r>
      <w:r>
        <w:rPr>
          <w:rFonts w:hint="eastAsia"/>
          <w:sz w:val="28"/>
          <w:rtl/>
        </w:rPr>
        <w:t>שנקבע</w:t>
      </w:r>
      <w:r>
        <w:rPr>
          <w:sz w:val="28"/>
          <w:rtl/>
        </w:rPr>
        <w:t xml:space="preserve"> </w:t>
      </w:r>
      <w:r>
        <w:rPr>
          <w:rFonts w:hint="eastAsia"/>
          <w:sz w:val="28"/>
          <w:rtl/>
        </w:rPr>
        <w:t>למבצע</w:t>
      </w:r>
      <w:r>
        <w:rPr>
          <w:sz w:val="28"/>
          <w:rtl/>
        </w:rPr>
        <w:t xml:space="preserve"> </w:t>
      </w:r>
      <w:r>
        <w:rPr>
          <w:rFonts w:hint="eastAsia"/>
          <w:sz w:val="28"/>
          <w:rtl/>
        </w:rPr>
        <w:t>העיקרי</w:t>
      </w:r>
      <w:r>
        <w:rPr>
          <w:sz w:val="28"/>
          <w:rtl/>
        </w:rPr>
        <w:t xml:space="preserve"> </w:t>
      </w:r>
      <w:r>
        <w:rPr>
          <w:rFonts w:hint="eastAsia"/>
          <w:sz w:val="28"/>
          <w:rtl/>
        </w:rPr>
        <w:t>של</w:t>
      </w:r>
      <w:r>
        <w:rPr>
          <w:sz w:val="28"/>
          <w:rtl/>
        </w:rPr>
        <w:t xml:space="preserve"> </w:t>
      </w:r>
      <w:r>
        <w:rPr>
          <w:rFonts w:hint="eastAsia"/>
          <w:sz w:val="28"/>
          <w:rtl/>
        </w:rPr>
        <w:t>העבירה</w:t>
      </w:r>
      <w:r>
        <w:rPr>
          <w:sz w:val="28"/>
          <w:rtl/>
        </w:rPr>
        <w:t xml:space="preserve">. </w:t>
      </w:r>
      <w:r>
        <w:rPr>
          <w:rFonts w:hint="eastAsia"/>
          <w:sz w:val="28"/>
          <w:rtl/>
        </w:rPr>
        <w:t>ככלל</w:t>
      </w:r>
      <w:r>
        <w:rPr>
          <w:sz w:val="28"/>
          <w:rtl/>
        </w:rPr>
        <w:t xml:space="preserve">, </w:t>
      </w:r>
      <w:r>
        <w:rPr>
          <w:rFonts w:hint="eastAsia"/>
          <w:sz w:val="28"/>
          <w:rtl/>
        </w:rPr>
        <w:t>ראוי</w:t>
      </w:r>
      <w:r>
        <w:rPr>
          <w:sz w:val="28"/>
          <w:rtl/>
        </w:rPr>
        <w:t xml:space="preserve"> </w:t>
      </w:r>
      <w:r>
        <w:rPr>
          <w:rFonts w:hint="eastAsia"/>
          <w:sz w:val="28"/>
          <w:rtl/>
        </w:rPr>
        <w:t>הוא</w:t>
      </w:r>
      <w:r>
        <w:rPr>
          <w:sz w:val="28"/>
          <w:rtl/>
        </w:rPr>
        <w:t xml:space="preserve"> </w:t>
      </w:r>
      <w:r>
        <w:rPr>
          <w:rFonts w:hint="eastAsia"/>
          <w:sz w:val="28"/>
          <w:rtl/>
        </w:rPr>
        <w:t>שעונשו</w:t>
      </w:r>
      <w:r>
        <w:rPr>
          <w:sz w:val="28"/>
          <w:rtl/>
        </w:rPr>
        <w:t xml:space="preserve"> </w:t>
      </w:r>
      <w:r>
        <w:rPr>
          <w:rFonts w:hint="eastAsia"/>
          <w:sz w:val="28"/>
          <w:rtl/>
        </w:rPr>
        <w:t>של</w:t>
      </w:r>
      <w:r>
        <w:rPr>
          <w:sz w:val="28"/>
          <w:rtl/>
        </w:rPr>
        <w:t xml:space="preserve"> </w:t>
      </w:r>
      <w:r>
        <w:rPr>
          <w:rFonts w:hint="eastAsia"/>
          <w:sz w:val="28"/>
          <w:rtl/>
        </w:rPr>
        <w:t>המסייע</w:t>
      </w:r>
      <w:r>
        <w:rPr>
          <w:sz w:val="28"/>
          <w:rtl/>
        </w:rPr>
        <w:t xml:space="preserve"> </w:t>
      </w:r>
      <w:r>
        <w:rPr>
          <w:rFonts w:hint="eastAsia"/>
          <w:sz w:val="28"/>
          <w:rtl/>
        </w:rPr>
        <w:t>יהיה</w:t>
      </w:r>
      <w:r>
        <w:rPr>
          <w:sz w:val="28"/>
          <w:rtl/>
        </w:rPr>
        <w:t xml:space="preserve"> </w:t>
      </w:r>
      <w:r>
        <w:rPr>
          <w:rFonts w:hint="eastAsia"/>
          <w:sz w:val="28"/>
          <w:rtl/>
        </w:rPr>
        <w:t>קל</w:t>
      </w:r>
      <w:r>
        <w:rPr>
          <w:sz w:val="28"/>
          <w:rtl/>
        </w:rPr>
        <w:t xml:space="preserve"> </w:t>
      </w:r>
      <w:r>
        <w:rPr>
          <w:rFonts w:hint="eastAsia"/>
          <w:sz w:val="28"/>
          <w:rtl/>
        </w:rPr>
        <w:t>יותר</w:t>
      </w:r>
      <w:r>
        <w:rPr>
          <w:sz w:val="28"/>
          <w:rtl/>
        </w:rPr>
        <w:t xml:space="preserve"> </w:t>
      </w:r>
      <w:r>
        <w:rPr>
          <w:rFonts w:hint="eastAsia"/>
          <w:sz w:val="28"/>
          <w:rtl/>
        </w:rPr>
        <w:t>מן</w:t>
      </w:r>
      <w:r>
        <w:rPr>
          <w:sz w:val="28"/>
          <w:rtl/>
        </w:rPr>
        <w:t xml:space="preserve"> </w:t>
      </w:r>
      <w:r>
        <w:rPr>
          <w:rFonts w:hint="eastAsia"/>
          <w:sz w:val="28"/>
          <w:rtl/>
        </w:rPr>
        <w:t>העונש</w:t>
      </w:r>
      <w:r>
        <w:rPr>
          <w:sz w:val="28"/>
          <w:rtl/>
        </w:rPr>
        <w:t xml:space="preserve"> </w:t>
      </w:r>
      <w:r>
        <w:rPr>
          <w:rFonts w:hint="eastAsia"/>
          <w:sz w:val="28"/>
          <w:rtl/>
        </w:rPr>
        <w:t>שנגזר</w:t>
      </w:r>
      <w:r>
        <w:rPr>
          <w:sz w:val="28"/>
          <w:rtl/>
        </w:rPr>
        <w:t xml:space="preserve"> </w:t>
      </w:r>
      <w:r>
        <w:rPr>
          <w:rFonts w:hint="eastAsia"/>
          <w:sz w:val="28"/>
          <w:rtl/>
        </w:rPr>
        <w:t>על</w:t>
      </w:r>
      <w:r>
        <w:rPr>
          <w:sz w:val="28"/>
          <w:rtl/>
        </w:rPr>
        <w:t xml:space="preserve"> </w:t>
      </w:r>
      <w:r>
        <w:rPr>
          <w:rFonts w:hint="eastAsia"/>
          <w:sz w:val="28"/>
          <w:rtl/>
        </w:rPr>
        <w:t>המבצע</w:t>
      </w:r>
      <w:r>
        <w:rPr>
          <w:sz w:val="28"/>
          <w:rtl/>
        </w:rPr>
        <w:t xml:space="preserve"> </w:t>
      </w:r>
      <w:r>
        <w:rPr>
          <w:rFonts w:hint="eastAsia"/>
          <w:sz w:val="28"/>
          <w:rtl/>
        </w:rPr>
        <w:t>העיקרי</w:t>
      </w:r>
      <w:r>
        <w:rPr>
          <w:sz w:val="28"/>
          <w:rtl/>
        </w:rPr>
        <w:t xml:space="preserve"> </w:t>
      </w:r>
      <w:r>
        <w:rPr>
          <w:rFonts w:hint="eastAsia"/>
          <w:sz w:val="28"/>
          <w:rtl/>
        </w:rPr>
        <w:t>של</w:t>
      </w:r>
      <w:r>
        <w:rPr>
          <w:sz w:val="28"/>
          <w:rtl/>
        </w:rPr>
        <w:t xml:space="preserve"> </w:t>
      </w:r>
      <w:r>
        <w:rPr>
          <w:rFonts w:hint="eastAsia"/>
          <w:sz w:val="28"/>
          <w:rtl/>
        </w:rPr>
        <w:t>אותה</w:t>
      </w:r>
      <w:r>
        <w:rPr>
          <w:sz w:val="28"/>
          <w:rtl/>
        </w:rPr>
        <w:t xml:space="preserve"> </w:t>
      </w:r>
      <w:r>
        <w:rPr>
          <w:rFonts w:hint="eastAsia"/>
          <w:sz w:val="28"/>
          <w:rtl/>
        </w:rPr>
        <w:t>עבירה</w:t>
      </w:r>
      <w:r>
        <w:rPr>
          <w:sz w:val="28"/>
          <w:rtl/>
        </w:rPr>
        <w:t xml:space="preserve">. </w:t>
      </w:r>
      <w:r>
        <w:rPr>
          <w:rFonts w:hint="eastAsia"/>
          <w:sz w:val="28"/>
          <w:rtl/>
        </w:rPr>
        <w:t>אף</w:t>
      </w:r>
      <w:r>
        <w:rPr>
          <w:sz w:val="28"/>
          <w:rtl/>
        </w:rPr>
        <w:t xml:space="preserve"> </w:t>
      </w:r>
      <w:r>
        <w:rPr>
          <w:rFonts w:hint="eastAsia"/>
          <w:sz w:val="28"/>
          <w:rtl/>
        </w:rPr>
        <w:t>ראוי</w:t>
      </w:r>
      <w:r>
        <w:rPr>
          <w:sz w:val="28"/>
          <w:rtl/>
        </w:rPr>
        <w:t xml:space="preserve">, </w:t>
      </w:r>
      <w:r>
        <w:rPr>
          <w:rFonts w:hint="eastAsia"/>
          <w:sz w:val="28"/>
          <w:rtl/>
        </w:rPr>
        <w:t>כי</w:t>
      </w:r>
      <w:r>
        <w:rPr>
          <w:sz w:val="28"/>
          <w:rtl/>
        </w:rPr>
        <w:t xml:space="preserve"> </w:t>
      </w:r>
      <w:r>
        <w:rPr>
          <w:rFonts w:hint="eastAsia"/>
          <w:sz w:val="28"/>
          <w:rtl/>
        </w:rPr>
        <w:t>בבואו</w:t>
      </w:r>
      <w:r>
        <w:rPr>
          <w:sz w:val="28"/>
          <w:rtl/>
        </w:rPr>
        <w:t xml:space="preserve"> </w:t>
      </w:r>
      <w:r>
        <w:rPr>
          <w:rFonts w:hint="eastAsia"/>
          <w:sz w:val="28"/>
          <w:rtl/>
        </w:rPr>
        <w:t>של</w:t>
      </w:r>
      <w:r>
        <w:rPr>
          <w:sz w:val="28"/>
          <w:rtl/>
        </w:rPr>
        <w:t xml:space="preserve"> </w:t>
      </w:r>
      <w:r>
        <w:rPr>
          <w:rFonts w:hint="eastAsia"/>
          <w:sz w:val="28"/>
          <w:rtl/>
        </w:rPr>
        <w:t>בית</w:t>
      </w:r>
      <w:r>
        <w:rPr>
          <w:sz w:val="28"/>
          <w:rtl/>
        </w:rPr>
        <w:t xml:space="preserve"> </w:t>
      </w:r>
      <w:r>
        <w:rPr>
          <w:rFonts w:hint="eastAsia"/>
          <w:sz w:val="28"/>
          <w:rtl/>
        </w:rPr>
        <w:t>המשפט</w:t>
      </w:r>
      <w:r>
        <w:rPr>
          <w:sz w:val="28"/>
          <w:rtl/>
        </w:rPr>
        <w:t xml:space="preserve"> </w:t>
      </w:r>
      <w:r>
        <w:rPr>
          <w:rFonts w:hint="eastAsia"/>
          <w:sz w:val="28"/>
          <w:rtl/>
        </w:rPr>
        <w:t>לגזור</w:t>
      </w:r>
      <w:r>
        <w:rPr>
          <w:sz w:val="28"/>
          <w:rtl/>
        </w:rPr>
        <w:t xml:space="preserve"> </w:t>
      </w:r>
      <w:r>
        <w:rPr>
          <w:rFonts w:hint="eastAsia"/>
          <w:sz w:val="28"/>
          <w:rtl/>
        </w:rPr>
        <w:t>את</w:t>
      </w:r>
      <w:r>
        <w:rPr>
          <w:sz w:val="28"/>
          <w:rtl/>
        </w:rPr>
        <w:t xml:space="preserve"> </w:t>
      </w:r>
      <w:r>
        <w:rPr>
          <w:rFonts w:hint="eastAsia"/>
          <w:sz w:val="28"/>
          <w:rtl/>
        </w:rPr>
        <w:t>דינו</w:t>
      </w:r>
      <w:r>
        <w:rPr>
          <w:sz w:val="28"/>
          <w:rtl/>
        </w:rPr>
        <w:t xml:space="preserve"> </w:t>
      </w:r>
      <w:r>
        <w:rPr>
          <w:rFonts w:hint="eastAsia"/>
          <w:sz w:val="28"/>
          <w:rtl/>
        </w:rPr>
        <w:t>של</w:t>
      </w:r>
      <w:r>
        <w:rPr>
          <w:sz w:val="28"/>
          <w:rtl/>
        </w:rPr>
        <w:t xml:space="preserve"> </w:t>
      </w:r>
      <w:r>
        <w:rPr>
          <w:rFonts w:hint="eastAsia"/>
          <w:sz w:val="28"/>
          <w:rtl/>
        </w:rPr>
        <w:t>המסייע</w:t>
      </w:r>
      <w:r>
        <w:rPr>
          <w:sz w:val="28"/>
          <w:rtl/>
        </w:rPr>
        <w:t xml:space="preserve">, </w:t>
      </w:r>
      <w:r>
        <w:rPr>
          <w:rFonts w:hint="eastAsia"/>
          <w:sz w:val="28"/>
          <w:rtl/>
        </w:rPr>
        <w:t>יעמיד</w:t>
      </w:r>
      <w:r>
        <w:rPr>
          <w:sz w:val="28"/>
          <w:rtl/>
        </w:rPr>
        <w:t xml:space="preserve"> </w:t>
      </w:r>
      <w:r>
        <w:rPr>
          <w:rFonts w:hint="eastAsia"/>
          <w:sz w:val="28"/>
          <w:rtl/>
        </w:rPr>
        <w:t>בית</w:t>
      </w:r>
      <w:r>
        <w:rPr>
          <w:sz w:val="28"/>
          <w:rtl/>
        </w:rPr>
        <w:t xml:space="preserve"> </w:t>
      </w:r>
      <w:r>
        <w:rPr>
          <w:rFonts w:hint="eastAsia"/>
          <w:sz w:val="28"/>
          <w:rtl/>
        </w:rPr>
        <w:t>המשפט</w:t>
      </w:r>
      <w:r>
        <w:rPr>
          <w:sz w:val="28"/>
          <w:rtl/>
        </w:rPr>
        <w:t xml:space="preserve"> </w:t>
      </w:r>
      <w:r>
        <w:rPr>
          <w:rFonts w:hint="eastAsia"/>
          <w:sz w:val="28"/>
          <w:rtl/>
        </w:rPr>
        <w:t>לנגד</w:t>
      </w:r>
      <w:r>
        <w:rPr>
          <w:sz w:val="28"/>
          <w:rtl/>
        </w:rPr>
        <w:t xml:space="preserve"> </w:t>
      </w:r>
      <w:r>
        <w:rPr>
          <w:rFonts w:hint="eastAsia"/>
          <w:sz w:val="28"/>
          <w:rtl/>
        </w:rPr>
        <w:t>עיניו</w:t>
      </w:r>
      <w:r>
        <w:rPr>
          <w:sz w:val="28"/>
          <w:rtl/>
        </w:rPr>
        <w:t xml:space="preserve"> </w:t>
      </w:r>
      <w:r>
        <w:rPr>
          <w:rFonts w:hint="eastAsia"/>
          <w:sz w:val="28"/>
          <w:rtl/>
        </w:rPr>
        <w:t>את</w:t>
      </w:r>
      <w:r>
        <w:rPr>
          <w:sz w:val="28"/>
          <w:rtl/>
        </w:rPr>
        <w:t xml:space="preserve"> </w:t>
      </w:r>
      <w:r>
        <w:rPr>
          <w:rFonts w:hint="eastAsia"/>
          <w:sz w:val="28"/>
          <w:rtl/>
        </w:rPr>
        <w:t>היחס</w:t>
      </w:r>
      <w:r>
        <w:rPr>
          <w:sz w:val="28"/>
          <w:rtl/>
        </w:rPr>
        <w:t xml:space="preserve"> </w:t>
      </w:r>
      <w:r>
        <w:rPr>
          <w:rFonts w:hint="eastAsia"/>
          <w:sz w:val="28"/>
          <w:rtl/>
        </w:rPr>
        <w:t>שקבע</w:t>
      </w:r>
      <w:r>
        <w:rPr>
          <w:sz w:val="28"/>
          <w:rtl/>
        </w:rPr>
        <w:t xml:space="preserve"> </w:t>
      </w:r>
      <w:r>
        <w:rPr>
          <w:rFonts w:hint="eastAsia"/>
          <w:sz w:val="28"/>
          <w:rtl/>
        </w:rPr>
        <w:t>המחוקק</w:t>
      </w:r>
      <w:r>
        <w:rPr>
          <w:sz w:val="28"/>
          <w:rtl/>
        </w:rPr>
        <w:t xml:space="preserve"> </w:t>
      </w:r>
      <w:r>
        <w:rPr>
          <w:rFonts w:hint="eastAsia"/>
          <w:sz w:val="28"/>
          <w:rtl/>
        </w:rPr>
        <w:t>בין</w:t>
      </w:r>
      <w:r>
        <w:rPr>
          <w:sz w:val="28"/>
          <w:rtl/>
        </w:rPr>
        <w:t xml:space="preserve"> </w:t>
      </w:r>
      <w:r>
        <w:rPr>
          <w:rFonts w:hint="eastAsia"/>
          <w:sz w:val="28"/>
          <w:rtl/>
        </w:rPr>
        <w:t>עונשו</w:t>
      </w:r>
      <w:r>
        <w:rPr>
          <w:sz w:val="28"/>
          <w:rtl/>
        </w:rPr>
        <w:t xml:space="preserve"> </w:t>
      </w:r>
      <w:r>
        <w:rPr>
          <w:rFonts w:hint="eastAsia"/>
          <w:sz w:val="28"/>
          <w:rtl/>
        </w:rPr>
        <w:t>של</w:t>
      </w:r>
      <w:r>
        <w:rPr>
          <w:sz w:val="28"/>
          <w:rtl/>
        </w:rPr>
        <w:t xml:space="preserve"> </w:t>
      </w:r>
      <w:r>
        <w:rPr>
          <w:rFonts w:hint="eastAsia"/>
          <w:sz w:val="28"/>
          <w:rtl/>
        </w:rPr>
        <w:t>המסייע</w:t>
      </w:r>
      <w:r>
        <w:rPr>
          <w:sz w:val="28"/>
          <w:rtl/>
        </w:rPr>
        <w:t xml:space="preserve"> </w:t>
      </w:r>
      <w:r>
        <w:rPr>
          <w:rFonts w:hint="eastAsia"/>
          <w:sz w:val="28"/>
          <w:rtl/>
        </w:rPr>
        <w:t>לעונשו</w:t>
      </w:r>
      <w:r>
        <w:rPr>
          <w:sz w:val="28"/>
          <w:rtl/>
        </w:rPr>
        <w:t xml:space="preserve"> </w:t>
      </w:r>
      <w:r>
        <w:rPr>
          <w:rFonts w:hint="eastAsia"/>
          <w:sz w:val="28"/>
          <w:rtl/>
        </w:rPr>
        <w:t>של</w:t>
      </w:r>
      <w:r>
        <w:rPr>
          <w:sz w:val="28"/>
          <w:rtl/>
        </w:rPr>
        <w:t xml:space="preserve"> </w:t>
      </w:r>
      <w:r>
        <w:rPr>
          <w:rFonts w:hint="eastAsia"/>
          <w:sz w:val="28"/>
          <w:rtl/>
        </w:rPr>
        <w:t>המבצע</w:t>
      </w:r>
      <w:r>
        <w:rPr>
          <w:sz w:val="28"/>
          <w:rtl/>
        </w:rPr>
        <w:t xml:space="preserve"> </w:t>
      </w:r>
      <w:r>
        <w:rPr>
          <w:rFonts w:hint="eastAsia"/>
          <w:sz w:val="28"/>
          <w:rtl/>
        </w:rPr>
        <w:t>העיקרי</w:t>
      </w:r>
      <w:r>
        <w:rPr>
          <w:sz w:val="28"/>
          <w:rtl/>
        </w:rPr>
        <w:t xml:space="preserve">. </w:t>
      </w:r>
      <w:r>
        <w:rPr>
          <w:rFonts w:hint="eastAsia"/>
          <w:sz w:val="28"/>
          <w:rtl/>
        </w:rPr>
        <w:t>ואולם</w:t>
      </w:r>
      <w:r>
        <w:rPr>
          <w:sz w:val="28"/>
          <w:rtl/>
        </w:rPr>
        <w:t xml:space="preserve">, </w:t>
      </w:r>
      <w:r>
        <w:rPr>
          <w:rFonts w:hint="eastAsia"/>
          <w:sz w:val="28"/>
          <w:rtl/>
        </w:rPr>
        <w:t>אין</w:t>
      </w:r>
      <w:r>
        <w:rPr>
          <w:sz w:val="28"/>
          <w:rtl/>
        </w:rPr>
        <w:t xml:space="preserve"> </w:t>
      </w:r>
      <w:r>
        <w:rPr>
          <w:rFonts w:hint="eastAsia"/>
          <w:sz w:val="28"/>
          <w:rtl/>
        </w:rPr>
        <w:t>מדובר</w:t>
      </w:r>
      <w:r>
        <w:rPr>
          <w:sz w:val="28"/>
          <w:rtl/>
        </w:rPr>
        <w:t xml:space="preserve"> </w:t>
      </w:r>
      <w:r>
        <w:rPr>
          <w:rFonts w:hint="eastAsia"/>
          <w:sz w:val="28"/>
          <w:rtl/>
        </w:rPr>
        <w:t>בעריכת</w:t>
      </w:r>
      <w:r>
        <w:rPr>
          <w:sz w:val="28"/>
          <w:rtl/>
        </w:rPr>
        <w:t xml:space="preserve"> </w:t>
      </w:r>
      <w:r>
        <w:rPr>
          <w:rFonts w:hint="eastAsia"/>
          <w:sz w:val="28"/>
          <w:rtl/>
        </w:rPr>
        <w:t>תחשיב</w:t>
      </w:r>
      <w:r>
        <w:rPr>
          <w:sz w:val="28"/>
          <w:rtl/>
        </w:rPr>
        <w:t xml:space="preserve"> </w:t>
      </w:r>
      <w:r>
        <w:rPr>
          <w:rFonts w:hint="eastAsia"/>
          <w:sz w:val="28"/>
          <w:rtl/>
        </w:rPr>
        <w:t>מתמטי</w:t>
      </w:r>
      <w:r>
        <w:rPr>
          <w:sz w:val="28"/>
          <w:rtl/>
        </w:rPr>
        <w:t xml:space="preserve">, </w:t>
      </w:r>
      <w:r>
        <w:rPr>
          <w:rFonts w:hint="eastAsia"/>
          <w:sz w:val="28"/>
          <w:rtl/>
        </w:rPr>
        <w:t>ויש</w:t>
      </w:r>
      <w:r>
        <w:rPr>
          <w:sz w:val="28"/>
          <w:rtl/>
        </w:rPr>
        <w:t xml:space="preserve"> </w:t>
      </w:r>
      <w:r>
        <w:rPr>
          <w:rFonts w:hint="eastAsia"/>
          <w:sz w:val="28"/>
          <w:rtl/>
        </w:rPr>
        <w:t>ליתן</w:t>
      </w:r>
      <w:r>
        <w:rPr>
          <w:sz w:val="28"/>
          <w:rtl/>
        </w:rPr>
        <w:t xml:space="preserve"> </w:t>
      </w:r>
      <w:r>
        <w:rPr>
          <w:rFonts w:hint="eastAsia"/>
          <w:sz w:val="28"/>
          <w:rtl/>
        </w:rPr>
        <w:t>את</w:t>
      </w:r>
      <w:r>
        <w:rPr>
          <w:sz w:val="28"/>
          <w:rtl/>
        </w:rPr>
        <w:t xml:space="preserve"> </w:t>
      </w:r>
      <w:r>
        <w:rPr>
          <w:rFonts w:hint="eastAsia"/>
          <w:sz w:val="28"/>
          <w:rtl/>
        </w:rPr>
        <w:t>הדעת</w:t>
      </w:r>
      <w:r>
        <w:rPr>
          <w:sz w:val="28"/>
          <w:rtl/>
        </w:rPr>
        <w:t xml:space="preserve"> </w:t>
      </w:r>
      <w:r>
        <w:rPr>
          <w:rFonts w:hint="eastAsia"/>
          <w:sz w:val="28"/>
          <w:rtl/>
        </w:rPr>
        <w:t>לנסיבותיו</w:t>
      </w:r>
      <w:r>
        <w:rPr>
          <w:sz w:val="28"/>
          <w:rtl/>
        </w:rPr>
        <w:t xml:space="preserve"> </w:t>
      </w:r>
      <w:r>
        <w:rPr>
          <w:rFonts w:hint="eastAsia"/>
          <w:sz w:val="28"/>
          <w:rtl/>
        </w:rPr>
        <w:t>של</w:t>
      </w:r>
      <w:r>
        <w:rPr>
          <w:sz w:val="28"/>
          <w:rtl/>
        </w:rPr>
        <w:t xml:space="preserve"> </w:t>
      </w:r>
      <w:r>
        <w:rPr>
          <w:rFonts w:hint="eastAsia"/>
          <w:sz w:val="28"/>
          <w:rtl/>
        </w:rPr>
        <w:t>כל</w:t>
      </w:r>
      <w:r>
        <w:rPr>
          <w:sz w:val="28"/>
          <w:rtl/>
        </w:rPr>
        <w:t xml:space="preserve"> </w:t>
      </w:r>
      <w:r>
        <w:rPr>
          <w:rFonts w:hint="eastAsia"/>
          <w:sz w:val="28"/>
          <w:rtl/>
        </w:rPr>
        <w:t>מקרה</w:t>
      </w:r>
      <w:r>
        <w:rPr>
          <w:sz w:val="28"/>
          <w:rtl/>
        </w:rPr>
        <w:t xml:space="preserve"> </w:t>
      </w:r>
      <w:r>
        <w:rPr>
          <w:rFonts w:hint="eastAsia"/>
          <w:sz w:val="28"/>
          <w:rtl/>
        </w:rPr>
        <w:t>לגופו</w:t>
      </w:r>
      <w:r>
        <w:rPr>
          <w:sz w:val="28"/>
          <w:rtl/>
        </w:rPr>
        <w:t xml:space="preserve">". </w:t>
      </w:r>
      <w:hyperlink r:id="rId36" w:history="1">
        <w:r w:rsidRPr="00F03B52">
          <w:rPr>
            <w:rFonts w:hint="eastAsia"/>
            <w:color w:val="0000FF"/>
            <w:sz w:val="28"/>
            <w:u w:val="single"/>
            <w:rtl/>
          </w:rPr>
          <w:t>רע</w:t>
        </w:r>
        <w:r w:rsidRPr="00F03B52">
          <w:rPr>
            <w:color w:val="0000FF"/>
            <w:sz w:val="28"/>
            <w:u w:val="single"/>
            <w:rtl/>
          </w:rPr>
          <w:t>"</w:t>
        </w:r>
        <w:r w:rsidRPr="00F03B52">
          <w:rPr>
            <w:rFonts w:hint="eastAsia"/>
            <w:color w:val="0000FF"/>
            <w:sz w:val="28"/>
            <w:u w:val="single"/>
            <w:rtl/>
          </w:rPr>
          <w:t>פ</w:t>
        </w:r>
        <w:r w:rsidRPr="00F03B52">
          <w:rPr>
            <w:color w:val="0000FF"/>
            <w:sz w:val="28"/>
            <w:u w:val="single"/>
            <w:rtl/>
          </w:rPr>
          <w:t xml:space="preserve">  792/14</w:t>
        </w:r>
      </w:hyperlink>
      <w:r>
        <w:rPr>
          <w:sz w:val="28"/>
          <w:rtl/>
        </w:rPr>
        <w:t xml:space="preserve"> </w:t>
      </w:r>
      <w:r>
        <w:rPr>
          <w:rFonts w:cs="Miriam" w:hint="eastAsia"/>
          <w:szCs w:val="24"/>
          <w:rtl/>
        </w:rPr>
        <w:t>סבאג</w:t>
      </w:r>
      <w:r>
        <w:rPr>
          <w:rFonts w:cs="Miriam"/>
          <w:szCs w:val="24"/>
          <w:rtl/>
        </w:rPr>
        <w:t xml:space="preserve"> </w:t>
      </w:r>
      <w:r>
        <w:rPr>
          <w:rFonts w:cs="Miriam" w:hint="eastAsia"/>
          <w:szCs w:val="24"/>
          <w:rtl/>
        </w:rPr>
        <w:t>נגד</w:t>
      </w:r>
      <w:r>
        <w:rPr>
          <w:rFonts w:cs="Miriam"/>
          <w:szCs w:val="24"/>
          <w:rtl/>
        </w:rPr>
        <w:t xml:space="preserve"> </w:t>
      </w:r>
      <w:r>
        <w:rPr>
          <w:rFonts w:cs="Miriam" w:hint="eastAsia"/>
          <w:szCs w:val="24"/>
          <w:rtl/>
        </w:rPr>
        <w:t>מדינת</w:t>
      </w:r>
      <w:r>
        <w:rPr>
          <w:rFonts w:cs="Miriam"/>
          <w:szCs w:val="24"/>
          <w:rtl/>
        </w:rPr>
        <w:t xml:space="preserve"> </w:t>
      </w:r>
      <w:r>
        <w:rPr>
          <w:rFonts w:cs="Miriam" w:hint="eastAsia"/>
          <w:szCs w:val="24"/>
          <w:rtl/>
        </w:rPr>
        <w:t>ישראל</w:t>
      </w:r>
      <w:r>
        <w:rPr>
          <w:rFonts w:cs="Miriam"/>
          <w:szCs w:val="24"/>
          <w:rtl/>
        </w:rPr>
        <w:t xml:space="preserve"> </w:t>
      </w:r>
      <w:r>
        <w:rPr>
          <w:sz w:val="28"/>
          <w:rtl/>
        </w:rPr>
        <w:t>(16.3.2014).</w:t>
      </w:r>
    </w:p>
    <w:p w14:paraId="67DCE470" w14:textId="77777777" w:rsidR="00D14CE9" w:rsidRDefault="00D14CE9">
      <w:pPr>
        <w:pStyle w:val="Ruller40"/>
        <w:rPr>
          <w:rtl/>
        </w:rPr>
      </w:pPr>
    </w:p>
    <w:p w14:paraId="20349BD8" w14:textId="77777777" w:rsidR="00D14CE9" w:rsidRDefault="00F03B52">
      <w:pPr>
        <w:pStyle w:val="Ruller4"/>
        <w:numPr>
          <w:ilvl w:val="0"/>
          <w:numId w:val="0"/>
        </w:numPr>
        <w:tabs>
          <w:tab w:val="num" w:pos="1210"/>
        </w:tabs>
        <w:rPr>
          <w:rFonts w:ascii="Century" w:hAnsi="Century"/>
          <w:sz w:val="28"/>
        </w:rPr>
      </w:pPr>
      <w:r>
        <w:rPr>
          <w:sz w:val="28"/>
          <w:rtl/>
        </w:rPr>
        <w:tab/>
      </w:r>
      <w:r>
        <w:rPr>
          <w:rFonts w:hint="eastAsia"/>
          <w:sz w:val="28"/>
          <w:rtl/>
        </w:rPr>
        <w:t>וראו</w:t>
      </w:r>
      <w:r>
        <w:rPr>
          <w:sz w:val="28"/>
          <w:rtl/>
        </w:rPr>
        <w:t xml:space="preserve"> </w:t>
      </w:r>
      <w:r>
        <w:rPr>
          <w:rFonts w:hint="eastAsia"/>
          <w:sz w:val="28"/>
          <w:rtl/>
        </w:rPr>
        <w:t>גם</w:t>
      </w:r>
      <w:r>
        <w:rPr>
          <w:sz w:val="28"/>
          <w:rtl/>
        </w:rPr>
        <w:t xml:space="preserve"> </w:t>
      </w:r>
      <w:hyperlink r:id="rId37" w:history="1">
        <w:r w:rsidRPr="00F03B52">
          <w:rPr>
            <w:rFonts w:hint="eastAsia"/>
            <w:color w:val="0000FF"/>
            <w:sz w:val="28"/>
            <w:u w:val="single"/>
            <w:rtl/>
          </w:rPr>
          <w:t>ע</w:t>
        </w:r>
        <w:r w:rsidRPr="00F03B52">
          <w:rPr>
            <w:color w:val="0000FF"/>
            <w:sz w:val="28"/>
            <w:u w:val="single"/>
            <w:rtl/>
          </w:rPr>
          <w:t>"</w:t>
        </w:r>
        <w:r w:rsidRPr="00F03B52">
          <w:rPr>
            <w:rFonts w:hint="eastAsia"/>
            <w:color w:val="0000FF"/>
            <w:sz w:val="28"/>
            <w:u w:val="single"/>
            <w:rtl/>
          </w:rPr>
          <w:t>פ</w:t>
        </w:r>
        <w:r w:rsidRPr="00F03B52">
          <w:rPr>
            <w:color w:val="0000FF"/>
            <w:sz w:val="28"/>
            <w:u w:val="single"/>
            <w:rtl/>
          </w:rPr>
          <w:t xml:space="preserve"> 4463/12</w:t>
        </w:r>
      </w:hyperlink>
      <w:r>
        <w:rPr>
          <w:sz w:val="28"/>
          <w:rtl/>
        </w:rPr>
        <w:t xml:space="preserve"> </w:t>
      </w:r>
      <w:r>
        <w:rPr>
          <w:rFonts w:ascii="Century" w:hAnsi="Century" w:cs="Miriam" w:hint="eastAsia"/>
          <w:b/>
          <w:spacing w:val="0"/>
          <w:szCs w:val="24"/>
          <w:rtl/>
        </w:rPr>
        <w:t>ארנבורג</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sz w:val="28"/>
          <w:rtl/>
        </w:rPr>
        <w:t xml:space="preserve"> (13.9.2012)</w:t>
      </w:r>
      <w:r>
        <w:rPr>
          <w:rFonts w:hint="cs"/>
          <w:sz w:val="28"/>
          <w:rtl/>
        </w:rPr>
        <w:t>:</w:t>
      </w:r>
      <w:r>
        <w:rPr>
          <w:sz w:val="28"/>
          <w:rtl/>
        </w:rPr>
        <w:t xml:space="preserve"> </w:t>
      </w:r>
    </w:p>
    <w:p w14:paraId="1D4B6A50" w14:textId="77777777" w:rsidR="00D14CE9" w:rsidRDefault="00F03B52">
      <w:pPr>
        <w:pStyle w:val="Ruller4"/>
        <w:numPr>
          <w:ilvl w:val="0"/>
          <w:numId w:val="0"/>
        </w:numPr>
        <w:spacing w:line="240" w:lineRule="auto"/>
        <w:ind w:left="1440"/>
        <w:rPr>
          <w:sz w:val="28"/>
          <w:rtl/>
        </w:rPr>
      </w:pPr>
      <w:r>
        <w:rPr>
          <w:sz w:val="28"/>
          <w:rtl/>
        </w:rPr>
        <w:t>"</w:t>
      </w:r>
      <w:r>
        <w:rPr>
          <w:rFonts w:hint="eastAsia"/>
          <w:sz w:val="28"/>
          <w:rtl/>
        </w:rPr>
        <w:t>אכן</w:t>
      </w:r>
      <w:r>
        <w:rPr>
          <w:sz w:val="28"/>
          <w:rtl/>
        </w:rPr>
        <w:t xml:space="preserve">, </w:t>
      </w:r>
      <w:r>
        <w:rPr>
          <w:rFonts w:hint="eastAsia"/>
          <w:sz w:val="28"/>
          <w:rtl/>
        </w:rPr>
        <w:t>מלאכת</w:t>
      </w:r>
      <w:r>
        <w:rPr>
          <w:sz w:val="28"/>
          <w:rtl/>
        </w:rPr>
        <w:t xml:space="preserve"> </w:t>
      </w:r>
      <w:r>
        <w:rPr>
          <w:rFonts w:hint="eastAsia"/>
          <w:sz w:val="28"/>
          <w:rtl/>
        </w:rPr>
        <w:t>גזירת</w:t>
      </w:r>
      <w:r>
        <w:rPr>
          <w:sz w:val="28"/>
          <w:rtl/>
        </w:rPr>
        <w:t xml:space="preserve"> </w:t>
      </w:r>
      <w:r>
        <w:rPr>
          <w:rFonts w:hint="eastAsia"/>
          <w:sz w:val="28"/>
          <w:rtl/>
        </w:rPr>
        <w:t>העונש</w:t>
      </w:r>
      <w:r>
        <w:rPr>
          <w:sz w:val="28"/>
          <w:rtl/>
        </w:rPr>
        <w:t xml:space="preserve"> </w:t>
      </w:r>
      <w:r>
        <w:rPr>
          <w:rFonts w:hint="eastAsia"/>
          <w:sz w:val="28"/>
          <w:rtl/>
        </w:rPr>
        <w:t>אינה</w:t>
      </w:r>
      <w:r>
        <w:rPr>
          <w:sz w:val="28"/>
          <w:rtl/>
        </w:rPr>
        <w:t xml:space="preserve"> </w:t>
      </w:r>
      <w:r>
        <w:rPr>
          <w:rFonts w:hint="eastAsia"/>
          <w:sz w:val="28"/>
          <w:rtl/>
        </w:rPr>
        <w:t>משימה</w:t>
      </w:r>
      <w:r>
        <w:rPr>
          <w:sz w:val="28"/>
          <w:rtl/>
        </w:rPr>
        <w:t xml:space="preserve"> </w:t>
      </w:r>
      <w:r>
        <w:rPr>
          <w:rFonts w:hint="eastAsia"/>
          <w:sz w:val="28"/>
          <w:rtl/>
        </w:rPr>
        <w:t>טכנית</w:t>
      </w:r>
      <w:r>
        <w:rPr>
          <w:sz w:val="28"/>
          <w:rtl/>
        </w:rPr>
        <w:t xml:space="preserve"> </w:t>
      </w:r>
      <w:r>
        <w:rPr>
          <w:rFonts w:hint="eastAsia"/>
          <w:sz w:val="28"/>
          <w:rtl/>
        </w:rPr>
        <w:t>הנשענת</w:t>
      </w:r>
      <w:r>
        <w:rPr>
          <w:sz w:val="28"/>
          <w:rtl/>
        </w:rPr>
        <w:t xml:space="preserve"> </w:t>
      </w:r>
      <w:r>
        <w:rPr>
          <w:rFonts w:hint="eastAsia"/>
          <w:sz w:val="28"/>
          <w:rtl/>
        </w:rPr>
        <w:t>על</w:t>
      </w:r>
      <w:r>
        <w:rPr>
          <w:sz w:val="28"/>
          <w:rtl/>
        </w:rPr>
        <w:t xml:space="preserve"> </w:t>
      </w:r>
      <w:r>
        <w:rPr>
          <w:rFonts w:hint="eastAsia"/>
          <w:sz w:val="28"/>
          <w:rtl/>
        </w:rPr>
        <w:t>יישום</w:t>
      </w:r>
      <w:r>
        <w:rPr>
          <w:sz w:val="28"/>
          <w:rtl/>
        </w:rPr>
        <w:t xml:space="preserve"> </w:t>
      </w:r>
      <w:r>
        <w:rPr>
          <w:rFonts w:hint="eastAsia"/>
          <w:sz w:val="28"/>
          <w:rtl/>
        </w:rPr>
        <w:t>פעולות</w:t>
      </w:r>
      <w:r>
        <w:rPr>
          <w:sz w:val="28"/>
          <w:rtl/>
        </w:rPr>
        <w:t xml:space="preserve"> </w:t>
      </w:r>
      <w:r>
        <w:rPr>
          <w:rFonts w:hint="eastAsia"/>
          <w:sz w:val="28"/>
          <w:rtl/>
        </w:rPr>
        <w:t>מתמטיות</w:t>
      </w:r>
      <w:r>
        <w:rPr>
          <w:sz w:val="28"/>
          <w:rtl/>
        </w:rPr>
        <w:t xml:space="preserve">, </w:t>
      </w:r>
      <w:r>
        <w:rPr>
          <w:rFonts w:hint="eastAsia"/>
          <w:sz w:val="28"/>
          <w:rtl/>
        </w:rPr>
        <w:t>אלא</w:t>
      </w:r>
      <w:r>
        <w:rPr>
          <w:sz w:val="28"/>
          <w:rtl/>
        </w:rPr>
        <w:t xml:space="preserve"> </w:t>
      </w:r>
      <w:r>
        <w:rPr>
          <w:rFonts w:hint="eastAsia"/>
          <w:sz w:val="28"/>
          <w:rtl/>
        </w:rPr>
        <w:t>היא</w:t>
      </w:r>
      <w:r>
        <w:rPr>
          <w:sz w:val="28"/>
          <w:rtl/>
        </w:rPr>
        <w:t xml:space="preserve"> </w:t>
      </w:r>
      <w:r>
        <w:rPr>
          <w:rFonts w:hint="eastAsia"/>
          <w:sz w:val="28"/>
          <w:rtl/>
        </w:rPr>
        <w:t>פעולה</w:t>
      </w:r>
      <w:r>
        <w:rPr>
          <w:sz w:val="28"/>
          <w:rtl/>
        </w:rPr>
        <w:t xml:space="preserve"> </w:t>
      </w:r>
      <w:r>
        <w:rPr>
          <w:rFonts w:hint="eastAsia"/>
          <w:sz w:val="28"/>
          <w:rtl/>
        </w:rPr>
        <w:t>של</w:t>
      </w:r>
      <w:r>
        <w:rPr>
          <w:sz w:val="28"/>
          <w:rtl/>
        </w:rPr>
        <w:t xml:space="preserve"> </w:t>
      </w:r>
      <w:r>
        <w:rPr>
          <w:rFonts w:hint="eastAsia"/>
          <w:sz w:val="28"/>
          <w:rtl/>
        </w:rPr>
        <w:t>איזון</w:t>
      </w:r>
      <w:r>
        <w:rPr>
          <w:sz w:val="28"/>
          <w:rtl/>
        </w:rPr>
        <w:t xml:space="preserve"> </w:t>
      </w:r>
      <w:r>
        <w:rPr>
          <w:rFonts w:hint="eastAsia"/>
          <w:sz w:val="28"/>
          <w:rtl/>
        </w:rPr>
        <w:t>עדין</w:t>
      </w:r>
      <w:r>
        <w:rPr>
          <w:sz w:val="28"/>
          <w:rtl/>
        </w:rPr>
        <w:t xml:space="preserve"> </w:t>
      </w:r>
      <w:r>
        <w:rPr>
          <w:rFonts w:hint="eastAsia"/>
          <w:sz w:val="28"/>
          <w:rtl/>
        </w:rPr>
        <w:t>בין</w:t>
      </w:r>
      <w:r>
        <w:rPr>
          <w:sz w:val="28"/>
          <w:rtl/>
        </w:rPr>
        <w:t xml:space="preserve"> </w:t>
      </w:r>
      <w:r>
        <w:rPr>
          <w:rFonts w:hint="eastAsia"/>
          <w:sz w:val="28"/>
          <w:rtl/>
        </w:rPr>
        <w:t>מספר</w:t>
      </w:r>
      <w:r>
        <w:rPr>
          <w:sz w:val="28"/>
          <w:rtl/>
        </w:rPr>
        <w:t xml:space="preserve"> </w:t>
      </w:r>
      <w:r>
        <w:rPr>
          <w:rFonts w:hint="eastAsia"/>
          <w:sz w:val="28"/>
          <w:rtl/>
        </w:rPr>
        <w:t>רב</w:t>
      </w:r>
      <w:r>
        <w:rPr>
          <w:sz w:val="28"/>
          <w:rtl/>
        </w:rPr>
        <w:t xml:space="preserve"> </w:t>
      </w:r>
      <w:r>
        <w:rPr>
          <w:rFonts w:hint="eastAsia"/>
          <w:sz w:val="28"/>
          <w:rtl/>
        </w:rPr>
        <w:t>של</w:t>
      </w:r>
      <w:r>
        <w:rPr>
          <w:sz w:val="28"/>
          <w:rtl/>
        </w:rPr>
        <w:t xml:space="preserve"> </w:t>
      </w:r>
      <w:r>
        <w:rPr>
          <w:rFonts w:hint="eastAsia"/>
          <w:sz w:val="28"/>
          <w:rtl/>
        </w:rPr>
        <w:t>שיקולים</w:t>
      </w:r>
      <w:r>
        <w:rPr>
          <w:sz w:val="28"/>
          <w:rtl/>
        </w:rPr>
        <w:t xml:space="preserve">, </w:t>
      </w:r>
      <w:r>
        <w:rPr>
          <w:rFonts w:hint="eastAsia"/>
          <w:sz w:val="28"/>
          <w:rtl/>
        </w:rPr>
        <w:t>שחלקם</w:t>
      </w:r>
      <w:r>
        <w:rPr>
          <w:sz w:val="28"/>
          <w:rtl/>
        </w:rPr>
        <w:t xml:space="preserve"> </w:t>
      </w:r>
      <w:r>
        <w:rPr>
          <w:rFonts w:hint="eastAsia"/>
          <w:sz w:val="28"/>
          <w:rtl/>
        </w:rPr>
        <w:t>עניינו</w:t>
      </w:r>
      <w:r>
        <w:rPr>
          <w:sz w:val="28"/>
          <w:rtl/>
        </w:rPr>
        <w:t xml:space="preserve"> </w:t>
      </w:r>
      <w:r>
        <w:rPr>
          <w:rFonts w:hint="eastAsia"/>
          <w:sz w:val="28"/>
          <w:rtl/>
        </w:rPr>
        <w:t>בנאשם</w:t>
      </w:r>
      <w:r>
        <w:rPr>
          <w:sz w:val="28"/>
          <w:rtl/>
        </w:rPr>
        <w:t xml:space="preserve"> </w:t>
      </w:r>
      <w:r>
        <w:rPr>
          <w:rFonts w:hint="eastAsia"/>
          <w:sz w:val="28"/>
          <w:rtl/>
        </w:rPr>
        <w:t>עצמו</w:t>
      </w:r>
      <w:r>
        <w:rPr>
          <w:sz w:val="28"/>
          <w:rtl/>
        </w:rPr>
        <w:t xml:space="preserve"> </w:t>
      </w:r>
      <w:r>
        <w:rPr>
          <w:rFonts w:hint="eastAsia"/>
          <w:sz w:val="28"/>
          <w:rtl/>
        </w:rPr>
        <w:t>וחלקם</w:t>
      </w:r>
      <w:r>
        <w:rPr>
          <w:sz w:val="28"/>
          <w:rtl/>
        </w:rPr>
        <w:t xml:space="preserve"> </w:t>
      </w:r>
      <w:r>
        <w:rPr>
          <w:rFonts w:hint="eastAsia"/>
          <w:sz w:val="28"/>
          <w:rtl/>
        </w:rPr>
        <w:t>האחר</w:t>
      </w:r>
      <w:r>
        <w:rPr>
          <w:sz w:val="28"/>
          <w:rtl/>
        </w:rPr>
        <w:t xml:space="preserve"> </w:t>
      </w:r>
      <w:r>
        <w:rPr>
          <w:rFonts w:hint="eastAsia"/>
          <w:sz w:val="28"/>
          <w:rtl/>
        </w:rPr>
        <w:t>נוגע</w:t>
      </w:r>
      <w:r>
        <w:rPr>
          <w:sz w:val="28"/>
          <w:rtl/>
        </w:rPr>
        <w:t xml:space="preserve"> </w:t>
      </w:r>
      <w:r>
        <w:rPr>
          <w:rFonts w:hint="eastAsia"/>
          <w:sz w:val="28"/>
          <w:rtl/>
        </w:rPr>
        <w:t>לאינטרס</w:t>
      </w:r>
      <w:r>
        <w:rPr>
          <w:sz w:val="28"/>
          <w:rtl/>
        </w:rPr>
        <w:t xml:space="preserve"> </w:t>
      </w:r>
      <w:r>
        <w:rPr>
          <w:rFonts w:hint="eastAsia"/>
          <w:sz w:val="28"/>
          <w:rtl/>
        </w:rPr>
        <w:t>הציבורי</w:t>
      </w:r>
      <w:r>
        <w:rPr>
          <w:sz w:val="28"/>
          <w:rtl/>
        </w:rPr>
        <w:t xml:space="preserve">. </w:t>
      </w:r>
      <w:r>
        <w:rPr>
          <w:rFonts w:hint="eastAsia"/>
          <w:sz w:val="28"/>
          <w:rtl/>
        </w:rPr>
        <w:t>בית</w:t>
      </w:r>
      <w:r>
        <w:rPr>
          <w:sz w:val="28"/>
          <w:rtl/>
        </w:rPr>
        <w:t xml:space="preserve"> </w:t>
      </w:r>
      <w:r>
        <w:rPr>
          <w:rFonts w:hint="eastAsia"/>
          <w:sz w:val="28"/>
          <w:rtl/>
        </w:rPr>
        <w:t>המשפט</w:t>
      </w:r>
      <w:r>
        <w:rPr>
          <w:sz w:val="28"/>
          <w:rtl/>
        </w:rPr>
        <w:t xml:space="preserve"> </w:t>
      </w:r>
      <w:r>
        <w:rPr>
          <w:rFonts w:hint="eastAsia"/>
          <w:sz w:val="28"/>
          <w:rtl/>
        </w:rPr>
        <w:t>נדרש</w:t>
      </w:r>
      <w:r>
        <w:rPr>
          <w:sz w:val="28"/>
          <w:rtl/>
        </w:rPr>
        <w:t xml:space="preserve">, </w:t>
      </w:r>
      <w:r>
        <w:rPr>
          <w:rFonts w:hint="eastAsia"/>
          <w:sz w:val="28"/>
          <w:rtl/>
        </w:rPr>
        <w:t>בבואו</w:t>
      </w:r>
      <w:r>
        <w:rPr>
          <w:sz w:val="28"/>
          <w:rtl/>
        </w:rPr>
        <w:t xml:space="preserve"> </w:t>
      </w:r>
      <w:r>
        <w:rPr>
          <w:rFonts w:hint="eastAsia"/>
          <w:sz w:val="28"/>
          <w:rtl/>
        </w:rPr>
        <w:t>לגזור</w:t>
      </w:r>
      <w:r>
        <w:rPr>
          <w:sz w:val="28"/>
          <w:rtl/>
        </w:rPr>
        <w:t xml:space="preserve"> </w:t>
      </w:r>
      <w:r>
        <w:rPr>
          <w:rFonts w:hint="eastAsia"/>
          <w:sz w:val="28"/>
          <w:rtl/>
        </w:rPr>
        <w:t>את</w:t>
      </w:r>
      <w:r>
        <w:rPr>
          <w:sz w:val="28"/>
          <w:rtl/>
        </w:rPr>
        <w:t xml:space="preserve"> </w:t>
      </w:r>
      <w:r>
        <w:rPr>
          <w:rFonts w:hint="eastAsia"/>
          <w:sz w:val="28"/>
          <w:rtl/>
        </w:rPr>
        <w:t>דינו</w:t>
      </w:r>
      <w:r>
        <w:rPr>
          <w:sz w:val="28"/>
          <w:rtl/>
        </w:rPr>
        <w:t xml:space="preserve"> </w:t>
      </w:r>
      <w:r>
        <w:rPr>
          <w:rFonts w:hint="eastAsia"/>
          <w:sz w:val="28"/>
          <w:rtl/>
        </w:rPr>
        <w:t>של</w:t>
      </w:r>
      <w:r>
        <w:rPr>
          <w:sz w:val="28"/>
          <w:rtl/>
        </w:rPr>
        <w:t xml:space="preserve"> </w:t>
      </w:r>
      <w:r>
        <w:rPr>
          <w:rFonts w:hint="eastAsia"/>
          <w:sz w:val="28"/>
          <w:rtl/>
        </w:rPr>
        <w:t>נאשם</w:t>
      </w:r>
      <w:r>
        <w:rPr>
          <w:sz w:val="28"/>
          <w:rtl/>
        </w:rPr>
        <w:t xml:space="preserve">, </w:t>
      </w:r>
      <w:r>
        <w:rPr>
          <w:rFonts w:hint="eastAsia"/>
          <w:sz w:val="28"/>
          <w:rtl/>
        </w:rPr>
        <w:t>לשקול</w:t>
      </w:r>
      <w:r>
        <w:rPr>
          <w:sz w:val="28"/>
          <w:rtl/>
        </w:rPr>
        <w:t xml:space="preserve"> </w:t>
      </w:r>
      <w:r>
        <w:rPr>
          <w:rFonts w:hint="eastAsia"/>
          <w:sz w:val="28"/>
          <w:rtl/>
        </w:rPr>
        <w:t>את</w:t>
      </w:r>
      <w:r>
        <w:rPr>
          <w:sz w:val="28"/>
          <w:rtl/>
        </w:rPr>
        <w:t xml:space="preserve"> </w:t>
      </w:r>
      <w:r>
        <w:rPr>
          <w:rFonts w:hint="eastAsia"/>
          <w:sz w:val="28"/>
          <w:rtl/>
        </w:rPr>
        <w:t>עניינו</w:t>
      </w:r>
      <w:r>
        <w:rPr>
          <w:sz w:val="28"/>
          <w:rtl/>
        </w:rPr>
        <w:t xml:space="preserve"> </w:t>
      </w:r>
      <w:r>
        <w:rPr>
          <w:rFonts w:hint="eastAsia"/>
          <w:sz w:val="28"/>
          <w:rtl/>
        </w:rPr>
        <w:t>הפרטני</w:t>
      </w:r>
      <w:r>
        <w:rPr>
          <w:sz w:val="28"/>
          <w:rtl/>
        </w:rPr>
        <w:t xml:space="preserve"> </w:t>
      </w:r>
      <w:r>
        <w:rPr>
          <w:rFonts w:hint="eastAsia"/>
          <w:sz w:val="28"/>
          <w:rtl/>
        </w:rPr>
        <w:t>של</w:t>
      </w:r>
      <w:r>
        <w:rPr>
          <w:sz w:val="28"/>
          <w:rtl/>
        </w:rPr>
        <w:t xml:space="preserve"> </w:t>
      </w:r>
      <w:r>
        <w:rPr>
          <w:rFonts w:hint="eastAsia"/>
          <w:sz w:val="28"/>
          <w:rtl/>
        </w:rPr>
        <w:t>הנאשם</w:t>
      </w:r>
      <w:r>
        <w:rPr>
          <w:sz w:val="28"/>
          <w:rtl/>
        </w:rPr>
        <w:t xml:space="preserve"> </w:t>
      </w:r>
      <w:r>
        <w:rPr>
          <w:rFonts w:hint="eastAsia"/>
          <w:sz w:val="28"/>
          <w:rtl/>
        </w:rPr>
        <w:t>ולתת</w:t>
      </w:r>
      <w:r>
        <w:rPr>
          <w:sz w:val="28"/>
          <w:rtl/>
        </w:rPr>
        <w:t xml:space="preserve"> </w:t>
      </w:r>
      <w:r>
        <w:rPr>
          <w:rFonts w:hint="eastAsia"/>
          <w:sz w:val="28"/>
          <w:rtl/>
        </w:rPr>
        <w:t>לנסיבותיו</w:t>
      </w:r>
      <w:r>
        <w:rPr>
          <w:sz w:val="28"/>
          <w:rtl/>
        </w:rPr>
        <w:t xml:space="preserve">, </w:t>
      </w:r>
      <w:r>
        <w:rPr>
          <w:rFonts w:hint="eastAsia"/>
          <w:sz w:val="28"/>
          <w:rtl/>
        </w:rPr>
        <w:t>לפוטנציאל</w:t>
      </w:r>
      <w:r>
        <w:rPr>
          <w:sz w:val="28"/>
          <w:rtl/>
        </w:rPr>
        <w:t xml:space="preserve"> </w:t>
      </w:r>
      <w:r>
        <w:rPr>
          <w:rFonts w:hint="eastAsia"/>
          <w:sz w:val="28"/>
          <w:rtl/>
        </w:rPr>
        <w:t>השיקומי</w:t>
      </w:r>
      <w:r>
        <w:rPr>
          <w:sz w:val="28"/>
          <w:rtl/>
        </w:rPr>
        <w:t xml:space="preserve"> </w:t>
      </w:r>
      <w:r>
        <w:rPr>
          <w:rFonts w:hint="eastAsia"/>
          <w:sz w:val="28"/>
          <w:rtl/>
        </w:rPr>
        <w:t>שלו</w:t>
      </w:r>
      <w:r>
        <w:rPr>
          <w:sz w:val="28"/>
          <w:rtl/>
        </w:rPr>
        <w:t xml:space="preserve"> </w:t>
      </w:r>
      <w:r>
        <w:rPr>
          <w:rFonts w:hint="eastAsia"/>
          <w:sz w:val="28"/>
          <w:rtl/>
        </w:rPr>
        <w:t>ולגורמים</w:t>
      </w:r>
      <w:r>
        <w:rPr>
          <w:sz w:val="28"/>
          <w:rtl/>
        </w:rPr>
        <w:t xml:space="preserve"> </w:t>
      </w:r>
      <w:r>
        <w:rPr>
          <w:rFonts w:hint="eastAsia"/>
          <w:sz w:val="28"/>
          <w:rtl/>
        </w:rPr>
        <w:t>רלוונטיים</w:t>
      </w:r>
      <w:r>
        <w:rPr>
          <w:sz w:val="28"/>
          <w:rtl/>
        </w:rPr>
        <w:t xml:space="preserve"> </w:t>
      </w:r>
      <w:r>
        <w:rPr>
          <w:rFonts w:hint="eastAsia"/>
          <w:sz w:val="28"/>
          <w:rtl/>
        </w:rPr>
        <w:t>נוספים</w:t>
      </w:r>
      <w:r>
        <w:rPr>
          <w:sz w:val="28"/>
          <w:rtl/>
        </w:rPr>
        <w:t xml:space="preserve"> </w:t>
      </w:r>
      <w:r>
        <w:rPr>
          <w:rFonts w:hint="eastAsia"/>
          <w:sz w:val="28"/>
          <w:rtl/>
        </w:rPr>
        <w:t>את</w:t>
      </w:r>
      <w:r>
        <w:rPr>
          <w:sz w:val="28"/>
          <w:rtl/>
        </w:rPr>
        <w:t xml:space="preserve"> </w:t>
      </w:r>
      <w:r>
        <w:rPr>
          <w:rFonts w:hint="eastAsia"/>
          <w:sz w:val="28"/>
          <w:rtl/>
        </w:rPr>
        <w:t>המשקל</w:t>
      </w:r>
      <w:r>
        <w:rPr>
          <w:sz w:val="28"/>
          <w:rtl/>
        </w:rPr>
        <w:t xml:space="preserve"> </w:t>
      </w:r>
      <w:r>
        <w:rPr>
          <w:rFonts w:hint="eastAsia"/>
          <w:sz w:val="28"/>
          <w:rtl/>
        </w:rPr>
        <w:t>ההולם</w:t>
      </w:r>
      <w:r>
        <w:rPr>
          <w:sz w:val="28"/>
          <w:rtl/>
        </w:rPr>
        <w:t xml:space="preserve">. </w:t>
      </w:r>
      <w:r>
        <w:rPr>
          <w:rFonts w:hint="eastAsia"/>
          <w:sz w:val="28"/>
          <w:rtl/>
        </w:rPr>
        <w:t>על</w:t>
      </w:r>
      <w:r>
        <w:rPr>
          <w:sz w:val="28"/>
          <w:rtl/>
        </w:rPr>
        <w:t xml:space="preserve"> </w:t>
      </w:r>
      <w:r>
        <w:rPr>
          <w:rFonts w:hint="eastAsia"/>
          <w:sz w:val="28"/>
          <w:rtl/>
        </w:rPr>
        <w:t>כן</w:t>
      </w:r>
      <w:r>
        <w:rPr>
          <w:sz w:val="28"/>
          <w:rtl/>
        </w:rPr>
        <w:t xml:space="preserve">, </w:t>
      </w:r>
      <w:r>
        <w:rPr>
          <w:rFonts w:hint="eastAsia"/>
          <w:sz w:val="28"/>
          <w:rtl/>
        </w:rPr>
        <w:t>אין</w:t>
      </w:r>
      <w:r>
        <w:rPr>
          <w:sz w:val="28"/>
          <w:rtl/>
        </w:rPr>
        <w:t xml:space="preserve"> </w:t>
      </w:r>
      <w:r>
        <w:rPr>
          <w:rFonts w:hint="eastAsia"/>
          <w:sz w:val="28"/>
          <w:rtl/>
        </w:rPr>
        <w:t>המדובר</w:t>
      </w:r>
      <w:r>
        <w:rPr>
          <w:sz w:val="28"/>
          <w:rtl/>
        </w:rPr>
        <w:t xml:space="preserve"> </w:t>
      </w:r>
      <w:r>
        <w:rPr>
          <w:rFonts w:hint="eastAsia"/>
          <w:sz w:val="28"/>
          <w:rtl/>
        </w:rPr>
        <w:t>בגזירה</w:t>
      </w:r>
      <w:r>
        <w:rPr>
          <w:sz w:val="28"/>
          <w:rtl/>
        </w:rPr>
        <w:t xml:space="preserve"> </w:t>
      </w:r>
      <w:r>
        <w:rPr>
          <w:rFonts w:hint="eastAsia"/>
          <w:sz w:val="28"/>
          <w:rtl/>
        </w:rPr>
        <w:t>אוטומטית</w:t>
      </w:r>
      <w:r>
        <w:rPr>
          <w:sz w:val="28"/>
          <w:rtl/>
        </w:rPr>
        <w:t xml:space="preserve"> </w:t>
      </w:r>
      <w:r>
        <w:rPr>
          <w:rFonts w:hint="eastAsia"/>
          <w:sz w:val="28"/>
          <w:rtl/>
        </w:rPr>
        <w:t>של</w:t>
      </w:r>
      <w:r>
        <w:rPr>
          <w:sz w:val="28"/>
          <w:rtl/>
        </w:rPr>
        <w:t xml:space="preserve"> </w:t>
      </w:r>
      <w:r>
        <w:rPr>
          <w:rFonts w:hint="eastAsia"/>
          <w:sz w:val="28"/>
          <w:rtl/>
        </w:rPr>
        <w:t>מחצית</w:t>
      </w:r>
      <w:r>
        <w:rPr>
          <w:sz w:val="28"/>
          <w:rtl/>
        </w:rPr>
        <w:t xml:space="preserve"> </w:t>
      </w:r>
      <w:r>
        <w:rPr>
          <w:rFonts w:hint="eastAsia"/>
          <w:sz w:val="28"/>
          <w:rtl/>
        </w:rPr>
        <w:t>העונש</w:t>
      </w:r>
      <w:r>
        <w:rPr>
          <w:sz w:val="28"/>
          <w:rtl/>
        </w:rPr>
        <w:t xml:space="preserve"> </w:t>
      </w:r>
      <w:r>
        <w:rPr>
          <w:rFonts w:hint="eastAsia"/>
          <w:sz w:val="28"/>
          <w:rtl/>
        </w:rPr>
        <w:t>בעניינו</w:t>
      </w:r>
      <w:r>
        <w:rPr>
          <w:sz w:val="28"/>
          <w:rtl/>
        </w:rPr>
        <w:t xml:space="preserve"> </w:t>
      </w:r>
      <w:r>
        <w:rPr>
          <w:rFonts w:hint="eastAsia"/>
          <w:sz w:val="28"/>
          <w:rtl/>
        </w:rPr>
        <w:t>של</w:t>
      </w:r>
      <w:r>
        <w:rPr>
          <w:sz w:val="28"/>
          <w:rtl/>
        </w:rPr>
        <w:t xml:space="preserve"> </w:t>
      </w:r>
      <w:r>
        <w:rPr>
          <w:rFonts w:hint="eastAsia"/>
          <w:sz w:val="28"/>
          <w:rtl/>
        </w:rPr>
        <w:t>המסייע</w:t>
      </w:r>
      <w:r>
        <w:rPr>
          <w:sz w:val="28"/>
          <w:rtl/>
        </w:rPr>
        <w:t xml:space="preserve"> </w:t>
      </w:r>
      <w:r>
        <w:rPr>
          <w:rFonts w:hint="eastAsia"/>
          <w:sz w:val="28"/>
          <w:rtl/>
        </w:rPr>
        <w:t>מהעונש</w:t>
      </w:r>
      <w:r>
        <w:rPr>
          <w:sz w:val="28"/>
          <w:rtl/>
        </w:rPr>
        <w:t xml:space="preserve"> </w:t>
      </w:r>
      <w:r>
        <w:rPr>
          <w:rFonts w:hint="eastAsia"/>
          <w:sz w:val="28"/>
          <w:rtl/>
        </w:rPr>
        <w:t>שנגזר</w:t>
      </w:r>
      <w:r>
        <w:rPr>
          <w:sz w:val="28"/>
          <w:rtl/>
        </w:rPr>
        <w:t xml:space="preserve"> </w:t>
      </w:r>
      <w:r>
        <w:rPr>
          <w:rFonts w:hint="eastAsia"/>
          <w:sz w:val="28"/>
          <w:rtl/>
        </w:rPr>
        <w:t>על</w:t>
      </w:r>
      <w:r>
        <w:rPr>
          <w:sz w:val="28"/>
          <w:rtl/>
        </w:rPr>
        <w:t xml:space="preserve"> </w:t>
      </w:r>
      <w:r>
        <w:rPr>
          <w:rFonts w:hint="eastAsia"/>
          <w:sz w:val="28"/>
          <w:rtl/>
        </w:rPr>
        <w:t>המבצע</w:t>
      </w:r>
      <w:r>
        <w:rPr>
          <w:sz w:val="28"/>
          <w:rtl/>
        </w:rPr>
        <w:t xml:space="preserve"> </w:t>
      </w:r>
      <w:r>
        <w:rPr>
          <w:rFonts w:hint="eastAsia"/>
          <w:sz w:val="28"/>
          <w:rtl/>
        </w:rPr>
        <w:t>העיקרי</w:t>
      </w:r>
      <w:r>
        <w:rPr>
          <w:sz w:val="28"/>
          <w:rtl/>
        </w:rPr>
        <w:t xml:space="preserve">, </w:t>
      </w:r>
      <w:r>
        <w:rPr>
          <w:rFonts w:hint="eastAsia"/>
          <w:sz w:val="28"/>
          <w:rtl/>
        </w:rPr>
        <w:t>ויש</w:t>
      </w:r>
      <w:r>
        <w:rPr>
          <w:sz w:val="28"/>
          <w:rtl/>
        </w:rPr>
        <w:t xml:space="preserve"> </w:t>
      </w:r>
      <w:r>
        <w:rPr>
          <w:rFonts w:hint="eastAsia"/>
          <w:sz w:val="28"/>
          <w:rtl/>
        </w:rPr>
        <w:t>שהנסיבות</w:t>
      </w:r>
      <w:r>
        <w:rPr>
          <w:sz w:val="28"/>
          <w:rtl/>
        </w:rPr>
        <w:t xml:space="preserve"> </w:t>
      </w:r>
      <w:r>
        <w:rPr>
          <w:rFonts w:hint="eastAsia"/>
          <w:sz w:val="28"/>
          <w:rtl/>
        </w:rPr>
        <w:t>הפרטיקולאריות</w:t>
      </w:r>
      <w:r>
        <w:rPr>
          <w:sz w:val="28"/>
          <w:rtl/>
        </w:rPr>
        <w:t xml:space="preserve"> </w:t>
      </w:r>
      <w:r>
        <w:rPr>
          <w:rFonts w:hint="eastAsia"/>
          <w:sz w:val="28"/>
          <w:rtl/>
        </w:rPr>
        <w:t>מחייבות</w:t>
      </w:r>
      <w:r>
        <w:rPr>
          <w:sz w:val="28"/>
          <w:rtl/>
        </w:rPr>
        <w:t xml:space="preserve"> </w:t>
      </w:r>
      <w:r>
        <w:rPr>
          <w:rFonts w:hint="eastAsia"/>
          <w:sz w:val="28"/>
          <w:rtl/>
        </w:rPr>
        <w:t>הטלת</w:t>
      </w:r>
      <w:r>
        <w:rPr>
          <w:sz w:val="28"/>
          <w:rtl/>
        </w:rPr>
        <w:t xml:space="preserve"> </w:t>
      </w:r>
      <w:r>
        <w:rPr>
          <w:rFonts w:hint="eastAsia"/>
          <w:sz w:val="28"/>
          <w:rtl/>
        </w:rPr>
        <w:t>עונש</w:t>
      </w:r>
      <w:r>
        <w:rPr>
          <w:sz w:val="28"/>
          <w:rtl/>
        </w:rPr>
        <w:t xml:space="preserve"> </w:t>
      </w:r>
      <w:r>
        <w:rPr>
          <w:rFonts w:hint="eastAsia"/>
          <w:sz w:val="28"/>
          <w:rtl/>
        </w:rPr>
        <w:t>ביחס</w:t>
      </w:r>
      <w:r>
        <w:rPr>
          <w:sz w:val="28"/>
          <w:rtl/>
        </w:rPr>
        <w:t xml:space="preserve"> </w:t>
      </w:r>
      <w:r>
        <w:rPr>
          <w:rFonts w:hint="eastAsia"/>
          <w:sz w:val="28"/>
          <w:rtl/>
        </w:rPr>
        <w:t>שונה</w:t>
      </w:r>
      <w:r>
        <w:rPr>
          <w:sz w:val="28"/>
          <w:rtl/>
        </w:rPr>
        <w:t>".</w:t>
      </w:r>
    </w:p>
    <w:p w14:paraId="713A456B" w14:textId="77777777" w:rsidR="00D14CE9" w:rsidRDefault="00D14CE9">
      <w:pPr>
        <w:pStyle w:val="Ruller40"/>
        <w:rPr>
          <w:rtl/>
        </w:rPr>
      </w:pPr>
    </w:p>
    <w:p w14:paraId="63860936" w14:textId="77777777" w:rsidR="00D14CE9" w:rsidRDefault="00F03B52">
      <w:pPr>
        <w:numPr>
          <w:ilvl w:val="0"/>
          <w:numId w:val="2"/>
        </w:numPr>
        <w:spacing w:line="360" w:lineRule="auto"/>
        <w:jc w:val="both"/>
        <w:rPr>
          <w:rFonts w:cs="FrankRuehl"/>
          <w:sz w:val="28"/>
          <w:szCs w:val="28"/>
        </w:rPr>
      </w:pPr>
      <w:r>
        <w:rPr>
          <w:rFonts w:cs="FrankRuehl"/>
          <w:sz w:val="28"/>
          <w:szCs w:val="28"/>
          <w:rtl/>
        </w:rPr>
        <w:t>אני סבור כי משיקולי שיקום, הענישה במקרה זה צריכה להיות שילוב של צו מבחן ביחד עם מאסר בו יישא הנאשם בעבודות שירות (למרות שעונשו של המסייע כלל עונש של מאסר מותנה וקנס).</w:t>
      </w:r>
    </w:p>
    <w:p w14:paraId="281C59D3" w14:textId="77777777" w:rsidR="00D14CE9" w:rsidRDefault="00D14CE9">
      <w:pPr>
        <w:spacing w:line="360" w:lineRule="auto"/>
        <w:ind w:left="720"/>
        <w:jc w:val="both"/>
        <w:rPr>
          <w:rFonts w:cs="FrankRuehl"/>
          <w:sz w:val="28"/>
          <w:szCs w:val="28"/>
        </w:rPr>
      </w:pPr>
    </w:p>
    <w:p w14:paraId="62AEBB22" w14:textId="77777777" w:rsidR="00D14CE9" w:rsidRDefault="00F03B52">
      <w:pPr>
        <w:spacing w:line="360" w:lineRule="auto"/>
        <w:ind w:left="720"/>
        <w:jc w:val="both"/>
        <w:rPr>
          <w:rFonts w:cs="FrankRuehl"/>
          <w:sz w:val="28"/>
          <w:szCs w:val="28"/>
          <w:rtl/>
        </w:rPr>
      </w:pPr>
      <w:r>
        <w:rPr>
          <w:rFonts w:cs="FrankRuehl"/>
          <w:sz w:val="28"/>
          <w:szCs w:val="28"/>
          <w:rtl/>
        </w:rPr>
        <w:t xml:space="preserve">עונשו של הנאשם כמבצע עיקרי צריך להיות חמור מעונשו של זיד, אך מן הראוי להפנות לגזר דינו של המסייע, בו ראה בית משפט את התקופה ששהה זיד במעצר (פחות מחודשיים) כחלק </w:t>
      </w:r>
      <w:r>
        <w:rPr>
          <w:rFonts w:cs="FrankRuehl" w:hint="cs"/>
          <w:sz w:val="28"/>
          <w:szCs w:val="28"/>
          <w:rtl/>
        </w:rPr>
        <w:t>מ</w:t>
      </w:r>
      <w:r>
        <w:rPr>
          <w:rFonts w:cs="FrankRuehl"/>
          <w:sz w:val="28"/>
          <w:szCs w:val="28"/>
          <w:rtl/>
        </w:rPr>
        <w:t>עבודות שירות, לעומת זאת</w:t>
      </w:r>
      <w:r>
        <w:rPr>
          <w:rFonts w:cs="FrankRuehl" w:hint="cs"/>
          <w:sz w:val="28"/>
          <w:szCs w:val="28"/>
          <w:rtl/>
        </w:rPr>
        <w:t xml:space="preserve"> הנאשם שבפניי</w:t>
      </w:r>
      <w:r>
        <w:rPr>
          <w:rFonts w:cs="FrankRuehl"/>
          <w:sz w:val="28"/>
          <w:szCs w:val="28"/>
          <w:rtl/>
        </w:rPr>
        <w:t xml:space="preserve">, כפי שפורט בטיעוני המאשימה (ט/1), נעצר ביום 17.9.2013 ושוחרר ממעצרו ביום 7.11.2013, נעצר שוב ביום 17.3.2014 ושוחרר ביום 28.5.2014 ונעצר שוב לאחר הפרת תנאי "מעצר הבית", ביום 15.6.2014 עד ליום 16.6.2014, כך שסה"כ היה הנאשם במעצר 123 ימים, ולאחר מכן שוחרר  בתנאים מגבילים לתקופה של כ-15 חודשים. </w:t>
      </w:r>
    </w:p>
    <w:p w14:paraId="644DEC21" w14:textId="77777777" w:rsidR="00D14CE9" w:rsidRDefault="00D14CE9">
      <w:pPr>
        <w:spacing w:line="360" w:lineRule="auto"/>
        <w:ind w:left="720"/>
        <w:jc w:val="both"/>
        <w:rPr>
          <w:rFonts w:cs="FrankRuehl"/>
          <w:sz w:val="28"/>
          <w:szCs w:val="28"/>
        </w:rPr>
      </w:pPr>
    </w:p>
    <w:p w14:paraId="1C689398" w14:textId="77777777" w:rsidR="00D14CE9" w:rsidRDefault="00F03B52">
      <w:pPr>
        <w:spacing w:line="360" w:lineRule="auto"/>
        <w:ind w:left="720"/>
        <w:jc w:val="both"/>
        <w:rPr>
          <w:rFonts w:cs="FrankRuehl"/>
          <w:sz w:val="28"/>
          <w:szCs w:val="28"/>
          <w:rtl/>
        </w:rPr>
      </w:pPr>
      <w:r>
        <w:rPr>
          <w:rFonts w:cs="FrankRuehl"/>
          <w:sz w:val="28"/>
          <w:szCs w:val="28"/>
          <w:rtl/>
        </w:rPr>
        <w:t>בעת קביעת משך הזמן בו יב</w:t>
      </w:r>
      <w:r>
        <w:rPr>
          <w:rFonts w:cs="FrankRuehl" w:hint="cs"/>
          <w:sz w:val="28"/>
          <w:szCs w:val="28"/>
          <w:rtl/>
        </w:rPr>
        <w:t>ו</w:t>
      </w:r>
      <w:r>
        <w:rPr>
          <w:rFonts w:cs="FrankRuehl"/>
          <w:sz w:val="28"/>
          <w:szCs w:val="28"/>
          <w:rtl/>
        </w:rPr>
        <w:t>צעו עבודות שירות אתייחס גם לתקופות אלו של מעצר בפועל ו"מעצר בית"</w:t>
      </w:r>
      <w:r>
        <w:rPr>
          <w:rFonts w:cs="FrankRuehl" w:hint="cs"/>
          <w:sz w:val="28"/>
          <w:szCs w:val="28"/>
          <w:rtl/>
        </w:rPr>
        <w:t xml:space="preserve"> (ואזכיר כי זיד היה במעצר במשך תקופה קצרה מחודשיים).</w:t>
      </w:r>
    </w:p>
    <w:p w14:paraId="72F2ED61" w14:textId="77777777" w:rsidR="00D14CE9" w:rsidRDefault="00D14CE9">
      <w:pPr>
        <w:spacing w:line="360" w:lineRule="auto"/>
        <w:ind w:left="720"/>
        <w:jc w:val="both"/>
        <w:rPr>
          <w:rFonts w:cs="FrankRuehl"/>
          <w:sz w:val="28"/>
          <w:szCs w:val="28"/>
        </w:rPr>
      </w:pPr>
    </w:p>
    <w:p w14:paraId="6C89A729" w14:textId="77777777" w:rsidR="00D14CE9" w:rsidRDefault="00F03B52">
      <w:pPr>
        <w:spacing w:line="360" w:lineRule="auto"/>
        <w:ind w:left="720"/>
        <w:jc w:val="both"/>
        <w:rPr>
          <w:rFonts w:cs="FrankRuehl"/>
          <w:sz w:val="28"/>
          <w:szCs w:val="28"/>
          <w:rtl/>
        </w:rPr>
      </w:pPr>
      <w:r>
        <w:rPr>
          <w:rFonts w:cs="FrankRuehl"/>
          <w:sz w:val="28"/>
          <w:szCs w:val="28"/>
          <w:rtl/>
        </w:rPr>
        <w:t>בנוסף אתייחס לפגיעת העונש בנאשם הצעיר, בארוסתו ובבני משפחתו, נטילת האחריות של הנאשם על מעשיו, שיתוף הפעולה עם שירות המבחן ורצונו לקבל טיפול.</w:t>
      </w:r>
    </w:p>
    <w:p w14:paraId="77DEB2B9" w14:textId="77777777" w:rsidR="00D14CE9" w:rsidRDefault="00D14CE9">
      <w:pPr>
        <w:spacing w:line="360" w:lineRule="auto"/>
        <w:ind w:left="720"/>
        <w:jc w:val="both"/>
        <w:rPr>
          <w:rFonts w:cs="FrankRuehl"/>
          <w:sz w:val="28"/>
          <w:szCs w:val="28"/>
        </w:rPr>
      </w:pPr>
    </w:p>
    <w:p w14:paraId="357B5387" w14:textId="77777777" w:rsidR="00D14CE9" w:rsidRDefault="00F03B52">
      <w:pPr>
        <w:spacing w:line="360" w:lineRule="auto"/>
        <w:ind w:left="720"/>
        <w:jc w:val="both"/>
        <w:rPr>
          <w:rFonts w:cs="FrankRuehl"/>
          <w:sz w:val="28"/>
          <w:szCs w:val="28"/>
          <w:rtl/>
        </w:rPr>
      </w:pPr>
      <w:r>
        <w:rPr>
          <w:rFonts w:cs="FrankRuehl"/>
          <w:sz w:val="28"/>
          <w:szCs w:val="28"/>
          <w:rtl/>
        </w:rPr>
        <w:t xml:space="preserve">בנסיבות אלו, לרבות המתואר בתסקיר שירות המבחן, אותו אאמץ במלואו, לא אטיל על הנאשם קנס </w:t>
      </w:r>
      <w:r>
        <w:rPr>
          <w:rFonts w:cs="FrankRuehl" w:hint="cs"/>
          <w:sz w:val="28"/>
          <w:szCs w:val="28"/>
          <w:rtl/>
        </w:rPr>
        <w:t xml:space="preserve">(מרכיב שאינו חלק מהמלצת שירות המבחן), </w:t>
      </w:r>
      <w:r>
        <w:rPr>
          <w:rFonts w:cs="FrankRuehl"/>
          <w:sz w:val="28"/>
          <w:szCs w:val="28"/>
          <w:rtl/>
        </w:rPr>
        <w:t>על מנת לסייע לו בשיקומו.</w:t>
      </w:r>
    </w:p>
    <w:p w14:paraId="5740204F" w14:textId="77777777" w:rsidR="00D14CE9" w:rsidRDefault="00D14CE9">
      <w:pPr>
        <w:spacing w:line="360" w:lineRule="auto"/>
        <w:ind w:left="720"/>
        <w:jc w:val="both"/>
        <w:rPr>
          <w:rFonts w:cs="FrankRuehl"/>
          <w:sz w:val="28"/>
          <w:szCs w:val="28"/>
          <w:rtl/>
        </w:rPr>
      </w:pPr>
    </w:p>
    <w:p w14:paraId="52244E5D" w14:textId="77777777" w:rsidR="00D14CE9" w:rsidRDefault="00D14CE9">
      <w:pPr>
        <w:spacing w:line="360" w:lineRule="auto"/>
        <w:ind w:left="720"/>
        <w:jc w:val="both"/>
        <w:rPr>
          <w:rFonts w:cs="FrankRuehl"/>
          <w:sz w:val="28"/>
          <w:szCs w:val="28"/>
        </w:rPr>
      </w:pPr>
    </w:p>
    <w:p w14:paraId="55DF338E" w14:textId="77777777" w:rsidR="00D14CE9" w:rsidRDefault="00F03B52">
      <w:pPr>
        <w:spacing w:line="360" w:lineRule="auto"/>
        <w:ind w:left="360" w:firstLine="360"/>
        <w:rPr>
          <w:rFonts w:cs="Miriam"/>
          <w:rtl/>
        </w:rPr>
      </w:pPr>
      <w:r>
        <w:rPr>
          <w:rFonts w:cs="Miriam"/>
          <w:rtl/>
        </w:rPr>
        <w:t>סיכום</w:t>
      </w:r>
    </w:p>
    <w:p w14:paraId="6EC9AC65" w14:textId="77777777" w:rsidR="00D14CE9" w:rsidRDefault="00F03B52">
      <w:pPr>
        <w:spacing w:line="360" w:lineRule="auto"/>
        <w:ind w:left="360" w:firstLine="360"/>
        <w:jc w:val="both"/>
        <w:rPr>
          <w:rFonts w:cs="FrankRuehl"/>
          <w:sz w:val="28"/>
          <w:szCs w:val="28"/>
          <w:rtl/>
        </w:rPr>
      </w:pPr>
      <w:r>
        <w:rPr>
          <w:rFonts w:cs="FrankRuehl"/>
          <w:sz w:val="28"/>
          <w:szCs w:val="28"/>
          <w:rtl/>
        </w:rPr>
        <w:t>לאור האמור לעיל אני דן את הנאשם לעונשים הבאים</w:t>
      </w:r>
      <w:r>
        <w:rPr>
          <w:rFonts w:cs="FrankRuehl" w:hint="cs"/>
          <w:sz w:val="28"/>
          <w:szCs w:val="28"/>
          <w:rtl/>
        </w:rPr>
        <w:t>:</w:t>
      </w:r>
    </w:p>
    <w:p w14:paraId="49E7886A" w14:textId="77777777" w:rsidR="00D14CE9" w:rsidRDefault="00D14CE9">
      <w:pPr>
        <w:spacing w:line="360" w:lineRule="auto"/>
        <w:ind w:left="360" w:firstLine="360"/>
        <w:jc w:val="both"/>
        <w:rPr>
          <w:rFonts w:cs="FrankRuehl"/>
          <w:sz w:val="28"/>
          <w:szCs w:val="28"/>
          <w:rtl/>
        </w:rPr>
      </w:pPr>
    </w:p>
    <w:p w14:paraId="52692FBC" w14:textId="77777777" w:rsidR="00D14CE9" w:rsidRDefault="00F03B52">
      <w:pPr>
        <w:pStyle w:val="ListParagraph"/>
        <w:numPr>
          <w:ilvl w:val="0"/>
          <w:numId w:val="3"/>
        </w:numPr>
        <w:spacing w:line="360" w:lineRule="auto"/>
        <w:jc w:val="both"/>
        <w:rPr>
          <w:rFonts w:cs="FrankRuehl"/>
          <w:sz w:val="28"/>
          <w:szCs w:val="28"/>
        </w:rPr>
      </w:pPr>
      <w:r>
        <w:rPr>
          <w:rFonts w:cs="FrankRuehl"/>
          <w:sz w:val="28"/>
          <w:szCs w:val="28"/>
          <w:rtl/>
        </w:rPr>
        <w:t xml:space="preserve">עונש של </w:t>
      </w:r>
      <w:r>
        <w:rPr>
          <w:rFonts w:cs="FrankRuehl"/>
          <w:sz w:val="28"/>
          <w:szCs w:val="28"/>
          <w:u w:val="single"/>
          <w:rtl/>
        </w:rPr>
        <w:t xml:space="preserve">8 </w:t>
      </w:r>
      <w:r>
        <w:rPr>
          <w:rFonts w:cs="FrankRuehl"/>
          <w:sz w:val="28"/>
          <w:szCs w:val="28"/>
          <w:rtl/>
        </w:rPr>
        <w:t xml:space="preserve">חודשי מאסר מתוכם </w:t>
      </w:r>
      <w:r>
        <w:rPr>
          <w:rFonts w:cs="FrankRuehl"/>
          <w:sz w:val="28"/>
          <w:szCs w:val="28"/>
          <w:u w:val="single"/>
          <w:rtl/>
        </w:rPr>
        <w:t>4</w:t>
      </w:r>
      <w:r>
        <w:rPr>
          <w:rFonts w:cs="FrankRuehl"/>
          <w:sz w:val="28"/>
          <w:szCs w:val="28"/>
          <w:rtl/>
        </w:rPr>
        <w:t xml:space="preserve"> חודשי מאסר בפועל ו-</w:t>
      </w:r>
      <w:r>
        <w:rPr>
          <w:rFonts w:cs="FrankRuehl"/>
          <w:sz w:val="28"/>
          <w:szCs w:val="28"/>
          <w:u w:val="single"/>
          <w:rtl/>
        </w:rPr>
        <w:t>4</w:t>
      </w:r>
      <w:r>
        <w:rPr>
          <w:rFonts w:cs="FrankRuehl"/>
          <w:sz w:val="28"/>
          <w:szCs w:val="28"/>
          <w:rtl/>
        </w:rPr>
        <w:t xml:space="preserve"> חודשי מאסר על תנאי. </w:t>
      </w:r>
    </w:p>
    <w:p w14:paraId="28592859" w14:textId="77777777" w:rsidR="00D14CE9" w:rsidRDefault="00F03B52">
      <w:pPr>
        <w:spacing w:line="360" w:lineRule="auto"/>
        <w:ind w:left="720"/>
        <w:jc w:val="both"/>
        <w:rPr>
          <w:rFonts w:cs="FrankRuehl"/>
          <w:sz w:val="28"/>
          <w:szCs w:val="28"/>
          <w:rtl/>
        </w:rPr>
      </w:pPr>
      <w:r>
        <w:rPr>
          <w:rFonts w:cs="FrankRuehl"/>
          <w:sz w:val="28"/>
          <w:szCs w:val="28"/>
          <w:rtl/>
        </w:rPr>
        <w:t>את המאסר בפועל ישא הנאשם בדרך של עבודות שירות בהתאם לחוות דעת הממונה מיום</w:t>
      </w:r>
      <w:r>
        <w:rPr>
          <w:rFonts w:cs="FrankRuehl" w:hint="cs"/>
          <w:sz w:val="28"/>
          <w:szCs w:val="28"/>
          <w:rtl/>
        </w:rPr>
        <w:t xml:space="preserve"> 4.5.2015.</w:t>
      </w:r>
    </w:p>
    <w:p w14:paraId="7F6DAB21" w14:textId="77777777" w:rsidR="00D14CE9" w:rsidRDefault="00D14CE9">
      <w:pPr>
        <w:spacing w:line="360" w:lineRule="auto"/>
        <w:ind w:left="720"/>
        <w:jc w:val="both"/>
        <w:rPr>
          <w:rFonts w:cs="FrankRuehl"/>
          <w:sz w:val="28"/>
          <w:szCs w:val="28"/>
        </w:rPr>
      </w:pPr>
    </w:p>
    <w:p w14:paraId="2D4B1829" w14:textId="77777777" w:rsidR="00D14CE9" w:rsidRDefault="00F03B52">
      <w:pPr>
        <w:spacing w:line="360" w:lineRule="auto"/>
        <w:ind w:left="720"/>
        <w:jc w:val="both"/>
        <w:rPr>
          <w:rStyle w:val="default"/>
          <w:rFonts w:ascii="Arial" w:hAnsi="Arial" w:cs="FrankRuehl"/>
          <w:sz w:val="28"/>
          <w:szCs w:val="28"/>
          <w:rtl/>
        </w:rPr>
      </w:pPr>
      <w:r>
        <w:rPr>
          <w:rFonts w:cs="FrankRuehl"/>
          <w:sz w:val="28"/>
          <w:szCs w:val="28"/>
          <w:rtl/>
        </w:rPr>
        <w:t xml:space="preserve">הנאשם לא ישא את עונש המאסר על  תנאי </w:t>
      </w:r>
      <w:r>
        <w:rPr>
          <w:rStyle w:val="default"/>
          <w:rFonts w:cs="FrankRuehl"/>
          <w:sz w:val="28"/>
          <w:szCs w:val="28"/>
          <w:rtl/>
        </w:rPr>
        <w:t xml:space="preserve">אלא אם יעבור תוך שלוש שנים מהיום כל עבירה בנשק ויורשע בשל עבירה כזאת תוך תקופת התנאי או לאחריה. </w:t>
      </w:r>
    </w:p>
    <w:p w14:paraId="34EAAA72" w14:textId="77777777" w:rsidR="00D14CE9" w:rsidRDefault="00D14CE9">
      <w:pPr>
        <w:spacing w:line="360" w:lineRule="auto"/>
        <w:ind w:left="720"/>
        <w:jc w:val="both"/>
        <w:rPr>
          <w:rStyle w:val="default"/>
          <w:rFonts w:ascii="Arial" w:hAnsi="Arial" w:cs="FrankRuehl"/>
          <w:sz w:val="28"/>
          <w:szCs w:val="28"/>
          <w:rtl/>
        </w:rPr>
      </w:pPr>
    </w:p>
    <w:p w14:paraId="2999B12E" w14:textId="77777777" w:rsidR="00D14CE9" w:rsidRDefault="00F03B52">
      <w:pPr>
        <w:spacing w:line="360" w:lineRule="auto"/>
        <w:ind w:left="720"/>
        <w:jc w:val="both"/>
        <w:rPr>
          <w:rFonts w:ascii="David" w:hAnsi="David" w:cs="FrankRuehl"/>
          <w:sz w:val="28"/>
          <w:szCs w:val="28"/>
          <w:rtl/>
        </w:rPr>
      </w:pPr>
      <w:r>
        <w:rPr>
          <w:rStyle w:val="default"/>
          <w:rFonts w:cs="FrankRuehl"/>
          <w:sz w:val="28"/>
          <w:szCs w:val="28"/>
          <w:rtl/>
        </w:rPr>
        <w:t>הנאשם יתייצב לביצוע עבודות השירות ביום</w:t>
      </w:r>
      <w:r>
        <w:rPr>
          <w:rStyle w:val="default"/>
          <w:rFonts w:cs="FrankRuehl" w:hint="cs"/>
          <w:sz w:val="28"/>
          <w:szCs w:val="28"/>
          <w:rtl/>
        </w:rPr>
        <w:t xml:space="preserve"> 10.6.2015</w:t>
      </w:r>
      <w:r>
        <w:rPr>
          <w:rStyle w:val="default"/>
          <w:rFonts w:cs="FrankRuehl"/>
          <w:sz w:val="28"/>
          <w:szCs w:val="28"/>
          <w:rtl/>
        </w:rPr>
        <w:t xml:space="preserve"> </w:t>
      </w:r>
      <w:r>
        <w:rPr>
          <w:rFonts w:ascii="David" w:hAnsi="David" w:cs="FrankRuehl" w:hint="cs"/>
          <w:sz w:val="28"/>
          <w:szCs w:val="28"/>
          <w:rtl/>
        </w:rPr>
        <w:t xml:space="preserve">שעה 8:00 </w:t>
      </w:r>
      <w:r>
        <w:rPr>
          <w:rFonts w:ascii="David" w:hAnsi="David" w:cs="FrankRuehl" w:hint="eastAsia"/>
          <w:sz w:val="28"/>
          <w:szCs w:val="28"/>
          <w:rtl/>
        </w:rPr>
        <w:t>במפקדת</w:t>
      </w:r>
      <w:r>
        <w:rPr>
          <w:rFonts w:ascii="David" w:hAnsi="David" w:cs="FrankRuehl"/>
          <w:sz w:val="28"/>
          <w:szCs w:val="28"/>
          <w:rtl/>
        </w:rPr>
        <w:t xml:space="preserve"> </w:t>
      </w:r>
      <w:r>
        <w:rPr>
          <w:rFonts w:ascii="David" w:hAnsi="David" w:cs="FrankRuehl" w:hint="eastAsia"/>
          <w:sz w:val="28"/>
          <w:szCs w:val="28"/>
          <w:rtl/>
        </w:rPr>
        <w:t>מחוז</w:t>
      </w:r>
      <w:r>
        <w:rPr>
          <w:rFonts w:ascii="David" w:hAnsi="David" w:cs="FrankRuehl"/>
          <w:sz w:val="28"/>
          <w:szCs w:val="28"/>
          <w:rtl/>
        </w:rPr>
        <w:t xml:space="preserve"> </w:t>
      </w:r>
      <w:r>
        <w:rPr>
          <w:rFonts w:ascii="David" w:hAnsi="David" w:cs="FrankRuehl" w:hint="eastAsia"/>
          <w:sz w:val="28"/>
          <w:szCs w:val="28"/>
          <w:rtl/>
        </w:rPr>
        <w:t>צפון</w:t>
      </w:r>
      <w:r>
        <w:rPr>
          <w:rFonts w:ascii="David" w:hAnsi="David" w:cs="FrankRuehl"/>
          <w:sz w:val="28"/>
          <w:szCs w:val="28"/>
          <w:rtl/>
        </w:rPr>
        <w:t>-</w:t>
      </w:r>
      <w:r>
        <w:rPr>
          <w:rFonts w:ascii="David" w:hAnsi="David" w:cs="FrankRuehl" w:hint="eastAsia"/>
          <w:sz w:val="28"/>
          <w:szCs w:val="28"/>
          <w:rtl/>
        </w:rPr>
        <w:t>עבודות</w:t>
      </w:r>
      <w:r>
        <w:rPr>
          <w:rFonts w:ascii="David" w:hAnsi="David" w:cs="FrankRuehl"/>
          <w:sz w:val="28"/>
          <w:szCs w:val="28"/>
          <w:rtl/>
        </w:rPr>
        <w:t xml:space="preserve"> </w:t>
      </w:r>
      <w:r>
        <w:rPr>
          <w:rFonts w:ascii="David" w:hAnsi="David" w:cs="FrankRuehl" w:hint="eastAsia"/>
          <w:sz w:val="28"/>
          <w:szCs w:val="28"/>
          <w:rtl/>
        </w:rPr>
        <w:t>שירות</w:t>
      </w:r>
      <w:r>
        <w:rPr>
          <w:rFonts w:ascii="David" w:hAnsi="David" w:cs="FrankRuehl"/>
          <w:sz w:val="28"/>
          <w:szCs w:val="28"/>
          <w:rtl/>
        </w:rPr>
        <w:t xml:space="preserve">, </w:t>
      </w:r>
      <w:r>
        <w:rPr>
          <w:rFonts w:ascii="David" w:hAnsi="David" w:cs="FrankRuehl" w:hint="eastAsia"/>
          <w:sz w:val="28"/>
          <w:szCs w:val="28"/>
          <w:rtl/>
        </w:rPr>
        <w:t>בימ</w:t>
      </w:r>
      <w:r>
        <w:rPr>
          <w:rFonts w:ascii="David" w:hAnsi="David" w:cs="FrankRuehl"/>
          <w:sz w:val="28"/>
          <w:szCs w:val="28"/>
          <w:rtl/>
        </w:rPr>
        <w:t>"</w:t>
      </w:r>
      <w:r>
        <w:rPr>
          <w:rFonts w:ascii="David" w:hAnsi="David" w:cs="FrankRuehl" w:hint="eastAsia"/>
          <w:sz w:val="28"/>
          <w:szCs w:val="28"/>
          <w:rtl/>
        </w:rPr>
        <w:t>ר</w:t>
      </w:r>
      <w:r>
        <w:rPr>
          <w:rFonts w:ascii="David" w:hAnsi="David" w:cs="FrankRuehl"/>
          <w:sz w:val="28"/>
          <w:szCs w:val="28"/>
          <w:rtl/>
        </w:rPr>
        <w:t xml:space="preserve"> </w:t>
      </w:r>
      <w:r>
        <w:rPr>
          <w:rFonts w:ascii="David" w:hAnsi="David" w:cs="FrankRuehl" w:hint="eastAsia"/>
          <w:sz w:val="28"/>
          <w:szCs w:val="28"/>
          <w:rtl/>
        </w:rPr>
        <w:t>עמקים</w:t>
      </w:r>
      <w:r>
        <w:rPr>
          <w:rFonts w:ascii="David" w:hAnsi="David" w:cs="FrankRuehl"/>
          <w:sz w:val="28"/>
          <w:szCs w:val="28"/>
          <w:rtl/>
        </w:rPr>
        <w:t xml:space="preserve"> </w:t>
      </w:r>
      <w:r>
        <w:rPr>
          <w:rFonts w:ascii="David" w:hAnsi="David" w:cs="FrankRuehl" w:hint="eastAsia"/>
          <w:sz w:val="28"/>
          <w:szCs w:val="28"/>
          <w:rtl/>
        </w:rPr>
        <w:t>המצוי</w:t>
      </w:r>
      <w:r>
        <w:rPr>
          <w:rFonts w:ascii="David" w:hAnsi="David" w:cs="FrankRuehl"/>
          <w:sz w:val="28"/>
          <w:szCs w:val="28"/>
          <w:rtl/>
        </w:rPr>
        <w:t xml:space="preserve"> </w:t>
      </w:r>
      <w:r>
        <w:rPr>
          <w:rFonts w:ascii="David" w:hAnsi="David" w:cs="FrankRuehl" w:hint="eastAsia"/>
          <w:sz w:val="28"/>
          <w:szCs w:val="28"/>
          <w:rtl/>
        </w:rPr>
        <w:t>במתחם</w:t>
      </w:r>
      <w:r>
        <w:rPr>
          <w:rFonts w:ascii="David" w:hAnsi="David" w:cs="FrankRuehl"/>
          <w:sz w:val="28"/>
          <w:szCs w:val="28"/>
          <w:rtl/>
        </w:rPr>
        <w:t xml:space="preserve"> </w:t>
      </w:r>
      <w:r>
        <w:rPr>
          <w:rFonts w:ascii="David" w:hAnsi="David" w:cs="FrankRuehl" w:hint="eastAsia"/>
          <w:sz w:val="28"/>
          <w:szCs w:val="28"/>
          <w:rtl/>
        </w:rPr>
        <w:t>תחנת</w:t>
      </w:r>
      <w:r>
        <w:rPr>
          <w:rFonts w:ascii="David" w:hAnsi="David" w:cs="FrankRuehl"/>
          <w:sz w:val="28"/>
          <w:szCs w:val="28"/>
          <w:rtl/>
        </w:rPr>
        <w:t xml:space="preserve"> </w:t>
      </w:r>
      <w:r>
        <w:rPr>
          <w:rFonts w:ascii="David" w:hAnsi="David" w:cs="FrankRuehl" w:hint="eastAsia"/>
          <w:sz w:val="28"/>
          <w:szCs w:val="28"/>
          <w:rtl/>
        </w:rPr>
        <w:t>משטרת</w:t>
      </w:r>
      <w:r>
        <w:rPr>
          <w:rFonts w:ascii="David" w:hAnsi="David" w:cs="FrankRuehl"/>
          <w:sz w:val="28"/>
          <w:szCs w:val="28"/>
          <w:rtl/>
        </w:rPr>
        <w:t xml:space="preserve"> </w:t>
      </w:r>
      <w:r>
        <w:rPr>
          <w:rFonts w:ascii="David" w:hAnsi="David" w:cs="FrankRuehl" w:hint="eastAsia"/>
          <w:sz w:val="28"/>
          <w:szCs w:val="28"/>
          <w:rtl/>
        </w:rPr>
        <w:t>טבריה</w:t>
      </w:r>
      <w:r>
        <w:rPr>
          <w:rFonts w:ascii="David" w:hAnsi="David" w:cs="FrankRuehl"/>
          <w:sz w:val="28"/>
          <w:szCs w:val="28"/>
          <w:rtl/>
        </w:rPr>
        <w:t xml:space="preserve"> </w:t>
      </w:r>
      <w:r>
        <w:rPr>
          <w:rFonts w:ascii="David" w:hAnsi="David" w:cs="FrankRuehl" w:hint="eastAsia"/>
          <w:sz w:val="28"/>
          <w:szCs w:val="28"/>
          <w:rtl/>
        </w:rPr>
        <w:t>בכתובת</w:t>
      </w:r>
      <w:r>
        <w:rPr>
          <w:rFonts w:ascii="David" w:hAnsi="David" w:cs="FrankRuehl"/>
          <w:sz w:val="28"/>
          <w:szCs w:val="28"/>
          <w:rtl/>
        </w:rPr>
        <w:t>:</w:t>
      </w:r>
      <w:r>
        <w:rPr>
          <w:rFonts w:ascii="David" w:hAnsi="David" w:cs="FrankRuehl" w:hint="cs"/>
          <w:sz w:val="28"/>
          <w:szCs w:val="28"/>
          <w:rtl/>
        </w:rPr>
        <w:t xml:space="preserve"> </w:t>
      </w:r>
      <w:r>
        <w:rPr>
          <w:rFonts w:ascii="David" w:hAnsi="David" w:cs="FrankRuehl" w:hint="eastAsia"/>
          <w:sz w:val="28"/>
          <w:szCs w:val="28"/>
          <w:rtl/>
        </w:rPr>
        <w:t>דרך</w:t>
      </w:r>
      <w:r>
        <w:rPr>
          <w:rFonts w:ascii="David" w:hAnsi="David" w:cs="FrankRuehl"/>
          <w:sz w:val="28"/>
          <w:szCs w:val="28"/>
          <w:rtl/>
        </w:rPr>
        <w:t xml:space="preserve"> </w:t>
      </w:r>
      <w:r>
        <w:rPr>
          <w:rFonts w:ascii="David" w:hAnsi="David" w:cs="FrankRuehl" w:hint="eastAsia"/>
          <w:sz w:val="28"/>
          <w:szCs w:val="28"/>
          <w:rtl/>
        </w:rPr>
        <w:t>הציונות</w:t>
      </w:r>
      <w:r>
        <w:rPr>
          <w:rFonts w:ascii="David" w:hAnsi="David" w:cs="FrankRuehl"/>
          <w:sz w:val="28"/>
          <w:szCs w:val="28"/>
          <w:rtl/>
        </w:rPr>
        <w:t xml:space="preserve"> 14 </w:t>
      </w:r>
      <w:r>
        <w:rPr>
          <w:rFonts w:ascii="David" w:hAnsi="David" w:cs="FrankRuehl" w:hint="eastAsia"/>
          <w:sz w:val="28"/>
          <w:szCs w:val="28"/>
          <w:rtl/>
        </w:rPr>
        <w:t>טבריה</w:t>
      </w:r>
      <w:r>
        <w:rPr>
          <w:rFonts w:ascii="David" w:hAnsi="David" w:cs="FrankRuehl"/>
          <w:sz w:val="28"/>
          <w:szCs w:val="28"/>
          <w:rtl/>
        </w:rPr>
        <w:t xml:space="preserve"> .04-6728405, 04-6728421, 08-9775099</w:t>
      </w:r>
    </w:p>
    <w:p w14:paraId="082EFC6B" w14:textId="77777777" w:rsidR="00D14CE9" w:rsidRDefault="00D14CE9">
      <w:pPr>
        <w:spacing w:line="360" w:lineRule="auto"/>
        <w:ind w:left="720"/>
        <w:jc w:val="both"/>
        <w:rPr>
          <w:rFonts w:ascii="David" w:hAnsi="David" w:cs="FrankRuehl"/>
          <w:sz w:val="28"/>
          <w:szCs w:val="28"/>
          <w:rtl/>
        </w:rPr>
      </w:pPr>
    </w:p>
    <w:p w14:paraId="0D964C06" w14:textId="77777777" w:rsidR="00D14CE9" w:rsidRDefault="00F03B52">
      <w:pPr>
        <w:pStyle w:val="ListParagraph"/>
        <w:numPr>
          <w:ilvl w:val="0"/>
          <w:numId w:val="3"/>
        </w:numPr>
        <w:spacing w:line="360" w:lineRule="auto"/>
        <w:jc w:val="both"/>
        <w:rPr>
          <w:rFonts w:cs="FrankRuehl"/>
          <w:sz w:val="28"/>
          <w:szCs w:val="28"/>
        </w:rPr>
      </w:pPr>
      <w:r>
        <w:rPr>
          <w:rFonts w:cs="FrankRuehl"/>
          <w:sz w:val="28"/>
          <w:szCs w:val="28"/>
          <w:rtl/>
        </w:rPr>
        <w:t xml:space="preserve">הנני מעמיד את הנאשם למבחן על פי </w:t>
      </w:r>
      <w:hyperlink r:id="rId38" w:history="1">
        <w:r w:rsidR="00AE197F" w:rsidRPr="00AE197F">
          <w:rPr>
            <w:rStyle w:val="Hyperlink"/>
            <w:rFonts w:cs="FrankRuehl"/>
            <w:sz w:val="28"/>
            <w:szCs w:val="28"/>
            <w:rtl/>
          </w:rPr>
          <w:t>סעיף 1(ב)</w:t>
        </w:r>
      </w:hyperlink>
      <w:r>
        <w:rPr>
          <w:rFonts w:cs="FrankRuehl"/>
          <w:sz w:val="28"/>
          <w:szCs w:val="28"/>
          <w:rtl/>
        </w:rPr>
        <w:t xml:space="preserve"> </w:t>
      </w:r>
      <w:r>
        <w:rPr>
          <w:rFonts w:cs="Miriam"/>
          <w:rtl/>
        </w:rPr>
        <w:t>ל</w:t>
      </w:r>
      <w:hyperlink r:id="rId39" w:history="1">
        <w:r w:rsidRPr="00F03B52">
          <w:rPr>
            <w:rFonts w:cs="Miriam"/>
            <w:color w:val="0000FF"/>
            <w:u w:val="single"/>
            <w:rtl/>
          </w:rPr>
          <w:t>פקודת המבחן</w:t>
        </w:r>
      </w:hyperlink>
      <w:r>
        <w:rPr>
          <w:rFonts w:cs="Miriam"/>
          <w:rtl/>
        </w:rPr>
        <w:t xml:space="preserve"> [נוסח חדש], תשכ"ט-1969 </w:t>
      </w:r>
      <w:r>
        <w:rPr>
          <w:rFonts w:cs="FrankRuehl"/>
          <w:sz w:val="28"/>
          <w:szCs w:val="28"/>
          <w:rtl/>
        </w:rPr>
        <w:t>למשך 12 חודשים מהיום. בתקופת המבחן יעמוד הנאשם לפיקוחו של שירות המבחן וישתף פעולה לשם מימוש התוכניות והמטרות הט</w:t>
      </w:r>
      <w:r>
        <w:rPr>
          <w:rFonts w:cs="FrankRuehl" w:hint="cs"/>
          <w:sz w:val="28"/>
          <w:szCs w:val="28"/>
          <w:rtl/>
        </w:rPr>
        <w:t>י</w:t>
      </w:r>
      <w:r>
        <w:rPr>
          <w:rFonts w:cs="FrankRuehl"/>
          <w:sz w:val="28"/>
          <w:szCs w:val="28"/>
          <w:rtl/>
        </w:rPr>
        <w:t>פוליות שייקבעו לגביו ע"י שירות המבחן.</w:t>
      </w:r>
    </w:p>
    <w:p w14:paraId="59EF29AA" w14:textId="77777777" w:rsidR="00D14CE9" w:rsidRDefault="00D14CE9">
      <w:pPr>
        <w:pStyle w:val="ListParagraph"/>
        <w:spacing w:line="360" w:lineRule="auto"/>
        <w:jc w:val="both"/>
        <w:rPr>
          <w:rFonts w:cs="FrankRuehl"/>
          <w:sz w:val="28"/>
          <w:szCs w:val="28"/>
        </w:rPr>
      </w:pPr>
    </w:p>
    <w:p w14:paraId="471E5465" w14:textId="77777777" w:rsidR="00D14CE9" w:rsidRDefault="00F03B52">
      <w:pPr>
        <w:spacing w:line="360" w:lineRule="auto"/>
        <w:ind w:left="720"/>
        <w:jc w:val="both"/>
        <w:rPr>
          <w:rFonts w:cs="FrankRuehl"/>
          <w:sz w:val="28"/>
          <w:szCs w:val="28"/>
          <w:rtl/>
        </w:rPr>
      </w:pPr>
      <w:r>
        <w:rPr>
          <w:rFonts w:cs="FrankRuehl"/>
          <w:sz w:val="28"/>
          <w:szCs w:val="28"/>
          <w:rtl/>
        </w:rPr>
        <w:t>לפני מתן צו המבחן הסברתי לנאשם את משמעותו של צו המבחן והזהרתי אות</w:t>
      </w:r>
      <w:r>
        <w:rPr>
          <w:rFonts w:cs="FrankRuehl" w:hint="cs"/>
          <w:sz w:val="28"/>
          <w:szCs w:val="28"/>
          <w:rtl/>
        </w:rPr>
        <w:t>ו</w:t>
      </w:r>
      <w:r>
        <w:rPr>
          <w:rFonts w:cs="FrankRuehl"/>
          <w:sz w:val="28"/>
          <w:szCs w:val="28"/>
          <w:rtl/>
        </w:rPr>
        <w:t xml:space="preserve"> שאם לא ימלא אחרי הצו מכל בחינה שהיא או יעבור עבירה נוספת יהי</w:t>
      </w:r>
      <w:r>
        <w:rPr>
          <w:rFonts w:cs="FrankRuehl" w:hint="cs"/>
          <w:sz w:val="28"/>
          <w:szCs w:val="28"/>
          <w:rtl/>
        </w:rPr>
        <w:t>ה</w:t>
      </w:r>
      <w:r>
        <w:rPr>
          <w:rFonts w:cs="FrankRuehl"/>
          <w:sz w:val="28"/>
          <w:szCs w:val="28"/>
          <w:rtl/>
        </w:rPr>
        <w:t xml:space="preserve"> צפוי לעונש, או להרשעה ועונש, על העבירה שבגללה ניתן הצו והוא הביע את נכונותו למלא אחר הוראות הצו. </w:t>
      </w:r>
    </w:p>
    <w:p w14:paraId="71988745" w14:textId="77777777" w:rsidR="00D14CE9" w:rsidRDefault="00D14CE9">
      <w:pPr>
        <w:spacing w:line="360" w:lineRule="auto"/>
        <w:ind w:left="720"/>
        <w:jc w:val="both"/>
        <w:rPr>
          <w:rFonts w:cs="FrankRuehl"/>
          <w:sz w:val="28"/>
          <w:szCs w:val="28"/>
        </w:rPr>
      </w:pPr>
    </w:p>
    <w:p w14:paraId="038A6771" w14:textId="77777777" w:rsidR="00D14CE9" w:rsidRDefault="00F03B52">
      <w:pPr>
        <w:spacing w:line="360" w:lineRule="auto"/>
        <w:ind w:left="720"/>
        <w:jc w:val="both"/>
        <w:rPr>
          <w:rFonts w:cs="FrankRuehl"/>
          <w:sz w:val="28"/>
          <w:szCs w:val="28"/>
          <w:rtl/>
        </w:rPr>
      </w:pPr>
      <w:r>
        <w:rPr>
          <w:rFonts w:cs="FrankRuehl"/>
          <w:sz w:val="28"/>
          <w:szCs w:val="28"/>
          <w:rtl/>
        </w:rPr>
        <w:t>הבהרתי לנאשם כי עליו לעדכן את הממונה על עבודות השירות בכל שינוי בכתובת מגוריו וכי כל הפרה בקיום הוראות הממונה יכול ותביא להפסקה מינהלית וריצוי העונש במאסר בפועל.</w:t>
      </w:r>
    </w:p>
    <w:p w14:paraId="6FAF19D0" w14:textId="77777777" w:rsidR="00D14CE9" w:rsidRDefault="00D14CE9">
      <w:pPr>
        <w:spacing w:line="360" w:lineRule="auto"/>
        <w:ind w:left="720"/>
        <w:jc w:val="both"/>
        <w:rPr>
          <w:rFonts w:cs="FrankRuehl"/>
          <w:sz w:val="28"/>
          <w:szCs w:val="28"/>
          <w:rtl/>
        </w:rPr>
      </w:pPr>
    </w:p>
    <w:p w14:paraId="2B7E3082" w14:textId="77777777" w:rsidR="00D14CE9" w:rsidRDefault="00D14CE9">
      <w:pPr>
        <w:spacing w:line="360" w:lineRule="auto"/>
        <w:ind w:left="720"/>
        <w:jc w:val="both"/>
        <w:rPr>
          <w:rFonts w:cs="FrankRuehl"/>
          <w:sz w:val="28"/>
          <w:szCs w:val="28"/>
        </w:rPr>
      </w:pPr>
    </w:p>
    <w:p w14:paraId="2317AD17" w14:textId="77777777" w:rsidR="00D14CE9" w:rsidRDefault="00F03B52">
      <w:pPr>
        <w:spacing w:line="360" w:lineRule="auto"/>
        <w:ind w:left="360" w:firstLine="360"/>
        <w:jc w:val="both"/>
        <w:rPr>
          <w:rFonts w:cs="FrankRuehl"/>
          <w:sz w:val="28"/>
          <w:szCs w:val="28"/>
          <w:rtl/>
        </w:rPr>
      </w:pPr>
      <w:r>
        <w:rPr>
          <w:rFonts w:cs="FrankRuehl"/>
          <w:sz w:val="28"/>
          <w:szCs w:val="28"/>
          <w:rtl/>
        </w:rPr>
        <w:t>המזכירות תשלח העתק מגזר הדין לשירות המבחן ולממונה על עבודות השירות.</w:t>
      </w:r>
    </w:p>
    <w:p w14:paraId="5E58183B" w14:textId="77777777" w:rsidR="00D14CE9" w:rsidRDefault="00D14CE9">
      <w:pPr>
        <w:spacing w:line="360" w:lineRule="auto"/>
        <w:ind w:left="360" w:firstLine="360"/>
        <w:jc w:val="both"/>
        <w:rPr>
          <w:rFonts w:cs="FrankRuehl"/>
          <w:sz w:val="28"/>
          <w:szCs w:val="28"/>
        </w:rPr>
      </w:pPr>
    </w:p>
    <w:p w14:paraId="74A67735" w14:textId="77777777" w:rsidR="00D14CE9" w:rsidRDefault="00F03B52">
      <w:pPr>
        <w:spacing w:line="360" w:lineRule="auto"/>
        <w:ind w:firstLine="720"/>
        <w:rPr>
          <w:rFonts w:cs="FrankRuehl"/>
          <w:sz w:val="28"/>
          <w:szCs w:val="28"/>
        </w:rPr>
      </w:pPr>
      <w:r>
        <w:rPr>
          <w:rFonts w:cs="FrankRuehl"/>
          <w:sz w:val="28"/>
          <w:szCs w:val="28"/>
          <w:rtl/>
        </w:rPr>
        <w:t>זכות ערעור לבית המשפט העליון תוך 45 יום.</w:t>
      </w:r>
    </w:p>
    <w:p w14:paraId="31381C0C" w14:textId="77777777" w:rsidR="00D14CE9" w:rsidRDefault="00D14CE9">
      <w:pPr>
        <w:spacing w:line="360" w:lineRule="auto"/>
        <w:ind w:left="720"/>
        <w:jc w:val="both"/>
        <w:rPr>
          <w:rFonts w:ascii="David" w:hAnsi="David" w:cs="FrankRuehl"/>
          <w:sz w:val="28"/>
          <w:szCs w:val="28"/>
          <w:rtl/>
        </w:rPr>
      </w:pPr>
    </w:p>
    <w:p w14:paraId="5098D27F" w14:textId="77777777" w:rsidR="00D14CE9" w:rsidRDefault="00D14CE9">
      <w:pPr>
        <w:rPr>
          <w:rtl/>
        </w:rPr>
      </w:pPr>
    </w:p>
    <w:p w14:paraId="11D03FAF" w14:textId="77777777" w:rsidR="00D14CE9" w:rsidRDefault="00F03B52">
      <w:pPr>
        <w:spacing w:line="360" w:lineRule="auto"/>
        <w:jc w:val="both"/>
        <w:rPr>
          <w:rFonts w:ascii="Arial" w:hAnsi="Arial"/>
          <w:rtl/>
        </w:rPr>
      </w:pPr>
      <w:r>
        <w:rPr>
          <w:rFonts w:ascii="Arial" w:hAnsi="Arial"/>
          <w:rtl/>
        </w:rPr>
        <w:t xml:space="preserve">ניתן היום,  ט"ז אייר תשע"ה, 05 מאי 2015, בנוכחות ב"כ המאשימה עו"ד אדלר שגב, הסנגור עו"ד </w:t>
      </w:r>
      <w:r>
        <w:rPr>
          <w:rFonts w:ascii="Arial" w:hAnsi="Arial" w:hint="cs"/>
          <w:rtl/>
        </w:rPr>
        <w:t>חן רוימי ממשרדו של עו"ד בלומנפלד והנאשם בעצמו</w:t>
      </w:r>
      <w:r>
        <w:rPr>
          <w:rFonts w:ascii="Arial" w:hAnsi="Arial"/>
          <w:rtl/>
        </w:rPr>
        <w:t>.</w:t>
      </w:r>
    </w:p>
    <w:p w14:paraId="7D27E57A" w14:textId="77777777" w:rsidR="00D14CE9" w:rsidRPr="00F03B52" w:rsidRDefault="00F03B52">
      <w:pPr>
        <w:spacing w:line="360" w:lineRule="auto"/>
        <w:jc w:val="both"/>
        <w:rPr>
          <w:rFonts w:ascii="Arial" w:hAnsi="Arial"/>
          <w:color w:val="FFFFFF"/>
          <w:sz w:val="2"/>
          <w:szCs w:val="2"/>
        </w:rPr>
      </w:pPr>
      <w:r w:rsidRPr="00F03B52">
        <w:rPr>
          <w:rFonts w:ascii="Arial" w:hAnsi="Arial"/>
          <w:color w:val="FFFFFF"/>
          <w:sz w:val="2"/>
          <w:szCs w:val="2"/>
          <w:rtl/>
        </w:rPr>
        <w:t>5129371</w:t>
      </w:r>
    </w:p>
    <w:p w14:paraId="7E9B6F67" w14:textId="77777777" w:rsidR="00D14CE9" w:rsidRPr="00F03B52" w:rsidRDefault="00F03B52">
      <w:pPr>
        <w:rPr>
          <w:rFonts w:cs="FrankRuehl"/>
          <w:color w:val="FFFFFF"/>
          <w:sz w:val="2"/>
          <w:szCs w:val="2"/>
          <w:rtl/>
        </w:rPr>
      </w:pPr>
      <w:r w:rsidRPr="00F03B52">
        <w:rPr>
          <w:rFonts w:cs="FrankRuehl"/>
          <w:color w:val="FFFFFF"/>
          <w:sz w:val="2"/>
          <w:szCs w:val="2"/>
          <w:rtl/>
        </w:rPr>
        <w:t>54678313</w:t>
      </w:r>
    </w:p>
    <w:p w14:paraId="2C0DCCD0" w14:textId="77777777" w:rsidR="00D14CE9" w:rsidRDefault="00F03B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8770DEC" w14:textId="77777777" w:rsidR="00D14CE9" w:rsidRDefault="00D14CE9">
      <w:pPr>
        <w:jc w:val="center"/>
        <w:rPr>
          <w:rFonts w:ascii="Arial" w:hAnsi="Arial" w:cs="FrankRuehl"/>
          <w:sz w:val="28"/>
          <w:szCs w:val="28"/>
          <w:rtl/>
        </w:rPr>
      </w:pPr>
    </w:p>
    <w:p w14:paraId="7A5DDFB6" w14:textId="77777777" w:rsidR="00D14CE9" w:rsidRDefault="00D14CE9">
      <w:pPr>
        <w:rPr>
          <w:rFonts w:cs="FrankRuehl"/>
          <w:sz w:val="28"/>
          <w:szCs w:val="28"/>
          <w:rtl/>
        </w:rPr>
      </w:pPr>
    </w:p>
    <w:p w14:paraId="7E5C462B" w14:textId="77777777" w:rsidR="00D14CE9" w:rsidRDefault="00D14CE9">
      <w:pPr>
        <w:pStyle w:val="a3"/>
        <w:jc w:val="center"/>
        <w:rPr>
          <w:rtl/>
        </w:rPr>
      </w:pPr>
    </w:p>
    <w:p w14:paraId="34FCE5F8" w14:textId="77777777" w:rsidR="00F03B52" w:rsidRPr="00F03B52" w:rsidRDefault="00F03B52" w:rsidP="00F03B52">
      <w:pPr>
        <w:keepNext/>
        <w:rPr>
          <w:rFonts w:ascii="David" w:hAnsi="David"/>
          <w:color w:val="000000"/>
          <w:sz w:val="22"/>
          <w:szCs w:val="22"/>
          <w:rtl/>
        </w:rPr>
      </w:pPr>
    </w:p>
    <w:p w14:paraId="650F28CB" w14:textId="77777777" w:rsidR="00F03B52" w:rsidRPr="00F03B52" w:rsidRDefault="00F03B52" w:rsidP="00F03B52">
      <w:pPr>
        <w:keepNext/>
        <w:rPr>
          <w:rFonts w:ascii="David" w:hAnsi="David"/>
          <w:color w:val="000000"/>
          <w:sz w:val="22"/>
          <w:szCs w:val="22"/>
          <w:rtl/>
        </w:rPr>
      </w:pPr>
      <w:r w:rsidRPr="00F03B52">
        <w:rPr>
          <w:rFonts w:ascii="David" w:hAnsi="David"/>
          <w:color w:val="000000"/>
          <w:sz w:val="22"/>
          <w:szCs w:val="22"/>
          <w:rtl/>
        </w:rPr>
        <w:t>אברהם אליקים 54678313</w:t>
      </w:r>
    </w:p>
    <w:p w14:paraId="119CDB73" w14:textId="77777777" w:rsidR="00F03B52" w:rsidRDefault="00F03B52" w:rsidP="00F03B52">
      <w:r w:rsidRPr="00F03B52">
        <w:rPr>
          <w:color w:val="000000"/>
          <w:rtl/>
        </w:rPr>
        <w:t>נוסח מסמך זה כפוף לשינויי ניסוח ועריכה</w:t>
      </w:r>
    </w:p>
    <w:p w14:paraId="499B8D3D" w14:textId="77777777" w:rsidR="00F03B52" w:rsidRDefault="00F03B52" w:rsidP="00F03B52">
      <w:pPr>
        <w:rPr>
          <w:rtl/>
        </w:rPr>
      </w:pPr>
    </w:p>
    <w:p w14:paraId="6F863B6B" w14:textId="77777777" w:rsidR="00F03B52" w:rsidRDefault="00F03B52" w:rsidP="00F03B5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r w:rsidR="00626F9E">
        <w:rPr>
          <w:rFonts w:hint="cs"/>
          <w:color w:val="0000FF"/>
          <w:u w:val="single"/>
          <w:rtl/>
        </w:rPr>
        <w:t xml:space="preserve"> </w:t>
      </w:r>
    </w:p>
    <w:p w14:paraId="0BA2650C" w14:textId="77777777" w:rsidR="00D14CE9" w:rsidRPr="00F03B52" w:rsidRDefault="00D14CE9" w:rsidP="00F03B52">
      <w:pPr>
        <w:jc w:val="center"/>
        <w:rPr>
          <w:color w:val="0000FF"/>
          <w:u w:val="single"/>
        </w:rPr>
      </w:pPr>
    </w:p>
    <w:sectPr w:rsidR="00D14CE9" w:rsidRPr="00F03B52" w:rsidSect="00F03B5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54EAB" w14:textId="77777777" w:rsidR="00803149" w:rsidRPr="00326057" w:rsidRDefault="00803149">
      <w:pPr>
        <w:rPr>
          <w:rFonts w:cs="Arial"/>
          <w:szCs w:val="20"/>
        </w:rPr>
      </w:pPr>
      <w:r>
        <w:separator/>
      </w:r>
    </w:p>
  </w:endnote>
  <w:endnote w:type="continuationSeparator" w:id="0">
    <w:p w14:paraId="4418D087" w14:textId="77777777" w:rsidR="00803149" w:rsidRPr="00326057" w:rsidRDefault="0080314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C449" w14:textId="77777777" w:rsidR="009F40FD" w:rsidRDefault="009F40FD" w:rsidP="00F03B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6BDF90" w14:textId="77777777" w:rsidR="009F40FD" w:rsidRPr="00F03B52" w:rsidRDefault="009F40FD" w:rsidP="00F03B52">
    <w:pPr>
      <w:pStyle w:val="a4"/>
      <w:pBdr>
        <w:top w:val="single" w:sz="4" w:space="1" w:color="auto"/>
        <w:between w:val="single" w:sz="4" w:space="0" w:color="auto"/>
      </w:pBdr>
      <w:spacing w:after="60"/>
      <w:jc w:val="center"/>
      <w:rPr>
        <w:rFonts w:ascii="FrankRuehl" w:hAnsi="FrankRuehl" w:cs="FrankRuehl"/>
        <w:color w:val="000000"/>
      </w:rPr>
    </w:pPr>
    <w:r w:rsidRPr="00F03B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12E0D" w14:textId="77777777" w:rsidR="009F40FD" w:rsidRDefault="009F40FD" w:rsidP="00F03B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24CB">
      <w:rPr>
        <w:rFonts w:ascii="FrankRuehl" w:hAnsi="FrankRuehl" w:cs="FrankRuehl"/>
        <w:noProof/>
        <w:rtl/>
      </w:rPr>
      <w:t>2</w:t>
    </w:r>
    <w:r>
      <w:rPr>
        <w:rFonts w:ascii="FrankRuehl" w:hAnsi="FrankRuehl" w:cs="FrankRuehl"/>
        <w:rtl/>
      </w:rPr>
      <w:fldChar w:fldCharType="end"/>
    </w:r>
  </w:p>
  <w:p w14:paraId="6A50500F" w14:textId="77777777" w:rsidR="009F40FD" w:rsidRPr="00F03B52" w:rsidRDefault="009F40FD" w:rsidP="00F03B52">
    <w:pPr>
      <w:pStyle w:val="a4"/>
      <w:pBdr>
        <w:top w:val="single" w:sz="4" w:space="1" w:color="auto"/>
        <w:between w:val="single" w:sz="4" w:space="0" w:color="auto"/>
      </w:pBdr>
      <w:spacing w:after="60"/>
      <w:jc w:val="center"/>
      <w:rPr>
        <w:rFonts w:ascii="FrankRuehl" w:hAnsi="FrankRuehl" w:cs="FrankRuehl"/>
        <w:color w:val="000000"/>
      </w:rPr>
    </w:pPr>
    <w:r w:rsidRPr="00F03B52">
      <w:rPr>
        <w:rFonts w:ascii="FrankRuehl" w:hAnsi="FrankRuehl" w:cs="FrankRuehl"/>
        <w:color w:val="000000"/>
      </w:rPr>
      <w:pict w14:anchorId="7D851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DAA6E" w14:textId="77777777" w:rsidR="00803149" w:rsidRPr="00326057" w:rsidRDefault="00803149">
      <w:pPr>
        <w:rPr>
          <w:rFonts w:cs="Arial"/>
          <w:szCs w:val="20"/>
        </w:rPr>
      </w:pPr>
      <w:r>
        <w:separator/>
      </w:r>
    </w:p>
  </w:footnote>
  <w:footnote w:type="continuationSeparator" w:id="0">
    <w:p w14:paraId="41DE9BC3" w14:textId="77777777" w:rsidR="00803149" w:rsidRPr="00326057" w:rsidRDefault="0080314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80DF" w14:textId="77777777" w:rsidR="009F40FD" w:rsidRPr="00F03B52" w:rsidRDefault="009F40FD" w:rsidP="00F03B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3622-10-13</w:t>
    </w:r>
    <w:r>
      <w:rPr>
        <w:rFonts w:ascii="David" w:hAnsi="David"/>
        <w:color w:val="000000"/>
        <w:sz w:val="22"/>
        <w:szCs w:val="22"/>
        <w:rtl/>
      </w:rPr>
      <w:tab/>
      <w:t xml:space="preserve"> מדינת ישראל נ' מוחמד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88665" w14:textId="77777777" w:rsidR="009F40FD" w:rsidRPr="00F03B52" w:rsidRDefault="009F40FD" w:rsidP="00F03B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3622-10-13</w:t>
    </w:r>
    <w:r>
      <w:rPr>
        <w:rFonts w:ascii="David" w:hAnsi="David"/>
        <w:color w:val="000000"/>
        <w:sz w:val="22"/>
        <w:szCs w:val="22"/>
        <w:rtl/>
      </w:rPr>
      <w:tab/>
      <w:t xml:space="preserve"> מדינת ישראל נ' מוחמד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9F002AD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5525876"/>
    <w:multiLevelType w:val="hybridMultilevel"/>
    <w:tmpl w:val="3514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pStyle w:val="Ruller4"/>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96667569">
    <w:abstractNumId w:val="2"/>
  </w:num>
  <w:num w:numId="2" w16cid:durableId="1832483694">
    <w:abstractNumId w:val="0"/>
  </w:num>
  <w:num w:numId="3" w16cid:durableId="191149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4CE9"/>
    <w:rsid w:val="00315046"/>
    <w:rsid w:val="00626F9E"/>
    <w:rsid w:val="007A60AA"/>
    <w:rsid w:val="007B58C3"/>
    <w:rsid w:val="00803149"/>
    <w:rsid w:val="008129B0"/>
    <w:rsid w:val="009F40FD"/>
    <w:rsid w:val="00AE197F"/>
    <w:rsid w:val="00CB1938"/>
    <w:rsid w:val="00CC24CB"/>
    <w:rsid w:val="00D14CE9"/>
    <w:rsid w:val="00E05921"/>
    <w:rsid w:val="00F03B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6A6D74"/>
  <w15:chartTrackingRefBased/>
  <w15:docId w15:val="{1FC8BD03-E9A6-4EC4-BCBD-152E7330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4CE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14CE9"/>
    <w:pPr>
      <w:tabs>
        <w:tab w:val="center" w:pos="4153"/>
        <w:tab w:val="right" w:pos="8306"/>
      </w:tabs>
    </w:pPr>
  </w:style>
  <w:style w:type="paragraph" w:styleId="a4">
    <w:name w:val="footer"/>
    <w:basedOn w:val="a"/>
    <w:rsid w:val="00D14CE9"/>
    <w:pPr>
      <w:tabs>
        <w:tab w:val="center" w:pos="4153"/>
        <w:tab w:val="right" w:pos="8306"/>
      </w:tabs>
    </w:pPr>
  </w:style>
  <w:style w:type="character" w:styleId="a5">
    <w:name w:val="page number"/>
    <w:basedOn w:val="a0"/>
    <w:rsid w:val="00D14CE9"/>
  </w:style>
  <w:style w:type="character" w:customStyle="1" w:styleId="TimesNewRomanTimesNewRoman">
    <w:name w:val="סגנון (לטיני) Times New Roman (עברית ושפות אחרות) Times New Roman..."/>
    <w:rsid w:val="00D14CE9"/>
    <w:rPr>
      <w:rFonts w:ascii="Times New Roman" w:hAnsi="Times New Roman" w:cs="David" w:hint="default"/>
      <w:b/>
      <w:bCs/>
      <w:sz w:val="26"/>
      <w:szCs w:val="26"/>
    </w:rPr>
  </w:style>
  <w:style w:type="character" w:customStyle="1" w:styleId="default">
    <w:name w:val="default"/>
    <w:rsid w:val="00D14CE9"/>
    <w:rPr>
      <w:rFonts w:ascii="Times New Roman" w:hAnsi="Times New Roman" w:cs="Times New Roman"/>
      <w:sz w:val="26"/>
      <w:szCs w:val="26"/>
    </w:rPr>
  </w:style>
  <w:style w:type="paragraph" w:customStyle="1" w:styleId="Ruller40">
    <w:name w:val="Ruller4"/>
    <w:basedOn w:val="a"/>
    <w:link w:val="Ruller41"/>
    <w:rsid w:val="00D14CE9"/>
    <w:pPr>
      <w:tabs>
        <w:tab w:val="left" w:pos="800"/>
      </w:tabs>
      <w:overflowPunct w:val="0"/>
      <w:adjustRightInd w:val="0"/>
      <w:spacing w:line="360" w:lineRule="auto"/>
      <w:jc w:val="both"/>
    </w:pPr>
    <w:rPr>
      <w:rFonts w:ascii="Arial TUR" w:hAnsi="Arial TUR" w:cs="FrankRuehl"/>
      <w:spacing w:val="10"/>
      <w:sz w:val="22"/>
      <w:szCs w:val="28"/>
    </w:rPr>
  </w:style>
  <w:style w:type="paragraph" w:customStyle="1" w:styleId="Ruller5">
    <w:name w:val="Ruller5"/>
    <w:basedOn w:val="a"/>
    <w:link w:val="Ruller50"/>
    <w:rsid w:val="00D14CE9"/>
    <w:pPr>
      <w:overflowPunct w:val="0"/>
      <w:adjustRightInd w:val="0"/>
      <w:ind w:left="1642" w:right="1282"/>
      <w:jc w:val="both"/>
    </w:pPr>
    <w:rPr>
      <w:rFonts w:ascii="Arial TUR" w:hAnsi="Arial TUR" w:cs="FrankRuehl"/>
      <w:spacing w:val="10"/>
      <w:sz w:val="22"/>
      <w:szCs w:val="28"/>
    </w:rPr>
  </w:style>
  <w:style w:type="character" w:customStyle="1" w:styleId="Ruller41">
    <w:name w:val="Ruller4 תו"/>
    <w:link w:val="Ruller40"/>
    <w:locked/>
    <w:rsid w:val="00D14CE9"/>
    <w:rPr>
      <w:rFonts w:ascii="Arial TUR" w:hAnsi="Arial TUR" w:cs="FrankRuehl"/>
      <w:spacing w:val="10"/>
      <w:sz w:val="22"/>
      <w:szCs w:val="28"/>
      <w:lang w:val="en-US" w:eastAsia="en-US" w:bidi="he-IL"/>
    </w:rPr>
  </w:style>
  <w:style w:type="paragraph" w:customStyle="1" w:styleId="Ruller4">
    <w:name w:val="Ruller 4 ממוספר"/>
    <w:basedOn w:val="Ruller40"/>
    <w:next w:val="Ruller40"/>
    <w:link w:val="Ruller42"/>
    <w:rsid w:val="00D14CE9"/>
    <w:pPr>
      <w:numPr>
        <w:numId w:val="1"/>
      </w:numPr>
      <w:tabs>
        <w:tab w:val="num" w:pos="907"/>
      </w:tabs>
      <w:ind w:left="0" w:right="720" w:firstLine="0"/>
    </w:pPr>
    <w:rPr>
      <w:rFonts w:ascii="Garamond" w:hAnsi="Garamond"/>
      <w:sz w:val="24"/>
    </w:rPr>
  </w:style>
  <w:style w:type="paragraph" w:customStyle="1" w:styleId="Ruller3">
    <w:name w:val="Ruller 3"/>
    <w:basedOn w:val="a"/>
    <w:rsid w:val="00D14CE9"/>
    <w:pPr>
      <w:tabs>
        <w:tab w:val="left" w:pos="3210"/>
        <w:tab w:val="left" w:pos="6753"/>
      </w:tabs>
      <w:overflowPunct w:val="0"/>
      <w:adjustRightInd w:val="0"/>
      <w:spacing w:line="360" w:lineRule="auto"/>
    </w:pPr>
    <w:rPr>
      <w:rFonts w:cs="FrankRuehl"/>
      <w:spacing w:val="10"/>
      <w:sz w:val="22"/>
      <w:szCs w:val="28"/>
    </w:rPr>
  </w:style>
  <w:style w:type="character" w:customStyle="1" w:styleId="Ruller50">
    <w:name w:val="Ruller5 תו"/>
    <w:link w:val="Ruller5"/>
    <w:locked/>
    <w:rsid w:val="00D14CE9"/>
    <w:rPr>
      <w:rFonts w:ascii="Arial TUR" w:hAnsi="Arial TUR" w:cs="FrankRuehl"/>
      <w:spacing w:val="10"/>
      <w:sz w:val="22"/>
      <w:szCs w:val="28"/>
      <w:lang w:val="en-US" w:eastAsia="en-US" w:bidi="he-IL"/>
    </w:rPr>
  </w:style>
  <w:style w:type="character" w:customStyle="1" w:styleId="Ruller42">
    <w:name w:val="Ruller 4 ממוספר תו"/>
    <w:link w:val="Ruller4"/>
    <w:locked/>
    <w:rsid w:val="00D14CE9"/>
    <w:rPr>
      <w:rFonts w:ascii="Garamond" w:hAnsi="Garamond" w:cs="FrankRuehl"/>
      <w:spacing w:val="10"/>
      <w:sz w:val="24"/>
      <w:szCs w:val="28"/>
      <w:lang w:val="en-US" w:eastAsia="en-US" w:bidi="he-IL"/>
    </w:rPr>
  </w:style>
  <w:style w:type="paragraph" w:customStyle="1" w:styleId="ListParagraph">
    <w:name w:val="List Paragraph"/>
    <w:basedOn w:val="a"/>
    <w:rsid w:val="00D14CE9"/>
    <w:pPr>
      <w:ind w:left="720"/>
      <w:contextualSpacing/>
    </w:pPr>
  </w:style>
  <w:style w:type="character" w:styleId="Hyperlink">
    <w:name w:val="Hyperlink"/>
    <w:rsid w:val="00F03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878682" TargetMode="External"/><Relationship Id="rId39" Type="http://schemas.openxmlformats.org/officeDocument/2006/relationships/hyperlink" Target="http://www.nevo.co.il/law/71553" TargetMode="External"/><Relationship Id="rId21" Type="http://schemas.openxmlformats.org/officeDocument/2006/relationships/hyperlink" Target="http://www.nevo.co.il/case/16913730" TargetMode="External"/><Relationship Id="rId34" Type="http://schemas.openxmlformats.org/officeDocument/2006/relationships/hyperlink" Target="http://www.nevo.co.il/case/11282417"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6104546"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558752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5724364"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11282417"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1795422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1553/1.b" TargetMode="External"/><Relationship Id="rId22" Type="http://schemas.openxmlformats.org/officeDocument/2006/relationships/hyperlink" Target="http://www.nevo.co.il/case/6039049" TargetMode="External"/><Relationship Id="rId27" Type="http://schemas.openxmlformats.org/officeDocument/2006/relationships/hyperlink" Target="http://www.nevo.co.il/case/5859902" TargetMode="External"/><Relationship Id="rId30" Type="http://schemas.openxmlformats.org/officeDocument/2006/relationships/hyperlink" Target="http://www.nevo.co.il/case/6473037"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51556" TargetMode="External"/><Relationship Id="rId33" Type="http://schemas.openxmlformats.org/officeDocument/2006/relationships/hyperlink" Target="http://www.nevo.co.il/case/20191648" TargetMode="External"/><Relationship Id="rId38" Type="http://schemas.openxmlformats.org/officeDocument/2006/relationships/hyperlink" Target="http://www.nevo.co.il/law/71553/1.b" TargetMode="External"/><Relationship Id="rId46" Type="http://schemas.openxmlformats.org/officeDocument/2006/relationships/theme" Target="theme/theme1.xml"/><Relationship Id="rId20" Type="http://schemas.openxmlformats.org/officeDocument/2006/relationships/hyperlink" Target="http://www.nevo.co.il/case/825333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2344</Words>
  <Characters>11724</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14040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8257634</vt:i4>
      </vt:variant>
      <vt:variant>
        <vt:i4>96</vt:i4>
      </vt:variant>
      <vt:variant>
        <vt:i4>0</vt:i4>
      </vt:variant>
      <vt:variant>
        <vt:i4>5</vt:i4>
      </vt:variant>
      <vt:variant>
        <vt:lpwstr>http://www.nevo.co.il/law/71553</vt:lpwstr>
      </vt:variant>
      <vt:variant>
        <vt:lpwstr/>
      </vt:variant>
      <vt:variant>
        <vt:i4>8323168</vt:i4>
      </vt:variant>
      <vt:variant>
        <vt:i4>93</vt:i4>
      </vt:variant>
      <vt:variant>
        <vt:i4>0</vt:i4>
      </vt:variant>
      <vt:variant>
        <vt:i4>5</vt:i4>
      </vt:variant>
      <vt:variant>
        <vt:lpwstr>http://www.nevo.co.il/law/71553/1.b</vt:lpwstr>
      </vt:variant>
      <vt:variant>
        <vt:lpwstr/>
      </vt:variant>
      <vt:variant>
        <vt:i4>4128884</vt:i4>
      </vt:variant>
      <vt:variant>
        <vt:i4>90</vt:i4>
      </vt:variant>
      <vt:variant>
        <vt:i4>0</vt:i4>
      </vt:variant>
      <vt:variant>
        <vt:i4>5</vt:i4>
      </vt:variant>
      <vt:variant>
        <vt:lpwstr>http://www.nevo.co.il/case/5587527</vt:lpwstr>
      </vt:variant>
      <vt:variant>
        <vt:lpwstr/>
      </vt:variant>
      <vt:variant>
        <vt:i4>3145849</vt:i4>
      </vt:variant>
      <vt:variant>
        <vt:i4>87</vt:i4>
      </vt:variant>
      <vt:variant>
        <vt:i4>0</vt:i4>
      </vt:variant>
      <vt:variant>
        <vt:i4>5</vt:i4>
      </vt:variant>
      <vt:variant>
        <vt:lpwstr>http://www.nevo.co.il/case/11282417</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3145849</vt:i4>
      </vt:variant>
      <vt:variant>
        <vt:i4>81</vt:i4>
      </vt:variant>
      <vt:variant>
        <vt:i4>0</vt:i4>
      </vt:variant>
      <vt:variant>
        <vt:i4>5</vt:i4>
      </vt:variant>
      <vt:variant>
        <vt:lpwstr>http://www.nevo.co.il/case/11282417</vt:lpwstr>
      </vt:variant>
      <vt:variant>
        <vt:lpwstr/>
      </vt:variant>
      <vt:variant>
        <vt:i4>3539067</vt:i4>
      </vt:variant>
      <vt:variant>
        <vt:i4>78</vt:i4>
      </vt:variant>
      <vt:variant>
        <vt:i4>0</vt:i4>
      </vt:variant>
      <vt:variant>
        <vt:i4>5</vt:i4>
      </vt:variant>
      <vt:variant>
        <vt:lpwstr>http://www.nevo.co.il/case/20191648</vt:lpwstr>
      </vt:variant>
      <vt:variant>
        <vt:lpwstr/>
      </vt:variant>
      <vt:variant>
        <vt:i4>3473532</vt:i4>
      </vt:variant>
      <vt:variant>
        <vt:i4>75</vt:i4>
      </vt:variant>
      <vt:variant>
        <vt:i4>0</vt:i4>
      </vt:variant>
      <vt:variant>
        <vt:i4>5</vt:i4>
      </vt:variant>
      <vt:variant>
        <vt:lpwstr>http://www.nevo.co.il/case/6000182</vt:lpwstr>
      </vt:variant>
      <vt:variant>
        <vt:lpwstr/>
      </vt:variant>
      <vt:variant>
        <vt:i4>4063348</vt:i4>
      </vt:variant>
      <vt:variant>
        <vt:i4>72</vt:i4>
      </vt:variant>
      <vt:variant>
        <vt:i4>0</vt:i4>
      </vt:variant>
      <vt:variant>
        <vt:i4>5</vt:i4>
      </vt:variant>
      <vt:variant>
        <vt:lpwstr>http://www.nevo.co.il/case/17954222</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3866741</vt:i4>
      </vt:variant>
      <vt:variant>
        <vt:i4>60</vt:i4>
      </vt:variant>
      <vt:variant>
        <vt:i4>0</vt:i4>
      </vt:variant>
      <vt:variant>
        <vt:i4>5</vt:i4>
      </vt:variant>
      <vt:variant>
        <vt:lpwstr>http://www.nevo.co.il/case/5859902</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3145841</vt:i4>
      </vt:variant>
      <vt:variant>
        <vt:i4>54</vt:i4>
      </vt:variant>
      <vt:variant>
        <vt:i4>0</vt:i4>
      </vt:variant>
      <vt:variant>
        <vt:i4>5</vt:i4>
      </vt:variant>
      <vt:variant>
        <vt:lpwstr>http://www.nevo.co.il/case/6151556</vt:lpwstr>
      </vt:variant>
      <vt:variant>
        <vt:lpwstr/>
      </vt:variant>
      <vt:variant>
        <vt:i4>3473525</vt:i4>
      </vt:variant>
      <vt:variant>
        <vt:i4>51</vt:i4>
      </vt:variant>
      <vt:variant>
        <vt:i4>0</vt:i4>
      </vt:variant>
      <vt:variant>
        <vt:i4>5</vt:i4>
      </vt:variant>
      <vt:variant>
        <vt:lpwstr>http://www.nevo.co.il/case/6104546</vt:lpwstr>
      </vt:variant>
      <vt:variant>
        <vt:lpwstr/>
      </vt:variant>
      <vt:variant>
        <vt:i4>3145841</vt:i4>
      </vt:variant>
      <vt:variant>
        <vt:i4>48</vt:i4>
      </vt:variant>
      <vt:variant>
        <vt:i4>0</vt:i4>
      </vt:variant>
      <vt:variant>
        <vt:i4>5</vt:i4>
      </vt:variant>
      <vt:variant>
        <vt:lpwstr>http://www.nevo.co.il/case/5724364</vt:lpwstr>
      </vt:variant>
      <vt:variant>
        <vt:lpwstr/>
      </vt:variant>
      <vt:variant>
        <vt:i4>3932281</vt:i4>
      </vt:variant>
      <vt:variant>
        <vt:i4>45</vt:i4>
      </vt:variant>
      <vt:variant>
        <vt:i4>0</vt:i4>
      </vt:variant>
      <vt:variant>
        <vt:i4>5</vt:i4>
      </vt:variant>
      <vt:variant>
        <vt:lpwstr>http://www.nevo.co.il/case/6039049</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3670134</vt:i4>
      </vt:variant>
      <vt:variant>
        <vt:i4>39</vt:i4>
      </vt:variant>
      <vt:variant>
        <vt:i4>0</vt:i4>
      </vt:variant>
      <vt:variant>
        <vt:i4>5</vt:i4>
      </vt:variant>
      <vt:variant>
        <vt:lpwstr>http://www.nevo.co.il/case/8253336</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8323168</vt:i4>
      </vt:variant>
      <vt:variant>
        <vt:i4>21</vt:i4>
      </vt:variant>
      <vt:variant>
        <vt:i4>0</vt:i4>
      </vt:variant>
      <vt:variant>
        <vt:i4>5</vt:i4>
      </vt:variant>
      <vt:variant>
        <vt:lpwstr>http://www.nevo.co.il/law/71553/1.b</vt:lpwstr>
      </vt:variant>
      <vt:variant>
        <vt:lpwstr/>
      </vt:variant>
      <vt:variant>
        <vt:i4>8257634</vt:i4>
      </vt:variant>
      <vt:variant>
        <vt:i4>18</vt:i4>
      </vt:variant>
      <vt:variant>
        <vt:i4>0</vt:i4>
      </vt:variant>
      <vt:variant>
        <vt:i4>5</vt:i4>
      </vt:variant>
      <vt:variant>
        <vt:lpwstr>http://www.nevo.co.il/law/71553</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3622</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עמאש</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20150505</vt:lpwstr>
  </property>
  <property fmtid="{D5CDD505-2E9C-101B-9397-08002B2CF9AE}" pid="13" name="TYPE_N_DATE">
    <vt:lpwstr>39020150505</vt:lpwstr>
  </property>
  <property fmtid="{D5CDD505-2E9C-101B-9397-08002B2CF9AE}" pid="14" name="CASESLISTTMP1">
    <vt:lpwstr>8253336;16913730;6039049;5724364;6104546;6151556;5878682;5859902;6473037;17954222;6000182;20191648;11282417:2;5587527</vt:lpwstr>
  </property>
  <property fmtid="{D5CDD505-2E9C-101B-9397-08002B2CF9AE}" pid="15" name="WORDNUMPAGES">
    <vt:lpwstr>9</vt:lpwstr>
  </property>
  <property fmtid="{D5CDD505-2E9C-101B-9397-08002B2CF9AE}" pid="16" name="TYPE_ABS_DATE">
    <vt:lpwstr>390020150505</vt:lpwstr>
  </property>
  <property fmtid="{D5CDD505-2E9C-101B-9397-08002B2CF9AE}" pid="17" name="ISABSTRACT">
    <vt:lpwstr>Y</vt:lpwstr>
  </property>
  <property fmtid="{D5CDD505-2E9C-101B-9397-08002B2CF9AE}" pid="18" name="LAWLISTTMP1">
    <vt:lpwstr>70301/144.b;029;144.a;031;040b</vt:lpwstr>
  </property>
  <property fmtid="{D5CDD505-2E9C-101B-9397-08002B2CF9AE}" pid="19" name="LAWLISTTMP2">
    <vt:lpwstr>71553/001.b</vt:lpwstr>
  </property>
</Properties>
</file>