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B7496C" w:rsidRPr="005F607C" w14:paraId="4BEE95F3" w14:textId="77777777">
        <w:trPr>
          <w:trHeight w:hRule="exact" w:val="418"/>
          <w:jc w:val="center"/>
        </w:trPr>
        <w:tc>
          <w:tcPr>
            <w:tcW w:w="8721" w:type="dxa"/>
            <w:gridSpan w:val="2"/>
          </w:tcPr>
          <w:p w14:paraId="3037135D" w14:textId="77777777" w:rsidR="00B7496C" w:rsidRPr="005F607C" w:rsidRDefault="005F607C">
            <w:pPr>
              <w:pStyle w:val="a3"/>
              <w:jc w:val="center"/>
              <w:rPr>
                <w:rFonts w:ascii="Tahoma" w:hAnsi="Tahoma" w:cs="Tahoma"/>
                <w:color w:val="000080"/>
                <w:rtl/>
              </w:rPr>
            </w:pPr>
            <w:bookmarkStart w:id="0" w:name="LastJudge"/>
            <w:r w:rsidRPr="005F607C">
              <w:rPr>
                <w:rFonts w:ascii="Tahoma" w:hAnsi="Tahoma" w:cs="Tahoma"/>
                <w:b/>
                <w:bCs/>
                <w:color w:val="000080"/>
                <w:rtl/>
              </w:rPr>
              <w:t>בית המשפט המחוזי מרכז-לוד</w:t>
            </w:r>
          </w:p>
        </w:tc>
      </w:tr>
      <w:tr w:rsidR="00B7496C" w:rsidRPr="005F607C" w14:paraId="539761F6" w14:textId="77777777">
        <w:trPr>
          <w:trHeight w:val="337"/>
          <w:jc w:val="center"/>
        </w:trPr>
        <w:tc>
          <w:tcPr>
            <w:tcW w:w="5056" w:type="dxa"/>
          </w:tcPr>
          <w:p w14:paraId="1AFB69D7" w14:textId="77777777" w:rsidR="00B7496C" w:rsidRPr="005F607C" w:rsidRDefault="005F607C">
            <w:pPr>
              <w:rPr>
                <w:rFonts w:cs="FrankRuehl"/>
                <w:sz w:val="28"/>
                <w:szCs w:val="28"/>
                <w:rtl/>
              </w:rPr>
            </w:pPr>
            <w:r w:rsidRPr="005F607C">
              <w:rPr>
                <w:rFonts w:cs="FrankRuehl"/>
                <w:sz w:val="28"/>
                <w:szCs w:val="28"/>
                <w:rtl/>
              </w:rPr>
              <w:t>ת"פ</w:t>
            </w:r>
            <w:r w:rsidRPr="005F607C">
              <w:rPr>
                <w:rFonts w:cs="FrankRuehl" w:hint="cs"/>
                <w:sz w:val="28"/>
                <w:szCs w:val="28"/>
                <w:rtl/>
              </w:rPr>
              <w:t xml:space="preserve"> </w:t>
            </w:r>
            <w:r w:rsidRPr="005F607C">
              <w:rPr>
                <w:rFonts w:cs="FrankRuehl"/>
                <w:sz w:val="28"/>
                <w:szCs w:val="28"/>
                <w:rtl/>
              </w:rPr>
              <w:t>3670-10-13</w:t>
            </w:r>
            <w:r w:rsidRPr="005F607C">
              <w:rPr>
                <w:rFonts w:cs="FrankRuehl" w:hint="cs"/>
                <w:sz w:val="28"/>
                <w:szCs w:val="28"/>
                <w:rtl/>
              </w:rPr>
              <w:t xml:space="preserve"> </w:t>
            </w:r>
            <w:r w:rsidRPr="005F607C">
              <w:rPr>
                <w:rFonts w:cs="FrankRuehl"/>
                <w:sz w:val="28"/>
                <w:szCs w:val="28"/>
                <w:rtl/>
              </w:rPr>
              <w:t>מדינת ישראל נ' דנון(עציר) ואח'</w:t>
            </w:r>
          </w:p>
          <w:p w14:paraId="3A18196C" w14:textId="77777777" w:rsidR="00B7496C" w:rsidRPr="005F607C" w:rsidRDefault="00B7496C">
            <w:pPr>
              <w:pStyle w:val="a3"/>
              <w:rPr>
                <w:rFonts w:cs="FrankRuehl"/>
                <w:sz w:val="28"/>
                <w:szCs w:val="28"/>
                <w:rtl/>
              </w:rPr>
            </w:pPr>
          </w:p>
        </w:tc>
        <w:tc>
          <w:tcPr>
            <w:tcW w:w="3665" w:type="dxa"/>
          </w:tcPr>
          <w:p w14:paraId="4994268A" w14:textId="77777777" w:rsidR="00B7496C" w:rsidRPr="005F607C" w:rsidRDefault="00B7496C">
            <w:pPr>
              <w:pStyle w:val="a3"/>
              <w:jc w:val="right"/>
              <w:rPr>
                <w:rFonts w:cs="FrankRuehl"/>
                <w:sz w:val="28"/>
                <w:szCs w:val="28"/>
                <w:rtl/>
              </w:rPr>
            </w:pPr>
          </w:p>
        </w:tc>
      </w:tr>
    </w:tbl>
    <w:p w14:paraId="7195EE6F" w14:textId="77777777" w:rsidR="00B7496C" w:rsidRPr="005F607C" w:rsidRDefault="005F607C">
      <w:pPr>
        <w:pStyle w:val="a3"/>
        <w:rPr>
          <w:rtl/>
        </w:rPr>
      </w:pPr>
      <w:r w:rsidRPr="005F607C">
        <w:rPr>
          <w:rFonts w:hint="cs"/>
          <w:rtl/>
        </w:rPr>
        <w:t xml:space="preserve"> </w:t>
      </w:r>
    </w:p>
    <w:p w14:paraId="1FE910E3" w14:textId="77777777" w:rsidR="00B7496C" w:rsidRPr="005F607C" w:rsidRDefault="00B7496C">
      <w:pPr>
        <w:spacing w:line="360" w:lineRule="auto"/>
        <w:rPr>
          <w:rFonts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7496C" w:rsidRPr="005F607C" w14:paraId="36D1DCC5" w14:textId="77777777">
        <w:trPr>
          <w:trHeight w:val="295"/>
          <w:jc w:val="center"/>
        </w:trPr>
        <w:tc>
          <w:tcPr>
            <w:tcW w:w="923" w:type="dxa"/>
            <w:tcBorders>
              <w:top w:val="nil"/>
              <w:left w:val="nil"/>
              <w:bottom w:val="nil"/>
              <w:right w:val="nil"/>
            </w:tcBorders>
          </w:tcPr>
          <w:p w14:paraId="4B3991FB" w14:textId="77777777" w:rsidR="00B7496C" w:rsidRPr="005F607C" w:rsidRDefault="005F607C">
            <w:pPr>
              <w:spacing w:line="360" w:lineRule="auto"/>
              <w:jc w:val="both"/>
              <w:rPr>
                <w:rFonts w:ascii="Arial" w:hAnsi="Arial" w:cs="FrankRuehl"/>
                <w:b/>
                <w:bCs/>
                <w:sz w:val="28"/>
                <w:szCs w:val="28"/>
              </w:rPr>
            </w:pPr>
            <w:r w:rsidRPr="005F607C">
              <w:rPr>
                <w:rFonts w:ascii="Arial" w:hAnsi="Arial" w:cs="FrankRuehl" w:hint="cs"/>
                <w:b/>
                <w:bCs/>
                <w:sz w:val="28"/>
                <w:szCs w:val="28"/>
                <w:rtl/>
              </w:rPr>
              <w:t>ב</w:t>
            </w:r>
            <w:r w:rsidRPr="005F607C">
              <w:rPr>
                <w:rFonts w:ascii="Arial" w:hAnsi="Arial" w:cs="FrankRuehl"/>
                <w:b/>
                <w:bCs/>
                <w:sz w:val="28"/>
                <w:szCs w:val="28"/>
                <w:rtl/>
              </w:rPr>
              <w:t xml:space="preserve">פני </w:t>
            </w:r>
          </w:p>
        </w:tc>
        <w:tc>
          <w:tcPr>
            <w:tcW w:w="7897" w:type="dxa"/>
            <w:gridSpan w:val="2"/>
            <w:tcBorders>
              <w:top w:val="nil"/>
              <w:left w:val="nil"/>
              <w:bottom w:val="nil"/>
              <w:right w:val="nil"/>
            </w:tcBorders>
          </w:tcPr>
          <w:p w14:paraId="7AA228E4" w14:textId="77777777" w:rsidR="00B7496C" w:rsidRPr="005F607C" w:rsidRDefault="005F607C">
            <w:pPr>
              <w:spacing w:line="360" w:lineRule="auto"/>
              <w:rPr>
                <w:rFonts w:ascii="Arial" w:hAnsi="Arial" w:cs="FrankRuehl"/>
                <w:b/>
                <w:bCs/>
                <w:sz w:val="28"/>
                <w:szCs w:val="28"/>
                <w:rtl/>
              </w:rPr>
            </w:pPr>
            <w:r w:rsidRPr="005F607C">
              <w:rPr>
                <w:rFonts w:ascii="Arial" w:hAnsi="Arial" w:cs="FrankRuehl" w:hint="cs"/>
                <w:b/>
                <w:bCs/>
                <w:sz w:val="28"/>
                <w:szCs w:val="28"/>
                <w:rtl/>
              </w:rPr>
              <w:t>כב' ה</w:t>
            </w:r>
            <w:r w:rsidRPr="005F607C">
              <w:rPr>
                <w:rFonts w:cs="FrankRuehl" w:hint="cs"/>
                <w:b/>
                <w:bCs/>
                <w:sz w:val="28"/>
                <w:szCs w:val="28"/>
                <w:rtl/>
              </w:rPr>
              <w:t>שופטת</w:t>
            </w:r>
            <w:r w:rsidRPr="005F607C">
              <w:rPr>
                <w:rFonts w:ascii="Arial" w:hAnsi="Arial" w:cs="FrankRuehl" w:hint="cs"/>
                <w:b/>
                <w:bCs/>
                <w:sz w:val="28"/>
                <w:szCs w:val="28"/>
                <w:rtl/>
              </w:rPr>
              <w:t xml:space="preserve">  </w:t>
            </w:r>
            <w:r w:rsidRPr="005F607C">
              <w:rPr>
                <w:rFonts w:cs="FrankRuehl" w:hint="cs"/>
                <w:b/>
                <w:bCs/>
                <w:sz w:val="28"/>
                <w:szCs w:val="28"/>
                <w:rtl/>
              </w:rPr>
              <w:t>מיכל ברנט</w:t>
            </w:r>
          </w:p>
          <w:p w14:paraId="3A07A372" w14:textId="77777777" w:rsidR="00B7496C" w:rsidRPr="005F607C" w:rsidRDefault="00B7496C">
            <w:pPr>
              <w:spacing w:line="360" w:lineRule="auto"/>
              <w:rPr>
                <w:rFonts w:cs="FrankRuehl"/>
                <w:b/>
                <w:bCs/>
                <w:sz w:val="28"/>
                <w:szCs w:val="28"/>
                <w:rtl/>
              </w:rPr>
            </w:pPr>
          </w:p>
          <w:p w14:paraId="5216268D" w14:textId="77777777" w:rsidR="00B7496C" w:rsidRPr="005F607C" w:rsidRDefault="00B7496C">
            <w:pPr>
              <w:spacing w:line="360" w:lineRule="auto"/>
              <w:jc w:val="both"/>
              <w:rPr>
                <w:rFonts w:ascii="Arial" w:hAnsi="Arial" w:cs="FrankRuehl"/>
                <w:b/>
                <w:bCs/>
                <w:sz w:val="28"/>
                <w:szCs w:val="28"/>
              </w:rPr>
            </w:pPr>
          </w:p>
        </w:tc>
      </w:tr>
      <w:tr w:rsidR="00B7496C" w:rsidRPr="005F607C" w14:paraId="42BC26CE" w14:textId="77777777">
        <w:trPr>
          <w:trHeight w:val="355"/>
          <w:jc w:val="center"/>
        </w:trPr>
        <w:tc>
          <w:tcPr>
            <w:tcW w:w="923" w:type="dxa"/>
            <w:tcBorders>
              <w:top w:val="nil"/>
              <w:left w:val="nil"/>
              <w:bottom w:val="nil"/>
              <w:right w:val="nil"/>
            </w:tcBorders>
          </w:tcPr>
          <w:p w14:paraId="2C0F3A79" w14:textId="77777777" w:rsidR="00B7496C" w:rsidRPr="005F607C" w:rsidRDefault="005F607C">
            <w:pPr>
              <w:spacing w:line="360" w:lineRule="auto"/>
              <w:jc w:val="both"/>
              <w:rPr>
                <w:rFonts w:ascii="Arial" w:hAnsi="Arial" w:cs="FrankRuehl"/>
                <w:b/>
                <w:bCs/>
                <w:sz w:val="28"/>
                <w:szCs w:val="28"/>
              </w:rPr>
            </w:pPr>
            <w:bookmarkStart w:id="1" w:name="FirstAppellant"/>
            <w:r w:rsidRPr="005F607C">
              <w:rPr>
                <w:rFonts w:ascii="Arial" w:hAnsi="Arial" w:cs="FrankRuehl" w:hint="cs"/>
                <w:b/>
                <w:bCs/>
                <w:sz w:val="28"/>
                <w:szCs w:val="28"/>
                <w:rtl/>
              </w:rPr>
              <w:t>בעניין:</w:t>
            </w:r>
          </w:p>
        </w:tc>
        <w:tc>
          <w:tcPr>
            <w:tcW w:w="4126" w:type="dxa"/>
            <w:tcBorders>
              <w:top w:val="nil"/>
              <w:left w:val="nil"/>
              <w:bottom w:val="nil"/>
              <w:right w:val="nil"/>
            </w:tcBorders>
          </w:tcPr>
          <w:p w14:paraId="5F4303AE" w14:textId="77777777" w:rsidR="00B7496C" w:rsidRPr="005F607C" w:rsidRDefault="005F607C">
            <w:pPr>
              <w:spacing w:line="360" w:lineRule="auto"/>
              <w:rPr>
                <w:rFonts w:cs="FrankRuehl"/>
                <w:b/>
                <w:bCs/>
                <w:sz w:val="28"/>
                <w:szCs w:val="28"/>
              </w:rPr>
            </w:pPr>
            <w:r w:rsidRPr="005F607C">
              <w:rPr>
                <w:rFonts w:cs="FrankRuehl" w:hint="cs"/>
                <w:b/>
                <w:bCs/>
                <w:sz w:val="28"/>
                <w:szCs w:val="28"/>
                <w:rtl/>
              </w:rPr>
              <w:t>מדינת ישראל</w:t>
            </w:r>
          </w:p>
        </w:tc>
        <w:tc>
          <w:tcPr>
            <w:tcW w:w="3771" w:type="dxa"/>
            <w:tcBorders>
              <w:top w:val="nil"/>
              <w:left w:val="nil"/>
              <w:bottom w:val="nil"/>
              <w:right w:val="nil"/>
            </w:tcBorders>
          </w:tcPr>
          <w:p w14:paraId="28F10E3E" w14:textId="77777777" w:rsidR="00B7496C" w:rsidRPr="005F607C" w:rsidRDefault="00B7496C">
            <w:pPr>
              <w:spacing w:line="360" w:lineRule="auto"/>
              <w:jc w:val="both"/>
              <w:rPr>
                <w:rFonts w:ascii="Arial" w:hAnsi="Arial" w:cs="FrankRuehl"/>
                <w:b/>
                <w:bCs/>
                <w:sz w:val="28"/>
                <w:szCs w:val="28"/>
              </w:rPr>
            </w:pPr>
          </w:p>
        </w:tc>
      </w:tr>
      <w:bookmarkEnd w:id="1"/>
      <w:tr w:rsidR="00B7496C" w:rsidRPr="005F607C" w14:paraId="479FCC51" w14:textId="77777777">
        <w:trPr>
          <w:trHeight w:val="355"/>
          <w:jc w:val="center"/>
        </w:trPr>
        <w:tc>
          <w:tcPr>
            <w:tcW w:w="923" w:type="dxa"/>
            <w:tcBorders>
              <w:top w:val="nil"/>
              <w:left w:val="nil"/>
              <w:bottom w:val="nil"/>
              <w:right w:val="nil"/>
            </w:tcBorders>
          </w:tcPr>
          <w:p w14:paraId="47299536" w14:textId="77777777" w:rsidR="00B7496C" w:rsidRPr="005F607C" w:rsidRDefault="00B7496C">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214E136F" w14:textId="77777777" w:rsidR="00B7496C" w:rsidRPr="005F607C" w:rsidRDefault="00B7496C">
            <w:pPr>
              <w:spacing w:line="360" w:lineRule="auto"/>
              <w:jc w:val="both"/>
              <w:rPr>
                <w:rFonts w:cs="FrankRuehl"/>
                <w:b/>
                <w:bCs/>
                <w:sz w:val="28"/>
                <w:szCs w:val="28"/>
                <w:rtl/>
              </w:rPr>
            </w:pPr>
          </w:p>
        </w:tc>
        <w:tc>
          <w:tcPr>
            <w:tcW w:w="3771" w:type="dxa"/>
            <w:tcBorders>
              <w:top w:val="nil"/>
              <w:left w:val="nil"/>
              <w:bottom w:val="nil"/>
              <w:right w:val="nil"/>
            </w:tcBorders>
          </w:tcPr>
          <w:p w14:paraId="4B4C427F" w14:textId="77777777" w:rsidR="00B7496C" w:rsidRPr="005F607C" w:rsidRDefault="005F607C">
            <w:pPr>
              <w:spacing w:line="360" w:lineRule="auto"/>
              <w:jc w:val="right"/>
              <w:rPr>
                <w:rFonts w:ascii="Arial" w:hAnsi="Arial" w:cs="FrankRuehl"/>
                <w:b/>
                <w:bCs/>
                <w:sz w:val="28"/>
                <w:szCs w:val="28"/>
                <w:rtl/>
              </w:rPr>
            </w:pPr>
            <w:r w:rsidRPr="005F607C">
              <w:rPr>
                <w:rFonts w:ascii="Arial" w:hAnsi="Arial" w:cs="FrankRuehl" w:hint="cs"/>
                <w:b/>
                <w:bCs/>
                <w:sz w:val="28"/>
                <w:szCs w:val="28"/>
                <w:rtl/>
              </w:rPr>
              <w:t>ה</w:t>
            </w:r>
            <w:r w:rsidRPr="005F607C">
              <w:rPr>
                <w:rFonts w:cs="FrankRuehl" w:hint="cs"/>
                <w:b/>
                <w:bCs/>
                <w:sz w:val="28"/>
                <w:szCs w:val="28"/>
                <w:rtl/>
              </w:rPr>
              <w:t>מאשימה</w:t>
            </w:r>
          </w:p>
        </w:tc>
      </w:tr>
      <w:tr w:rsidR="00B7496C" w:rsidRPr="005F607C" w14:paraId="74559427" w14:textId="77777777">
        <w:trPr>
          <w:trHeight w:val="355"/>
          <w:jc w:val="center"/>
        </w:trPr>
        <w:tc>
          <w:tcPr>
            <w:tcW w:w="923" w:type="dxa"/>
            <w:tcBorders>
              <w:top w:val="nil"/>
              <w:left w:val="nil"/>
              <w:bottom w:val="nil"/>
              <w:right w:val="nil"/>
            </w:tcBorders>
          </w:tcPr>
          <w:p w14:paraId="586E1285" w14:textId="77777777" w:rsidR="00B7496C" w:rsidRPr="005F607C" w:rsidRDefault="00B7496C">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tcPr>
          <w:p w14:paraId="11C96304" w14:textId="77777777" w:rsidR="00B7496C" w:rsidRPr="005F607C" w:rsidRDefault="00B7496C">
            <w:pPr>
              <w:spacing w:line="360" w:lineRule="auto"/>
              <w:jc w:val="center"/>
              <w:rPr>
                <w:rFonts w:ascii="Arial" w:hAnsi="Arial" w:cs="FrankRuehl"/>
                <w:b/>
                <w:bCs/>
                <w:sz w:val="28"/>
                <w:szCs w:val="28"/>
                <w:rtl/>
              </w:rPr>
            </w:pPr>
          </w:p>
          <w:p w14:paraId="75E85D1A" w14:textId="77777777" w:rsidR="00B7496C" w:rsidRPr="005F607C" w:rsidRDefault="005F607C">
            <w:pPr>
              <w:spacing w:line="360" w:lineRule="auto"/>
              <w:jc w:val="center"/>
              <w:rPr>
                <w:rFonts w:ascii="Arial" w:hAnsi="Arial" w:cs="FrankRuehl"/>
                <w:b/>
                <w:bCs/>
                <w:sz w:val="28"/>
                <w:szCs w:val="28"/>
                <w:rtl/>
              </w:rPr>
            </w:pPr>
            <w:r w:rsidRPr="005F607C">
              <w:rPr>
                <w:rFonts w:ascii="Arial" w:hAnsi="Arial" w:cs="FrankRuehl"/>
                <w:b/>
                <w:bCs/>
                <w:sz w:val="28"/>
                <w:szCs w:val="28"/>
                <w:rtl/>
              </w:rPr>
              <w:t>נגד</w:t>
            </w:r>
          </w:p>
          <w:p w14:paraId="6E48A7AD" w14:textId="77777777" w:rsidR="00B7496C" w:rsidRPr="005F607C" w:rsidRDefault="00B7496C">
            <w:pPr>
              <w:spacing w:line="360" w:lineRule="auto"/>
              <w:jc w:val="both"/>
              <w:rPr>
                <w:rFonts w:ascii="Arial" w:hAnsi="Arial" w:cs="FrankRuehl"/>
                <w:b/>
                <w:bCs/>
                <w:sz w:val="28"/>
                <w:szCs w:val="28"/>
              </w:rPr>
            </w:pPr>
          </w:p>
        </w:tc>
      </w:tr>
      <w:tr w:rsidR="00B7496C" w:rsidRPr="005F607C" w14:paraId="6740D579" w14:textId="77777777">
        <w:trPr>
          <w:trHeight w:val="355"/>
          <w:jc w:val="center"/>
        </w:trPr>
        <w:tc>
          <w:tcPr>
            <w:tcW w:w="923" w:type="dxa"/>
            <w:tcBorders>
              <w:top w:val="nil"/>
              <w:left w:val="nil"/>
              <w:bottom w:val="nil"/>
              <w:right w:val="nil"/>
            </w:tcBorders>
          </w:tcPr>
          <w:p w14:paraId="12218333" w14:textId="77777777" w:rsidR="00B7496C" w:rsidRPr="005F607C" w:rsidRDefault="00B7496C">
            <w:pPr>
              <w:spacing w:line="360" w:lineRule="auto"/>
              <w:rPr>
                <w:rFonts w:ascii="Arial" w:hAnsi="Arial" w:cs="FrankRuehl"/>
                <w:b/>
                <w:bCs/>
                <w:sz w:val="28"/>
                <w:szCs w:val="28"/>
                <w:rtl/>
              </w:rPr>
            </w:pPr>
          </w:p>
        </w:tc>
        <w:tc>
          <w:tcPr>
            <w:tcW w:w="4126" w:type="dxa"/>
            <w:tcBorders>
              <w:top w:val="nil"/>
              <w:left w:val="nil"/>
              <w:bottom w:val="nil"/>
              <w:right w:val="nil"/>
            </w:tcBorders>
          </w:tcPr>
          <w:p w14:paraId="2AB2E5B7" w14:textId="77777777" w:rsidR="00B7496C" w:rsidRPr="005F607C" w:rsidRDefault="005F607C">
            <w:pPr>
              <w:spacing w:line="360" w:lineRule="auto"/>
              <w:rPr>
                <w:rFonts w:cs="FrankRuehl"/>
                <w:b/>
                <w:bCs/>
                <w:sz w:val="28"/>
                <w:szCs w:val="28"/>
                <w:rtl/>
              </w:rPr>
            </w:pPr>
            <w:r w:rsidRPr="005F607C">
              <w:rPr>
                <w:rFonts w:cs="FrankRuehl" w:hint="cs"/>
                <w:b/>
                <w:bCs/>
                <w:sz w:val="28"/>
                <w:szCs w:val="28"/>
                <w:rtl/>
              </w:rPr>
              <w:t>1</w:t>
            </w:r>
            <w:r w:rsidRPr="005F607C">
              <w:rPr>
                <w:rFonts w:ascii="Arial" w:hAnsi="Arial" w:cs="FrankRuehl" w:hint="cs"/>
                <w:b/>
                <w:bCs/>
                <w:sz w:val="28"/>
                <w:szCs w:val="28"/>
                <w:rtl/>
              </w:rPr>
              <w:t>.</w:t>
            </w:r>
            <w:r w:rsidRPr="005F607C">
              <w:rPr>
                <w:rFonts w:cs="FrankRuehl" w:hint="cs"/>
                <w:b/>
                <w:bCs/>
                <w:sz w:val="28"/>
                <w:szCs w:val="28"/>
                <w:rtl/>
              </w:rPr>
              <w:t>ראובן דנון (עציר)</w:t>
            </w:r>
          </w:p>
          <w:p w14:paraId="2C235B13" w14:textId="77777777" w:rsidR="00B7496C" w:rsidRPr="005F607C" w:rsidRDefault="005F607C">
            <w:pPr>
              <w:spacing w:line="360" w:lineRule="auto"/>
              <w:rPr>
                <w:rFonts w:cs="FrankRuehl"/>
                <w:b/>
                <w:bCs/>
                <w:sz w:val="28"/>
                <w:szCs w:val="28"/>
                <w:rtl/>
              </w:rPr>
            </w:pPr>
            <w:r w:rsidRPr="005F607C">
              <w:rPr>
                <w:rFonts w:cs="FrankRuehl" w:hint="cs"/>
                <w:b/>
                <w:bCs/>
                <w:sz w:val="28"/>
                <w:szCs w:val="28"/>
                <w:rtl/>
              </w:rPr>
              <w:t>2</w:t>
            </w:r>
            <w:r w:rsidRPr="005F607C">
              <w:rPr>
                <w:rFonts w:ascii="Arial" w:hAnsi="Arial" w:cs="FrankRuehl" w:hint="cs"/>
                <w:b/>
                <w:bCs/>
                <w:sz w:val="28"/>
                <w:szCs w:val="28"/>
                <w:rtl/>
              </w:rPr>
              <w:t>.</w:t>
            </w:r>
            <w:r w:rsidRPr="005F607C">
              <w:rPr>
                <w:rFonts w:cs="FrankRuehl" w:hint="cs"/>
                <w:b/>
                <w:bCs/>
                <w:sz w:val="28"/>
                <w:szCs w:val="28"/>
                <w:rtl/>
              </w:rPr>
              <w:t>דוד נסים</w:t>
            </w:r>
          </w:p>
        </w:tc>
        <w:tc>
          <w:tcPr>
            <w:tcW w:w="3771" w:type="dxa"/>
            <w:tcBorders>
              <w:top w:val="nil"/>
              <w:left w:val="nil"/>
              <w:bottom w:val="nil"/>
              <w:right w:val="nil"/>
            </w:tcBorders>
          </w:tcPr>
          <w:p w14:paraId="6369A737" w14:textId="77777777" w:rsidR="00B7496C" w:rsidRPr="005F607C" w:rsidRDefault="00B7496C">
            <w:pPr>
              <w:spacing w:line="360" w:lineRule="auto"/>
              <w:jc w:val="right"/>
              <w:rPr>
                <w:rFonts w:ascii="Arial" w:hAnsi="Arial" w:cs="FrankRuehl"/>
                <w:b/>
                <w:bCs/>
                <w:sz w:val="28"/>
                <w:szCs w:val="28"/>
              </w:rPr>
            </w:pPr>
          </w:p>
        </w:tc>
      </w:tr>
      <w:tr w:rsidR="00B7496C" w:rsidRPr="005F607C" w14:paraId="60475519" w14:textId="77777777">
        <w:trPr>
          <w:trHeight w:val="355"/>
          <w:jc w:val="center"/>
        </w:trPr>
        <w:tc>
          <w:tcPr>
            <w:tcW w:w="923" w:type="dxa"/>
            <w:tcBorders>
              <w:top w:val="nil"/>
              <w:left w:val="nil"/>
              <w:bottom w:val="nil"/>
              <w:right w:val="nil"/>
            </w:tcBorders>
          </w:tcPr>
          <w:p w14:paraId="3D4A83C2" w14:textId="77777777" w:rsidR="00B7496C" w:rsidRPr="005F607C" w:rsidRDefault="00B7496C">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6EAD8C87" w14:textId="77777777" w:rsidR="00B7496C" w:rsidRPr="005F607C" w:rsidRDefault="00B7496C">
            <w:pPr>
              <w:spacing w:line="360" w:lineRule="auto"/>
              <w:jc w:val="both"/>
              <w:rPr>
                <w:rFonts w:cs="FrankRuehl"/>
                <w:b/>
                <w:bCs/>
                <w:sz w:val="28"/>
                <w:szCs w:val="28"/>
                <w:rtl/>
              </w:rPr>
            </w:pPr>
          </w:p>
        </w:tc>
        <w:tc>
          <w:tcPr>
            <w:tcW w:w="3771" w:type="dxa"/>
            <w:tcBorders>
              <w:top w:val="nil"/>
              <w:left w:val="nil"/>
              <w:bottom w:val="nil"/>
              <w:right w:val="nil"/>
            </w:tcBorders>
          </w:tcPr>
          <w:p w14:paraId="12F51C32" w14:textId="77777777" w:rsidR="00B7496C" w:rsidRPr="005F607C" w:rsidRDefault="005F607C">
            <w:pPr>
              <w:spacing w:line="360" w:lineRule="auto"/>
              <w:jc w:val="right"/>
              <w:rPr>
                <w:rFonts w:ascii="Arial" w:hAnsi="Arial" w:cs="FrankRuehl"/>
                <w:b/>
                <w:bCs/>
                <w:sz w:val="28"/>
                <w:szCs w:val="28"/>
              </w:rPr>
            </w:pPr>
            <w:r w:rsidRPr="005F607C">
              <w:rPr>
                <w:rFonts w:ascii="Arial" w:hAnsi="Arial" w:cs="FrankRuehl" w:hint="cs"/>
                <w:b/>
                <w:bCs/>
                <w:sz w:val="28"/>
                <w:szCs w:val="28"/>
                <w:rtl/>
              </w:rPr>
              <w:t>ה</w:t>
            </w:r>
            <w:r w:rsidRPr="005F607C">
              <w:rPr>
                <w:rFonts w:cs="FrankRuehl" w:hint="cs"/>
                <w:b/>
                <w:bCs/>
                <w:sz w:val="28"/>
                <w:szCs w:val="28"/>
                <w:rtl/>
              </w:rPr>
              <w:t>נאשמים</w:t>
            </w:r>
          </w:p>
        </w:tc>
      </w:tr>
    </w:tbl>
    <w:p w14:paraId="2B987CFF" w14:textId="77777777" w:rsidR="00B7496C" w:rsidRPr="005F607C" w:rsidRDefault="00B7496C">
      <w:pPr>
        <w:spacing w:line="360" w:lineRule="auto"/>
        <w:rPr>
          <w:rFonts w:cs="FrankRuehl"/>
          <w:sz w:val="28"/>
          <w:szCs w:val="28"/>
          <w:rtl/>
        </w:rPr>
      </w:pPr>
    </w:p>
    <w:p w14:paraId="13FFFF1B" w14:textId="77777777" w:rsidR="00B7496C" w:rsidRPr="005F607C" w:rsidRDefault="00B7496C">
      <w:pPr>
        <w:spacing w:line="360" w:lineRule="auto"/>
        <w:rPr>
          <w:rFonts w:cs="FrankRuehl"/>
          <w:sz w:val="28"/>
          <w:szCs w:val="28"/>
          <w:rtl/>
        </w:rPr>
      </w:pPr>
    </w:p>
    <w:p w14:paraId="5EEA78B0" w14:textId="77777777" w:rsidR="00B7496C" w:rsidRPr="005F607C" w:rsidRDefault="005F607C">
      <w:pPr>
        <w:spacing w:line="360" w:lineRule="auto"/>
        <w:rPr>
          <w:rFonts w:cs="FrankRuehl"/>
          <w:b/>
          <w:bCs/>
          <w:sz w:val="28"/>
          <w:szCs w:val="28"/>
          <w:rtl/>
        </w:rPr>
      </w:pPr>
      <w:r w:rsidRPr="005F607C">
        <w:rPr>
          <w:rFonts w:cs="FrankRuehl" w:hint="cs"/>
          <w:b/>
          <w:bCs/>
          <w:sz w:val="28"/>
          <w:szCs w:val="28"/>
          <w:rtl/>
        </w:rPr>
        <w:t xml:space="preserve">נוכחים: </w:t>
      </w:r>
      <w:bookmarkStart w:id="2" w:name="FirstLawyer"/>
      <w:r w:rsidRPr="005F607C">
        <w:rPr>
          <w:rFonts w:cs="FrankRuehl" w:hint="cs"/>
          <w:b/>
          <w:bCs/>
          <w:sz w:val="28"/>
          <w:szCs w:val="28"/>
          <w:rtl/>
        </w:rPr>
        <w:t>ב"כ</w:t>
      </w:r>
      <w:bookmarkEnd w:id="2"/>
      <w:r w:rsidRPr="005F607C">
        <w:rPr>
          <w:rFonts w:cs="FrankRuehl" w:hint="cs"/>
          <w:b/>
          <w:bCs/>
          <w:sz w:val="28"/>
          <w:szCs w:val="28"/>
          <w:rtl/>
        </w:rPr>
        <w:t xml:space="preserve"> המאשימה עו"ד דן כהן</w:t>
      </w:r>
    </w:p>
    <w:p w14:paraId="6424D585" w14:textId="77777777" w:rsidR="00B7496C" w:rsidRPr="005F607C" w:rsidRDefault="005F607C">
      <w:pPr>
        <w:spacing w:line="360" w:lineRule="auto"/>
        <w:rPr>
          <w:rFonts w:cs="FrankRuehl"/>
          <w:b/>
          <w:bCs/>
          <w:sz w:val="28"/>
          <w:szCs w:val="28"/>
          <w:rtl/>
        </w:rPr>
      </w:pPr>
      <w:r w:rsidRPr="005F607C">
        <w:rPr>
          <w:rFonts w:cs="FrankRuehl" w:hint="cs"/>
          <w:b/>
          <w:bCs/>
          <w:sz w:val="28"/>
          <w:szCs w:val="28"/>
          <w:rtl/>
        </w:rPr>
        <w:tab/>
        <w:t xml:space="preserve"> ב"כ הנאשם 1 עו"ד אדלמן</w:t>
      </w:r>
    </w:p>
    <w:p w14:paraId="74204A7F" w14:textId="77777777" w:rsidR="00B7496C" w:rsidRPr="005F607C" w:rsidRDefault="005F607C">
      <w:pPr>
        <w:spacing w:line="360" w:lineRule="auto"/>
        <w:rPr>
          <w:rFonts w:cs="FrankRuehl"/>
          <w:b/>
          <w:bCs/>
          <w:sz w:val="28"/>
          <w:szCs w:val="28"/>
          <w:rtl/>
        </w:rPr>
      </w:pPr>
      <w:r w:rsidRPr="005F607C">
        <w:rPr>
          <w:rFonts w:cs="FrankRuehl" w:hint="cs"/>
          <w:b/>
          <w:bCs/>
          <w:sz w:val="28"/>
          <w:szCs w:val="28"/>
          <w:rtl/>
        </w:rPr>
        <w:tab/>
        <w:t xml:space="preserve"> ב"כ הנאשם 2 עו"ד קניג ועו"ד עטיה</w:t>
      </w:r>
    </w:p>
    <w:p w14:paraId="15D6DBA8" w14:textId="77777777" w:rsidR="00D80AA0" w:rsidRDefault="005F607C">
      <w:pPr>
        <w:spacing w:line="360" w:lineRule="auto"/>
        <w:rPr>
          <w:rFonts w:cs="FrankRuehl"/>
          <w:sz w:val="28"/>
          <w:szCs w:val="28"/>
          <w:rtl/>
        </w:rPr>
      </w:pPr>
      <w:r w:rsidRPr="005F607C">
        <w:rPr>
          <w:rFonts w:cs="FrankRuehl" w:hint="cs"/>
          <w:b/>
          <w:bCs/>
          <w:sz w:val="28"/>
          <w:szCs w:val="28"/>
          <w:rtl/>
        </w:rPr>
        <w:tab/>
        <w:t xml:space="preserve"> הנאשם 1 הובא על ידי שב"ס</w:t>
      </w:r>
      <w:bookmarkStart w:id="3" w:name="LawTable"/>
      <w:bookmarkEnd w:id="3"/>
    </w:p>
    <w:p w14:paraId="6EB576B3" w14:textId="77777777" w:rsidR="00D80AA0" w:rsidRPr="00D80AA0" w:rsidRDefault="00D80AA0" w:rsidP="00D80AA0">
      <w:pPr>
        <w:spacing w:after="120" w:line="240" w:lineRule="exact"/>
        <w:ind w:left="283" w:hanging="283"/>
        <w:jc w:val="both"/>
        <w:rPr>
          <w:rFonts w:ascii="FrankRuehl" w:hAnsi="FrankRuehl" w:cs="FrankRuehl"/>
          <w:rtl/>
        </w:rPr>
      </w:pPr>
    </w:p>
    <w:p w14:paraId="4297937C" w14:textId="77777777" w:rsidR="00D80AA0" w:rsidRPr="00D80AA0" w:rsidRDefault="00D80AA0" w:rsidP="00D80AA0">
      <w:pPr>
        <w:spacing w:after="120" w:line="240" w:lineRule="exact"/>
        <w:ind w:left="283" w:hanging="283"/>
        <w:jc w:val="both"/>
        <w:rPr>
          <w:rFonts w:ascii="FrankRuehl" w:hAnsi="FrankRuehl" w:cs="FrankRuehl"/>
          <w:rtl/>
        </w:rPr>
      </w:pPr>
      <w:r w:rsidRPr="00D80AA0">
        <w:rPr>
          <w:rFonts w:ascii="FrankRuehl" w:hAnsi="FrankRuehl" w:cs="FrankRuehl"/>
          <w:rtl/>
        </w:rPr>
        <w:t xml:space="preserve">חקיקה שאוזכרה: </w:t>
      </w:r>
    </w:p>
    <w:p w14:paraId="4C01C999" w14:textId="77777777" w:rsidR="00D80AA0" w:rsidRPr="00D80AA0" w:rsidRDefault="00D80AA0" w:rsidP="00D80AA0">
      <w:pPr>
        <w:spacing w:after="120" w:line="240" w:lineRule="exact"/>
        <w:ind w:left="283" w:hanging="283"/>
        <w:jc w:val="both"/>
        <w:rPr>
          <w:rFonts w:ascii="FrankRuehl" w:hAnsi="FrankRuehl" w:cs="FrankRuehl"/>
          <w:rtl/>
        </w:rPr>
      </w:pPr>
      <w:hyperlink r:id="rId7" w:history="1">
        <w:r w:rsidRPr="00D80AA0">
          <w:rPr>
            <w:rFonts w:ascii="FrankRuehl" w:hAnsi="FrankRuehl" w:cs="FrankRuehl"/>
            <w:color w:val="0000FF"/>
            <w:u w:val="single"/>
            <w:rtl/>
          </w:rPr>
          <w:t>חוק העונשין, תשל"ז-1977</w:t>
        </w:r>
      </w:hyperlink>
      <w:r w:rsidRPr="00D80AA0">
        <w:rPr>
          <w:rFonts w:ascii="FrankRuehl" w:hAnsi="FrankRuehl" w:cs="FrankRuehl"/>
          <w:rtl/>
        </w:rPr>
        <w:t xml:space="preserve">: סע'  </w:t>
      </w:r>
      <w:hyperlink r:id="rId8" w:history="1">
        <w:r w:rsidRPr="00D80AA0">
          <w:rPr>
            <w:rFonts w:ascii="FrankRuehl" w:hAnsi="FrankRuehl" w:cs="FrankRuehl"/>
            <w:color w:val="0000FF"/>
            <w:u w:val="single"/>
            <w:rtl/>
          </w:rPr>
          <w:t>29</w:t>
        </w:r>
      </w:hyperlink>
      <w:r w:rsidRPr="00D80AA0">
        <w:rPr>
          <w:rFonts w:ascii="FrankRuehl" w:hAnsi="FrankRuehl" w:cs="FrankRuehl"/>
          <w:rtl/>
        </w:rPr>
        <w:t xml:space="preserve">, </w:t>
      </w:r>
      <w:hyperlink r:id="rId9" w:history="1">
        <w:r w:rsidRPr="00D80AA0">
          <w:rPr>
            <w:rFonts w:ascii="FrankRuehl" w:hAnsi="FrankRuehl" w:cs="FrankRuehl"/>
            <w:color w:val="0000FF"/>
            <w:u w:val="single"/>
            <w:rtl/>
          </w:rPr>
          <w:t>40ג.</w:t>
        </w:r>
      </w:hyperlink>
      <w:r w:rsidRPr="00D80AA0">
        <w:rPr>
          <w:rFonts w:ascii="FrankRuehl" w:hAnsi="FrankRuehl" w:cs="FrankRuehl"/>
          <w:rtl/>
        </w:rPr>
        <w:t xml:space="preserve">, </w:t>
      </w:r>
      <w:hyperlink r:id="rId10" w:history="1">
        <w:r w:rsidRPr="00D80AA0">
          <w:rPr>
            <w:rFonts w:ascii="FrankRuehl" w:hAnsi="FrankRuehl" w:cs="FrankRuehl"/>
            <w:color w:val="0000FF"/>
            <w:u w:val="single"/>
            <w:rtl/>
          </w:rPr>
          <w:t>40ד</w:t>
        </w:r>
      </w:hyperlink>
      <w:r w:rsidRPr="00D80AA0">
        <w:rPr>
          <w:rFonts w:ascii="FrankRuehl" w:hAnsi="FrankRuehl" w:cs="FrankRuehl"/>
          <w:rtl/>
        </w:rPr>
        <w:t xml:space="preserve">, </w:t>
      </w:r>
      <w:hyperlink r:id="rId11" w:history="1">
        <w:r w:rsidRPr="00D80AA0">
          <w:rPr>
            <w:rFonts w:ascii="FrankRuehl" w:hAnsi="FrankRuehl" w:cs="FrankRuehl"/>
            <w:color w:val="0000FF"/>
            <w:u w:val="single"/>
            <w:rtl/>
          </w:rPr>
          <w:t>40ד(א)</w:t>
        </w:r>
      </w:hyperlink>
      <w:r w:rsidRPr="00D80AA0">
        <w:rPr>
          <w:rFonts w:ascii="FrankRuehl" w:hAnsi="FrankRuehl" w:cs="FrankRuehl"/>
          <w:rtl/>
        </w:rPr>
        <w:t xml:space="preserve">, </w:t>
      </w:r>
      <w:hyperlink r:id="rId12" w:history="1">
        <w:r w:rsidRPr="00D80AA0">
          <w:rPr>
            <w:rFonts w:ascii="FrankRuehl" w:hAnsi="FrankRuehl" w:cs="FrankRuehl"/>
            <w:color w:val="0000FF"/>
            <w:u w:val="single"/>
            <w:rtl/>
          </w:rPr>
          <w:t>40ד(ב)</w:t>
        </w:r>
      </w:hyperlink>
      <w:r w:rsidRPr="00D80AA0">
        <w:rPr>
          <w:rFonts w:ascii="FrankRuehl" w:hAnsi="FrankRuehl" w:cs="FrankRuehl"/>
          <w:rtl/>
        </w:rPr>
        <w:t xml:space="preserve">, </w:t>
      </w:r>
      <w:hyperlink r:id="rId13" w:history="1">
        <w:r w:rsidRPr="00D80AA0">
          <w:rPr>
            <w:rFonts w:ascii="FrankRuehl" w:hAnsi="FrankRuehl" w:cs="FrankRuehl"/>
            <w:color w:val="0000FF"/>
            <w:u w:val="single"/>
            <w:rtl/>
          </w:rPr>
          <w:t>40ט(2)</w:t>
        </w:r>
      </w:hyperlink>
      <w:r w:rsidRPr="00D80AA0">
        <w:rPr>
          <w:rFonts w:ascii="FrankRuehl" w:hAnsi="FrankRuehl" w:cs="FrankRuehl"/>
          <w:rtl/>
        </w:rPr>
        <w:t xml:space="preserve">, </w:t>
      </w:r>
      <w:hyperlink r:id="rId14" w:history="1">
        <w:r w:rsidRPr="00D80AA0">
          <w:rPr>
            <w:rFonts w:ascii="FrankRuehl" w:hAnsi="FrankRuehl" w:cs="FrankRuehl"/>
            <w:color w:val="0000FF"/>
            <w:u w:val="single"/>
            <w:rtl/>
          </w:rPr>
          <w:t>40ט(6)</w:t>
        </w:r>
      </w:hyperlink>
      <w:r w:rsidRPr="00D80AA0">
        <w:rPr>
          <w:rFonts w:ascii="FrankRuehl" w:hAnsi="FrankRuehl" w:cs="FrankRuehl"/>
          <w:rtl/>
        </w:rPr>
        <w:t xml:space="preserve">, </w:t>
      </w:r>
      <w:hyperlink r:id="rId15" w:history="1">
        <w:r w:rsidRPr="00D80AA0">
          <w:rPr>
            <w:rFonts w:ascii="FrankRuehl" w:hAnsi="FrankRuehl" w:cs="FrankRuehl"/>
            <w:color w:val="0000FF"/>
            <w:u w:val="single"/>
            <w:rtl/>
          </w:rPr>
          <w:t>144(א)</w:t>
        </w:r>
      </w:hyperlink>
      <w:r w:rsidRPr="00D80AA0">
        <w:rPr>
          <w:rFonts w:ascii="FrankRuehl" w:hAnsi="FrankRuehl" w:cs="FrankRuehl"/>
          <w:rtl/>
        </w:rPr>
        <w:t xml:space="preserve">, </w:t>
      </w:r>
      <w:hyperlink r:id="rId16" w:history="1">
        <w:r w:rsidRPr="00D80AA0">
          <w:rPr>
            <w:rFonts w:ascii="FrankRuehl" w:hAnsi="FrankRuehl" w:cs="FrankRuehl"/>
            <w:color w:val="0000FF"/>
            <w:u w:val="single"/>
            <w:rtl/>
          </w:rPr>
          <w:t>144(ב)</w:t>
        </w:r>
      </w:hyperlink>
      <w:r w:rsidRPr="00D80AA0">
        <w:rPr>
          <w:rFonts w:ascii="FrankRuehl" w:hAnsi="FrankRuehl" w:cs="FrankRuehl"/>
          <w:rtl/>
        </w:rPr>
        <w:t xml:space="preserve">, </w:t>
      </w:r>
      <w:hyperlink r:id="rId17" w:history="1">
        <w:r w:rsidRPr="00D80AA0">
          <w:rPr>
            <w:rFonts w:ascii="FrankRuehl" w:hAnsi="FrankRuehl" w:cs="FrankRuehl"/>
            <w:color w:val="0000FF"/>
            <w:u w:val="single"/>
            <w:rtl/>
          </w:rPr>
          <w:t>334</w:t>
        </w:r>
      </w:hyperlink>
      <w:r w:rsidRPr="00D80AA0">
        <w:rPr>
          <w:rFonts w:ascii="FrankRuehl" w:hAnsi="FrankRuehl" w:cs="FrankRuehl"/>
          <w:rtl/>
        </w:rPr>
        <w:t xml:space="preserve">, </w:t>
      </w:r>
      <w:hyperlink r:id="rId18" w:history="1">
        <w:r w:rsidRPr="00D80AA0">
          <w:rPr>
            <w:rFonts w:ascii="FrankRuehl" w:hAnsi="FrankRuehl" w:cs="FrankRuehl"/>
            <w:color w:val="0000FF"/>
            <w:u w:val="single"/>
            <w:rtl/>
          </w:rPr>
          <w:t>335(א)(1)</w:t>
        </w:r>
      </w:hyperlink>
      <w:r w:rsidRPr="00D80AA0">
        <w:rPr>
          <w:rFonts w:ascii="FrankRuehl" w:hAnsi="FrankRuehl" w:cs="FrankRuehl"/>
          <w:rtl/>
        </w:rPr>
        <w:t xml:space="preserve">, </w:t>
      </w:r>
      <w:hyperlink r:id="rId19" w:history="1">
        <w:r w:rsidRPr="00D80AA0">
          <w:rPr>
            <w:rFonts w:ascii="FrankRuehl" w:hAnsi="FrankRuehl" w:cs="FrankRuehl"/>
            <w:color w:val="0000FF"/>
            <w:u w:val="single"/>
            <w:rtl/>
          </w:rPr>
          <w:t>(2)</w:t>
        </w:r>
      </w:hyperlink>
      <w:r w:rsidRPr="00D80AA0">
        <w:rPr>
          <w:rFonts w:ascii="FrankRuehl" w:hAnsi="FrankRuehl" w:cs="FrankRuehl"/>
          <w:rtl/>
        </w:rPr>
        <w:t xml:space="preserve">, </w:t>
      </w:r>
      <w:hyperlink r:id="rId20" w:history="1">
        <w:r w:rsidRPr="00D80AA0">
          <w:rPr>
            <w:rFonts w:ascii="FrankRuehl" w:hAnsi="FrankRuehl" w:cs="FrankRuehl"/>
            <w:color w:val="0000FF"/>
            <w:u w:val="single"/>
            <w:rtl/>
          </w:rPr>
          <w:t>402(ב)</w:t>
        </w:r>
      </w:hyperlink>
      <w:r w:rsidRPr="00D80AA0">
        <w:rPr>
          <w:rFonts w:ascii="FrankRuehl" w:hAnsi="FrankRuehl" w:cs="FrankRuehl"/>
          <w:rtl/>
        </w:rPr>
        <w:t xml:space="preserve">, </w:t>
      </w:r>
      <w:hyperlink r:id="rId21" w:history="1">
        <w:r w:rsidRPr="00D80AA0">
          <w:rPr>
            <w:rFonts w:ascii="FrankRuehl" w:hAnsi="FrankRuehl" w:cs="FrankRuehl"/>
            <w:color w:val="0000FF"/>
            <w:u w:val="single"/>
            <w:rtl/>
          </w:rPr>
          <w:t>40יג.</w:t>
        </w:r>
      </w:hyperlink>
      <w:r w:rsidRPr="00D80AA0">
        <w:rPr>
          <w:rFonts w:ascii="FrankRuehl" w:hAnsi="FrankRuehl" w:cs="FrankRuehl"/>
          <w:rtl/>
        </w:rPr>
        <w:t xml:space="preserve">, </w:t>
      </w:r>
      <w:hyperlink r:id="rId22" w:history="1">
        <w:r w:rsidRPr="00D80AA0">
          <w:rPr>
            <w:rFonts w:ascii="FrankRuehl" w:hAnsi="FrankRuehl" w:cs="FrankRuehl"/>
            <w:color w:val="0000FF"/>
            <w:u w:val="single"/>
            <w:rtl/>
          </w:rPr>
          <w:t>40יג(ב)</w:t>
        </w:r>
      </w:hyperlink>
      <w:r w:rsidRPr="00D80AA0">
        <w:rPr>
          <w:rFonts w:ascii="FrankRuehl" w:hAnsi="FrankRuehl" w:cs="FrankRuehl"/>
          <w:rtl/>
        </w:rPr>
        <w:t xml:space="preserve">, </w:t>
      </w:r>
      <w:hyperlink r:id="rId23" w:history="1">
        <w:r w:rsidRPr="00D80AA0">
          <w:rPr>
            <w:rFonts w:ascii="FrankRuehl" w:hAnsi="FrankRuehl" w:cs="FrankRuehl"/>
            <w:color w:val="0000FF"/>
            <w:u w:val="single"/>
            <w:rtl/>
          </w:rPr>
          <w:t>499(א)(1)</w:t>
        </w:r>
      </w:hyperlink>
    </w:p>
    <w:p w14:paraId="7B9FCC58" w14:textId="77777777" w:rsidR="00D80AA0" w:rsidRPr="00D80AA0" w:rsidRDefault="00D80AA0" w:rsidP="00D80AA0">
      <w:pPr>
        <w:spacing w:after="120" w:line="240" w:lineRule="exact"/>
        <w:ind w:left="283" w:hanging="283"/>
        <w:jc w:val="both"/>
        <w:rPr>
          <w:rFonts w:ascii="FrankRuehl" w:hAnsi="FrankRuehl" w:cs="FrankRuehl"/>
          <w:rtl/>
        </w:rPr>
      </w:pPr>
      <w:hyperlink r:id="rId24" w:history="1">
        <w:r w:rsidRPr="00D80AA0">
          <w:rPr>
            <w:rFonts w:ascii="FrankRuehl" w:hAnsi="FrankRuehl" w:cs="FrankRuehl"/>
            <w:color w:val="0000FF"/>
            <w:u w:val="single"/>
            <w:rtl/>
          </w:rPr>
          <w:t>פקודת בתי הסוהר [נוסח חדש], תשל"ב-1971</w:t>
        </w:r>
      </w:hyperlink>
      <w:r w:rsidRPr="00D80AA0">
        <w:rPr>
          <w:rFonts w:ascii="FrankRuehl" w:hAnsi="FrankRuehl" w:cs="FrankRuehl"/>
          <w:rtl/>
        </w:rPr>
        <w:t xml:space="preserve">: סע'  </w:t>
      </w:r>
      <w:hyperlink r:id="rId25" w:history="1">
        <w:r w:rsidRPr="00D80AA0">
          <w:rPr>
            <w:rFonts w:ascii="FrankRuehl" w:hAnsi="FrankRuehl" w:cs="FrankRuehl"/>
            <w:color w:val="0000FF"/>
            <w:u w:val="single"/>
            <w:rtl/>
          </w:rPr>
          <w:t>11ד'</w:t>
        </w:r>
      </w:hyperlink>
    </w:p>
    <w:p w14:paraId="3C6F3D09" w14:textId="77777777" w:rsidR="00D80AA0" w:rsidRPr="00D80AA0" w:rsidRDefault="00D80AA0" w:rsidP="00D80AA0">
      <w:pPr>
        <w:spacing w:after="120" w:line="240" w:lineRule="exact"/>
        <w:ind w:left="283" w:hanging="283"/>
        <w:jc w:val="both"/>
        <w:rPr>
          <w:rFonts w:ascii="FrankRuehl" w:hAnsi="FrankRuehl" w:cs="FrankRuehl"/>
          <w:rtl/>
        </w:rPr>
      </w:pPr>
    </w:p>
    <w:p w14:paraId="12855FDC" w14:textId="77777777" w:rsidR="005F607C" w:rsidRPr="005F607C" w:rsidRDefault="005F607C">
      <w:pPr>
        <w:spacing w:line="360" w:lineRule="auto"/>
        <w:rPr>
          <w:rFonts w:cs="FrankRuehl"/>
          <w:b/>
          <w:bCs/>
          <w:sz w:val="28"/>
          <w:szCs w:val="28"/>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7496C" w14:paraId="242F3965" w14:textId="77777777">
        <w:trPr>
          <w:trHeight w:val="355"/>
          <w:jc w:val="center"/>
        </w:trPr>
        <w:tc>
          <w:tcPr>
            <w:tcW w:w="8820" w:type="dxa"/>
            <w:tcBorders>
              <w:top w:val="nil"/>
              <w:left w:val="nil"/>
              <w:bottom w:val="nil"/>
              <w:right w:val="nil"/>
            </w:tcBorders>
          </w:tcPr>
          <w:p w14:paraId="21BB2961" w14:textId="77777777" w:rsidR="00B7496C" w:rsidRPr="005F607C" w:rsidRDefault="005F607C" w:rsidP="005F607C">
            <w:pPr>
              <w:spacing w:line="360" w:lineRule="auto"/>
              <w:jc w:val="center"/>
              <w:rPr>
                <w:rFonts w:ascii="Arial" w:hAnsi="Arial" w:cs="FrankRuehl"/>
                <w:bCs/>
                <w:sz w:val="28"/>
                <w:szCs w:val="28"/>
                <w:u w:val="single"/>
                <w:rtl/>
              </w:rPr>
            </w:pPr>
            <w:bookmarkStart w:id="5" w:name="PsakDin" w:colFirst="0" w:colLast="0"/>
            <w:bookmarkEnd w:id="0"/>
            <w:r w:rsidRPr="005F607C">
              <w:rPr>
                <w:rFonts w:ascii="Arial" w:hAnsi="Arial" w:cs="FrankRuehl"/>
                <w:b/>
                <w:bCs/>
                <w:sz w:val="28"/>
                <w:szCs w:val="28"/>
                <w:u w:val="single"/>
                <w:rtl/>
              </w:rPr>
              <w:t>גזר דין</w:t>
            </w:r>
          </w:p>
        </w:tc>
      </w:tr>
      <w:bookmarkEnd w:id="5"/>
    </w:tbl>
    <w:p w14:paraId="42B99249" w14:textId="77777777" w:rsidR="00B7496C" w:rsidRDefault="00B7496C">
      <w:pPr>
        <w:spacing w:line="360" w:lineRule="auto"/>
        <w:rPr>
          <w:rFonts w:ascii="Arial" w:hAnsi="Arial" w:cs="FrankRuehl"/>
          <w:sz w:val="28"/>
          <w:szCs w:val="28"/>
          <w:rtl/>
        </w:rPr>
      </w:pPr>
    </w:p>
    <w:p w14:paraId="642DD601" w14:textId="77777777" w:rsidR="00B7496C" w:rsidRDefault="005F607C">
      <w:pPr>
        <w:spacing w:line="360" w:lineRule="auto"/>
        <w:jc w:val="both"/>
        <w:rPr>
          <w:rFonts w:cs="FrankRuehl"/>
          <w:b/>
          <w:bCs/>
          <w:sz w:val="28"/>
          <w:szCs w:val="28"/>
          <w:u w:val="single"/>
        </w:rPr>
      </w:pPr>
      <w:r>
        <w:rPr>
          <w:rFonts w:cs="FrankRuehl" w:hint="cs"/>
          <w:b/>
          <w:bCs/>
          <w:sz w:val="28"/>
          <w:szCs w:val="28"/>
          <w:u w:val="single"/>
          <w:rtl/>
        </w:rPr>
        <w:t>כללי</w:t>
      </w:r>
    </w:p>
    <w:p w14:paraId="4D77DC40" w14:textId="77777777" w:rsidR="00B7496C" w:rsidRDefault="005F607C">
      <w:pPr>
        <w:pStyle w:val="ListParagraph"/>
        <w:numPr>
          <w:ilvl w:val="0"/>
          <w:numId w:val="1"/>
        </w:numPr>
        <w:spacing w:line="360" w:lineRule="auto"/>
        <w:jc w:val="both"/>
        <w:rPr>
          <w:rFonts w:ascii="Times New Roman" w:eastAsia="Times New Roman" w:hAnsi="Times New Roman" w:cs="FrankRuehl"/>
          <w:sz w:val="28"/>
          <w:szCs w:val="28"/>
          <w:rtl/>
        </w:rPr>
      </w:pPr>
      <w:r>
        <w:rPr>
          <w:rFonts w:ascii="Times New Roman" w:eastAsia="Times New Roman" w:hAnsi="Times New Roman" w:cs="FrankRuehl" w:hint="cs"/>
          <w:sz w:val="28"/>
          <w:szCs w:val="28"/>
          <w:rtl/>
        </w:rPr>
        <w:lastRenderedPageBreak/>
        <w:t>הנאשמים הודו והורשעו במסגרת הסדר דיוני בכתב אישום מתוקן בשנית בעבירות כדלהלן:</w:t>
      </w:r>
    </w:p>
    <w:p w14:paraId="0A494EB5" w14:textId="77777777" w:rsidR="00B7496C" w:rsidRDefault="005F607C">
      <w:pPr>
        <w:spacing w:line="360" w:lineRule="auto"/>
        <w:ind w:left="720"/>
        <w:jc w:val="both"/>
        <w:rPr>
          <w:rFonts w:cs="FrankRuehl"/>
          <w:sz w:val="28"/>
          <w:szCs w:val="28"/>
        </w:rPr>
      </w:pPr>
      <w:r>
        <w:rPr>
          <w:rFonts w:cs="FrankRuehl" w:hint="cs"/>
          <w:sz w:val="28"/>
          <w:szCs w:val="28"/>
          <w:u w:val="single"/>
          <w:rtl/>
        </w:rPr>
        <w:t>נאשם 1</w:t>
      </w:r>
    </w:p>
    <w:p w14:paraId="395D25DC" w14:textId="77777777" w:rsidR="00B7496C" w:rsidRDefault="005F607C">
      <w:pPr>
        <w:pStyle w:val="ListParagraph"/>
        <w:numPr>
          <w:ilvl w:val="0"/>
          <w:numId w:val="2"/>
        </w:numPr>
        <w:spacing w:line="360" w:lineRule="auto"/>
        <w:jc w:val="both"/>
        <w:rPr>
          <w:rFonts w:ascii="Times New Roman" w:eastAsia="Times New Roman" w:hAnsi="Times New Roman" w:cs="FrankRuehl"/>
          <w:sz w:val="28"/>
          <w:szCs w:val="28"/>
          <w:rtl/>
        </w:rPr>
      </w:pPr>
      <w:r>
        <w:rPr>
          <w:rFonts w:ascii="Times New Roman" w:eastAsia="Times New Roman" w:hAnsi="Times New Roman" w:cs="FrankRuehl" w:hint="cs"/>
          <w:b/>
          <w:bCs/>
          <w:sz w:val="28"/>
          <w:szCs w:val="28"/>
          <w:rtl/>
        </w:rPr>
        <w:t>עבירות בנשק (החזקה)</w:t>
      </w:r>
      <w:r>
        <w:rPr>
          <w:rFonts w:ascii="Times New Roman" w:eastAsia="Times New Roman" w:hAnsi="Times New Roman" w:cs="FrankRuehl" w:hint="cs"/>
          <w:sz w:val="28"/>
          <w:szCs w:val="28"/>
          <w:rtl/>
        </w:rPr>
        <w:t xml:space="preserve">- עבירה לפי </w:t>
      </w:r>
      <w:hyperlink r:id="rId26" w:history="1">
        <w:r w:rsidR="00D80AA0" w:rsidRPr="00D80AA0">
          <w:rPr>
            <w:rFonts w:ascii="Times New Roman" w:eastAsia="Times New Roman" w:hAnsi="Times New Roman" w:cs="FrankRuehl"/>
            <w:color w:val="0000FF"/>
            <w:sz w:val="28"/>
            <w:szCs w:val="28"/>
            <w:u w:val="single"/>
            <w:rtl/>
          </w:rPr>
          <w:t>סעיף 144(א)</w:t>
        </w:r>
      </w:hyperlink>
      <w:r>
        <w:rPr>
          <w:rFonts w:ascii="Times New Roman" w:eastAsia="Times New Roman" w:hAnsi="Times New Roman" w:cs="FrankRuehl" w:hint="cs"/>
          <w:sz w:val="28"/>
          <w:szCs w:val="28"/>
          <w:rtl/>
        </w:rPr>
        <w:t xml:space="preserve"> רישא וסיפא ל</w:t>
      </w:r>
      <w:hyperlink r:id="rId27" w:history="1">
        <w:r w:rsidRPr="005F607C">
          <w:rPr>
            <w:rFonts w:ascii="Times New Roman" w:eastAsia="Times New Roman" w:hAnsi="Times New Roman" w:cs="FrankRuehl"/>
            <w:color w:val="0000FF"/>
            <w:sz w:val="28"/>
            <w:szCs w:val="28"/>
            <w:u w:val="single"/>
            <w:rtl/>
          </w:rPr>
          <w:t>חוק העונשין</w:t>
        </w:r>
      </w:hyperlink>
      <w:r>
        <w:rPr>
          <w:rFonts w:ascii="Times New Roman" w:eastAsia="Times New Roman" w:hAnsi="Times New Roman" w:cs="FrankRuehl" w:hint="cs"/>
          <w:sz w:val="28"/>
          <w:szCs w:val="28"/>
          <w:rtl/>
        </w:rPr>
        <w:t>, התשל"ז-1977 (להלן: "</w:t>
      </w:r>
      <w:r>
        <w:rPr>
          <w:rFonts w:ascii="Times New Roman" w:eastAsia="Times New Roman" w:hAnsi="Times New Roman" w:cs="FrankRuehl" w:hint="cs"/>
          <w:b/>
          <w:bCs/>
          <w:sz w:val="28"/>
          <w:szCs w:val="28"/>
          <w:rtl/>
        </w:rPr>
        <w:t>החוק</w:t>
      </w:r>
      <w:r>
        <w:rPr>
          <w:rFonts w:ascii="Times New Roman" w:eastAsia="Times New Roman" w:hAnsi="Times New Roman" w:cs="FrankRuehl" w:hint="cs"/>
          <w:sz w:val="28"/>
          <w:szCs w:val="28"/>
          <w:rtl/>
        </w:rPr>
        <w:t xml:space="preserve">").  </w:t>
      </w:r>
    </w:p>
    <w:p w14:paraId="458233ED" w14:textId="77777777" w:rsidR="00B7496C" w:rsidRDefault="00B7496C">
      <w:pPr>
        <w:pStyle w:val="ListParagraph"/>
        <w:spacing w:line="360" w:lineRule="auto"/>
        <w:ind w:left="1440"/>
        <w:jc w:val="both"/>
        <w:rPr>
          <w:rFonts w:ascii="Times New Roman" w:eastAsia="Times New Roman" w:hAnsi="Times New Roman" w:cs="FrankRuehl"/>
          <w:sz w:val="28"/>
          <w:szCs w:val="28"/>
          <w:rtl/>
        </w:rPr>
      </w:pPr>
    </w:p>
    <w:p w14:paraId="2F0EDE1F" w14:textId="77777777" w:rsidR="00B7496C" w:rsidRDefault="00B7496C">
      <w:pPr>
        <w:pStyle w:val="ListParagraph"/>
        <w:spacing w:line="360" w:lineRule="auto"/>
        <w:ind w:left="1440"/>
        <w:jc w:val="both"/>
        <w:rPr>
          <w:rFonts w:ascii="Times New Roman" w:eastAsia="Times New Roman" w:hAnsi="Times New Roman" w:cs="FrankRuehl"/>
          <w:sz w:val="28"/>
          <w:szCs w:val="28"/>
          <w:rtl/>
        </w:rPr>
      </w:pPr>
    </w:p>
    <w:p w14:paraId="686C08A0" w14:textId="77777777" w:rsidR="00B7496C" w:rsidRDefault="00B7496C">
      <w:pPr>
        <w:pStyle w:val="ListParagraph"/>
        <w:spacing w:line="360" w:lineRule="auto"/>
        <w:ind w:left="1440"/>
        <w:jc w:val="both"/>
        <w:rPr>
          <w:rFonts w:ascii="Times New Roman" w:eastAsia="Times New Roman" w:hAnsi="Times New Roman" w:cs="FrankRuehl"/>
          <w:sz w:val="28"/>
          <w:szCs w:val="28"/>
          <w:rtl/>
        </w:rPr>
      </w:pPr>
    </w:p>
    <w:p w14:paraId="1393D944" w14:textId="77777777" w:rsidR="00B7496C" w:rsidRDefault="00B7496C">
      <w:pPr>
        <w:pStyle w:val="ListParagraph"/>
        <w:spacing w:line="360" w:lineRule="auto"/>
        <w:ind w:left="1440"/>
        <w:jc w:val="both"/>
        <w:rPr>
          <w:rFonts w:ascii="Times New Roman" w:eastAsia="Times New Roman" w:hAnsi="Times New Roman" w:cs="FrankRuehl"/>
          <w:sz w:val="28"/>
          <w:szCs w:val="28"/>
        </w:rPr>
      </w:pPr>
    </w:p>
    <w:p w14:paraId="2A02B1D6" w14:textId="77777777" w:rsidR="00B7496C" w:rsidRDefault="005F607C">
      <w:pPr>
        <w:pStyle w:val="ListParagraph"/>
        <w:numPr>
          <w:ilvl w:val="0"/>
          <w:numId w:val="2"/>
        </w:numPr>
        <w:spacing w:line="360" w:lineRule="auto"/>
        <w:jc w:val="both"/>
        <w:rPr>
          <w:rFonts w:ascii="Times New Roman" w:eastAsia="Times New Roman" w:hAnsi="Times New Roman" w:cs="FrankRuehl"/>
          <w:sz w:val="28"/>
          <w:szCs w:val="28"/>
          <w:rtl/>
        </w:rPr>
      </w:pPr>
      <w:r>
        <w:rPr>
          <w:rFonts w:ascii="Times New Roman" w:eastAsia="Times New Roman" w:hAnsi="Times New Roman" w:cs="FrankRuehl" w:hint="cs"/>
          <w:b/>
          <w:bCs/>
          <w:sz w:val="28"/>
          <w:szCs w:val="28"/>
          <w:rtl/>
        </w:rPr>
        <w:t>שוד  (שתי עבירות)-</w:t>
      </w:r>
      <w:r>
        <w:rPr>
          <w:rFonts w:ascii="Times New Roman" w:eastAsia="Times New Roman" w:hAnsi="Times New Roman" w:cs="FrankRuehl" w:hint="cs"/>
          <w:sz w:val="28"/>
          <w:szCs w:val="28"/>
          <w:rtl/>
        </w:rPr>
        <w:t xml:space="preserve"> עבירה לפי </w:t>
      </w:r>
      <w:hyperlink r:id="rId28" w:history="1">
        <w:r w:rsidR="00D80AA0" w:rsidRPr="00D80AA0">
          <w:rPr>
            <w:rFonts w:ascii="Times New Roman" w:eastAsia="Times New Roman" w:hAnsi="Times New Roman" w:cs="FrankRuehl"/>
            <w:color w:val="0000FF"/>
            <w:sz w:val="28"/>
            <w:szCs w:val="28"/>
            <w:u w:val="single"/>
            <w:rtl/>
          </w:rPr>
          <w:t>סעיף 402(ב)</w:t>
        </w:r>
      </w:hyperlink>
      <w:r>
        <w:rPr>
          <w:rFonts w:ascii="Times New Roman" w:eastAsia="Times New Roman" w:hAnsi="Times New Roman" w:cs="FrankRuehl" w:hint="cs"/>
          <w:sz w:val="28"/>
          <w:szCs w:val="28"/>
          <w:rtl/>
        </w:rPr>
        <w:t xml:space="preserve"> ביחד עם </w:t>
      </w:r>
      <w:hyperlink r:id="rId29" w:history="1">
        <w:r w:rsidR="00D80AA0" w:rsidRPr="00D80AA0">
          <w:rPr>
            <w:rFonts w:ascii="Times New Roman" w:eastAsia="Times New Roman" w:hAnsi="Times New Roman" w:cs="FrankRuehl"/>
            <w:color w:val="0000FF"/>
            <w:sz w:val="28"/>
            <w:szCs w:val="28"/>
            <w:u w:val="single"/>
            <w:rtl/>
          </w:rPr>
          <w:t>סעיף 29</w:t>
        </w:r>
      </w:hyperlink>
      <w:r>
        <w:rPr>
          <w:rFonts w:ascii="Times New Roman" w:eastAsia="Times New Roman" w:hAnsi="Times New Roman" w:cs="FrankRuehl" w:hint="cs"/>
          <w:sz w:val="28"/>
          <w:szCs w:val="28"/>
          <w:rtl/>
        </w:rPr>
        <w:t xml:space="preserve"> לחוק.</w:t>
      </w:r>
    </w:p>
    <w:p w14:paraId="446D380F" w14:textId="77777777" w:rsidR="00B7496C" w:rsidRDefault="00B7496C">
      <w:pPr>
        <w:pStyle w:val="ListParagraph"/>
        <w:spacing w:line="360" w:lineRule="auto"/>
        <w:ind w:left="1440"/>
        <w:jc w:val="both"/>
        <w:rPr>
          <w:rFonts w:ascii="Times New Roman" w:eastAsia="Times New Roman" w:hAnsi="Times New Roman" w:cs="FrankRuehl"/>
          <w:sz w:val="28"/>
          <w:szCs w:val="28"/>
        </w:rPr>
      </w:pPr>
    </w:p>
    <w:p w14:paraId="2D0C5EB5" w14:textId="77777777" w:rsidR="00B7496C" w:rsidRDefault="005F607C">
      <w:pPr>
        <w:pStyle w:val="ListParagraph"/>
        <w:numPr>
          <w:ilvl w:val="0"/>
          <w:numId w:val="2"/>
        </w:numPr>
        <w:spacing w:line="360" w:lineRule="auto"/>
        <w:jc w:val="both"/>
        <w:rPr>
          <w:rFonts w:ascii="Times New Roman" w:eastAsia="Times New Roman" w:hAnsi="Times New Roman" w:cs="FrankRuehl"/>
          <w:sz w:val="28"/>
          <w:szCs w:val="28"/>
          <w:rtl/>
        </w:rPr>
      </w:pPr>
      <w:r>
        <w:rPr>
          <w:rFonts w:ascii="Times New Roman" w:eastAsia="Times New Roman" w:hAnsi="Times New Roman" w:cs="FrankRuehl" w:hint="cs"/>
          <w:b/>
          <w:bCs/>
          <w:sz w:val="28"/>
          <w:szCs w:val="28"/>
          <w:rtl/>
        </w:rPr>
        <w:t>עבירות בנשק (נשיאה והובלה) (3 עבירות)-</w:t>
      </w:r>
      <w:r>
        <w:rPr>
          <w:rFonts w:ascii="Times New Roman" w:eastAsia="Times New Roman" w:hAnsi="Times New Roman" w:cs="FrankRuehl" w:hint="cs"/>
          <w:sz w:val="28"/>
          <w:szCs w:val="28"/>
          <w:rtl/>
        </w:rPr>
        <w:t xml:space="preserve"> עבירה לפי </w:t>
      </w:r>
      <w:hyperlink r:id="rId30" w:history="1">
        <w:r w:rsidR="00D80AA0" w:rsidRPr="00D80AA0">
          <w:rPr>
            <w:rFonts w:ascii="Times New Roman" w:eastAsia="Times New Roman" w:hAnsi="Times New Roman" w:cs="FrankRuehl"/>
            <w:color w:val="0000FF"/>
            <w:sz w:val="28"/>
            <w:szCs w:val="28"/>
            <w:u w:val="single"/>
            <w:rtl/>
          </w:rPr>
          <w:t>סעיף 144(ב)</w:t>
        </w:r>
      </w:hyperlink>
      <w:r>
        <w:rPr>
          <w:rFonts w:ascii="Times New Roman" w:eastAsia="Times New Roman" w:hAnsi="Times New Roman" w:cs="FrankRuehl" w:hint="cs"/>
          <w:sz w:val="28"/>
          <w:szCs w:val="28"/>
          <w:rtl/>
        </w:rPr>
        <w:t xml:space="preserve"> רישא יחד עם </w:t>
      </w:r>
      <w:hyperlink r:id="rId31" w:history="1">
        <w:r w:rsidR="00D80AA0" w:rsidRPr="00D80AA0">
          <w:rPr>
            <w:rFonts w:ascii="Times New Roman" w:eastAsia="Times New Roman" w:hAnsi="Times New Roman" w:cs="FrankRuehl"/>
            <w:color w:val="0000FF"/>
            <w:sz w:val="28"/>
            <w:szCs w:val="28"/>
            <w:u w:val="single"/>
            <w:rtl/>
          </w:rPr>
          <w:t>סעיף 29</w:t>
        </w:r>
      </w:hyperlink>
      <w:r>
        <w:rPr>
          <w:rFonts w:ascii="Times New Roman" w:eastAsia="Times New Roman" w:hAnsi="Times New Roman" w:cs="FrankRuehl" w:hint="cs"/>
          <w:sz w:val="28"/>
          <w:szCs w:val="28"/>
          <w:rtl/>
        </w:rPr>
        <w:t xml:space="preserve"> לחוק. </w:t>
      </w:r>
    </w:p>
    <w:p w14:paraId="4E9A15A0" w14:textId="77777777" w:rsidR="00B7496C" w:rsidRDefault="00B7496C">
      <w:pPr>
        <w:pStyle w:val="ListParagraph"/>
        <w:spacing w:line="360" w:lineRule="auto"/>
        <w:ind w:left="1440"/>
        <w:jc w:val="both"/>
        <w:rPr>
          <w:rFonts w:ascii="Times New Roman" w:eastAsia="Times New Roman" w:hAnsi="Times New Roman" w:cs="FrankRuehl"/>
          <w:sz w:val="28"/>
          <w:szCs w:val="28"/>
        </w:rPr>
      </w:pPr>
    </w:p>
    <w:p w14:paraId="083C8D18" w14:textId="77777777" w:rsidR="00B7496C" w:rsidRDefault="005F607C">
      <w:pPr>
        <w:pStyle w:val="ListParagraph"/>
        <w:numPr>
          <w:ilvl w:val="0"/>
          <w:numId w:val="2"/>
        </w:numPr>
        <w:spacing w:line="360" w:lineRule="auto"/>
        <w:jc w:val="both"/>
        <w:rPr>
          <w:rFonts w:ascii="Times New Roman" w:eastAsia="Times New Roman" w:hAnsi="Times New Roman" w:cs="FrankRuehl"/>
          <w:sz w:val="28"/>
          <w:szCs w:val="28"/>
          <w:rtl/>
        </w:rPr>
      </w:pPr>
      <w:r>
        <w:rPr>
          <w:rFonts w:ascii="Times New Roman" w:eastAsia="Times New Roman" w:hAnsi="Times New Roman" w:cs="FrankRuehl" w:hint="cs"/>
          <w:b/>
          <w:bCs/>
          <w:sz w:val="28"/>
          <w:szCs w:val="28"/>
          <w:rtl/>
        </w:rPr>
        <w:t>קשירת קשר לפשע (שתי עבירות)-</w:t>
      </w:r>
      <w:r>
        <w:rPr>
          <w:rFonts w:ascii="Times New Roman" w:eastAsia="Times New Roman" w:hAnsi="Times New Roman" w:cs="FrankRuehl" w:hint="cs"/>
          <w:sz w:val="28"/>
          <w:szCs w:val="28"/>
          <w:rtl/>
        </w:rPr>
        <w:t xml:space="preserve"> עבירה לפי </w:t>
      </w:r>
      <w:hyperlink r:id="rId32" w:history="1">
        <w:r w:rsidR="00D80AA0" w:rsidRPr="00D80AA0">
          <w:rPr>
            <w:rFonts w:ascii="Times New Roman" w:eastAsia="Times New Roman" w:hAnsi="Times New Roman" w:cs="FrankRuehl"/>
            <w:color w:val="0000FF"/>
            <w:sz w:val="28"/>
            <w:szCs w:val="28"/>
            <w:u w:val="single"/>
            <w:rtl/>
          </w:rPr>
          <w:t>סעיף 499(א)(1)</w:t>
        </w:r>
      </w:hyperlink>
      <w:r>
        <w:rPr>
          <w:rFonts w:ascii="Times New Roman" w:eastAsia="Times New Roman" w:hAnsi="Times New Roman" w:cs="FrankRuehl" w:hint="cs"/>
          <w:sz w:val="28"/>
          <w:szCs w:val="28"/>
          <w:rtl/>
        </w:rPr>
        <w:t xml:space="preserve"> לחוק. </w:t>
      </w:r>
    </w:p>
    <w:p w14:paraId="15FD8FC3" w14:textId="77777777" w:rsidR="00B7496C" w:rsidRDefault="00B7496C">
      <w:pPr>
        <w:pStyle w:val="ListParagraph"/>
        <w:spacing w:line="360" w:lineRule="auto"/>
        <w:ind w:left="1440"/>
        <w:jc w:val="both"/>
        <w:rPr>
          <w:rFonts w:ascii="Times New Roman" w:eastAsia="Times New Roman" w:hAnsi="Times New Roman" w:cs="FrankRuehl"/>
          <w:sz w:val="28"/>
          <w:szCs w:val="28"/>
        </w:rPr>
      </w:pPr>
    </w:p>
    <w:p w14:paraId="3B80EE9A" w14:textId="77777777" w:rsidR="00B7496C" w:rsidRDefault="005F607C">
      <w:pPr>
        <w:pStyle w:val="ListParagraph"/>
        <w:numPr>
          <w:ilvl w:val="0"/>
          <w:numId w:val="2"/>
        </w:numPr>
        <w:spacing w:line="360" w:lineRule="auto"/>
        <w:jc w:val="both"/>
        <w:rPr>
          <w:rFonts w:ascii="Times New Roman" w:eastAsia="Times New Roman" w:hAnsi="Times New Roman" w:cs="FrankRuehl"/>
          <w:sz w:val="28"/>
          <w:szCs w:val="28"/>
          <w:rtl/>
        </w:rPr>
      </w:pPr>
      <w:r>
        <w:rPr>
          <w:rFonts w:ascii="Times New Roman" w:eastAsia="Times New Roman" w:hAnsi="Times New Roman" w:cs="FrankRuehl" w:hint="cs"/>
          <w:b/>
          <w:bCs/>
          <w:sz w:val="28"/>
          <w:szCs w:val="28"/>
          <w:rtl/>
        </w:rPr>
        <w:t>פציעה בנסיבות מחמירות-</w:t>
      </w:r>
      <w:r>
        <w:rPr>
          <w:rFonts w:ascii="Times New Roman" w:eastAsia="Times New Roman" w:hAnsi="Times New Roman" w:cs="FrankRuehl" w:hint="cs"/>
          <w:sz w:val="28"/>
          <w:szCs w:val="28"/>
          <w:rtl/>
        </w:rPr>
        <w:t xml:space="preserve"> עבירה לפי </w:t>
      </w:r>
      <w:hyperlink r:id="rId33" w:history="1">
        <w:r w:rsidR="00D80AA0" w:rsidRPr="00D80AA0">
          <w:rPr>
            <w:rFonts w:ascii="Times New Roman" w:eastAsia="Times New Roman" w:hAnsi="Times New Roman" w:cs="FrankRuehl"/>
            <w:color w:val="0000FF"/>
            <w:sz w:val="28"/>
            <w:szCs w:val="28"/>
            <w:u w:val="single"/>
            <w:rtl/>
          </w:rPr>
          <w:t>סעיף 334</w:t>
        </w:r>
      </w:hyperlink>
      <w:r>
        <w:rPr>
          <w:rFonts w:ascii="Times New Roman" w:eastAsia="Times New Roman" w:hAnsi="Times New Roman" w:cs="FrankRuehl" w:hint="cs"/>
          <w:sz w:val="28"/>
          <w:szCs w:val="28"/>
          <w:rtl/>
        </w:rPr>
        <w:t xml:space="preserve"> בנסיבות </w:t>
      </w:r>
      <w:hyperlink r:id="rId34" w:history="1">
        <w:r w:rsidR="00D80AA0" w:rsidRPr="00D80AA0">
          <w:rPr>
            <w:rFonts w:ascii="Times New Roman" w:eastAsia="Times New Roman" w:hAnsi="Times New Roman" w:cs="FrankRuehl"/>
            <w:color w:val="0000FF"/>
            <w:sz w:val="28"/>
            <w:szCs w:val="28"/>
            <w:u w:val="single"/>
            <w:rtl/>
          </w:rPr>
          <w:t>סעיף 335(א)(1)</w:t>
        </w:r>
      </w:hyperlink>
      <w:r>
        <w:rPr>
          <w:rFonts w:ascii="Times New Roman" w:eastAsia="Times New Roman" w:hAnsi="Times New Roman" w:cs="FrankRuehl" w:hint="cs"/>
          <w:sz w:val="28"/>
          <w:szCs w:val="28"/>
          <w:rtl/>
        </w:rPr>
        <w:t xml:space="preserve"> ו-</w:t>
      </w:r>
      <w:hyperlink r:id="rId35" w:history="1">
        <w:r w:rsidR="00D80AA0" w:rsidRPr="00D80AA0">
          <w:rPr>
            <w:rFonts w:ascii="Times New Roman" w:eastAsia="Times New Roman" w:hAnsi="Times New Roman" w:cs="FrankRuehl"/>
            <w:color w:val="0000FF"/>
            <w:sz w:val="28"/>
            <w:szCs w:val="28"/>
            <w:u w:val="single"/>
            <w:rtl/>
          </w:rPr>
          <w:t>(2)</w:t>
        </w:r>
      </w:hyperlink>
      <w:r>
        <w:rPr>
          <w:rFonts w:ascii="Times New Roman" w:eastAsia="Times New Roman" w:hAnsi="Times New Roman" w:cs="FrankRuehl" w:hint="cs"/>
          <w:sz w:val="28"/>
          <w:szCs w:val="28"/>
          <w:rtl/>
        </w:rPr>
        <w:t xml:space="preserve"> לחוק.</w:t>
      </w:r>
    </w:p>
    <w:p w14:paraId="5C4E5DB7" w14:textId="77777777" w:rsidR="00B7496C" w:rsidRDefault="005F607C">
      <w:pPr>
        <w:spacing w:line="360" w:lineRule="auto"/>
        <w:ind w:left="720"/>
        <w:jc w:val="both"/>
        <w:rPr>
          <w:rFonts w:cs="FrankRuehl"/>
          <w:b/>
          <w:bCs/>
          <w:sz w:val="28"/>
          <w:szCs w:val="28"/>
          <w:u w:val="single"/>
        </w:rPr>
      </w:pPr>
      <w:r>
        <w:rPr>
          <w:rFonts w:cs="FrankRuehl" w:hint="cs"/>
          <w:b/>
          <w:bCs/>
          <w:sz w:val="28"/>
          <w:szCs w:val="28"/>
          <w:u w:val="single"/>
          <w:rtl/>
        </w:rPr>
        <w:t>נאשם 2</w:t>
      </w:r>
    </w:p>
    <w:p w14:paraId="456E122B" w14:textId="77777777" w:rsidR="00B7496C" w:rsidRDefault="005F607C">
      <w:pPr>
        <w:pStyle w:val="ListParagraph"/>
        <w:numPr>
          <w:ilvl w:val="0"/>
          <w:numId w:val="3"/>
        </w:numPr>
        <w:spacing w:line="360" w:lineRule="auto"/>
        <w:jc w:val="both"/>
        <w:rPr>
          <w:rFonts w:ascii="Times New Roman" w:eastAsia="Times New Roman" w:hAnsi="Times New Roman" w:cs="FrankRuehl"/>
          <w:sz w:val="28"/>
          <w:szCs w:val="28"/>
          <w:rtl/>
        </w:rPr>
      </w:pPr>
      <w:r>
        <w:rPr>
          <w:rFonts w:ascii="Times New Roman" w:eastAsia="Times New Roman" w:hAnsi="Times New Roman" w:cs="FrankRuehl" w:hint="cs"/>
          <w:b/>
          <w:bCs/>
          <w:sz w:val="28"/>
          <w:szCs w:val="28"/>
          <w:rtl/>
        </w:rPr>
        <w:t>שוד  (שתי עבירות)-</w:t>
      </w:r>
      <w:r>
        <w:rPr>
          <w:rFonts w:ascii="Times New Roman" w:eastAsia="Times New Roman" w:hAnsi="Times New Roman" w:cs="FrankRuehl" w:hint="cs"/>
          <w:sz w:val="28"/>
          <w:szCs w:val="28"/>
          <w:rtl/>
        </w:rPr>
        <w:t xml:space="preserve"> עבירה לפי </w:t>
      </w:r>
      <w:hyperlink r:id="rId36" w:history="1">
        <w:r w:rsidR="00D80AA0" w:rsidRPr="00D80AA0">
          <w:rPr>
            <w:rFonts w:ascii="Times New Roman" w:eastAsia="Times New Roman" w:hAnsi="Times New Roman" w:cs="FrankRuehl"/>
            <w:color w:val="0000FF"/>
            <w:sz w:val="28"/>
            <w:szCs w:val="28"/>
            <w:u w:val="single"/>
            <w:rtl/>
          </w:rPr>
          <w:t>סעיף 402(ב)</w:t>
        </w:r>
      </w:hyperlink>
      <w:r>
        <w:rPr>
          <w:rFonts w:ascii="Times New Roman" w:eastAsia="Times New Roman" w:hAnsi="Times New Roman" w:cs="FrankRuehl" w:hint="cs"/>
          <w:sz w:val="28"/>
          <w:szCs w:val="28"/>
          <w:rtl/>
        </w:rPr>
        <w:t xml:space="preserve"> ביחד עם </w:t>
      </w:r>
      <w:hyperlink r:id="rId37" w:history="1">
        <w:r w:rsidR="00D80AA0" w:rsidRPr="00D80AA0">
          <w:rPr>
            <w:rFonts w:ascii="Times New Roman" w:eastAsia="Times New Roman" w:hAnsi="Times New Roman" w:cs="FrankRuehl"/>
            <w:color w:val="0000FF"/>
            <w:sz w:val="28"/>
            <w:szCs w:val="28"/>
            <w:u w:val="single"/>
            <w:rtl/>
          </w:rPr>
          <w:t>סעיף 29</w:t>
        </w:r>
      </w:hyperlink>
      <w:r>
        <w:rPr>
          <w:rFonts w:ascii="Times New Roman" w:eastAsia="Times New Roman" w:hAnsi="Times New Roman" w:cs="FrankRuehl" w:hint="cs"/>
          <w:sz w:val="28"/>
          <w:szCs w:val="28"/>
          <w:rtl/>
        </w:rPr>
        <w:t xml:space="preserve"> לחוק.</w:t>
      </w:r>
    </w:p>
    <w:p w14:paraId="2ABBC98C" w14:textId="77777777" w:rsidR="00B7496C" w:rsidRDefault="00B7496C">
      <w:pPr>
        <w:pStyle w:val="ListParagraph"/>
        <w:spacing w:line="360" w:lineRule="auto"/>
        <w:ind w:left="1440"/>
        <w:jc w:val="both"/>
        <w:rPr>
          <w:rFonts w:ascii="Times New Roman" w:eastAsia="Times New Roman" w:hAnsi="Times New Roman" w:cs="FrankRuehl"/>
          <w:sz w:val="28"/>
          <w:szCs w:val="28"/>
        </w:rPr>
      </w:pPr>
    </w:p>
    <w:p w14:paraId="012FD61B" w14:textId="77777777" w:rsidR="00B7496C" w:rsidRDefault="005F607C">
      <w:pPr>
        <w:pStyle w:val="ListParagraph"/>
        <w:numPr>
          <w:ilvl w:val="0"/>
          <w:numId w:val="3"/>
        </w:numPr>
        <w:spacing w:line="360" w:lineRule="auto"/>
        <w:jc w:val="both"/>
        <w:rPr>
          <w:rFonts w:ascii="Times New Roman" w:eastAsia="Times New Roman" w:hAnsi="Times New Roman" w:cs="FrankRuehl"/>
          <w:sz w:val="28"/>
          <w:szCs w:val="28"/>
        </w:rPr>
      </w:pPr>
      <w:r>
        <w:rPr>
          <w:rFonts w:ascii="Times New Roman" w:eastAsia="Times New Roman" w:hAnsi="Times New Roman" w:cs="FrankRuehl" w:hint="cs"/>
          <w:b/>
          <w:bCs/>
          <w:sz w:val="28"/>
          <w:szCs w:val="28"/>
          <w:rtl/>
        </w:rPr>
        <w:t>קשירת קשר לפשע (שתי עבירות)-</w:t>
      </w:r>
      <w:r>
        <w:rPr>
          <w:rFonts w:ascii="Times New Roman" w:eastAsia="Times New Roman" w:hAnsi="Times New Roman" w:cs="FrankRuehl" w:hint="cs"/>
          <w:sz w:val="28"/>
          <w:szCs w:val="28"/>
          <w:rtl/>
        </w:rPr>
        <w:t xml:space="preserve"> עבירה לפי </w:t>
      </w:r>
      <w:hyperlink r:id="rId38" w:history="1">
        <w:r w:rsidR="00D80AA0" w:rsidRPr="00D80AA0">
          <w:rPr>
            <w:rFonts w:ascii="Times New Roman" w:eastAsia="Times New Roman" w:hAnsi="Times New Roman" w:cs="FrankRuehl"/>
            <w:color w:val="0000FF"/>
            <w:sz w:val="28"/>
            <w:szCs w:val="28"/>
            <w:u w:val="single"/>
            <w:rtl/>
          </w:rPr>
          <w:t>סעיף 499(א)(1)</w:t>
        </w:r>
      </w:hyperlink>
      <w:r>
        <w:rPr>
          <w:rFonts w:ascii="Times New Roman" w:eastAsia="Times New Roman" w:hAnsi="Times New Roman" w:cs="FrankRuehl" w:hint="cs"/>
          <w:sz w:val="28"/>
          <w:szCs w:val="28"/>
          <w:rtl/>
        </w:rPr>
        <w:t xml:space="preserve"> לחוק. </w:t>
      </w:r>
    </w:p>
    <w:p w14:paraId="23357FE9" w14:textId="77777777" w:rsidR="00B7496C" w:rsidRDefault="00B7496C">
      <w:pPr>
        <w:pStyle w:val="ListParagraph"/>
        <w:spacing w:line="360" w:lineRule="auto"/>
        <w:ind w:left="1440"/>
        <w:jc w:val="both"/>
        <w:rPr>
          <w:rFonts w:ascii="Times New Roman" w:eastAsia="Times New Roman" w:hAnsi="Times New Roman" w:cs="FrankRuehl"/>
          <w:sz w:val="28"/>
          <w:szCs w:val="28"/>
        </w:rPr>
      </w:pPr>
    </w:p>
    <w:p w14:paraId="5678C6AA" w14:textId="77777777" w:rsidR="00B7496C" w:rsidRDefault="005F607C">
      <w:pPr>
        <w:pStyle w:val="ListParagraph"/>
        <w:numPr>
          <w:ilvl w:val="0"/>
          <w:numId w:val="3"/>
        </w:numPr>
        <w:spacing w:line="360" w:lineRule="auto"/>
        <w:jc w:val="both"/>
        <w:rPr>
          <w:rFonts w:ascii="Times New Roman" w:eastAsia="Times New Roman" w:hAnsi="Times New Roman" w:cs="FrankRuehl"/>
          <w:sz w:val="28"/>
          <w:szCs w:val="28"/>
        </w:rPr>
      </w:pPr>
      <w:r>
        <w:rPr>
          <w:rFonts w:ascii="Times New Roman" w:eastAsia="Times New Roman" w:hAnsi="Times New Roman" w:cs="FrankRuehl" w:hint="cs"/>
          <w:b/>
          <w:bCs/>
          <w:sz w:val="28"/>
          <w:szCs w:val="28"/>
          <w:rtl/>
        </w:rPr>
        <w:t>עבירות בנשק (נשיאה והובלה) (2 עבירות)-</w:t>
      </w:r>
      <w:r>
        <w:rPr>
          <w:rFonts w:ascii="Times New Roman" w:eastAsia="Times New Roman" w:hAnsi="Times New Roman" w:cs="FrankRuehl" w:hint="cs"/>
          <w:sz w:val="28"/>
          <w:szCs w:val="28"/>
          <w:rtl/>
        </w:rPr>
        <w:t xml:space="preserve"> עבירה לפי </w:t>
      </w:r>
      <w:hyperlink r:id="rId39" w:history="1">
        <w:r w:rsidR="00D80AA0" w:rsidRPr="00D80AA0">
          <w:rPr>
            <w:rFonts w:ascii="Times New Roman" w:eastAsia="Times New Roman" w:hAnsi="Times New Roman" w:cs="FrankRuehl"/>
            <w:color w:val="0000FF"/>
            <w:sz w:val="28"/>
            <w:szCs w:val="28"/>
            <w:u w:val="single"/>
            <w:rtl/>
          </w:rPr>
          <w:t>סעיף 144(ב)</w:t>
        </w:r>
      </w:hyperlink>
      <w:r>
        <w:rPr>
          <w:rFonts w:ascii="Times New Roman" w:eastAsia="Times New Roman" w:hAnsi="Times New Roman" w:cs="FrankRuehl" w:hint="cs"/>
          <w:sz w:val="28"/>
          <w:szCs w:val="28"/>
          <w:rtl/>
        </w:rPr>
        <w:t xml:space="preserve"> רישא יחד עם </w:t>
      </w:r>
      <w:hyperlink r:id="rId40" w:history="1">
        <w:r w:rsidR="00D80AA0" w:rsidRPr="00D80AA0">
          <w:rPr>
            <w:rFonts w:ascii="Times New Roman" w:eastAsia="Times New Roman" w:hAnsi="Times New Roman" w:cs="FrankRuehl"/>
            <w:color w:val="0000FF"/>
            <w:sz w:val="28"/>
            <w:szCs w:val="28"/>
            <w:u w:val="single"/>
            <w:rtl/>
          </w:rPr>
          <w:t>סעיף 29</w:t>
        </w:r>
      </w:hyperlink>
      <w:r>
        <w:rPr>
          <w:rFonts w:ascii="Times New Roman" w:eastAsia="Times New Roman" w:hAnsi="Times New Roman" w:cs="FrankRuehl" w:hint="cs"/>
          <w:sz w:val="28"/>
          <w:szCs w:val="28"/>
          <w:rtl/>
        </w:rPr>
        <w:t xml:space="preserve"> לחוק. </w:t>
      </w:r>
    </w:p>
    <w:p w14:paraId="726A55DD" w14:textId="77777777" w:rsidR="00B7496C" w:rsidRDefault="00B7496C">
      <w:pPr>
        <w:pStyle w:val="ListParagraph"/>
        <w:spacing w:line="360" w:lineRule="auto"/>
        <w:ind w:left="1440"/>
        <w:jc w:val="both"/>
        <w:rPr>
          <w:rFonts w:ascii="Times New Roman" w:eastAsia="Times New Roman" w:hAnsi="Times New Roman" w:cs="FrankRuehl"/>
          <w:sz w:val="28"/>
          <w:szCs w:val="28"/>
        </w:rPr>
      </w:pPr>
    </w:p>
    <w:p w14:paraId="746CE93B" w14:textId="77777777" w:rsidR="00B7496C" w:rsidRDefault="005F607C">
      <w:pPr>
        <w:pStyle w:val="ListParagraph"/>
        <w:numPr>
          <w:ilvl w:val="0"/>
          <w:numId w:val="3"/>
        </w:numPr>
        <w:spacing w:line="360" w:lineRule="auto"/>
        <w:jc w:val="both"/>
        <w:rPr>
          <w:rFonts w:ascii="Times New Roman" w:eastAsia="Times New Roman" w:hAnsi="Times New Roman" w:cs="FrankRuehl"/>
          <w:sz w:val="28"/>
          <w:szCs w:val="28"/>
        </w:rPr>
      </w:pPr>
      <w:r>
        <w:rPr>
          <w:rFonts w:ascii="Times New Roman" w:eastAsia="Times New Roman" w:hAnsi="Times New Roman" w:cs="FrankRuehl" w:hint="cs"/>
          <w:b/>
          <w:bCs/>
          <w:sz w:val="28"/>
          <w:szCs w:val="28"/>
          <w:rtl/>
        </w:rPr>
        <w:lastRenderedPageBreak/>
        <w:t>פציעה בנסיבות מחמירות-</w:t>
      </w:r>
      <w:r>
        <w:rPr>
          <w:rFonts w:ascii="Times New Roman" w:eastAsia="Times New Roman" w:hAnsi="Times New Roman" w:cs="FrankRuehl" w:hint="cs"/>
          <w:sz w:val="28"/>
          <w:szCs w:val="28"/>
          <w:rtl/>
        </w:rPr>
        <w:t xml:space="preserve"> עבירה לפי </w:t>
      </w:r>
      <w:hyperlink r:id="rId41" w:history="1">
        <w:r w:rsidR="00D80AA0" w:rsidRPr="00D80AA0">
          <w:rPr>
            <w:rFonts w:ascii="Times New Roman" w:eastAsia="Times New Roman" w:hAnsi="Times New Roman" w:cs="FrankRuehl"/>
            <w:color w:val="0000FF"/>
            <w:sz w:val="28"/>
            <w:szCs w:val="28"/>
            <w:u w:val="single"/>
            <w:rtl/>
          </w:rPr>
          <w:t>סעיף 334</w:t>
        </w:r>
      </w:hyperlink>
      <w:r>
        <w:rPr>
          <w:rFonts w:ascii="Times New Roman" w:eastAsia="Times New Roman" w:hAnsi="Times New Roman" w:cs="FrankRuehl" w:hint="cs"/>
          <w:sz w:val="28"/>
          <w:szCs w:val="28"/>
          <w:rtl/>
        </w:rPr>
        <w:t xml:space="preserve"> בנסיבות </w:t>
      </w:r>
      <w:hyperlink r:id="rId42" w:history="1">
        <w:r w:rsidR="00D80AA0" w:rsidRPr="00D80AA0">
          <w:rPr>
            <w:rFonts w:ascii="Times New Roman" w:eastAsia="Times New Roman" w:hAnsi="Times New Roman" w:cs="FrankRuehl"/>
            <w:color w:val="0000FF"/>
            <w:sz w:val="28"/>
            <w:szCs w:val="28"/>
            <w:u w:val="single"/>
            <w:rtl/>
          </w:rPr>
          <w:t>סעיף 335(א)(1)</w:t>
        </w:r>
      </w:hyperlink>
      <w:r>
        <w:rPr>
          <w:rFonts w:ascii="Times New Roman" w:eastAsia="Times New Roman" w:hAnsi="Times New Roman" w:cs="FrankRuehl" w:hint="cs"/>
          <w:sz w:val="28"/>
          <w:szCs w:val="28"/>
          <w:rtl/>
        </w:rPr>
        <w:t xml:space="preserve"> ו-</w:t>
      </w:r>
      <w:hyperlink r:id="rId43" w:history="1">
        <w:r w:rsidR="00D80AA0" w:rsidRPr="00D80AA0">
          <w:rPr>
            <w:rFonts w:ascii="Times New Roman" w:eastAsia="Times New Roman" w:hAnsi="Times New Roman" w:cs="FrankRuehl"/>
            <w:color w:val="0000FF"/>
            <w:sz w:val="28"/>
            <w:szCs w:val="28"/>
            <w:u w:val="single"/>
            <w:rtl/>
          </w:rPr>
          <w:t>(2)</w:t>
        </w:r>
      </w:hyperlink>
      <w:r>
        <w:rPr>
          <w:rFonts w:ascii="Times New Roman" w:eastAsia="Times New Roman" w:hAnsi="Times New Roman" w:cs="FrankRuehl" w:hint="cs"/>
          <w:sz w:val="28"/>
          <w:szCs w:val="28"/>
          <w:rtl/>
        </w:rPr>
        <w:t xml:space="preserve"> לחוק.</w:t>
      </w:r>
    </w:p>
    <w:p w14:paraId="113C76A5" w14:textId="77777777" w:rsidR="00B7496C" w:rsidRDefault="00B7496C">
      <w:pPr>
        <w:pStyle w:val="ListParagraph"/>
        <w:spacing w:line="360" w:lineRule="auto"/>
        <w:jc w:val="both"/>
        <w:rPr>
          <w:rFonts w:ascii="Times New Roman" w:eastAsia="Times New Roman" w:hAnsi="Times New Roman" w:cs="FrankRuehl"/>
          <w:sz w:val="28"/>
          <w:szCs w:val="28"/>
        </w:rPr>
      </w:pPr>
    </w:p>
    <w:p w14:paraId="57A0554E"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כתב האישום המתוקן בשנית מונה ארבעה אישומים, כמפורט  להלן:</w:t>
      </w:r>
    </w:p>
    <w:p w14:paraId="3CF58879" w14:textId="77777777" w:rsidR="00B7496C" w:rsidRDefault="00B7496C">
      <w:pPr>
        <w:pStyle w:val="ListParagraph"/>
        <w:spacing w:line="360" w:lineRule="auto"/>
        <w:jc w:val="both"/>
        <w:rPr>
          <w:rFonts w:cs="FrankRuehl"/>
          <w:sz w:val="28"/>
          <w:szCs w:val="28"/>
          <w:u w:val="single"/>
          <w:rtl/>
        </w:rPr>
      </w:pPr>
    </w:p>
    <w:p w14:paraId="32815C74" w14:textId="77777777" w:rsidR="00B7496C" w:rsidRDefault="00B7496C">
      <w:pPr>
        <w:pStyle w:val="ListParagraph"/>
        <w:spacing w:line="360" w:lineRule="auto"/>
        <w:jc w:val="both"/>
        <w:rPr>
          <w:rFonts w:cs="FrankRuehl"/>
          <w:sz w:val="28"/>
          <w:szCs w:val="28"/>
          <w:u w:val="single"/>
          <w:rtl/>
        </w:rPr>
      </w:pPr>
    </w:p>
    <w:p w14:paraId="27C4A775" w14:textId="77777777" w:rsidR="00B7496C" w:rsidRDefault="00B7496C">
      <w:pPr>
        <w:pStyle w:val="ListParagraph"/>
        <w:spacing w:line="360" w:lineRule="auto"/>
        <w:jc w:val="both"/>
        <w:rPr>
          <w:rFonts w:cs="FrankRuehl"/>
          <w:sz w:val="28"/>
          <w:szCs w:val="28"/>
          <w:u w:val="single"/>
          <w:rtl/>
        </w:rPr>
      </w:pPr>
    </w:p>
    <w:p w14:paraId="3E58FAC3" w14:textId="77777777" w:rsidR="00B7496C" w:rsidRDefault="00B7496C">
      <w:pPr>
        <w:pStyle w:val="ListParagraph"/>
        <w:spacing w:line="360" w:lineRule="auto"/>
        <w:jc w:val="both"/>
        <w:rPr>
          <w:rFonts w:cs="FrankRuehl"/>
          <w:sz w:val="28"/>
          <w:szCs w:val="28"/>
          <w:u w:val="single"/>
        </w:rPr>
      </w:pPr>
    </w:p>
    <w:p w14:paraId="7698DAB6" w14:textId="77777777" w:rsidR="00B7496C" w:rsidRDefault="005F607C">
      <w:pPr>
        <w:pStyle w:val="ListParagraph"/>
        <w:spacing w:line="360" w:lineRule="auto"/>
        <w:jc w:val="both"/>
        <w:rPr>
          <w:rFonts w:cs="FrankRuehl"/>
          <w:sz w:val="28"/>
          <w:szCs w:val="28"/>
          <w:u w:val="single"/>
          <w:rtl/>
        </w:rPr>
      </w:pPr>
      <w:r>
        <w:rPr>
          <w:rFonts w:cs="FrankRuehl" w:hint="cs"/>
          <w:sz w:val="28"/>
          <w:szCs w:val="28"/>
          <w:u w:val="single"/>
          <w:rtl/>
        </w:rPr>
        <w:t>האישום הראשון</w:t>
      </w:r>
    </w:p>
    <w:p w14:paraId="610B6A15" w14:textId="77777777" w:rsidR="00B7496C" w:rsidRDefault="005F607C">
      <w:pPr>
        <w:pStyle w:val="ListParagraph"/>
        <w:spacing w:line="360" w:lineRule="auto"/>
        <w:jc w:val="both"/>
        <w:rPr>
          <w:rFonts w:cs="FrankRuehl"/>
          <w:sz w:val="28"/>
          <w:szCs w:val="28"/>
          <w:rtl/>
        </w:rPr>
      </w:pPr>
      <w:bookmarkStart w:id="6" w:name="ABSTRACT_START"/>
      <w:bookmarkEnd w:id="6"/>
      <w:r>
        <w:rPr>
          <w:rFonts w:cs="FrankRuehl" w:hint="cs"/>
          <w:sz w:val="28"/>
          <w:szCs w:val="28"/>
          <w:rtl/>
        </w:rPr>
        <w:t>בהתאם</w:t>
      </w:r>
      <w:r>
        <w:rPr>
          <w:rFonts w:cs="FrankRuehl" w:hint="cs"/>
          <w:b/>
          <w:bCs/>
          <w:sz w:val="28"/>
          <w:szCs w:val="28"/>
          <w:rtl/>
        </w:rPr>
        <w:t xml:space="preserve"> </w:t>
      </w:r>
      <w:r>
        <w:rPr>
          <w:rFonts w:cs="FrankRuehl" w:hint="cs"/>
          <w:sz w:val="28"/>
          <w:szCs w:val="28"/>
          <w:rtl/>
        </w:rPr>
        <w:t>לאישום הראשון,</w:t>
      </w:r>
      <w:r>
        <w:rPr>
          <w:rFonts w:cs="FrankRuehl" w:hint="cs"/>
          <w:b/>
          <w:bCs/>
          <w:sz w:val="28"/>
          <w:szCs w:val="28"/>
          <w:rtl/>
        </w:rPr>
        <w:t xml:space="preserve"> </w:t>
      </w:r>
      <w:r>
        <w:rPr>
          <w:rFonts w:cs="FrankRuehl" w:hint="cs"/>
          <w:sz w:val="28"/>
          <w:szCs w:val="28"/>
          <w:rtl/>
        </w:rPr>
        <w:t xml:space="preserve">בשנת 2007 או בסמוך לכך, במועד שאינו ידוע במדויק למאשימה,  נגנבו  אקדח שחור מסוג </w:t>
      </w:r>
      <w:r>
        <w:rPr>
          <w:rFonts w:cs="FrankRuehl"/>
          <w:sz w:val="28"/>
          <w:szCs w:val="28"/>
        </w:rPr>
        <w:t>smith</w:t>
      </w:r>
      <w:r>
        <w:rPr>
          <w:rFonts w:cs="FrankRuehl" w:hint="cs"/>
          <w:sz w:val="28"/>
          <w:szCs w:val="28"/>
          <w:rtl/>
        </w:rPr>
        <w:t xml:space="preserve"> וכן מחסנית ותחמושת (להלן: "</w:t>
      </w:r>
      <w:r>
        <w:rPr>
          <w:rFonts w:cs="FrankRuehl" w:hint="cs"/>
          <w:b/>
          <w:bCs/>
          <w:sz w:val="28"/>
          <w:szCs w:val="28"/>
          <w:rtl/>
        </w:rPr>
        <w:t>האקדח</w:t>
      </w:r>
      <w:r>
        <w:rPr>
          <w:rFonts w:cs="FrankRuehl" w:hint="cs"/>
          <w:sz w:val="28"/>
          <w:szCs w:val="28"/>
          <w:rtl/>
        </w:rPr>
        <w:t>") מבעליהם החוקי יורם אביתר המתגורר ברחוב הברוש 3 ברחובות.</w:t>
      </w:r>
    </w:p>
    <w:p w14:paraId="0DF18C1C" w14:textId="77777777" w:rsidR="00B7496C" w:rsidRDefault="005F607C">
      <w:pPr>
        <w:spacing w:line="360" w:lineRule="auto"/>
        <w:ind w:left="720"/>
        <w:jc w:val="both"/>
        <w:rPr>
          <w:rFonts w:cs="FrankRuehl"/>
          <w:sz w:val="28"/>
          <w:szCs w:val="28"/>
          <w:rtl/>
        </w:rPr>
      </w:pPr>
      <w:r>
        <w:rPr>
          <w:rFonts w:cs="FrankRuehl" w:hint="cs"/>
          <w:sz w:val="28"/>
          <w:szCs w:val="28"/>
          <w:rtl/>
        </w:rPr>
        <w:t>מתחילת שנת 2010 או בסמוך לכך ועד ליום 18/9/13 החזיק הנאשם 1 באקדח במקומות שונים, בין היתר בבית הוריו בעיר יפו ובשיחים ברחוב קפלינסקי 5 בחולון וכמתואר באישומים שלהלן.</w:t>
      </w:r>
      <w:bookmarkStart w:id="7" w:name="ABSTRACT_END"/>
      <w:bookmarkEnd w:id="7"/>
    </w:p>
    <w:p w14:paraId="0698D7E8" w14:textId="77777777" w:rsidR="00B7496C" w:rsidRDefault="00B7496C">
      <w:pPr>
        <w:spacing w:line="360" w:lineRule="auto"/>
        <w:ind w:left="720"/>
        <w:jc w:val="both"/>
        <w:rPr>
          <w:rFonts w:cs="FrankRuehl"/>
          <w:sz w:val="28"/>
          <w:szCs w:val="28"/>
          <w:rtl/>
        </w:rPr>
      </w:pPr>
    </w:p>
    <w:p w14:paraId="309F8891" w14:textId="77777777" w:rsidR="00B7496C" w:rsidRDefault="005F607C">
      <w:pPr>
        <w:spacing w:line="360" w:lineRule="auto"/>
        <w:ind w:left="720"/>
        <w:jc w:val="both"/>
        <w:rPr>
          <w:rFonts w:cs="FrankRuehl"/>
          <w:sz w:val="28"/>
          <w:szCs w:val="28"/>
          <w:u w:val="single"/>
          <w:rtl/>
        </w:rPr>
      </w:pPr>
      <w:r>
        <w:rPr>
          <w:rFonts w:cs="FrankRuehl" w:hint="cs"/>
          <w:sz w:val="28"/>
          <w:szCs w:val="28"/>
          <w:u w:val="single"/>
          <w:rtl/>
        </w:rPr>
        <w:t>האישום השני</w:t>
      </w:r>
    </w:p>
    <w:p w14:paraId="7346FFBC" w14:textId="77777777" w:rsidR="00B7496C" w:rsidRDefault="005F607C">
      <w:pPr>
        <w:spacing w:line="360" w:lineRule="auto"/>
        <w:ind w:left="720"/>
        <w:jc w:val="both"/>
        <w:rPr>
          <w:rFonts w:cs="FrankRuehl"/>
          <w:sz w:val="28"/>
          <w:szCs w:val="28"/>
          <w:rtl/>
        </w:rPr>
      </w:pPr>
      <w:r>
        <w:rPr>
          <w:rFonts w:cs="FrankRuehl" w:hint="cs"/>
          <w:sz w:val="28"/>
          <w:szCs w:val="28"/>
          <w:rtl/>
        </w:rPr>
        <w:t>על פי האישום שני,</w:t>
      </w:r>
      <w:r>
        <w:rPr>
          <w:rFonts w:cs="FrankRuehl" w:hint="cs"/>
          <w:b/>
          <w:bCs/>
          <w:sz w:val="28"/>
          <w:szCs w:val="28"/>
          <w:rtl/>
        </w:rPr>
        <w:t xml:space="preserve"> </w:t>
      </w:r>
      <w:r>
        <w:rPr>
          <w:rFonts w:cs="FrankRuehl" w:hint="cs"/>
          <w:sz w:val="28"/>
          <w:szCs w:val="28"/>
          <w:rtl/>
        </w:rPr>
        <w:t>בין הנאשמים 1 ו-2 קיימת היכרות מוקדמת שנמשכה כשנה עובר לאירועים נשוא כתב אישום זה.</w:t>
      </w:r>
    </w:p>
    <w:p w14:paraId="05CDC011" w14:textId="77777777" w:rsidR="00B7496C" w:rsidRDefault="00B7496C">
      <w:pPr>
        <w:spacing w:line="360" w:lineRule="auto"/>
        <w:ind w:left="720"/>
        <w:jc w:val="both"/>
        <w:rPr>
          <w:rFonts w:cs="FrankRuehl"/>
          <w:sz w:val="28"/>
          <w:szCs w:val="28"/>
          <w:rtl/>
        </w:rPr>
      </w:pPr>
    </w:p>
    <w:p w14:paraId="414E0DE3" w14:textId="77777777" w:rsidR="00B7496C" w:rsidRDefault="005F607C">
      <w:pPr>
        <w:spacing w:line="360" w:lineRule="auto"/>
        <w:ind w:left="720"/>
        <w:jc w:val="both"/>
        <w:rPr>
          <w:rFonts w:cs="FrankRuehl"/>
          <w:sz w:val="28"/>
          <w:szCs w:val="28"/>
          <w:rtl/>
        </w:rPr>
      </w:pPr>
      <w:r>
        <w:rPr>
          <w:rFonts w:cs="FrankRuehl" w:hint="cs"/>
          <w:sz w:val="28"/>
          <w:szCs w:val="28"/>
          <w:rtl/>
        </w:rPr>
        <w:t>עובר ליום 13/9/13, נפגשו הנאשמים בביתו של הנאשם 1, ברח' זלמן ארן בחולון, ושוחחו אודות מצבו הכלכלי הקשה של הנאשם 2.</w:t>
      </w:r>
    </w:p>
    <w:p w14:paraId="6A77A2C4" w14:textId="77777777" w:rsidR="00B7496C" w:rsidRDefault="00B7496C">
      <w:pPr>
        <w:spacing w:line="360" w:lineRule="auto"/>
        <w:ind w:left="720"/>
        <w:jc w:val="both"/>
        <w:rPr>
          <w:rFonts w:cs="FrankRuehl"/>
          <w:sz w:val="28"/>
          <w:szCs w:val="28"/>
          <w:rtl/>
        </w:rPr>
      </w:pPr>
    </w:p>
    <w:p w14:paraId="0AAC2939" w14:textId="77777777" w:rsidR="00B7496C" w:rsidRDefault="005F607C">
      <w:pPr>
        <w:spacing w:line="360" w:lineRule="auto"/>
        <w:ind w:left="720"/>
        <w:jc w:val="both"/>
        <w:rPr>
          <w:rFonts w:cs="FrankRuehl"/>
          <w:sz w:val="28"/>
          <w:szCs w:val="28"/>
          <w:rtl/>
        </w:rPr>
      </w:pPr>
      <w:r>
        <w:rPr>
          <w:rFonts w:cs="FrankRuehl" w:hint="cs"/>
          <w:sz w:val="28"/>
          <w:szCs w:val="28"/>
          <w:rtl/>
        </w:rPr>
        <w:t>ביום 15/9/13 נפגשו הנאשמים ונסעו יחדיו בקטנוע מסוג "ג'וי מקס" בצבע לבן שמספרו 515313 השייך לנאשם 2 (להלן :"</w:t>
      </w:r>
      <w:r>
        <w:rPr>
          <w:rFonts w:cs="FrankRuehl" w:hint="cs"/>
          <w:b/>
          <w:bCs/>
          <w:sz w:val="28"/>
          <w:szCs w:val="28"/>
          <w:rtl/>
        </w:rPr>
        <w:t>הקטנוע</w:t>
      </w:r>
      <w:r>
        <w:rPr>
          <w:rFonts w:cs="FrankRuehl" w:hint="cs"/>
          <w:sz w:val="28"/>
          <w:szCs w:val="28"/>
          <w:rtl/>
        </w:rPr>
        <w:t>") וחיפשו מקומות אותם ניתן לשדוד. הנאשם 1 הציע לשדוד את תחנת הדלק "יעד הדרך" ברחוב לזרוב 7 בעיר ראשון לציון (להלן: "</w:t>
      </w:r>
      <w:r>
        <w:rPr>
          <w:rFonts w:cs="FrankRuehl" w:hint="cs"/>
          <w:b/>
          <w:bCs/>
          <w:sz w:val="28"/>
          <w:szCs w:val="28"/>
          <w:rtl/>
        </w:rPr>
        <w:t>תחנת הדלק</w:t>
      </w:r>
      <w:r>
        <w:rPr>
          <w:rFonts w:cs="FrankRuehl" w:hint="cs"/>
          <w:sz w:val="28"/>
          <w:szCs w:val="28"/>
          <w:rtl/>
        </w:rPr>
        <w:t>").</w:t>
      </w:r>
    </w:p>
    <w:p w14:paraId="09B63864" w14:textId="77777777" w:rsidR="00B7496C" w:rsidRDefault="00B7496C">
      <w:pPr>
        <w:spacing w:line="360" w:lineRule="auto"/>
        <w:ind w:left="720"/>
        <w:jc w:val="both"/>
        <w:rPr>
          <w:rFonts w:cs="FrankRuehl"/>
          <w:sz w:val="28"/>
          <w:szCs w:val="28"/>
          <w:rtl/>
        </w:rPr>
      </w:pPr>
    </w:p>
    <w:p w14:paraId="2E9E0F26" w14:textId="77777777" w:rsidR="00B7496C" w:rsidRDefault="005F607C">
      <w:pPr>
        <w:spacing w:line="360" w:lineRule="auto"/>
        <w:ind w:left="720"/>
        <w:jc w:val="both"/>
        <w:rPr>
          <w:rFonts w:cs="FrankRuehl"/>
          <w:sz w:val="28"/>
          <w:szCs w:val="28"/>
          <w:rtl/>
        </w:rPr>
      </w:pPr>
      <w:r>
        <w:rPr>
          <w:rFonts w:cs="FrankRuehl" w:hint="cs"/>
          <w:sz w:val="28"/>
          <w:szCs w:val="28"/>
          <w:rtl/>
        </w:rPr>
        <w:t>בלילה שבין ה- 15/9/13 לבין ה- 16/9/13 , בשעה 1:18 הגיעו הנאשמים לתחנת הדלק, רכובים על הקטנוע בו נהג הנאשם 2, כאשר חתיכות בד מכסות את פניהם, וקסדות חבושות על ראשיהם, וכאשר הנאשם 1 נושא על גופו את האקדח.</w:t>
      </w:r>
    </w:p>
    <w:p w14:paraId="00B7EED7" w14:textId="77777777" w:rsidR="00B7496C" w:rsidRDefault="00B7496C">
      <w:pPr>
        <w:spacing w:line="360" w:lineRule="auto"/>
        <w:ind w:left="720"/>
        <w:jc w:val="both"/>
        <w:rPr>
          <w:rFonts w:cs="FrankRuehl"/>
          <w:sz w:val="28"/>
          <w:szCs w:val="28"/>
          <w:rtl/>
        </w:rPr>
      </w:pPr>
    </w:p>
    <w:p w14:paraId="2B524CE7" w14:textId="77777777" w:rsidR="00B7496C" w:rsidRDefault="005F607C">
      <w:pPr>
        <w:spacing w:line="360" w:lineRule="auto"/>
        <w:ind w:left="720"/>
        <w:jc w:val="both"/>
        <w:rPr>
          <w:rFonts w:cs="FrankRuehl"/>
          <w:sz w:val="28"/>
          <w:szCs w:val="28"/>
          <w:rtl/>
        </w:rPr>
      </w:pPr>
      <w:r>
        <w:rPr>
          <w:rFonts w:cs="FrankRuehl" w:hint="cs"/>
          <w:sz w:val="28"/>
          <w:szCs w:val="28"/>
          <w:rtl/>
        </w:rPr>
        <w:t>הנאשמים נכנסו לחנות של תחנת הדלק, שם עבד אותה עת אברהם הילפופ (להלן באישום זה: "</w:t>
      </w:r>
      <w:r>
        <w:rPr>
          <w:rFonts w:cs="FrankRuehl" w:hint="cs"/>
          <w:b/>
          <w:bCs/>
          <w:sz w:val="28"/>
          <w:szCs w:val="28"/>
          <w:rtl/>
        </w:rPr>
        <w:t>מתלונן 1</w:t>
      </w:r>
      <w:r>
        <w:rPr>
          <w:rFonts w:cs="FrankRuehl" w:hint="cs"/>
          <w:sz w:val="28"/>
          <w:szCs w:val="28"/>
          <w:rtl/>
        </w:rPr>
        <w:t>") ועמד מאחורי דלפק החנות.</w:t>
      </w:r>
    </w:p>
    <w:p w14:paraId="0F5D0680" w14:textId="77777777" w:rsidR="00B7496C" w:rsidRDefault="00B7496C">
      <w:pPr>
        <w:spacing w:line="360" w:lineRule="auto"/>
        <w:ind w:left="720"/>
        <w:jc w:val="both"/>
        <w:rPr>
          <w:rFonts w:cs="FrankRuehl"/>
          <w:sz w:val="28"/>
          <w:szCs w:val="28"/>
          <w:rtl/>
        </w:rPr>
      </w:pPr>
    </w:p>
    <w:p w14:paraId="7ECF0D89" w14:textId="77777777" w:rsidR="00B7496C" w:rsidRDefault="00B7496C">
      <w:pPr>
        <w:spacing w:line="360" w:lineRule="auto"/>
        <w:ind w:left="720"/>
        <w:jc w:val="both"/>
        <w:rPr>
          <w:rFonts w:cs="FrankRuehl"/>
          <w:sz w:val="28"/>
          <w:szCs w:val="28"/>
          <w:rtl/>
        </w:rPr>
      </w:pPr>
    </w:p>
    <w:p w14:paraId="68474FB1" w14:textId="77777777" w:rsidR="00B7496C" w:rsidRDefault="00B7496C">
      <w:pPr>
        <w:spacing w:line="360" w:lineRule="auto"/>
        <w:ind w:left="720"/>
        <w:jc w:val="both"/>
        <w:rPr>
          <w:rFonts w:cs="FrankRuehl"/>
          <w:sz w:val="28"/>
          <w:szCs w:val="28"/>
          <w:rtl/>
        </w:rPr>
      </w:pPr>
    </w:p>
    <w:p w14:paraId="12C938C2" w14:textId="77777777" w:rsidR="00B7496C" w:rsidRDefault="005F607C">
      <w:pPr>
        <w:spacing w:line="360" w:lineRule="auto"/>
        <w:ind w:left="720"/>
        <w:jc w:val="both"/>
        <w:rPr>
          <w:rFonts w:cs="FrankRuehl"/>
          <w:sz w:val="28"/>
          <w:szCs w:val="28"/>
          <w:rtl/>
        </w:rPr>
      </w:pPr>
      <w:r>
        <w:rPr>
          <w:rFonts w:cs="FrankRuehl" w:hint="cs"/>
          <w:sz w:val="28"/>
          <w:szCs w:val="28"/>
          <w:rtl/>
        </w:rPr>
        <w:t>הנאשמים התקרבו למתלונן 1, הנאשם 1 שלף את האקדח מכיסו, כיוונו לעבר המתלונן 1 ואמר לו: "זה שוד תביא את הכסף".</w:t>
      </w:r>
    </w:p>
    <w:p w14:paraId="4C931CD4" w14:textId="77777777" w:rsidR="00B7496C" w:rsidRDefault="00B7496C">
      <w:pPr>
        <w:spacing w:line="360" w:lineRule="auto"/>
        <w:ind w:left="720"/>
        <w:jc w:val="both"/>
        <w:rPr>
          <w:rFonts w:cs="FrankRuehl"/>
          <w:sz w:val="28"/>
          <w:szCs w:val="28"/>
          <w:rtl/>
        </w:rPr>
      </w:pPr>
    </w:p>
    <w:p w14:paraId="42C5CD41" w14:textId="77777777" w:rsidR="00B7496C" w:rsidRDefault="005F607C">
      <w:pPr>
        <w:spacing w:line="360" w:lineRule="auto"/>
        <w:ind w:left="720"/>
        <w:jc w:val="both"/>
        <w:rPr>
          <w:rFonts w:cs="FrankRuehl"/>
          <w:sz w:val="28"/>
          <w:szCs w:val="28"/>
          <w:rtl/>
        </w:rPr>
      </w:pPr>
      <w:r>
        <w:rPr>
          <w:rFonts w:cs="FrankRuehl" w:hint="cs"/>
          <w:sz w:val="28"/>
          <w:szCs w:val="28"/>
          <w:rtl/>
        </w:rPr>
        <w:t>המתלונן 1 המפוחד הוציא שטרות של כסף מתיק קטן (פאוץ') שהיה על גופו ומסר את הכסף לנאשם 1. לאחר מכן, בהוראת הנאשם 1, פתח את הקופה והוציא ממנה שטרות נוספים של כסף ומסרם לידי הנאשם 1.</w:t>
      </w:r>
    </w:p>
    <w:p w14:paraId="39600118" w14:textId="77777777" w:rsidR="00B7496C" w:rsidRDefault="00B7496C">
      <w:pPr>
        <w:spacing w:line="360" w:lineRule="auto"/>
        <w:ind w:left="720"/>
        <w:jc w:val="both"/>
        <w:rPr>
          <w:rFonts w:cs="FrankRuehl"/>
          <w:sz w:val="28"/>
          <w:szCs w:val="28"/>
          <w:rtl/>
        </w:rPr>
      </w:pPr>
    </w:p>
    <w:p w14:paraId="3316BE53" w14:textId="77777777" w:rsidR="00B7496C" w:rsidRDefault="005F607C">
      <w:pPr>
        <w:spacing w:line="360" w:lineRule="auto"/>
        <w:ind w:left="720"/>
        <w:jc w:val="both"/>
        <w:rPr>
          <w:rFonts w:cs="FrankRuehl"/>
          <w:sz w:val="28"/>
          <w:szCs w:val="28"/>
          <w:rtl/>
        </w:rPr>
      </w:pPr>
      <w:r>
        <w:rPr>
          <w:rFonts w:cs="FrankRuehl" w:hint="cs"/>
          <w:sz w:val="28"/>
          <w:szCs w:val="28"/>
          <w:rtl/>
        </w:rPr>
        <w:t>נאשם 2 אמר לנאשם 1 כי יורה למתלונן 1 להביא את מפתחות הכספת, והמתלונן 1 ענה כי המפתחות אינם ברשותו. או אז נמלטו הנאשמים מהמקום רכובים על הקטנוע בו נהג הנאשם 2, כשהם נושאים עימם 3,000₪ ששדדו מהמתלונן 1.</w:t>
      </w:r>
    </w:p>
    <w:p w14:paraId="0A90505F" w14:textId="77777777" w:rsidR="00B7496C" w:rsidRDefault="00B7496C">
      <w:pPr>
        <w:spacing w:line="360" w:lineRule="auto"/>
        <w:ind w:left="720"/>
        <w:jc w:val="both"/>
        <w:rPr>
          <w:rFonts w:cs="FrankRuehl"/>
          <w:sz w:val="28"/>
          <w:szCs w:val="28"/>
          <w:rtl/>
        </w:rPr>
      </w:pPr>
    </w:p>
    <w:p w14:paraId="5D67F44C" w14:textId="77777777" w:rsidR="00B7496C" w:rsidRDefault="005F607C">
      <w:pPr>
        <w:spacing w:line="360" w:lineRule="auto"/>
        <w:ind w:left="720"/>
        <w:jc w:val="both"/>
        <w:rPr>
          <w:rFonts w:cs="FrankRuehl"/>
          <w:sz w:val="28"/>
          <w:szCs w:val="28"/>
          <w:rtl/>
        </w:rPr>
      </w:pPr>
      <w:r>
        <w:rPr>
          <w:rFonts w:cs="FrankRuehl" w:hint="cs"/>
          <w:sz w:val="28"/>
          <w:szCs w:val="28"/>
          <w:rtl/>
        </w:rPr>
        <w:t>בהמשך התחלקו ביניהם הנאשמים בשלל השוד באופן שווה.</w:t>
      </w:r>
    </w:p>
    <w:p w14:paraId="7813F2C1" w14:textId="77777777" w:rsidR="00B7496C" w:rsidRDefault="00B7496C">
      <w:pPr>
        <w:spacing w:line="360" w:lineRule="auto"/>
        <w:ind w:left="720"/>
        <w:jc w:val="both"/>
        <w:rPr>
          <w:rFonts w:cs="FrankRuehl"/>
          <w:sz w:val="28"/>
          <w:szCs w:val="28"/>
          <w:u w:val="single"/>
          <w:rtl/>
        </w:rPr>
      </w:pPr>
    </w:p>
    <w:p w14:paraId="3054CC94" w14:textId="77777777" w:rsidR="00B7496C" w:rsidRDefault="005F607C">
      <w:pPr>
        <w:spacing w:line="360" w:lineRule="auto"/>
        <w:ind w:left="720"/>
        <w:jc w:val="both"/>
        <w:rPr>
          <w:rFonts w:cs="FrankRuehl"/>
          <w:sz w:val="28"/>
          <w:szCs w:val="28"/>
          <w:u w:val="single"/>
          <w:rtl/>
        </w:rPr>
      </w:pPr>
      <w:r>
        <w:rPr>
          <w:rFonts w:cs="FrankRuehl" w:hint="cs"/>
          <w:sz w:val="28"/>
          <w:szCs w:val="28"/>
          <w:u w:val="single"/>
          <w:rtl/>
        </w:rPr>
        <w:t>האישום השלישי</w:t>
      </w:r>
    </w:p>
    <w:p w14:paraId="403903FC" w14:textId="77777777" w:rsidR="00B7496C" w:rsidRDefault="005F607C">
      <w:pPr>
        <w:spacing w:line="360" w:lineRule="auto"/>
        <w:ind w:left="720"/>
        <w:jc w:val="both"/>
        <w:rPr>
          <w:rFonts w:cs="FrankRuehl"/>
          <w:sz w:val="28"/>
          <w:szCs w:val="28"/>
          <w:rtl/>
        </w:rPr>
      </w:pPr>
      <w:r>
        <w:rPr>
          <w:rFonts w:cs="FrankRuehl" w:hint="cs"/>
          <w:sz w:val="28"/>
          <w:szCs w:val="28"/>
          <w:rtl/>
        </w:rPr>
        <w:t>על פי האישום שלישי,</w:t>
      </w:r>
      <w:r>
        <w:rPr>
          <w:rFonts w:cs="FrankRuehl" w:hint="cs"/>
          <w:b/>
          <w:bCs/>
          <w:sz w:val="28"/>
          <w:szCs w:val="28"/>
          <w:rtl/>
        </w:rPr>
        <w:t xml:space="preserve"> </w:t>
      </w:r>
      <w:r>
        <w:rPr>
          <w:rFonts w:cs="FrankRuehl" w:hint="cs"/>
          <w:sz w:val="28"/>
          <w:szCs w:val="28"/>
          <w:rtl/>
        </w:rPr>
        <w:t>למחרת האירוע המתואר באישום השני, בלילה שבין ה- 16/9/13 ל- 17/9/13 , עובר לשעה 00:25 , הגיעו הנאשמים לקיוסק "פיצוחי המלך" שברח' אהרונוביץ' 42 בחולון (להלן: "</w:t>
      </w:r>
      <w:r>
        <w:rPr>
          <w:rFonts w:cs="FrankRuehl" w:hint="cs"/>
          <w:b/>
          <w:bCs/>
          <w:sz w:val="28"/>
          <w:szCs w:val="28"/>
          <w:rtl/>
        </w:rPr>
        <w:t>הקיוסק</w:t>
      </w:r>
      <w:r>
        <w:rPr>
          <w:rFonts w:cs="FrankRuehl" w:hint="cs"/>
          <w:sz w:val="28"/>
          <w:szCs w:val="28"/>
          <w:rtl/>
        </w:rPr>
        <w:t xml:space="preserve">") כשהם רכובים על הקטנוע בו נהג הנאשם 2 ומצוידים באקדח.  </w:t>
      </w:r>
    </w:p>
    <w:p w14:paraId="665AB98E" w14:textId="77777777" w:rsidR="00B7496C" w:rsidRDefault="00B7496C">
      <w:pPr>
        <w:spacing w:line="360" w:lineRule="auto"/>
        <w:ind w:left="720"/>
        <w:jc w:val="both"/>
        <w:rPr>
          <w:rFonts w:cs="FrankRuehl"/>
          <w:sz w:val="28"/>
          <w:szCs w:val="28"/>
          <w:rtl/>
        </w:rPr>
      </w:pPr>
    </w:p>
    <w:p w14:paraId="418D62B7" w14:textId="77777777" w:rsidR="00B7496C" w:rsidRDefault="005F607C">
      <w:pPr>
        <w:spacing w:line="360" w:lineRule="auto"/>
        <w:ind w:left="720"/>
        <w:jc w:val="both"/>
        <w:rPr>
          <w:rFonts w:cs="FrankRuehl"/>
          <w:sz w:val="28"/>
          <w:szCs w:val="28"/>
          <w:rtl/>
        </w:rPr>
      </w:pPr>
      <w:r>
        <w:rPr>
          <w:rFonts w:cs="FrankRuehl" w:hint="cs"/>
          <w:sz w:val="28"/>
          <w:szCs w:val="28"/>
          <w:rtl/>
        </w:rPr>
        <w:t>הנאשמים חנו בסמוך לקיוסק והמתינו עד שיתפנה מלקוחות. או אז נכנסו הנאשמים לתוך הקיוסק והתקרבו לנתן חזן שעבד אותה עת במקום (להלן:"</w:t>
      </w:r>
      <w:r>
        <w:rPr>
          <w:rFonts w:cs="FrankRuehl" w:hint="cs"/>
          <w:b/>
          <w:bCs/>
          <w:sz w:val="28"/>
          <w:szCs w:val="28"/>
          <w:rtl/>
        </w:rPr>
        <w:t>מתלונן 2</w:t>
      </w:r>
      <w:r>
        <w:rPr>
          <w:rFonts w:cs="FrankRuehl" w:hint="cs"/>
          <w:sz w:val="28"/>
          <w:szCs w:val="28"/>
          <w:rtl/>
        </w:rPr>
        <w:t xml:space="preserve">"). </w:t>
      </w:r>
    </w:p>
    <w:p w14:paraId="6810D00F" w14:textId="77777777" w:rsidR="00B7496C" w:rsidRDefault="00B7496C">
      <w:pPr>
        <w:spacing w:line="360" w:lineRule="auto"/>
        <w:ind w:left="720"/>
        <w:jc w:val="both"/>
        <w:rPr>
          <w:rFonts w:cs="FrankRuehl"/>
          <w:sz w:val="28"/>
          <w:szCs w:val="28"/>
          <w:rtl/>
        </w:rPr>
      </w:pPr>
    </w:p>
    <w:p w14:paraId="680AB786" w14:textId="77777777" w:rsidR="00B7496C" w:rsidRDefault="005F607C">
      <w:pPr>
        <w:spacing w:line="360" w:lineRule="auto"/>
        <w:ind w:left="720"/>
        <w:jc w:val="both"/>
        <w:rPr>
          <w:rFonts w:cs="FrankRuehl"/>
          <w:sz w:val="28"/>
          <w:szCs w:val="28"/>
          <w:rtl/>
        </w:rPr>
      </w:pPr>
      <w:r>
        <w:rPr>
          <w:rFonts w:cs="FrankRuehl" w:hint="cs"/>
          <w:sz w:val="28"/>
          <w:szCs w:val="28"/>
          <w:rtl/>
        </w:rPr>
        <w:t xml:space="preserve">הנאשם 1 אחז בזרועו של המתלונן 2, דחף אותו לכיוון הקופה, ודרש ממנו למסור לו כסף בעודו מכוון את האקדח לכיוונו. </w:t>
      </w:r>
    </w:p>
    <w:p w14:paraId="7E2F74FB" w14:textId="77777777" w:rsidR="00B7496C" w:rsidRDefault="00B7496C">
      <w:pPr>
        <w:spacing w:line="360" w:lineRule="auto"/>
        <w:ind w:left="720"/>
        <w:jc w:val="both"/>
        <w:rPr>
          <w:rFonts w:cs="FrankRuehl"/>
          <w:sz w:val="28"/>
          <w:szCs w:val="28"/>
          <w:rtl/>
        </w:rPr>
      </w:pPr>
    </w:p>
    <w:p w14:paraId="7DA7B133" w14:textId="77777777" w:rsidR="00B7496C" w:rsidRDefault="005F607C">
      <w:pPr>
        <w:spacing w:line="360" w:lineRule="auto"/>
        <w:ind w:left="720"/>
        <w:jc w:val="both"/>
        <w:rPr>
          <w:rFonts w:cs="FrankRuehl"/>
          <w:sz w:val="28"/>
          <w:szCs w:val="28"/>
          <w:rtl/>
        </w:rPr>
      </w:pPr>
      <w:r>
        <w:rPr>
          <w:rFonts w:cs="FrankRuehl" w:hint="cs"/>
          <w:sz w:val="28"/>
          <w:szCs w:val="28"/>
          <w:rtl/>
        </w:rPr>
        <w:t xml:space="preserve">הנאשם 2 דפק בצורה מאיימת על הדלפק על מנת שהמתלונן 2 ימסור את הכסף. בעקבות זאת, המתלונן 2 מסר לידי הנאשם 1 700 ₪ שהיו בקופה. בהמשך, דרש הנאשם 1 מהמתלונן 2 להוציא מכיסיו כסף נוסף, ומשאמר המתלונן 2 כי אין ברשותו עוד כסף, יצאו הנאשמים מהקיוסק ונמלטו מהמקום כשהם נושאים עימם את השלל ורכובים על הקטנוע בו נהג הנאשם 2. </w:t>
      </w:r>
    </w:p>
    <w:p w14:paraId="2545E0A6" w14:textId="77777777" w:rsidR="00B7496C" w:rsidRDefault="00B7496C">
      <w:pPr>
        <w:spacing w:line="360" w:lineRule="auto"/>
        <w:ind w:left="720"/>
        <w:jc w:val="both"/>
        <w:rPr>
          <w:rFonts w:cs="FrankRuehl"/>
          <w:sz w:val="28"/>
          <w:szCs w:val="28"/>
          <w:rtl/>
        </w:rPr>
      </w:pPr>
    </w:p>
    <w:p w14:paraId="04C8022C" w14:textId="77777777" w:rsidR="00B7496C" w:rsidRDefault="005F607C">
      <w:pPr>
        <w:spacing w:line="360" w:lineRule="auto"/>
        <w:ind w:left="720"/>
        <w:jc w:val="both"/>
        <w:rPr>
          <w:rFonts w:cs="FrankRuehl"/>
          <w:sz w:val="28"/>
          <w:szCs w:val="28"/>
          <w:rtl/>
        </w:rPr>
      </w:pPr>
      <w:r>
        <w:rPr>
          <w:rFonts w:cs="FrankRuehl" w:hint="cs"/>
          <w:sz w:val="28"/>
          <w:szCs w:val="28"/>
          <w:rtl/>
        </w:rPr>
        <w:t xml:space="preserve">בהמשך התחלקו ביניהם הנאשמים בשלל השוד באופן שווה. </w:t>
      </w:r>
    </w:p>
    <w:p w14:paraId="0807F880" w14:textId="77777777" w:rsidR="00B7496C" w:rsidRDefault="00B7496C">
      <w:pPr>
        <w:spacing w:line="360" w:lineRule="auto"/>
        <w:ind w:left="720"/>
        <w:jc w:val="both"/>
        <w:rPr>
          <w:rFonts w:cs="FrankRuehl"/>
          <w:sz w:val="28"/>
          <w:szCs w:val="28"/>
          <w:u w:val="single"/>
          <w:rtl/>
        </w:rPr>
      </w:pPr>
    </w:p>
    <w:p w14:paraId="34D507EA" w14:textId="77777777" w:rsidR="00B7496C" w:rsidRDefault="005F607C">
      <w:pPr>
        <w:spacing w:line="360" w:lineRule="auto"/>
        <w:ind w:left="720"/>
        <w:jc w:val="both"/>
        <w:rPr>
          <w:rFonts w:cs="FrankRuehl"/>
          <w:sz w:val="28"/>
          <w:szCs w:val="28"/>
          <w:u w:val="single"/>
          <w:rtl/>
        </w:rPr>
      </w:pPr>
      <w:r>
        <w:rPr>
          <w:rFonts w:cs="FrankRuehl" w:hint="cs"/>
          <w:sz w:val="28"/>
          <w:szCs w:val="28"/>
          <w:u w:val="single"/>
          <w:rtl/>
        </w:rPr>
        <w:t>האישום הרביעי</w:t>
      </w:r>
    </w:p>
    <w:p w14:paraId="6B9D656F" w14:textId="77777777" w:rsidR="00B7496C" w:rsidRDefault="005F607C">
      <w:pPr>
        <w:spacing w:line="360" w:lineRule="auto"/>
        <w:ind w:left="720"/>
        <w:jc w:val="both"/>
        <w:rPr>
          <w:rFonts w:cs="FrankRuehl"/>
          <w:sz w:val="28"/>
          <w:szCs w:val="28"/>
          <w:rtl/>
        </w:rPr>
      </w:pPr>
      <w:r>
        <w:rPr>
          <w:rFonts w:cs="FrankRuehl" w:hint="cs"/>
          <w:sz w:val="28"/>
          <w:szCs w:val="28"/>
          <w:rtl/>
        </w:rPr>
        <w:t>על פי האישום רביעי,</w:t>
      </w:r>
      <w:r>
        <w:rPr>
          <w:rFonts w:cs="FrankRuehl" w:hint="cs"/>
          <w:b/>
          <w:bCs/>
          <w:sz w:val="28"/>
          <w:szCs w:val="28"/>
          <w:rtl/>
        </w:rPr>
        <w:t xml:space="preserve"> </w:t>
      </w:r>
      <w:r>
        <w:rPr>
          <w:rFonts w:cs="FrankRuehl" w:hint="cs"/>
          <w:sz w:val="28"/>
          <w:szCs w:val="28"/>
          <w:rtl/>
        </w:rPr>
        <w:t xml:space="preserve">עובר ליום 16/9/13, במועד שאינו ידוע במדויק למאשימה, אמר הנאשם 1 לנאשם 2 כי יעקב דדון (להלן: מתלונן 3) חייב 150 אלף ₪ לאדם אחר, ואינו מחזיר את החוב. בהמשך, קשרו הנאשמים קשר להכות את המתלונן 3 בצוותא חדא כשבתמורה יקבל הנאשם 2 סכום של 20 אלף ₪. </w:t>
      </w:r>
    </w:p>
    <w:p w14:paraId="104953D4" w14:textId="77777777" w:rsidR="00B7496C" w:rsidRDefault="00B7496C">
      <w:pPr>
        <w:spacing w:line="360" w:lineRule="auto"/>
        <w:ind w:left="720"/>
        <w:jc w:val="both"/>
        <w:rPr>
          <w:rFonts w:cs="FrankRuehl"/>
          <w:sz w:val="28"/>
          <w:szCs w:val="28"/>
          <w:rtl/>
        </w:rPr>
      </w:pPr>
    </w:p>
    <w:p w14:paraId="6821B345" w14:textId="77777777" w:rsidR="00B7496C" w:rsidRDefault="005F607C">
      <w:pPr>
        <w:spacing w:line="360" w:lineRule="auto"/>
        <w:ind w:left="720"/>
        <w:jc w:val="both"/>
        <w:rPr>
          <w:rFonts w:cs="FrankRuehl"/>
          <w:sz w:val="28"/>
          <w:szCs w:val="28"/>
          <w:rtl/>
        </w:rPr>
      </w:pPr>
      <w:r>
        <w:rPr>
          <w:rFonts w:cs="FrankRuehl" w:hint="cs"/>
          <w:sz w:val="28"/>
          <w:szCs w:val="28"/>
          <w:rtl/>
        </w:rPr>
        <w:t>במסגרת הקשר ולשם קידומו, במועד שאינו ידוע במדויק למאשימה, בין התאריכים 16-18/9/13, נסעו הנאשמים לחנות "סופר שפע" שבראשון לציון (להלן: "</w:t>
      </w:r>
      <w:r>
        <w:rPr>
          <w:rFonts w:cs="FrankRuehl" w:hint="cs"/>
          <w:b/>
          <w:bCs/>
          <w:sz w:val="28"/>
          <w:szCs w:val="28"/>
          <w:rtl/>
        </w:rPr>
        <w:t>הסופר</w:t>
      </w:r>
      <w:r>
        <w:rPr>
          <w:rFonts w:cs="FrankRuehl" w:hint="cs"/>
          <w:sz w:val="28"/>
          <w:szCs w:val="28"/>
          <w:rtl/>
        </w:rPr>
        <w:t>") שבבעלות המתלונן 3, ועקבו אחריו על מנת לברר היכן הוא מתגורר ולאתר מקום מתאים לביצוע מטרת הקשר. לבסוף החליטו לבצע את זממם במתלונן 3 בסופר בשעות הבוקר.</w:t>
      </w:r>
    </w:p>
    <w:p w14:paraId="6FE7544D" w14:textId="77777777" w:rsidR="00B7496C" w:rsidRDefault="00B7496C">
      <w:pPr>
        <w:spacing w:line="360" w:lineRule="auto"/>
        <w:ind w:left="720"/>
        <w:jc w:val="both"/>
        <w:rPr>
          <w:rFonts w:cs="FrankRuehl"/>
          <w:sz w:val="28"/>
          <w:szCs w:val="28"/>
          <w:rtl/>
        </w:rPr>
      </w:pPr>
    </w:p>
    <w:p w14:paraId="1899FFF1" w14:textId="77777777" w:rsidR="00B7496C" w:rsidRDefault="005F607C">
      <w:pPr>
        <w:spacing w:line="360" w:lineRule="auto"/>
        <w:ind w:left="720"/>
        <w:jc w:val="both"/>
        <w:rPr>
          <w:rFonts w:cs="FrankRuehl"/>
          <w:sz w:val="28"/>
          <w:szCs w:val="28"/>
          <w:rtl/>
        </w:rPr>
      </w:pPr>
      <w:r>
        <w:rPr>
          <w:rFonts w:cs="FrankRuehl" w:hint="cs"/>
          <w:sz w:val="28"/>
          <w:szCs w:val="28"/>
          <w:rtl/>
        </w:rPr>
        <w:t>ביום 18/9/13 בשעה 7:33  בבוקר, הגיעו הנאשמים לסופר, כשהם רכובים על הקטנוע בו נהג הנאשם 2 ומצוידים באקדח טעון במחסנית וכדורים ובמערוך, רעולי פנים וחבושים בקסדות.</w:t>
      </w:r>
    </w:p>
    <w:p w14:paraId="66FC7EAA" w14:textId="77777777" w:rsidR="00B7496C" w:rsidRDefault="00B7496C">
      <w:pPr>
        <w:spacing w:line="360" w:lineRule="auto"/>
        <w:ind w:left="720"/>
        <w:jc w:val="both"/>
        <w:rPr>
          <w:rFonts w:cs="FrankRuehl"/>
          <w:sz w:val="28"/>
          <w:szCs w:val="28"/>
          <w:rtl/>
        </w:rPr>
      </w:pPr>
    </w:p>
    <w:p w14:paraId="7F942FD9" w14:textId="77777777" w:rsidR="00B7496C" w:rsidRDefault="005F607C">
      <w:pPr>
        <w:spacing w:line="360" w:lineRule="auto"/>
        <w:ind w:left="720"/>
        <w:jc w:val="both"/>
        <w:rPr>
          <w:rFonts w:cs="FrankRuehl"/>
          <w:sz w:val="28"/>
          <w:szCs w:val="28"/>
          <w:rtl/>
        </w:rPr>
      </w:pPr>
      <w:r>
        <w:rPr>
          <w:rFonts w:cs="FrankRuehl" w:hint="cs"/>
          <w:sz w:val="28"/>
          <w:szCs w:val="28"/>
          <w:rtl/>
        </w:rPr>
        <w:t>אותה עת שהו בסופר המתלונן 3 ובנו ש.ד. יליד 1998 (להלן: "</w:t>
      </w:r>
      <w:r>
        <w:rPr>
          <w:rFonts w:cs="FrankRuehl" w:hint="cs"/>
          <w:b/>
          <w:bCs/>
          <w:sz w:val="28"/>
          <w:szCs w:val="28"/>
          <w:rtl/>
        </w:rPr>
        <w:t>הבן</w:t>
      </w:r>
      <w:r>
        <w:rPr>
          <w:rFonts w:cs="FrankRuehl" w:hint="cs"/>
          <w:sz w:val="28"/>
          <w:szCs w:val="28"/>
          <w:rtl/>
        </w:rPr>
        <w:t>").</w:t>
      </w:r>
    </w:p>
    <w:p w14:paraId="72FC8DD7" w14:textId="77777777" w:rsidR="00B7496C" w:rsidRDefault="00B7496C">
      <w:pPr>
        <w:spacing w:line="360" w:lineRule="auto"/>
        <w:ind w:left="720"/>
        <w:jc w:val="both"/>
        <w:rPr>
          <w:rFonts w:cs="FrankRuehl"/>
          <w:sz w:val="28"/>
          <w:szCs w:val="28"/>
          <w:rtl/>
        </w:rPr>
      </w:pPr>
    </w:p>
    <w:p w14:paraId="5DDA749A" w14:textId="77777777" w:rsidR="00B7496C" w:rsidRDefault="005F607C">
      <w:pPr>
        <w:spacing w:line="360" w:lineRule="auto"/>
        <w:ind w:left="720"/>
        <w:jc w:val="both"/>
        <w:rPr>
          <w:rFonts w:cs="FrankRuehl"/>
          <w:sz w:val="28"/>
          <w:szCs w:val="28"/>
          <w:rtl/>
        </w:rPr>
      </w:pPr>
      <w:r>
        <w:rPr>
          <w:rFonts w:cs="FrankRuehl" w:hint="cs"/>
          <w:sz w:val="28"/>
          <w:szCs w:val="28"/>
          <w:rtl/>
        </w:rPr>
        <w:t>הנאשמים נכנסו לתוך הסופר, ניגשו אל המתלונן 3 ומיד החלו להכותו בחוזקה בכל חלקי גופו. המתלונן 3 נפל ארצה אך הנאשמים המשיכו להכותו כשהוא שכוב על הרצפה.</w:t>
      </w:r>
    </w:p>
    <w:p w14:paraId="20B82FC2" w14:textId="77777777" w:rsidR="00B7496C" w:rsidRDefault="005F607C">
      <w:pPr>
        <w:spacing w:line="360" w:lineRule="auto"/>
        <w:ind w:left="720"/>
        <w:jc w:val="both"/>
        <w:rPr>
          <w:rFonts w:cs="FrankRuehl"/>
          <w:sz w:val="28"/>
          <w:szCs w:val="28"/>
          <w:rtl/>
        </w:rPr>
      </w:pPr>
      <w:r>
        <w:rPr>
          <w:rFonts w:cs="FrankRuehl" w:hint="cs"/>
          <w:sz w:val="28"/>
          <w:szCs w:val="28"/>
          <w:rtl/>
        </w:rPr>
        <w:t xml:space="preserve">הנאשם 1 היכה את המתלונן 3 באמצעות האקדח ובעט בו. הנאשם 2 היכה את המתלונן 3 נמרצות באמצעות המערוך. הנאשמים פסקו ממעשיהם רק כאשר הבן, שניקה אותה עת את הסופר, הגיע לעזרת אביו כשבידו מקל של מגב. </w:t>
      </w:r>
    </w:p>
    <w:p w14:paraId="550CE9F6" w14:textId="77777777" w:rsidR="00B7496C" w:rsidRDefault="00B7496C">
      <w:pPr>
        <w:spacing w:line="360" w:lineRule="auto"/>
        <w:ind w:left="720"/>
        <w:jc w:val="both"/>
        <w:rPr>
          <w:rFonts w:cs="FrankRuehl"/>
          <w:sz w:val="28"/>
          <w:szCs w:val="28"/>
          <w:rtl/>
        </w:rPr>
      </w:pPr>
    </w:p>
    <w:p w14:paraId="6B785CF4" w14:textId="77777777" w:rsidR="00B7496C" w:rsidRDefault="005F607C">
      <w:pPr>
        <w:spacing w:line="360" w:lineRule="auto"/>
        <w:ind w:left="720"/>
        <w:jc w:val="both"/>
        <w:rPr>
          <w:rFonts w:cs="FrankRuehl"/>
          <w:sz w:val="28"/>
          <w:szCs w:val="28"/>
          <w:rtl/>
        </w:rPr>
      </w:pPr>
      <w:r>
        <w:rPr>
          <w:rFonts w:cs="FrankRuehl" w:hint="cs"/>
          <w:sz w:val="28"/>
          <w:szCs w:val="28"/>
          <w:rtl/>
        </w:rPr>
        <w:t>הנאשמים רצו לכיוון הקטנוע, כאשר המתלונן 3 ובנו רצים אחריהם. משהתקרבו המתלונן 3 ובנו לנאשמים, כיוון הנאשם 1 את האקדח הטעון לכיוונם. הנאשמים נמלטו מהמקום רכובים על הקטנוע בו נהג הנאשם 2.</w:t>
      </w:r>
    </w:p>
    <w:p w14:paraId="0392EDA3" w14:textId="77777777" w:rsidR="00B7496C" w:rsidRDefault="00B7496C">
      <w:pPr>
        <w:spacing w:line="360" w:lineRule="auto"/>
        <w:ind w:left="720"/>
        <w:jc w:val="both"/>
        <w:rPr>
          <w:rFonts w:cs="FrankRuehl"/>
          <w:sz w:val="28"/>
          <w:szCs w:val="28"/>
          <w:rtl/>
        </w:rPr>
      </w:pPr>
    </w:p>
    <w:p w14:paraId="36B33665" w14:textId="77777777" w:rsidR="00B7496C" w:rsidRDefault="005F607C">
      <w:pPr>
        <w:spacing w:line="360" w:lineRule="auto"/>
        <w:ind w:left="720"/>
        <w:jc w:val="both"/>
        <w:rPr>
          <w:rFonts w:cs="FrankRuehl"/>
          <w:sz w:val="28"/>
          <w:szCs w:val="28"/>
          <w:rtl/>
        </w:rPr>
      </w:pPr>
      <w:r>
        <w:rPr>
          <w:rFonts w:cs="FrankRuehl" w:hint="cs"/>
          <w:sz w:val="28"/>
          <w:szCs w:val="28"/>
          <w:rtl/>
        </w:rPr>
        <w:t xml:space="preserve">כתוצאה מהתקיפה נגרמו למתלונן 3 חתך עמוק בראשו בצד ימין, המטומות באמה הימנית ובשוק הימני, ביד שמאל וברגל שמאל, וכאבים עזים בכל חלקי גופו והוא פונה לבית החולים "אסף הרופא" לקבלת לטיפול רפואי. </w:t>
      </w:r>
    </w:p>
    <w:p w14:paraId="143A92AA" w14:textId="77777777" w:rsidR="00B7496C" w:rsidRDefault="00B7496C">
      <w:pPr>
        <w:spacing w:line="360" w:lineRule="auto"/>
        <w:ind w:left="720"/>
        <w:jc w:val="both"/>
        <w:rPr>
          <w:rFonts w:cs="FrankRuehl"/>
          <w:sz w:val="28"/>
          <w:szCs w:val="28"/>
          <w:rtl/>
        </w:rPr>
      </w:pPr>
    </w:p>
    <w:p w14:paraId="261952A9" w14:textId="77777777" w:rsidR="00B7496C" w:rsidRDefault="005F607C">
      <w:pPr>
        <w:spacing w:line="360" w:lineRule="auto"/>
        <w:ind w:left="720"/>
        <w:jc w:val="both"/>
        <w:rPr>
          <w:rFonts w:cs="FrankRuehl"/>
          <w:sz w:val="28"/>
          <w:szCs w:val="28"/>
          <w:rtl/>
        </w:rPr>
      </w:pPr>
      <w:r>
        <w:rPr>
          <w:rFonts w:cs="FrankRuehl" w:hint="cs"/>
          <w:sz w:val="28"/>
          <w:szCs w:val="28"/>
          <w:rtl/>
        </w:rPr>
        <w:t xml:space="preserve">סמוך לאחר המתואר לעיל, עטף הנאשם 1 את האקדח בחולצה שחורה ובשקית לבנה והסליק אותו כשהוא טעון במחסנית ו- 15 כדורים 9 מ"מ, בין השיחים בסמוך לבית מס'  5 ברח' קפליסקי בחולון. </w:t>
      </w:r>
    </w:p>
    <w:p w14:paraId="3484DB23" w14:textId="77777777" w:rsidR="00B7496C" w:rsidRDefault="00B7496C">
      <w:pPr>
        <w:spacing w:line="360" w:lineRule="auto"/>
        <w:jc w:val="both"/>
        <w:rPr>
          <w:rFonts w:cs="FrankRuehl"/>
          <w:b/>
          <w:bCs/>
          <w:sz w:val="28"/>
          <w:szCs w:val="28"/>
          <w:u w:val="single"/>
          <w:rtl/>
        </w:rPr>
      </w:pPr>
    </w:p>
    <w:p w14:paraId="67D79AF7" w14:textId="77777777" w:rsidR="00B7496C" w:rsidRDefault="005F607C">
      <w:pPr>
        <w:spacing w:line="360" w:lineRule="auto"/>
        <w:jc w:val="both"/>
        <w:rPr>
          <w:rFonts w:cs="FrankRuehl"/>
          <w:b/>
          <w:bCs/>
          <w:sz w:val="28"/>
          <w:szCs w:val="28"/>
          <w:u w:val="single"/>
          <w:rtl/>
        </w:rPr>
      </w:pPr>
      <w:r>
        <w:rPr>
          <w:rFonts w:cs="FrankRuehl" w:hint="cs"/>
          <w:b/>
          <w:bCs/>
          <w:sz w:val="28"/>
          <w:szCs w:val="28"/>
          <w:u w:val="single"/>
          <w:rtl/>
        </w:rPr>
        <w:t>תסקירי שירות המבחן</w:t>
      </w:r>
    </w:p>
    <w:p w14:paraId="5560D9FC"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 xml:space="preserve">במסגרת ההסדר הדיוני הוסכם על הצדדים כי הנאשמים יופנו לשירות המבחן לקבלת תסקירים בעניינם. </w:t>
      </w:r>
    </w:p>
    <w:p w14:paraId="7F9773BB" w14:textId="77777777" w:rsidR="00B7496C" w:rsidRDefault="005F607C">
      <w:pPr>
        <w:spacing w:line="360" w:lineRule="auto"/>
        <w:jc w:val="both"/>
        <w:rPr>
          <w:rFonts w:cs="FrankRuehl"/>
          <w:sz w:val="28"/>
          <w:szCs w:val="28"/>
          <w:u w:val="single"/>
          <w:rtl/>
        </w:rPr>
      </w:pPr>
      <w:r>
        <w:rPr>
          <w:rFonts w:cs="FrankRuehl" w:hint="cs"/>
          <w:sz w:val="28"/>
          <w:szCs w:val="28"/>
          <w:u w:val="single"/>
          <w:rtl/>
        </w:rPr>
        <w:t>תסקיר שירות המבחן בעניינו של נאשם 1</w:t>
      </w:r>
    </w:p>
    <w:p w14:paraId="703FCF4E" w14:textId="77777777" w:rsidR="00B7496C" w:rsidRDefault="00B7496C">
      <w:pPr>
        <w:spacing w:line="360" w:lineRule="auto"/>
        <w:jc w:val="both"/>
        <w:rPr>
          <w:rFonts w:cs="FrankRuehl"/>
          <w:sz w:val="28"/>
          <w:szCs w:val="28"/>
          <w:u w:val="single"/>
        </w:rPr>
      </w:pPr>
    </w:p>
    <w:p w14:paraId="5B00E5A3"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 xml:space="preserve">מתסקיר שירות המבחן בעניינו של הנאשם 1 עולה כי הוא אלמן בן 42, ואב לשני ילדים בגילאי 17 ו-19. מאז מעצרו מתגוררים ילדיו בבית הסבים ביפו. </w:t>
      </w:r>
    </w:p>
    <w:p w14:paraId="4C767342" w14:textId="77777777" w:rsidR="00B7496C" w:rsidRDefault="00B7496C">
      <w:pPr>
        <w:pStyle w:val="ListParagraph"/>
        <w:spacing w:line="360" w:lineRule="auto"/>
        <w:jc w:val="both"/>
        <w:rPr>
          <w:rFonts w:cs="FrankRuehl"/>
          <w:sz w:val="28"/>
          <w:szCs w:val="28"/>
        </w:rPr>
      </w:pPr>
    </w:p>
    <w:p w14:paraId="77308B08"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הנאשם 1 עלה ארצה בגפו בעקבות אחיו ובהמשך עלו גם הוריו לארץ. שירת שירות צבאי חלקי ושוחרר לדבריו בשל "אי התאמה", על רקע קשיים כלכליים במשפחתו. לאחר שחרורו עבד בארץ תקופה קצרה, ולאחריה נישא ועזב את הארץ עם משפחתו לבולגריה, שם פתח נגרייה והתגורר כעשר שנים, עד מות אשתו ממחלה ממארת. </w:t>
      </w:r>
    </w:p>
    <w:p w14:paraId="1C52ACDE" w14:textId="77777777" w:rsidR="00B7496C" w:rsidRDefault="00B7496C">
      <w:pPr>
        <w:pStyle w:val="ListParagraph"/>
        <w:spacing w:line="360" w:lineRule="auto"/>
        <w:jc w:val="both"/>
        <w:rPr>
          <w:rFonts w:cs="FrankRuehl"/>
          <w:sz w:val="28"/>
          <w:szCs w:val="28"/>
          <w:rtl/>
        </w:rPr>
      </w:pPr>
    </w:p>
    <w:p w14:paraId="2ABE76F9" w14:textId="77777777" w:rsidR="00B7496C" w:rsidRDefault="00B7496C">
      <w:pPr>
        <w:pStyle w:val="ListParagraph"/>
        <w:spacing w:line="360" w:lineRule="auto"/>
        <w:jc w:val="both"/>
        <w:rPr>
          <w:rFonts w:cs="FrankRuehl"/>
          <w:sz w:val="28"/>
          <w:szCs w:val="28"/>
          <w:rtl/>
        </w:rPr>
      </w:pPr>
    </w:p>
    <w:p w14:paraId="67E6FC61" w14:textId="77777777" w:rsidR="00B7496C" w:rsidRDefault="005F607C">
      <w:pPr>
        <w:pStyle w:val="ListParagraph"/>
        <w:spacing w:line="360" w:lineRule="auto"/>
        <w:jc w:val="both"/>
        <w:rPr>
          <w:rFonts w:cs="FrankRuehl"/>
          <w:sz w:val="28"/>
          <w:szCs w:val="28"/>
        </w:rPr>
      </w:pPr>
      <w:r>
        <w:rPr>
          <w:rFonts w:cs="FrankRuehl" w:hint="cs"/>
          <w:sz w:val="28"/>
          <w:szCs w:val="28"/>
          <w:rtl/>
        </w:rPr>
        <w:t xml:space="preserve">בשנת 2006 חזר ארצה עם ילדיו והקים עסק לבניית קירות גבס, אלא שעסקו נקלע לחובות, ומאז ועד מעצרו עבד בעבודות מזדמנות בלבד. </w:t>
      </w:r>
    </w:p>
    <w:p w14:paraId="236D11D9" w14:textId="77777777" w:rsidR="00B7496C" w:rsidRDefault="00B7496C">
      <w:pPr>
        <w:pStyle w:val="ListParagraph"/>
        <w:spacing w:line="360" w:lineRule="auto"/>
        <w:jc w:val="both"/>
        <w:rPr>
          <w:rFonts w:cs="FrankRuehl"/>
          <w:sz w:val="28"/>
          <w:szCs w:val="28"/>
        </w:rPr>
      </w:pPr>
    </w:p>
    <w:p w14:paraId="2A5267EF" w14:textId="77777777" w:rsidR="00B7496C" w:rsidRDefault="005F607C">
      <w:pPr>
        <w:pStyle w:val="ListParagraph"/>
        <w:spacing w:line="360" w:lineRule="auto"/>
        <w:jc w:val="both"/>
        <w:rPr>
          <w:rFonts w:cs="FrankRuehl"/>
          <w:sz w:val="28"/>
          <w:szCs w:val="28"/>
          <w:rtl/>
        </w:rPr>
      </w:pPr>
      <w:r>
        <w:rPr>
          <w:rFonts w:cs="FrankRuehl" w:hint="cs"/>
          <w:sz w:val="28"/>
          <w:szCs w:val="28"/>
          <w:rtl/>
        </w:rPr>
        <w:t>כשלוש שנים טרם מעצרו קיים קשר זוגי קבוע והתגורר עם בת זוגו, לה ארבעה ילדים מקשרים קודמים וביחד גדלו את ילדיהם.</w:t>
      </w:r>
    </w:p>
    <w:p w14:paraId="3669F4D8" w14:textId="77777777" w:rsidR="00B7496C" w:rsidRDefault="005F607C">
      <w:pPr>
        <w:spacing w:line="360" w:lineRule="auto"/>
        <w:ind w:left="720"/>
        <w:jc w:val="both"/>
        <w:rPr>
          <w:rFonts w:cs="FrankRuehl"/>
          <w:sz w:val="28"/>
          <w:szCs w:val="28"/>
          <w:rtl/>
        </w:rPr>
      </w:pPr>
      <w:r>
        <w:rPr>
          <w:rFonts w:cs="FrankRuehl" w:hint="cs"/>
          <w:sz w:val="28"/>
          <w:szCs w:val="28"/>
          <w:rtl/>
        </w:rPr>
        <w:t xml:space="preserve">מעיון בגיליון רישומו הפלילי עולה כי מדובר במעורבותו הראשונה בפלילים, אם כי מדיווחיו של הנאשם 1 עלה כי בשנים האחרונות ניהל אורח חיים חסר יציבות כשברקע הימורים, חובות כספיים וקשרים עם גורמים עברייניים. שירות המבחן התרשם מקיומם של אימפולסיביות והתנהגות אלימה במצבי דחק ויכולת נמוכה לאמפתיה לאחר. בשל כך הוערכה בשלב המעצר רמת סיכון בינונית למעורבות בהתנהלות אלימה חוזרת, שחומרת תוצאותיה גבוהה ועל כן לא הומלץ על שחרורו ממעצר. </w:t>
      </w:r>
    </w:p>
    <w:p w14:paraId="19E2E514" w14:textId="77777777" w:rsidR="00B7496C" w:rsidRDefault="00B7496C">
      <w:pPr>
        <w:spacing w:line="360" w:lineRule="auto"/>
        <w:ind w:left="720"/>
        <w:jc w:val="both"/>
        <w:rPr>
          <w:rFonts w:cs="FrankRuehl"/>
          <w:sz w:val="28"/>
          <w:szCs w:val="28"/>
          <w:rtl/>
        </w:rPr>
      </w:pPr>
    </w:p>
    <w:p w14:paraId="307AE53E" w14:textId="77777777" w:rsidR="00B7496C" w:rsidRDefault="005F607C">
      <w:pPr>
        <w:spacing w:line="360" w:lineRule="auto"/>
        <w:ind w:left="720"/>
        <w:jc w:val="both"/>
        <w:rPr>
          <w:rFonts w:cs="FrankRuehl"/>
          <w:sz w:val="28"/>
          <w:szCs w:val="28"/>
          <w:rtl/>
        </w:rPr>
      </w:pPr>
      <w:r>
        <w:rPr>
          <w:rFonts w:cs="FrankRuehl" w:hint="cs"/>
          <w:sz w:val="28"/>
          <w:szCs w:val="28"/>
          <w:rtl/>
        </w:rPr>
        <w:t xml:space="preserve">במפגש חוזר עם הנאשם 1 במהלך מעצרו התקבל הרושם כי החל לבחון באופן ראשוני את התנהלותו והשלכותיה, ואף ביטא צורך בעזרת הגורמים המקצועיים ונכונות להשתלב בטיפול באלימות, אלא שהשתתפותו בקבוצת שליטה בכעסים הופסקה לאחר היעדרויותיו ממפגשים. </w:t>
      </w:r>
    </w:p>
    <w:p w14:paraId="75B93F1B" w14:textId="77777777" w:rsidR="00B7496C" w:rsidRDefault="00B7496C">
      <w:pPr>
        <w:spacing w:line="360" w:lineRule="auto"/>
        <w:ind w:left="720"/>
        <w:jc w:val="both"/>
        <w:rPr>
          <w:rFonts w:cs="FrankRuehl"/>
          <w:sz w:val="28"/>
          <w:szCs w:val="28"/>
          <w:rtl/>
        </w:rPr>
      </w:pPr>
    </w:p>
    <w:p w14:paraId="5EB6E8DE" w14:textId="77777777" w:rsidR="00B7496C" w:rsidRDefault="005F607C">
      <w:pPr>
        <w:spacing w:line="360" w:lineRule="auto"/>
        <w:ind w:left="720"/>
        <w:jc w:val="both"/>
        <w:rPr>
          <w:rFonts w:cs="FrankRuehl"/>
          <w:sz w:val="28"/>
          <w:szCs w:val="28"/>
          <w:rtl/>
        </w:rPr>
      </w:pPr>
      <w:r>
        <w:rPr>
          <w:rFonts w:cs="FrankRuehl" w:hint="cs"/>
          <w:sz w:val="28"/>
          <w:szCs w:val="28"/>
          <w:rtl/>
        </w:rPr>
        <w:t xml:space="preserve">במפגש האחרון עימו חל שיפור מסוים ביכולתו להתייחס לחומרת העבירות ולאחריותו, ביטא אמפתיה למתלוננים, ונתקבל הרושם כי קיימת כיום יכולת טובה יותר לתהליך טיפולי מעמיק. </w:t>
      </w:r>
    </w:p>
    <w:p w14:paraId="2A106271" w14:textId="77777777" w:rsidR="00B7496C" w:rsidRDefault="00B7496C">
      <w:pPr>
        <w:spacing w:line="360" w:lineRule="auto"/>
        <w:ind w:left="720"/>
        <w:jc w:val="both"/>
        <w:rPr>
          <w:rFonts w:cs="FrankRuehl"/>
          <w:sz w:val="28"/>
          <w:szCs w:val="28"/>
          <w:rtl/>
        </w:rPr>
      </w:pPr>
    </w:p>
    <w:p w14:paraId="519D6211" w14:textId="77777777" w:rsidR="00B7496C" w:rsidRDefault="005F607C">
      <w:pPr>
        <w:spacing w:line="360" w:lineRule="auto"/>
        <w:ind w:left="720"/>
        <w:jc w:val="both"/>
        <w:rPr>
          <w:rFonts w:cs="FrankRuehl"/>
          <w:sz w:val="28"/>
          <w:szCs w:val="28"/>
          <w:rtl/>
        </w:rPr>
      </w:pPr>
      <w:r>
        <w:rPr>
          <w:rFonts w:cs="FrankRuehl" w:hint="cs"/>
          <w:sz w:val="28"/>
          <w:szCs w:val="28"/>
          <w:rtl/>
        </w:rPr>
        <w:t>בהתחשב מחד בכך שמדובר במעורבותו היחידה בפלילים, ותפקודו היה תקין על אף קשיים רבים שחווה, ומאידך בהערכת המסוכנות, המבוססת על אלימות ואימפולסיביות, ובכך שהנאשם 1 הסתגל היטב לתנאי מאסרו וחלה התקדמות בקשר שלו עם גורמי הטיפול, המליץ שירות המבחן להטיל עליו ענישה מציבת גבול כמאסר, שמהלכו מומלץ כי ישולב בהליך שיקומי במסגרת שב"ס.</w:t>
      </w:r>
    </w:p>
    <w:p w14:paraId="1DC7F7ED" w14:textId="77777777" w:rsidR="00B7496C" w:rsidRDefault="005F607C">
      <w:pPr>
        <w:spacing w:line="360" w:lineRule="auto"/>
        <w:jc w:val="both"/>
        <w:rPr>
          <w:rFonts w:cs="FrankRuehl"/>
          <w:sz w:val="28"/>
          <w:szCs w:val="28"/>
          <w:u w:val="single"/>
          <w:rtl/>
        </w:rPr>
      </w:pPr>
      <w:r>
        <w:rPr>
          <w:rFonts w:cs="FrankRuehl" w:hint="cs"/>
          <w:sz w:val="28"/>
          <w:szCs w:val="28"/>
          <w:u w:val="single"/>
          <w:rtl/>
        </w:rPr>
        <w:t>תסקיר שירות המבחן בעניינו של נאשם 2</w:t>
      </w:r>
    </w:p>
    <w:p w14:paraId="1B7EF918" w14:textId="77777777" w:rsidR="00B7496C" w:rsidRDefault="00B7496C">
      <w:pPr>
        <w:spacing w:line="360" w:lineRule="auto"/>
        <w:jc w:val="both"/>
        <w:rPr>
          <w:rFonts w:cs="FrankRuehl"/>
          <w:sz w:val="28"/>
          <w:szCs w:val="28"/>
          <w:u w:val="single"/>
          <w:rtl/>
        </w:rPr>
      </w:pPr>
    </w:p>
    <w:p w14:paraId="7126D7D2"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 xml:space="preserve">מתסקיר שירות המבחן בעניינו של הנאשם 2 עולה, כי הוא רווק בן 22, אביו ניתק הקשר עמו ועם אמו עת היה בן 3 שנים. האם חולה בסכרת ומתקיימת מקצבת נכות ומסיוע של בני משפחתה, הנאשם 2 סיים 12 שנות לימוד והיה בתום שירותו הצבאי עת ביצע את העבירות נשוא תיק זה. במהלך שירותו הצבאי ולאחר שחרורו ממעצר בתיק זה, עבד הנאשם 2 בחנות בגדים והוערך בצורה חיובית על ידי מעסיקיו. </w:t>
      </w:r>
    </w:p>
    <w:p w14:paraId="7A3285C7" w14:textId="77777777" w:rsidR="00B7496C" w:rsidRDefault="00B7496C">
      <w:pPr>
        <w:pStyle w:val="ListParagraph"/>
        <w:spacing w:line="360" w:lineRule="auto"/>
        <w:jc w:val="both"/>
        <w:rPr>
          <w:rFonts w:cs="FrankRuehl"/>
          <w:sz w:val="28"/>
          <w:szCs w:val="28"/>
        </w:rPr>
      </w:pPr>
    </w:p>
    <w:p w14:paraId="7F43121C"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מעיון בגיליון רישומו הפלילי עולה כי מדובר במעורבותו הראשונה בפלילים, ורמת הסיכון למעורבות חוזרת בעבירות אלימות הוערכה כנמוכה. בנסיבות אלה שוחרר נאשם 2 למעצר בית מלא, שולב בפיקוח מעצר של שירות המבחן במסגרתו שולב בקבוצה לעצורי בית, התקבל הרושם כי הסיכון להישנות עבירות הצטמצם והומלץ על יציאתו לעבודה. לבקשת הנאשם 2 הוארכה תקופת הפיקוח, והרושם הינו כי נאשם 2 הצליח לעבור תהליך התבגרות, נכונות להיחשף ולקבל ביקורת ומוטיבציה לשנות את דפוסי חשיבתו המסוכנים. </w:t>
      </w:r>
    </w:p>
    <w:p w14:paraId="4B1AAEE3" w14:textId="77777777" w:rsidR="00B7496C" w:rsidRDefault="00B7496C">
      <w:pPr>
        <w:pStyle w:val="ListParagraph"/>
        <w:spacing w:line="360" w:lineRule="auto"/>
        <w:jc w:val="both"/>
        <w:rPr>
          <w:rFonts w:cs="FrankRuehl"/>
          <w:sz w:val="28"/>
          <w:szCs w:val="28"/>
          <w:rtl/>
        </w:rPr>
      </w:pPr>
    </w:p>
    <w:p w14:paraId="59B417E6" w14:textId="77777777" w:rsidR="00B7496C" w:rsidRDefault="005F607C">
      <w:pPr>
        <w:pStyle w:val="ListParagraph"/>
        <w:spacing w:line="360" w:lineRule="auto"/>
        <w:jc w:val="both"/>
        <w:rPr>
          <w:rFonts w:cs="FrankRuehl"/>
          <w:sz w:val="28"/>
          <w:szCs w:val="28"/>
          <w:rtl/>
        </w:rPr>
      </w:pPr>
      <w:r>
        <w:rPr>
          <w:rFonts w:cs="FrankRuehl" w:hint="cs"/>
          <w:sz w:val="28"/>
          <w:szCs w:val="28"/>
          <w:rtl/>
        </w:rPr>
        <w:t>ביחס לעבירות מסר נאשם 2 כי ביצען יחד עם נאשם 1, בו ראה דמות אבהית, וכי המעשים בוצעו לאור הרעה במצבה הרפואי של אמו וקושי במימון התרופות הדרושות לה.</w:t>
      </w:r>
    </w:p>
    <w:p w14:paraId="6D05BFCC" w14:textId="77777777" w:rsidR="00B7496C" w:rsidRDefault="00B7496C">
      <w:pPr>
        <w:pStyle w:val="ListParagraph"/>
        <w:spacing w:line="360" w:lineRule="auto"/>
        <w:jc w:val="both"/>
        <w:rPr>
          <w:rFonts w:cs="FrankRuehl"/>
          <w:sz w:val="28"/>
          <w:szCs w:val="28"/>
          <w:rtl/>
        </w:rPr>
      </w:pPr>
    </w:p>
    <w:p w14:paraId="109BEEDF"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הנאשם 2 הכיר בבעייתיות שבמעשיו, גילה אמפתיה למתלוננים, הביע רצון להחזיר לנפגעים את הכסף שלקח והכיר בנזקים שהסב למתלוננים. כן הביע רצון להמשיך בהליך הטיפולי. </w:t>
      </w:r>
    </w:p>
    <w:p w14:paraId="49279AEE" w14:textId="77777777" w:rsidR="00B7496C" w:rsidRDefault="00B7496C">
      <w:pPr>
        <w:pStyle w:val="ListParagraph"/>
        <w:spacing w:line="360" w:lineRule="auto"/>
        <w:jc w:val="both"/>
        <w:rPr>
          <w:rFonts w:cs="FrankRuehl"/>
          <w:sz w:val="28"/>
          <w:szCs w:val="28"/>
          <w:rtl/>
        </w:rPr>
      </w:pPr>
    </w:p>
    <w:p w14:paraId="0F6F85F7"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בהתחשב בנזק החמור שבעבירות, בהתדרדרותו המהירה של הנאשם 2 לפלילים ולביצוע עבירות חוזרות בפרק זמן קצר, בהימצאותו בקשר חברתי עם עוברי חוק ובבחירה באפשרויות העברייניות מחד, וברקע הנורמטיבי של הנאשם 2, בגילו הצעיר, בקיומה של מערכת תמיכה משפחתית רחבה, ובהליך הטיפולי הממושך אותו עבר הנאשם 2 במהלך תקופת הפיקוח מאידך, כמו גם בהערכת שירות המבחן כי מדובר במוטיבציה כנה וכי ביכולתו של הנאשם 2 להפיק תועלת מהתהליך הטיפולי, המליץ שירות המבחן במקרה זה להעדיף את הפן השיקומי, להטיל על הנאשם 2 עונש שירוצה בעבודות שירות לצד העמדתו בצו מבחן למשך שנה וחצי, במסגרתו ישתלב בקבוצה  טיפולית לצעירים עוברי חוק, כמו גם הטלת פיצויים לנפגעי העבירות. </w:t>
      </w:r>
    </w:p>
    <w:p w14:paraId="4472FE9E" w14:textId="77777777" w:rsidR="00B7496C" w:rsidRDefault="00B7496C">
      <w:pPr>
        <w:pStyle w:val="ListParagraph"/>
        <w:spacing w:line="360" w:lineRule="auto"/>
        <w:jc w:val="both"/>
        <w:rPr>
          <w:rFonts w:cs="FrankRuehl"/>
          <w:sz w:val="28"/>
          <w:szCs w:val="28"/>
          <w:rtl/>
        </w:rPr>
      </w:pPr>
    </w:p>
    <w:p w14:paraId="0A9EBB7C"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בשולי התסקיר הומלץ, כי במידה ובית המשפט לא ימצא לאמץ את המלצות התסקיר, ויטיל על הנאשם עונש מאסר בפועל, תהא בגזר הדין המלצה על שילובו של הנאשם 2 בכלא בעל אפיק טיפולי, על מנת שיוכל להמשיך בהליך הטיפולי בו החל. </w:t>
      </w:r>
    </w:p>
    <w:p w14:paraId="068B2D7C" w14:textId="77777777" w:rsidR="00B7496C" w:rsidRDefault="005F607C">
      <w:pPr>
        <w:spacing w:line="360" w:lineRule="auto"/>
        <w:jc w:val="both"/>
        <w:rPr>
          <w:rFonts w:cs="FrankRuehl"/>
          <w:b/>
          <w:bCs/>
          <w:sz w:val="28"/>
          <w:szCs w:val="28"/>
          <w:u w:val="single"/>
          <w:rtl/>
        </w:rPr>
      </w:pPr>
      <w:r>
        <w:rPr>
          <w:rFonts w:cs="FrankRuehl" w:hint="cs"/>
          <w:b/>
          <w:bCs/>
          <w:sz w:val="28"/>
          <w:szCs w:val="28"/>
          <w:u w:val="single"/>
          <w:rtl/>
        </w:rPr>
        <w:t>טיעוני ב"כ הצדדים</w:t>
      </w:r>
    </w:p>
    <w:p w14:paraId="245CB2AF" w14:textId="77777777" w:rsidR="00B7496C" w:rsidRDefault="00B7496C">
      <w:pPr>
        <w:spacing w:line="360" w:lineRule="auto"/>
        <w:jc w:val="both"/>
        <w:rPr>
          <w:rFonts w:cs="FrankRuehl"/>
          <w:b/>
          <w:bCs/>
          <w:sz w:val="28"/>
          <w:szCs w:val="28"/>
          <w:u w:val="single"/>
          <w:rtl/>
        </w:rPr>
      </w:pPr>
    </w:p>
    <w:p w14:paraId="133FA5BD" w14:textId="77777777" w:rsidR="00B7496C" w:rsidRDefault="005F607C">
      <w:pPr>
        <w:pStyle w:val="ListParagraph"/>
        <w:numPr>
          <w:ilvl w:val="0"/>
          <w:numId w:val="1"/>
        </w:numPr>
        <w:spacing w:line="360" w:lineRule="auto"/>
        <w:jc w:val="both"/>
        <w:rPr>
          <w:rFonts w:cs="FrankRuehl"/>
          <w:sz w:val="28"/>
          <w:szCs w:val="28"/>
        </w:rPr>
      </w:pPr>
      <w:r>
        <w:rPr>
          <w:rFonts w:cs="FrankRuehl" w:hint="cs"/>
          <w:sz w:val="28"/>
          <w:szCs w:val="28"/>
          <w:rtl/>
        </w:rPr>
        <w:t xml:space="preserve">ב"כ המאשימה הגיש במסגרת ראיותיו לעונש את מכתבו של מתן חזן, המתלונן 2, ממנו עולה כי בעקבות האירוע הוא סובל מפחדים וחששות, כי אינו מסוגל לעבוד לבדו בבית העסק בלילות, כי כל רעש ברחוב מפחיד אותו, וכי הוא זקוק לליווי עת חוזר הוא לביתו מעבודתו. </w:t>
      </w:r>
    </w:p>
    <w:p w14:paraId="0BC6060D" w14:textId="77777777" w:rsidR="00B7496C" w:rsidRDefault="00B7496C">
      <w:pPr>
        <w:pStyle w:val="ListParagraph"/>
        <w:spacing w:line="360" w:lineRule="auto"/>
        <w:jc w:val="both"/>
        <w:rPr>
          <w:rFonts w:cs="FrankRuehl"/>
          <w:sz w:val="28"/>
          <w:szCs w:val="28"/>
          <w:rtl/>
        </w:rPr>
      </w:pPr>
    </w:p>
    <w:p w14:paraId="46E2D1A7" w14:textId="77777777" w:rsidR="00B7496C" w:rsidRDefault="005F607C">
      <w:pPr>
        <w:pStyle w:val="ListParagraph"/>
        <w:spacing w:line="360" w:lineRule="auto"/>
        <w:jc w:val="both"/>
        <w:rPr>
          <w:rFonts w:cs="FrankRuehl"/>
          <w:sz w:val="28"/>
          <w:szCs w:val="28"/>
        </w:rPr>
      </w:pPr>
      <w:r>
        <w:rPr>
          <w:rFonts w:cs="FrankRuehl" w:hint="cs"/>
          <w:sz w:val="28"/>
          <w:szCs w:val="28"/>
          <w:rtl/>
        </w:rPr>
        <w:t xml:space="preserve">כן הפנה ב"כ המאשימה לדיסק המתעד את האירוע באישום הרביעי, ממנו עולה תמונה של אלימות קשה ביותר בה נקטו הנאשמים 1 ו-2 כלפי המתלונן 3. </w:t>
      </w:r>
    </w:p>
    <w:p w14:paraId="0691BE9A" w14:textId="77777777" w:rsidR="00B7496C" w:rsidRDefault="00B7496C">
      <w:pPr>
        <w:pStyle w:val="ListParagraph"/>
        <w:spacing w:line="360" w:lineRule="auto"/>
        <w:jc w:val="both"/>
        <w:rPr>
          <w:rFonts w:cs="FrankRuehl"/>
          <w:sz w:val="28"/>
          <w:szCs w:val="28"/>
          <w:rtl/>
        </w:rPr>
      </w:pPr>
    </w:p>
    <w:p w14:paraId="2049BFA3"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לטענת ב"כ המאשימה יש להפריד בין האירועים השונים, המתייחסים כל אחד למתלונן אחר, ואשר לכל אחד מהם היבטי חומרה שונים, ולקבוע מתחם ענישה הולם לכל אירוע בנפרד:</w:t>
      </w:r>
    </w:p>
    <w:p w14:paraId="484991B4" w14:textId="77777777" w:rsidR="00B7496C" w:rsidRDefault="005F607C">
      <w:pPr>
        <w:pStyle w:val="ListParagraph"/>
        <w:numPr>
          <w:ilvl w:val="0"/>
          <w:numId w:val="4"/>
        </w:numPr>
        <w:spacing w:line="360" w:lineRule="auto"/>
        <w:jc w:val="both"/>
        <w:rPr>
          <w:rFonts w:cs="FrankRuehl"/>
          <w:sz w:val="28"/>
          <w:szCs w:val="28"/>
        </w:rPr>
      </w:pPr>
      <w:r>
        <w:rPr>
          <w:rFonts w:cs="FrankRuehl" w:hint="cs"/>
          <w:sz w:val="28"/>
          <w:szCs w:val="28"/>
          <w:u w:val="single"/>
          <w:rtl/>
        </w:rPr>
        <w:t>ביחס לאישום הראשון (לנאשם 1 בלבד)</w:t>
      </w:r>
      <w:r>
        <w:rPr>
          <w:rFonts w:cs="FrankRuehl" w:hint="cs"/>
          <w:sz w:val="28"/>
          <w:szCs w:val="28"/>
          <w:rtl/>
        </w:rPr>
        <w:t xml:space="preserve"> – החזקת נשק גנוב ותחמושת תקופה ממושכת, במקומות שונים, מתחם העונש הראוי הינו בין 12 ל-36 חודשים, כפי שנקבע ב</w:t>
      </w:r>
      <w:hyperlink r:id="rId44"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4945/13</w:t>
        </w:r>
      </w:hyperlink>
      <w:r>
        <w:rPr>
          <w:rFonts w:cs="FrankRuehl" w:hint="cs"/>
          <w:sz w:val="28"/>
          <w:szCs w:val="28"/>
          <w:rtl/>
        </w:rPr>
        <w:t xml:space="preserve"> מדינת ישראל נגד עבד אלכרים סלימאן וב</w:t>
      </w:r>
      <w:hyperlink r:id="rId45"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3288/14</w:t>
        </w:r>
      </w:hyperlink>
      <w:r>
        <w:rPr>
          <w:rFonts w:cs="FrankRuehl" w:hint="cs"/>
          <w:sz w:val="28"/>
          <w:szCs w:val="28"/>
          <w:rtl/>
        </w:rPr>
        <w:t xml:space="preserve"> מדינת ישראל נגד מרדכי מטיאל קריספיל.</w:t>
      </w:r>
    </w:p>
    <w:p w14:paraId="496776CA" w14:textId="77777777" w:rsidR="00B7496C" w:rsidRDefault="00B7496C">
      <w:pPr>
        <w:pStyle w:val="ListParagraph"/>
        <w:spacing w:line="360" w:lineRule="auto"/>
        <w:ind w:left="1080"/>
        <w:jc w:val="both"/>
        <w:rPr>
          <w:rFonts w:cs="FrankRuehl"/>
          <w:sz w:val="28"/>
          <w:szCs w:val="28"/>
        </w:rPr>
      </w:pPr>
    </w:p>
    <w:p w14:paraId="2144F967" w14:textId="77777777" w:rsidR="00B7496C" w:rsidRDefault="005F607C">
      <w:pPr>
        <w:pStyle w:val="ListParagraph"/>
        <w:numPr>
          <w:ilvl w:val="0"/>
          <w:numId w:val="4"/>
        </w:numPr>
        <w:spacing w:line="360" w:lineRule="auto"/>
        <w:jc w:val="both"/>
        <w:rPr>
          <w:rFonts w:cs="FrankRuehl"/>
          <w:sz w:val="28"/>
          <w:szCs w:val="28"/>
        </w:rPr>
      </w:pPr>
      <w:r>
        <w:rPr>
          <w:rFonts w:cs="FrankRuehl" w:hint="cs"/>
          <w:sz w:val="28"/>
          <w:szCs w:val="28"/>
          <w:u w:val="single"/>
          <w:rtl/>
        </w:rPr>
        <w:t>ביחס לאישומים השני והשלישי</w:t>
      </w:r>
      <w:r>
        <w:rPr>
          <w:rFonts w:cs="FrankRuehl" w:hint="cs"/>
          <w:sz w:val="28"/>
          <w:szCs w:val="28"/>
          <w:rtl/>
        </w:rPr>
        <w:t xml:space="preserve"> – שוד מזוין ומתוכנן, בצוותא, באמצעות נשק, תוך עשיית שימוש בנשק לשם איום, כאשר באישום השלישי אף היתה נקיטת אלימות פיזית כנגד המתלונן - מתחם העונש הראוי הינו בין 3 ל-6 שנות מאסר, כפי שנקבע ב</w:t>
      </w:r>
      <w:hyperlink r:id="rId46"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5368/14</w:t>
        </w:r>
      </w:hyperlink>
      <w:r>
        <w:rPr>
          <w:rFonts w:cs="FrankRuehl" w:hint="cs"/>
          <w:sz w:val="28"/>
          <w:szCs w:val="28"/>
          <w:rtl/>
        </w:rPr>
        <w:t xml:space="preserve"> ציון אברהם נגד מדינת ישראל, </w:t>
      </w:r>
      <w:hyperlink r:id="rId47"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9647/09</w:t>
        </w:r>
      </w:hyperlink>
      <w:r>
        <w:rPr>
          <w:rFonts w:cs="FrankRuehl" w:hint="cs"/>
          <w:sz w:val="28"/>
          <w:szCs w:val="28"/>
          <w:rtl/>
        </w:rPr>
        <w:t xml:space="preserve"> עוזי שור נגד מדינת ישראל, </w:t>
      </w:r>
      <w:hyperlink r:id="rId48" w:history="1">
        <w:r w:rsidRPr="005F607C">
          <w:rPr>
            <w:rFonts w:cs="FrankRuehl" w:hint="cs"/>
            <w:color w:val="0000FF"/>
            <w:sz w:val="28"/>
            <w:szCs w:val="28"/>
            <w:u w:val="single"/>
            <w:rtl/>
          </w:rPr>
          <w:t>ת</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w:t>
        </w:r>
        <w:r w:rsidRPr="005F607C">
          <w:rPr>
            <w:rFonts w:cs="FrankRuehl" w:hint="cs"/>
            <w:color w:val="0000FF"/>
            <w:sz w:val="28"/>
            <w:szCs w:val="28"/>
            <w:u w:val="single"/>
            <w:rtl/>
          </w:rPr>
          <w:t>מחוזי</w:t>
        </w:r>
        <w:r w:rsidRPr="005F607C">
          <w:rPr>
            <w:rFonts w:cs="FrankRuehl"/>
            <w:color w:val="0000FF"/>
            <w:sz w:val="28"/>
            <w:szCs w:val="28"/>
            <w:u w:val="single"/>
            <w:rtl/>
          </w:rPr>
          <w:t xml:space="preserve"> </w:t>
        </w:r>
        <w:r w:rsidRPr="005F607C">
          <w:rPr>
            <w:rFonts w:cs="FrankRuehl" w:hint="cs"/>
            <w:color w:val="0000FF"/>
            <w:sz w:val="28"/>
            <w:szCs w:val="28"/>
            <w:u w:val="single"/>
            <w:rtl/>
          </w:rPr>
          <w:t>חיפה</w:t>
        </w:r>
        <w:r w:rsidRPr="005F607C">
          <w:rPr>
            <w:rFonts w:cs="FrankRuehl"/>
            <w:color w:val="0000FF"/>
            <w:sz w:val="28"/>
            <w:szCs w:val="28"/>
            <w:u w:val="single"/>
            <w:rtl/>
          </w:rPr>
          <w:t>) 19912-11-12</w:t>
        </w:r>
      </w:hyperlink>
      <w:r>
        <w:rPr>
          <w:rFonts w:cs="FrankRuehl" w:hint="cs"/>
          <w:sz w:val="28"/>
          <w:szCs w:val="28"/>
          <w:rtl/>
        </w:rPr>
        <w:t xml:space="preserve"> מדינת ישראל נגד מאיר בן אבו.</w:t>
      </w:r>
    </w:p>
    <w:p w14:paraId="6E20ABF9" w14:textId="77777777" w:rsidR="00B7496C" w:rsidRDefault="005F607C">
      <w:pPr>
        <w:pStyle w:val="ListParagraph"/>
        <w:numPr>
          <w:ilvl w:val="0"/>
          <w:numId w:val="4"/>
        </w:numPr>
        <w:spacing w:line="360" w:lineRule="auto"/>
        <w:jc w:val="both"/>
        <w:rPr>
          <w:rFonts w:cs="FrankRuehl"/>
          <w:sz w:val="28"/>
          <w:szCs w:val="28"/>
        </w:rPr>
      </w:pPr>
      <w:r>
        <w:rPr>
          <w:rFonts w:cs="FrankRuehl" w:hint="cs"/>
          <w:sz w:val="28"/>
          <w:szCs w:val="28"/>
          <w:u w:val="single"/>
          <w:rtl/>
        </w:rPr>
        <w:t>ביחס לאישום הרביעי</w:t>
      </w:r>
      <w:r>
        <w:rPr>
          <w:rFonts w:cs="FrankRuehl" w:hint="cs"/>
          <w:sz w:val="28"/>
          <w:szCs w:val="28"/>
          <w:rtl/>
        </w:rPr>
        <w:t xml:space="preserve"> – מדובר באירוע שיצא לפועל לאחר תכנון מקדים, במסגרתו ננקטה אלימות בצוותא, תוך איום בנשק טעון, כאשר הנזק שעלול היה להיגרם הינו עצום. מדובר באירוע המצביע על דפוס עברייני. מתחם העונש הראוי הינו בין 18 ל-45 חודשי מאסר. </w:t>
      </w:r>
    </w:p>
    <w:p w14:paraId="76725B33" w14:textId="77777777" w:rsidR="00B7496C" w:rsidRDefault="00B7496C">
      <w:pPr>
        <w:pStyle w:val="ListParagraph"/>
        <w:spacing w:line="360" w:lineRule="auto"/>
        <w:ind w:left="1080"/>
        <w:jc w:val="both"/>
        <w:rPr>
          <w:rFonts w:cs="FrankRuehl"/>
          <w:sz w:val="28"/>
          <w:szCs w:val="28"/>
        </w:rPr>
      </w:pPr>
    </w:p>
    <w:p w14:paraId="1C21BB86" w14:textId="77777777" w:rsidR="00B7496C" w:rsidRDefault="005F607C">
      <w:pPr>
        <w:pStyle w:val="ListParagraph"/>
        <w:spacing w:line="360" w:lineRule="auto"/>
        <w:jc w:val="both"/>
        <w:rPr>
          <w:rFonts w:cs="FrankRuehl"/>
          <w:sz w:val="28"/>
          <w:szCs w:val="28"/>
        </w:rPr>
      </w:pPr>
      <w:r>
        <w:rPr>
          <w:rFonts w:cs="FrankRuehl" w:hint="cs"/>
          <w:sz w:val="28"/>
          <w:szCs w:val="28"/>
          <w:rtl/>
        </w:rPr>
        <w:t xml:space="preserve">בשים לב למתחמי הענישה ולנתוניו של הנאשם 1, הודאתו והיעדר עבר פלילי מחד, ומסוכנות והיעדר המלצה טיפולית מאידך, עתר ב"כ המאשימה להטיל על נאשם 1 עונש של 6 שנות מאסר, פיצוי למתלוננים ומאסר מותנה. </w:t>
      </w:r>
    </w:p>
    <w:p w14:paraId="5523D13B" w14:textId="77777777" w:rsidR="00B7496C" w:rsidRDefault="00B7496C">
      <w:pPr>
        <w:pStyle w:val="ListParagraph"/>
        <w:spacing w:line="360" w:lineRule="auto"/>
        <w:jc w:val="both"/>
        <w:rPr>
          <w:rFonts w:cs="FrankRuehl"/>
          <w:sz w:val="28"/>
          <w:szCs w:val="28"/>
        </w:rPr>
      </w:pPr>
    </w:p>
    <w:p w14:paraId="5A1E9E32" w14:textId="77777777" w:rsidR="00B7496C" w:rsidRDefault="005F607C">
      <w:pPr>
        <w:pStyle w:val="ListParagraph"/>
        <w:spacing w:line="360" w:lineRule="auto"/>
        <w:jc w:val="both"/>
        <w:rPr>
          <w:rFonts w:cs="FrankRuehl"/>
          <w:sz w:val="28"/>
          <w:szCs w:val="28"/>
        </w:rPr>
      </w:pPr>
      <w:r>
        <w:rPr>
          <w:rFonts w:cs="FrankRuehl" w:hint="cs"/>
          <w:sz w:val="28"/>
          <w:szCs w:val="28"/>
          <w:rtl/>
        </w:rPr>
        <w:t xml:space="preserve">בעניינו של הנאשם 2, לאור הודאתו, גילו הצעיר והיעדר עבר פלילי, עתר ב"כ המאשימה להטיל עליו עונש של 4.5 שנות מאסר, פיצוי למתלוננים, מאסר מותנה וחילוט הקטנוע באופן מוסכם. ב"כ המאשימה עמד על כך שעל אף שהנאשם 2 החל הליך טיפולי, הרי שבמקרה דנן מדובר במעשים חמורים דוגמת המקרה דנן, ובהתאם </w:t>
      </w:r>
      <w:hyperlink r:id="rId49" w:history="1">
        <w:r w:rsidR="00D80AA0" w:rsidRPr="00D80AA0">
          <w:rPr>
            <w:rFonts w:cs="FrankRuehl" w:hint="cs"/>
            <w:color w:val="0000FF"/>
            <w:sz w:val="28"/>
            <w:szCs w:val="28"/>
            <w:u w:val="single"/>
            <w:rtl/>
          </w:rPr>
          <w:t>לסעיף</w:t>
        </w:r>
        <w:r w:rsidR="00D80AA0" w:rsidRPr="00D80AA0">
          <w:rPr>
            <w:rFonts w:cs="FrankRuehl"/>
            <w:color w:val="0000FF"/>
            <w:sz w:val="28"/>
            <w:szCs w:val="28"/>
            <w:u w:val="single"/>
            <w:rtl/>
          </w:rPr>
          <w:t xml:space="preserve"> 40</w:t>
        </w:r>
        <w:r w:rsidR="00D80AA0" w:rsidRPr="00D80AA0">
          <w:rPr>
            <w:rFonts w:cs="FrankRuehl" w:hint="cs"/>
            <w:color w:val="0000FF"/>
            <w:sz w:val="28"/>
            <w:szCs w:val="28"/>
            <w:u w:val="single"/>
            <w:rtl/>
          </w:rPr>
          <w:t>ד</w:t>
        </w:r>
        <w:r w:rsidR="00D80AA0" w:rsidRPr="00D80AA0">
          <w:rPr>
            <w:rFonts w:cs="FrankRuehl"/>
            <w:color w:val="0000FF"/>
            <w:sz w:val="28"/>
            <w:szCs w:val="28"/>
            <w:u w:val="single"/>
            <w:rtl/>
          </w:rPr>
          <w:t>(</w:t>
        </w:r>
        <w:r w:rsidR="00D80AA0" w:rsidRPr="00D80AA0">
          <w:rPr>
            <w:rFonts w:cs="FrankRuehl" w:hint="cs"/>
            <w:color w:val="0000FF"/>
            <w:sz w:val="28"/>
            <w:szCs w:val="28"/>
            <w:u w:val="single"/>
            <w:rtl/>
          </w:rPr>
          <w:t>ב</w:t>
        </w:r>
        <w:r w:rsidR="00D80AA0" w:rsidRPr="00D80AA0">
          <w:rPr>
            <w:rFonts w:cs="FrankRuehl"/>
            <w:color w:val="0000FF"/>
            <w:sz w:val="28"/>
            <w:szCs w:val="28"/>
            <w:u w:val="single"/>
            <w:rtl/>
          </w:rPr>
          <w:t>)</w:t>
        </w:r>
      </w:hyperlink>
      <w:r>
        <w:rPr>
          <w:rFonts w:cs="FrankRuehl" w:hint="cs"/>
          <w:sz w:val="28"/>
          <w:szCs w:val="28"/>
          <w:rtl/>
        </w:rPr>
        <w:t xml:space="preserve"> לחוק, סטייה מהמתחם מטעמי שיקום תהיה במקרים חריגים בלבד. </w:t>
      </w:r>
    </w:p>
    <w:p w14:paraId="63A7D53B" w14:textId="77777777" w:rsidR="00B7496C" w:rsidRDefault="00B7496C">
      <w:pPr>
        <w:pStyle w:val="ListParagraph"/>
        <w:spacing w:line="360" w:lineRule="auto"/>
        <w:jc w:val="both"/>
        <w:rPr>
          <w:rFonts w:cs="FrankRuehl"/>
          <w:sz w:val="28"/>
          <w:szCs w:val="28"/>
        </w:rPr>
      </w:pPr>
    </w:p>
    <w:p w14:paraId="38AC15F2" w14:textId="77777777" w:rsidR="00B7496C" w:rsidRDefault="005F607C">
      <w:pPr>
        <w:pStyle w:val="ListParagraph"/>
        <w:numPr>
          <w:ilvl w:val="0"/>
          <w:numId w:val="1"/>
        </w:numPr>
        <w:spacing w:line="360" w:lineRule="auto"/>
        <w:jc w:val="both"/>
        <w:rPr>
          <w:rFonts w:cs="FrankRuehl"/>
          <w:sz w:val="28"/>
          <w:szCs w:val="28"/>
        </w:rPr>
      </w:pPr>
      <w:r>
        <w:rPr>
          <w:rFonts w:cs="FrankRuehl" w:hint="cs"/>
          <w:sz w:val="28"/>
          <w:szCs w:val="28"/>
          <w:rtl/>
        </w:rPr>
        <w:t xml:space="preserve">ב"כ נאשם 1 טען כי הנאשם 1 נעדר עבר פלילי, בן 42, אלמן, אב לשני ילדים בגילאי 17-19, אדם שכל חייו פרנס את משפחתו בכבוד למרות קשיים שחווה, כישלונות עסקיים ומות אשתו כתוצאה ממחלה קשה.  נטען, כי בצר לו פנה הנאשם 1 להימורים, בניסיון להרוויח סכום כספי, נוצרו חובות והלוואות בשוק האפור שהתקשה להחזיר, ומתוך מצוקה וניסיון לגרוף כסף קל ביצע את העבירות נשוא כתב האישום. </w:t>
      </w:r>
    </w:p>
    <w:p w14:paraId="3CD2B2C4" w14:textId="77777777" w:rsidR="00B7496C" w:rsidRDefault="00B7496C">
      <w:pPr>
        <w:pStyle w:val="ListParagraph"/>
        <w:spacing w:line="360" w:lineRule="auto"/>
        <w:jc w:val="both"/>
        <w:rPr>
          <w:rFonts w:cs="FrankRuehl"/>
          <w:sz w:val="28"/>
          <w:szCs w:val="28"/>
        </w:rPr>
      </w:pPr>
    </w:p>
    <w:p w14:paraId="7A20D879"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ב"כ הנאשם הדגיש כי בשני אירועי השוד המתוארים באישומים השני והשלישי, לא ננקטה מידה רבה של כוח, ומדובר במעידה אחת שכן מדובר ברצף של אירועים שהתרחשו בסמיכות זה לזה. </w:t>
      </w:r>
    </w:p>
    <w:p w14:paraId="591DA0E7" w14:textId="77777777" w:rsidR="00B7496C" w:rsidRDefault="00B7496C">
      <w:pPr>
        <w:pStyle w:val="ListParagraph"/>
        <w:spacing w:line="360" w:lineRule="auto"/>
        <w:jc w:val="both"/>
        <w:rPr>
          <w:rFonts w:cs="FrankRuehl"/>
          <w:sz w:val="28"/>
          <w:szCs w:val="28"/>
          <w:rtl/>
        </w:rPr>
      </w:pPr>
    </w:p>
    <w:p w14:paraId="60B29D00" w14:textId="77777777" w:rsidR="00B7496C" w:rsidRDefault="005F607C">
      <w:pPr>
        <w:pStyle w:val="ListParagraph"/>
        <w:spacing w:line="360" w:lineRule="auto"/>
        <w:jc w:val="both"/>
        <w:rPr>
          <w:rFonts w:cs="FrankRuehl"/>
          <w:sz w:val="28"/>
          <w:szCs w:val="28"/>
          <w:rtl/>
        </w:rPr>
      </w:pPr>
      <w:r>
        <w:rPr>
          <w:rFonts w:cs="FrankRuehl" w:hint="cs"/>
          <w:sz w:val="28"/>
          <w:szCs w:val="28"/>
          <w:rtl/>
        </w:rPr>
        <w:t>ב"כ הנאשם 1 הדגיש כי הנאשם 1 לקח אחריות על מעשיו, הודה והביע צער וחרטה כבר בעת חקירתו במשטרה, גם על מעשיו וגם על כך שערב במעשים את נאשם 2 שלא היה קשור למעשים מעין אלה ובכך פגע בו.</w:t>
      </w:r>
    </w:p>
    <w:p w14:paraId="3F3DF619" w14:textId="77777777" w:rsidR="00B7496C" w:rsidRDefault="00B7496C">
      <w:pPr>
        <w:pStyle w:val="ListParagraph"/>
        <w:spacing w:line="360" w:lineRule="auto"/>
        <w:jc w:val="both"/>
        <w:rPr>
          <w:rFonts w:cs="FrankRuehl"/>
          <w:sz w:val="28"/>
          <w:szCs w:val="28"/>
          <w:rtl/>
        </w:rPr>
      </w:pPr>
    </w:p>
    <w:p w14:paraId="4716E28A"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ילדיו של הנאשם 1 מתגוררים כעת אצל הורי הנאשם, שהינם מבוגרים ואינם בקו הבריאות. כמו כן, הקשר הזוגי שהיה לו בשנים האחרונות הופסק בעקבות האירועים. </w:t>
      </w:r>
    </w:p>
    <w:p w14:paraId="53FDB095" w14:textId="77777777" w:rsidR="00B7496C" w:rsidRDefault="00B7496C">
      <w:pPr>
        <w:pStyle w:val="ListParagraph"/>
        <w:spacing w:line="360" w:lineRule="auto"/>
        <w:jc w:val="both"/>
        <w:rPr>
          <w:rFonts w:cs="FrankRuehl"/>
          <w:sz w:val="28"/>
          <w:szCs w:val="28"/>
          <w:rtl/>
        </w:rPr>
      </w:pPr>
    </w:p>
    <w:p w14:paraId="466C25E9" w14:textId="77777777" w:rsidR="00B7496C" w:rsidRDefault="005F607C">
      <w:pPr>
        <w:pStyle w:val="ListParagraph"/>
        <w:spacing w:line="360" w:lineRule="auto"/>
        <w:jc w:val="both"/>
        <w:rPr>
          <w:rFonts w:cs="FrankRuehl"/>
          <w:sz w:val="28"/>
          <w:szCs w:val="28"/>
          <w:rtl/>
        </w:rPr>
      </w:pPr>
      <w:r>
        <w:rPr>
          <w:rFonts w:cs="FrankRuehl" w:hint="cs"/>
          <w:sz w:val="28"/>
          <w:szCs w:val="28"/>
          <w:rtl/>
        </w:rPr>
        <w:t>ב"כ הנאשם 1 ציין כי הנאשם 1 עצור מזה כשנה וחצי, וביקש שלא להוסיף תקופת מאסר משמעותית נוספת, על מנת לאפשר לו לחזור לחיים נורמטיביים. כתימוכין לעתירתו הפנה לפסיקה כדלקמן:</w:t>
      </w:r>
    </w:p>
    <w:p w14:paraId="3DF7370F" w14:textId="77777777" w:rsidR="00B7496C" w:rsidRDefault="005F607C">
      <w:pPr>
        <w:pStyle w:val="ListParagraph"/>
        <w:numPr>
          <w:ilvl w:val="0"/>
          <w:numId w:val="5"/>
        </w:numPr>
        <w:spacing w:line="360" w:lineRule="auto"/>
        <w:jc w:val="both"/>
        <w:rPr>
          <w:rFonts w:cs="FrankRuehl"/>
          <w:sz w:val="28"/>
          <w:szCs w:val="28"/>
          <w:rtl/>
        </w:rPr>
      </w:pPr>
      <w:hyperlink r:id="rId50"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2336/06</w:t>
        </w:r>
      </w:hyperlink>
      <w:r>
        <w:rPr>
          <w:rFonts w:cs="FrankRuehl" w:hint="cs"/>
          <w:sz w:val="28"/>
          <w:szCs w:val="28"/>
          <w:rtl/>
        </w:rPr>
        <w:t xml:space="preserve"> מדינת ישראל נגד דוד גל בוזגלו - בגין ארבעה מעשי שוד של תחנות דלק וקיוסק, באמצעות אקדח גנוב, כאשר באחד האירועים אף נפלטו יריות, אפשר בית המשפט המחוזי לנאשם, בעל עבר בעבירות סמים ורכוש, לעבור הליך גמילה מסמים, והסתפק בהשתת עונש של עבודות שירות ומבחן.  לאחר ערעור המדינה על קולת העונש, עלה כי הליך הגמילה נכשל, ובנסיבות אלה ציין בית המשפט העליון כי אינטרס הציבור הוא ברור וחד משמעי, ומחייב ענישה משמעותית. בנסיבות אלה, ומבלי שערכאת הערעור תמצה את חומרת הדין, נגזרו על הנאשם 24 חודשי מאסר בפועל.</w:t>
      </w:r>
    </w:p>
    <w:p w14:paraId="50080501" w14:textId="77777777" w:rsidR="00B7496C" w:rsidRDefault="005F607C">
      <w:pPr>
        <w:pStyle w:val="ListParagraph"/>
        <w:numPr>
          <w:ilvl w:val="0"/>
          <w:numId w:val="5"/>
        </w:numPr>
        <w:spacing w:line="360" w:lineRule="auto"/>
        <w:jc w:val="both"/>
        <w:rPr>
          <w:rFonts w:cs="FrankRuehl"/>
          <w:sz w:val="28"/>
          <w:szCs w:val="28"/>
        </w:rPr>
      </w:pPr>
      <w:r>
        <w:rPr>
          <w:rFonts w:cs="FrankRuehl" w:hint="cs"/>
          <w:sz w:val="28"/>
          <w:szCs w:val="28"/>
          <w:rtl/>
        </w:rPr>
        <w:t>ת"פ (מחוזי חיפה) 90074-11-09 מדינת ישראל נגד יוסף אלל – בגין אירוע אחד של גניבה מחנות (שהסתכמה ב-400 ₪) אשר התפתחה לשוד בעקבות התנגדות הנאשם לתפיסתו על ידי קצין הביטחון בחנות, ותקיפת קצין הבטחון באמצעות סכין אותה נטל הנאשם מסנדלריה הסמוכה לחנות, נגזרו על הנאשם, מכור לסמים בעל עבר מכביד ועונש מאסר מותנה בן 10 חודשים בר הפעלה,  30 חודשי מאסר בפועל. \</w:t>
      </w:r>
    </w:p>
    <w:p w14:paraId="5EB4C6F0" w14:textId="77777777" w:rsidR="00B7496C" w:rsidRDefault="00B7496C">
      <w:pPr>
        <w:pStyle w:val="ListParagraph"/>
        <w:spacing w:line="360" w:lineRule="auto"/>
        <w:ind w:left="1080"/>
        <w:jc w:val="both"/>
        <w:rPr>
          <w:rFonts w:cs="FrankRuehl"/>
          <w:sz w:val="28"/>
          <w:szCs w:val="28"/>
          <w:rtl/>
        </w:rPr>
      </w:pPr>
    </w:p>
    <w:p w14:paraId="5840BB47" w14:textId="77777777" w:rsidR="00B7496C" w:rsidRDefault="00B7496C">
      <w:pPr>
        <w:pStyle w:val="ListParagraph"/>
        <w:spacing w:line="360" w:lineRule="auto"/>
        <w:ind w:left="1080"/>
        <w:jc w:val="both"/>
        <w:rPr>
          <w:rFonts w:cs="FrankRuehl"/>
          <w:sz w:val="28"/>
          <w:szCs w:val="28"/>
          <w:rtl/>
        </w:rPr>
      </w:pPr>
    </w:p>
    <w:p w14:paraId="465D87AE" w14:textId="77777777" w:rsidR="00B7496C" w:rsidRDefault="00B7496C">
      <w:pPr>
        <w:pStyle w:val="ListParagraph"/>
        <w:spacing w:line="360" w:lineRule="auto"/>
        <w:ind w:left="1080"/>
        <w:jc w:val="both"/>
        <w:rPr>
          <w:rFonts w:cs="FrankRuehl"/>
          <w:sz w:val="28"/>
          <w:szCs w:val="28"/>
        </w:rPr>
      </w:pPr>
    </w:p>
    <w:p w14:paraId="0D2B05D7" w14:textId="77777777" w:rsidR="00B7496C" w:rsidRDefault="005F607C">
      <w:pPr>
        <w:pStyle w:val="ListParagraph"/>
        <w:numPr>
          <w:ilvl w:val="0"/>
          <w:numId w:val="5"/>
        </w:numPr>
        <w:spacing w:line="360" w:lineRule="auto"/>
        <w:jc w:val="both"/>
        <w:rPr>
          <w:rFonts w:cs="FrankRuehl"/>
          <w:sz w:val="28"/>
          <w:szCs w:val="28"/>
        </w:rPr>
      </w:pPr>
      <w:hyperlink r:id="rId51"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5833/12</w:t>
        </w:r>
      </w:hyperlink>
      <w:r>
        <w:rPr>
          <w:rFonts w:cs="FrankRuehl" w:hint="cs"/>
          <w:sz w:val="28"/>
          <w:szCs w:val="28"/>
          <w:rtl/>
        </w:rPr>
        <w:t>, 6207, 6227 פלונית ואח' נגד מדינת ישראל –בגין שוד מתוכנן של חנות נוחות בתחנת דלק באמצעות סכין, הטיל בית המשפט על שלושת המעורבים, צעירים ללא עבר, עונש של 15 חודשי מאסר בפועל. בית המשפט העליון מצא כי מדובר בעונש מקל, וכי צדק בית המשפט המחוזי עת לא מצא לאמץ את המלצת שירות המבחן להסתפק בעונש עבודות שירות. בנסיבות הייחודיות של הנאשמת אשר עתידה היתה לרצות מאסרה בהפרדה הוחלט להקל מעט בעונשה ולהעמידו על 10 חודשי מאסר בפועל.</w:t>
      </w:r>
    </w:p>
    <w:p w14:paraId="468BC499" w14:textId="77777777" w:rsidR="00B7496C" w:rsidRDefault="00B7496C">
      <w:pPr>
        <w:pStyle w:val="ListParagraph"/>
        <w:spacing w:line="360" w:lineRule="auto"/>
        <w:jc w:val="both"/>
        <w:rPr>
          <w:rFonts w:cs="FrankRuehl"/>
          <w:sz w:val="28"/>
          <w:szCs w:val="28"/>
        </w:rPr>
      </w:pPr>
    </w:p>
    <w:p w14:paraId="7B0203F6" w14:textId="77777777" w:rsidR="00B7496C" w:rsidRDefault="005F607C">
      <w:pPr>
        <w:pStyle w:val="ListParagraph"/>
        <w:numPr>
          <w:ilvl w:val="0"/>
          <w:numId w:val="1"/>
        </w:numPr>
        <w:spacing w:line="360" w:lineRule="auto"/>
        <w:jc w:val="both"/>
        <w:rPr>
          <w:rFonts w:cs="FrankRuehl"/>
          <w:sz w:val="28"/>
          <w:szCs w:val="28"/>
        </w:rPr>
      </w:pPr>
      <w:r>
        <w:rPr>
          <w:rFonts w:cs="FrankRuehl" w:hint="cs"/>
          <w:sz w:val="28"/>
          <w:szCs w:val="28"/>
          <w:rtl/>
        </w:rPr>
        <w:t>מטעם נאשם 2 הוגשו לעיוני מסמכים רפואיים של אם הנאשם 2, מסמכי שחרורו של נאשם 2 מהצבא, והודעותיהם של הנאשמים 1 ו-2 במשטרה.  כן העידו מספר עדי אופי :</w:t>
      </w:r>
    </w:p>
    <w:p w14:paraId="175EE12A" w14:textId="77777777" w:rsidR="00B7496C" w:rsidRDefault="005F607C">
      <w:pPr>
        <w:pStyle w:val="ListParagraph"/>
        <w:numPr>
          <w:ilvl w:val="0"/>
          <w:numId w:val="6"/>
        </w:numPr>
        <w:spacing w:line="360" w:lineRule="auto"/>
        <w:jc w:val="both"/>
        <w:rPr>
          <w:rFonts w:cs="FrankRuehl"/>
          <w:sz w:val="28"/>
          <w:szCs w:val="28"/>
        </w:rPr>
      </w:pPr>
      <w:r>
        <w:rPr>
          <w:rFonts w:cs="FrankRuehl" w:hint="cs"/>
          <w:sz w:val="28"/>
          <w:szCs w:val="28"/>
          <w:rtl/>
        </w:rPr>
        <w:t>גב' כרמלה ניסים, אמו של נאשם 2, מסרה במסגרת עדותה כי גידלה וחינכה את בנה לבדה מגיל צעיר, כי היה תלמיד טוב ובן טוב ומסור אשר טיפל בה עקב היותה חולת סכרת, וכי מעשיו היכו אותה בתדהמה. כן ציינה כי בנה עובד ומסייע לה ברכישת התרופות היקרות להן היא זקוקה, וכי יש לה חובות שעליה להחזיר.</w:t>
      </w:r>
    </w:p>
    <w:p w14:paraId="2DF0D835" w14:textId="77777777" w:rsidR="00B7496C" w:rsidRDefault="005F607C">
      <w:pPr>
        <w:pStyle w:val="ListParagraph"/>
        <w:numPr>
          <w:ilvl w:val="0"/>
          <w:numId w:val="6"/>
        </w:numPr>
        <w:spacing w:line="360" w:lineRule="auto"/>
        <w:jc w:val="both"/>
        <w:rPr>
          <w:rFonts w:cs="FrankRuehl"/>
          <w:sz w:val="28"/>
          <w:szCs w:val="28"/>
        </w:rPr>
      </w:pPr>
      <w:r>
        <w:rPr>
          <w:rFonts w:cs="FrankRuehl" w:hint="cs"/>
          <w:sz w:val="28"/>
          <w:szCs w:val="28"/>
          <w:rtl/>
        </w:rPr>
        <w:t>מר זאב ניסים, דודו של נאשם 2 וחבר מועצת העיר חולון, מסר כי במסגרת עבודתו סייע לאנשים שסטו מן הדרך לחזור למוטב, ולכן הופתע כאשר נודע לו על מעורבותו של נאשם 2 באירועים המפורטים בכתב האישום. כן מסר כי אחותו – אמו של נאשם 2 – הסתירה את מצוקתה הכלכלית, ומצבה נודע לו רק בעקבות האירועים. לדבריו, הוא משמש מפקח עיקרי על הנאשם 2 המצוי במעצר בית ממושך, ומתרשם כי חל בו שינוי, כי הפנים את חומרת מעשיו ועושה ככל יכולתו כדי לתקן דרכיו. לפיכך ביקש להימנע מהטלת עונש מאסר בפועל.</w:t>
      </w:r>
    </w:p>
    <w:p w14:paraId="0BA33BD4" w14:textId="77777777" w:rsidR="00B7496C" w:rsidRDefault="005F607C">
      <w:pPr>
        <w:pStyle w:val="ListParagraph"/>
        <w:numPr>
          <w:ilvl w:val="0"/>
          <w:numId w:val="6"/>
        </w:numPr>
        <w:spacing w:line="360" w:lineRule="auto"/>
        <w:jc w:val="both"/>
        <w:rPr>
          <w:rFonts w:cs="FrankRuehl"/>
          <w:sz w:val="28"/>
          <w:szCs w:val="28"/>
        </w:rPr>
      </w:pPr>
      <w:r>
        <w:rPr>
          <w:rFonts w:cs="FrankRuehl" w:hint="cs"/>
          <w:sz w:val="28"/>
          <w:szCs w:val="28"/>
          <w:rtl/>
        </w:rPr>
        <w:t>מר עמוס ירושלמי, סגן ראש עיריית חולון וחבר במועצת העיר חולון, מסר כי הוא מצוי בקשר עם הנאשם 2 ועם אמו שנים רבות, האם מתנדבת בעמותת סיוע למעוטי יכולת, וכך גם הנאשם 2 אשר סייע בהכנת חבילות לנזקקים, ועל כן קיבלו בתדהמה את המעשים. לדבריו לנאשם 2 סביבה תומכת וחזקה ועל כן ביקש להימנע מהטלת עונש מאסר בפועל.</w:t>
      </w:r>
    </w:p>
    <w:p w14:paraId="103AEDF0" w14:textId="77777777" w:rsidR="00B7496C" w:rsidRDefault="00B7496C">
      <w:pPr>
        <w:pStyle w:val="ListParagraph"/>
        <w:spacing w:line="360" w:lineRule="auto"/>
        <w:ind w:left="1080"/>
        <w:jc w:val="both"/>
        <w:rPr>
          <w:rFonts w:cs="FrankRuehl"/>
          <w:sz w:val="28"/>
          <w:szCs w:val="28"/>
        </w:rPr>
      </w:pPr>
    </w:p>
    <w:p w14:paraId="3FC6D353" w14:textId="77777777" w:rsidR="00B7496C" w:rsidRDefault="005F607C">
      <w:pPr>
        <w:pStyle w:val="ListParagraph"/>
        <w:numPr>
          <w:ilvl w:val="0"/>
          <w:numId w:val="6"/>
        </w:numPr>
        <w:spacing w:line="360" w:lineRule="auto"/>
        <w:jc w:val="both"/>
        <w:rPr>
          <w:rFonts w:cs="FrankRuehl"/>
          <w:sz w:val="28"/>
          <w:szCs w:val="28"/>
        </w:rPr>
      </w:pPr>
      <w:r>
        <w:rPr>
          <w:rFonts w:cs="FrankRuehl" w:hint="cs"/>
          <w:sz w:val="28"/>
          <w:szCs w:val="28"/>
          <w:rtl/>
        </w:rPr>
        <w:t>מר יוסף סייג, מעסיקו של נאשם 2, מסר כי הנאשם 2 עבד בחנותו כקופאי, כי מעולם לא חסר כסף בפדיון הקופה, וכי מדובר בבחור אמין ואדיב. כן מסר כי לאחר ששוחרר הנאשם 2 למעצר בית והותר לו לצאת לעבודה, שב להעסיקו בחנותו, ובשיחות אודות האירוע הביע הנאשם 2 חרטה על מעשיו, הבין את טעותו וציין את תחושותיו לפיהן המעשה הוא כמו "חלום רע". בנסיבות אלה ביקש לנקוט כלפי הנאשם 2 במידת החסד והרחמים.</w:t>
      </w:r>
    </w:p>
    <w:p w14:paraId="49A5E766" w14:textId="77777777" w:rsidR="00B7496C" w:rsidRDefault="00B7496C">
      <w:pPr>
        <w:pStyle w:val="ListParagraph"/>
        <w:spacing w:line="360" w:lineRule="auto"/>
        <w:jc w:val="both"/>
        <w:rPr>
          <w:rFonts w:cs="FrankRuehl"/>
          <w:sz w:val="28"/>
          <w:szCs w:val="28"/>
        </w:rPr>
      </w:pPr>
    </w:p>
    <w:p w14:paraId="7CAB227F"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ב"כ נאשם 2 טען כי מדובר במעידה ראשונה של נאשם 2, כי מדובר ב"סטייה אחת" שנמשכה על פני כ-54 שעות, ולא במספר אירועים נפרדים, וכי ישנו קשר פנימי אחד בין המעשים, ועל כן ביקשני לקבוע כי עסקינן באירוע אחד. כן נטען כי חלקו היחסי של הנאשם נמוך מחלקו של נאשם 1, אשר יזם את המעשים ונשא את האקדח, ו"גרר" את הנאשם 2 לביצוע העבירות, כאשר באישומים 2 ו-3 חלקו של הנאשם 2 התמצה ברכיבה על הקטנוע ונוכחות במקום. אשר לחלקו באישום 4, נטען כי הנאשם 2 התפתה למעשים עקב הבטחתו של נאשם 1 כי יקבל בתמורה למעשיו סך של 20,000 ₪, וכי הקושי בביצוע המעשים ניכר בנאשם 2. ב"כ נאשם 2 אף הפנה לדבריו של הנאשם 1 בהודעתו במשטרה, אשר הוגשו בהסכמה, בהם ציין: "הכנסתי בן אדם לזה, שממש לא קשור. הוא ילד טוב, הרסתי לו גם את החיים, ולא מגיע לו" (הודעה מיום 22.9.13 עמ' 17 ש' 565-566).</w:t>
      </w:r>
    </w:p>
    <w:p w14:paraId="4C57584C" w14:textId="77777777" w:rsidR="00B7496C" w:rsidRDefault="00B7496C">
      <w:pPr>
        <w:pStyle w:val="ListParagraph"/>
        <w:spacing w:line="360" w:lineRule="auto"/>
        <w:jc w:val="both"/>
        <w:rPr>
          <w:rFonts w:cs="FrankRuehl"/>
          <w:sz w:val="28"/>
          <w:szCs w:val="28"/>
        </w:rPr>
      </w:pPr>
    </w:p>
    <w:p w14:paraId="4DE346AE" w14:textId="77777777" w:rsidR="00B7496C" w:rsidRDefault="005F607C">
      <w:pPr>
        <w:pStyle w:val="ListParagraph"/>
        <w:spacing w:line="360" w:lineRule="auto"/>
        <w:jc w:val="both"/>
        <w:rPr>
          <w:rFonts w:cs="FrankRuehl"/>
          <w:sz w:val="28"/>
          <w:szCs w:val="28"/>
          <w:rtl/>
        </w:rPr>
      </w:pPr>
      <w:r>
        <w:rPr>
          <w:rFonts w:cs="FrankRuehl" w:hint="cs"/>
          <w:sz w:val="28"/>
          <w:szCs w:val="28"/>
          <w:rtl/>
        </w:rPr>
        <w:t>כן נטען, כי הנאשם 2 נקלע לביצוע המעשים עקב מצוקה כלכלית, והצורך לקנות מזון ותרופות לאמו. בנסיבות אלה ביקש ב"כ הנאשם לקבוע מתחם עונש שונה בין נאשם 1 לנאשם 2, וכי מתחם העונש בעניינו של הנאשם 2 יהא נמוך מהמקובל.</w:t>
      </w:r>
    </w:p>
    <w:p w14:paraId="231B70B5" w14:textId="77777777" w:rsidR="00B7496C" w:rsidRDefault="00B7496C">
      <w:pPr>
        <w:pStyle w:val="ListParagraph"/>
        <w:spacing w:line="360" w:lineRule="auto"/>
        <w:jc w:val="both"/>
        <w:rPr>
          <w:rFonts w:cs="FrankRuehl"/>
          <w:sz w:val="28"/>
          <w:szCs w:val="28"/>
          <w:rtl/>
        </w:rPr>
      </w:pPr>
    </w:p>
    <w:p w14:paraId="6EBF8E04"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ב"כ הנאשם 2 טען כי יש לקבוע מתחם ענישה אשר הרף התחתון בו הינו 6 חודשי עבודות שירות וכתימוכין לדבריו הפנה לפסיקה כדלקמן:</w:t>
      </w:r>
    </w:p>
    <w:p w14:paraId="45B82D7C" w14:textId="77777777" w:rsidR="00B7496C" w:rsidRDefault="005F607C">
      <w:pPr>
        <w:pStyle w:val="ListParagraph"/>
        <w:numPr>
          <w:ilvl w:val="0"/>
          <w:numId w:val="7"/>
        </w:numPr>
        <w:spacing w:line="360" w:lineRule="auto"/>
        <w:jc w:val="both"/>
        <w:rPr>
          <w:rFonts w:cs="FrankRuehl"/>
          <w:sz w:val="28"/>
          <w:szCs w:val="28"/>
          <w:rtl/>
        </w:rPr>
      </w:pPr>
      <w:hyperlink r:id="rId52" w:history="1">
        <w:r w:rsidRPr="005F607C">
          <w:rPr>
            <w:rFonts w:cs="FrankRuehl" w:hint="cs"/>
            <w:color w:val="0000FF"/>
            <w:sz w:val="28"/>
            <w:szCs w:val="28"/>
            <w:u w:val="single"/>
            <w:rtl/>
          </w:rPr>
          <w:t>ת</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w:t>
        </w:r>
        <w:r w:rsidRPr="005F607C">
          <w:rPr>
            <w:rFonts w:cs="FrankRuehl" w:hint="cs"/>
            <w:color w:val="0000FF"/>
            <w:sz w:val="28"/>
            <w:szCs w:val="28"/>
            <w:u w:val="single"/>
            <w:rtl/>
          </w:rPr>
          <w:t>מחוזי</w:t>
        </w:r>
        <w:r w:rsidRPr="005F607C">
          <w:rPr>
            <w:rFonts w:cs="FrankRuehl"/>
            <w:color w:val="0000FF"/>
            <w:sz w:val="28"/>
            <w:szCs w:val="28"/>
            <w:u w:val="single"/>
            <w:rtl/>
          </w:rPr>
          <w:t xml:space="preserve"> </w:t>
        </w:r>
        <w:r w:rsidRPr="005F607C">
          <w:rPr>
            <w:rFonts w:cs="FrankRuehl" w:hint="cs"/>
            <w:color w:val="0000FF"/>
            <w:sz w:val="28"/>
            <w:szCs w:val="28"/>
            <w:u w:val="single"/>
            <w:rtl/>
          </w:rPr>
          <w:t>י</w:t>
        </w:r>
        <w:r w:rsidRPr="005F607C">
          <w:rPr>
            <w:rFonts w:cs="FrankRuehl"/>
            <w:color w:val="0000FF"/>
            <w:sz w:val="28"/>
            <w:szCs w:val="28"/>
            <w:u w:val="single"/>
            <w:rtl/>
          </w:rPr>
          <w:t>-</w:t>
        </w:r>
        <w:r w:rsidRPr="005F607C">
          <w:rPr>
            <w:rFonts w:cs="FrankRuehl" w:hint="cs"/>
            <w:color w:val="0000FF"/>
            <w:sz w:val="28"/>
            <w:szCs w:val="28"/>
            <w:u w:val="single"/>
            <w:rtl/>
          </w:rPr>
          <w:t>ם</w:t>
        </w:r>
        <w:r w:rsidRPr="005F607C">
          <w:rPr>
            <w:rFonts w:cs="FrankRuehl"/>
            <w:color w:val="0000FF"/>
            <w:sz w:val="28"/>
            <w:szCs w:val="28"/>
            <w:u w:val="single"/>
            <w:rtl/>
          </w:rPr>
          <w:t>) 26081-08-12</w:t>
        </w:r>
      </w:hyperlink>
      <w:r>
        <w:rPr>
          <w:rFonts w:cs="FrankRuehl" w:hint="cs"/>
          <w:sz w:val="28"/>
          <w:szCs w:val="28"/>
          <w:rtl/>
        </w:rPr>
        <w:t xml:space="preserve"> מדינת ישראל נגד אדריס – בית המשפט המחוזי ראה בשתי עבירות גניבה ובעבירת שוד כאירוע אחד, קבע מתחם שנע בין עבודות שירות ל-18 חודשי מאסר בפועל והשית על הנאשם עונש של 6 חודשי עבודות שירות. עיון בגזר הדין מלמד כי שם דובר במשיכת מכשירי טלפון סלולריים מידיהן של נשים בשלוש הזדמנויות, כשהאלימות שננקטה היתה תפיסת ידה של המתלוננת בחוזקה, בעקבותיה נפלה זו לארץ. כמו כן דובר בנאשם רווק צעיר, ששולב על ידי שירות המבחן בגישור פוגע נפגע, וכי המלצת שירות המבחן בעניינו היתה עונש של עבודות שירות.</w:t>
      </w:r>
    </w:p>
    <w:p w14:paraId="45B5B59A" w14:textId="77777777" w:rsidR="00B7496C" w:rsidRDefault="005F607C">
      <w:pPr>
        <w:pStyle w:val="ListParagraph"/>
        <w:numPr>
          <w:ilvl w:val="0"/>
          <w:numId w:val="7"/>
        </w:numPr>
        <w:spacing w:line="360" w:lineRule="auto"/>
        <w:jc w:val="both"/>
        <w:rPr>
          <w:rFonts w:cs="FrankRuehl"/>
          <w:sz w:val="28"/>
          <w:szCs w:val="28"/>
        </w:rPr>
      </w:pPr>
      <w:hyperlink r:id="rId53" w:history="1">
        <w:r w:rsidRPr="005F607C">
          <w:rPr>
            <w:rFonts w:cs="FrankRuehl" w:hint="cs"/>
            <w:color w:val="0000FF"/>
            <w:sz w:val="28"/>
            <w:szCs w:val="28"/>
            <w:u w:val="single"/>
            <w:rtl/>
          </w:rPr>
          <w:t>ת</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w:t>
        </w:r>
        <w:r w:rsidRPr="005F607C">
          <w:rPr>
            <w:rFonts w:cs="FrankRuehl" w:hint="cs"/>
            <w:color w:val="0000FF"/>
            <w:sz w:val="28"/>
            <w:szCs w:val="28"/>
            <w:u w:val="single"/>
            <w:rtl/>
          </w:rPr>
          <w:t>מחוזי</w:t>
        </w:r>
        <w:r w:rsidRPr="005F607C">
          <w:rPr>
            <w:rFonts w:cs="FrankRuehl"/>
            <w:color w:val="0000FF"/>
            <w:sz w:val="28"/>
            <w:szCs w:val="28"/>
            <w:u w:val="single"/>
            <w:rtl/>
          </w:rPr>
          <w:t xml:space="preserve"> </w:t>
        </w:r>
        <w:r w:rsidRPr="005F607C">
          <w:rPr>
            <w:rFonts w:cs="FrankRuehl" w:hint="cs"/>
            <w:color w:val="0000FF"/>
            <w:sz w:val="28"/>
            <w:szCs w:val="28"/>
            <w:u w:val="single"/>
            <w:rtl/>
          </w:rPr>
          <w:t>חיפה</w:t>
        </w:r>
        <w:r w:rsidRPr="005F607C">
          <w:rPr>
            <w:rFonts w:cs="FrankRuehl"/>
            <w:color w:val="0000FF"/>
            <w:sz w:val="28"/>
            <w:szCs w:val="28"/>
            <w:u w:val="single"/>
            <w:rtl/>
          </w:rPr>
          <w:t>) 35891-03-13</w:t>
        </w:r>
      </w:hyperlink>
      <w:r>
        <w:rPr>
          <w:rFonts w:cs="FrankRuehl" w:hint="cs"/>
          <w:sz w:val="28"/>
          <w:szCs w:val="28"/>
          <w:rtl/>
        </w:rPr>
        <w:t xml:space="preserve"> מדינת ישראל נגד קניאל – בית המשפט המחוזי קבע מתחם אחד לשתי עבירות של ניסיון שוד בנסיבות מחמירות ודרישת נכס באיומים, והשית על הנאשם 6 חודשי מאסר בעבודות שירות. עיון בגזר הדין מלמד כי מדובר בשני אירועים של ניסיונות לחטיפת מכשירי טלפון סלולרי, על ידי בחור צעיר ללא עבר, אשר שירות המבחן המליץ על שילובו בהליך טיפולי. </w:t>
      </w:r>
    </w:p>
    <w:p w14:paraId="6704C0B1" w14:textId="77777777" w:rsidR="00B7496C" w:rsidRDefault="005F607C">
      <w:pPr>
        <w:pStyle w:val="ListParagraph"/>
        <w:spacing w:line="360" w:lineRule="auto"/>
        <w:ind w:left="1080"/>
        <w:jc w:val="both"/>
        <w:rPr>
          <w:rFonts w:cs="FrankRuehl"/>
          <w:sz w:val="28"/>
          <w:szCs w:val="28"/>
        </w:rPr>
      </w:pPr>
      <w:r>
        <w:rPr>
          <w:rFonts w:cs="FrankRuehl" w:hint="cs"/>
          <w:sz w:val="28"/>
          <w:szCs w:val="28"/>
          <w:rtl/>
        </w:rPr>
        <w:t xml:space="preserve">בשני המקרים המתוארים לא ננקטה אלימות הדומה במידתה לאלימות בה נקט הנאשם 2 בענייננו, ועל כן אין מקום ללמוד מהם גזירה שווה לעניין מתחם העונש ההולם בענייננו. </w:t>
      </w:r>
    </w:p>
    <w:p w14:paraId="3C6127C8" w14:textId="77777777" w:rsidR="00B7496C" w:rsidRDefault="005F607C">
      <w:pPr>
        <w:pStyle w:val="ListParagraph"/>
        <w:numPr>
          <w:ilvl w:val="0"/>
          <w:numId w:val="7"/>
        </w:numPr>
        <w:spacing w:line="360" w:lineRule="auto"/>
        <w:jc w:val="both"/>
        <w:rPr>
          <w:rFonts w:cs="FrankRuehl"/>
          <w:sz w:val="28"/>
          <w:szCs w:val="28"/>
        </w:rPr>
      </w:pPr>
      <w:hyperlink r:id="rId54" w:history="1">
        <w:r w:rsidRPr="005F607C">
          <w:rPr>
            <w:rFonts w:cs="FrankRuehl" w:hint="cs"/>
            <w:color w:val="0000FF"/>
            <w:sz w:val="28"/>
            <w:szCs w:val="28"/>
            <w:u w:val="single"/>
            <w:rtl/>
          </w:rPr>
          <w:t>ת</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w:t>
        </w:r>
        <w:r w:rsidRPr="005F607C">
          <w:rPr>
            <w:rFonts w:cs="FrankRuehl" w:hint="cs"/>
            <w:color w:val="0000FF"/>
            <w:sz w:val="28"/>
            <w:szCs w:val="28"/>
            <w:u w:val="single"/>
            <w:rtl/>
          </w:rPr>
          <w:t>מחוזי</w:t>
        </w:r>
        <w:r w:rsidRPr="005F607C">
          <w:rPr>
            <w:rFonts w:cs="FrankRuehl"/>
            <w:color w:val="0000FF"/>
            <w:sz w:val="28"/>
            <w:szCs w:val="28"/>
            <w:u w:val="single"/>
            <w:rtl/>
          </w:rPr>
          <w:t xml:space="preserve"> </w:t>
        </w:r>
        <w:r w:rsidRPr="005F607C">
          <w:rPr>
            <w:rFonts w:cs="FrankRuehl" w:hint="cs"/>
            <w:color w:val="0000FF"/>
            <w:sz w:val="28"/>
            <w:szCs w:val="28"/>
            <w:u w:val="single"/>
            <w:rtl/>
          </w:rPr>
          <w:t>ת</w:t>
        </w:r>
        <w:r w:rsidRPr="005F607C">
          <w:rPr>
            <w:rFonts w:cs="FrankRuehl"/>
            <w:color w:val="0000FF"/>
            <w:sz w:val="28"/>
            <w:szCs w:val="28"/>
            <w:u w:val="single"/>
            <w:rtl/>
          </w:rPr>
          <w:t>"</w:t>
        </w:r>
        <w:r w:rsidRPr="005F607C">
          <w:rPr>
            <w:rFonts w:cs="FrankRuehl" w:hint="cs"/>
            <w:color w:val="0000FF"/>
            <w:sz w:val="28"/>
            <w:szCs w:val="28"/>
            <w:u w:val="single"/>
            <w:rtl/>
          </w:rPr>
          <w:t>א</w:t>
        </w:r>
        <w:r w:rsidRPr="005F607C">
          <w:rPr>
            <w:rFonts w:cs="FrankRuehl"/>
            <w:color w:val="0000FF"/>
            <w:sz w:val="28"/>
            <w:szCs w:val="28"/>
            <w:u w:val="single"/>
            <w:rtl/>
          </w:rPr>
          <w:t>) 53805-07-12</w:t>
        </w:r>
      </w:hyperlink>
      <w:r>
        <w:rPr>
          <w:rFonts w:cs="FrankRuehl" w:hint="cs"/>
          <w:sz w:val="28"/>
          <w:szCs w:val="28"/>
          <w:rtl/>
        </w:rPr>
        <w:t xml:space="preserve"> מדינת ישראל נגד אינדזיאשווילי – מתייחס אף הוא לחטיפת מכשיר טלפון נייד, ובהמשך נסיעה פרועה ותקיפת שוטר, מדובר במעשים שאין בהם ללמד גזירה שווה על מתחם הענישה בענייננו. </w:t>
      </w:r>
    </w:p>
    <w:p w14:paraId="7640098E" w14:textId="77777777" w:rsidR="00B7496C" w:rsidRDefault="005F607C">
      <w:pPr>
        <w:pStyle w:val="ListParagraph"/>
        <w:numPr>
          <w:ilvl w:val="0"/>
          <w:numId w:val="7"/>
        </w:numPr>
        <w:spacing w:line="360" w:lineRule="auto"/>
        <w:jc w:val="both"/>
        <w:rPr>
          <w:rFonts w:cs="FrankRuehl"/>
          <w:sz w:val="28"/>
          <w:szCs w:val="28"/>
        </w:rPr>
      </w:pPr>
      <w:hyperlink r:id="rId55" w:history="1">
        <w:r w:rsidRPr="005F607C">
          <w:rPr>
            <w:rFonts w:cs="FrankRuehl" w:hint="cs"/>
            <w:color w:val="0000FF"/>
            <w:sz w:val="28"/>
            <w:szCs w:val="28"/>
            <w:u w:val="single"/>
            <w:rtl/>
          </w:rPr>
          <w:t>ת</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w:t>
        </w:r>
        <w:r w:rsidRPr="005F607C">
          <w:rPr>
            <w:rFonts w:cs="FrankRuehl" w:hint="cs"/>
            <w:color w:val="0000FF"/>
            <w:sz w:val="28"/>
            <w:szCs w:val="28"/>
            <w:u w:val="single"/>
            <w:rtl/>
          </w:rPr>
          <w:t>מחוזי</w:t>
        </w:r>
        <w:r w:rsidRPr="005F607C">
          <w:rPr>
            <w:rFonts w:cs="FrankRuehl"/>
            <w:color w:val="0000FF"/>
            <w:sz w:val="28"/>
            <w:szCs w:val="28"/>
            <w:u w:val="single"/>
            <w:rtl/>
          </w:rPr>
          <w:t xml:space="preserve"> </w:t>
        </w:r>
        <w:r w:rsidRPr="005F607C">
          <w:rPr>
            <w:rFonts w:cs="FrankRuehl" w:hint="cs"/>
            <w:color w:val="0000FF"/>
            <w:sz w:val="28"/>
            <w:szCs w:val="28"/>
            <w:u w:val="single"/>
            <w:rtl/>
          </w:rPr>
          <w:t>מרכז</w:t>
        </w:r>
        <w:r w:rsidRPr="005F607C">
          <w:rPr>
            <w:rFonts w:cs="FrankRuehl"/>
            <w:color w:val="0000FF"/>
            <w:sz w:val="28"/>
            <w:szCs w:val="28"/>
            <w:u w:val="single"/>
            <w:rtl/>
          </w:rPr>
          <w:t>) 19933-12-12</w:t>
        </w:r>
      </w:hyperlink>
      <w:r>
        <w:rPr>
          <w:rFonts w:cs="FrankRuehl" w:hint="cs"/>
          <w:sz w:val="28"/>
          <w:szCs w:val="28"/>
          <w:rtl/>
        </w:rPr>
        <w:t xml:space="preserve"> מדינת ישראל נגד גיטרמן – התייחס אף הוא לאירועי שוד בהם נגנבו מכשירי טלפון סלולריים, אלא שבהם  בוצעו המעשים בחבורה, תוך שננקטה אלימות. הנאשם היה צעיר-בגיר, ללא עבר, אשר שירות המבחן שילבו בטיפול והמליץ לאור סיכוייו הטובים בשיקום להשית עליו של"צ וצו מבחן. בית המשפט קבע כי המתחם העונשי נע בין שנה לארבע שנות מאסר, ולנוכח סיכויי השיקום של הנאשם סטה ממתחם הענישה בהתאם להמלצות שירות המבחן והטיל על הנאשם 6 חודשי עבודות שירות ומבחן. </w:t>
      </w:r>
    </w:p>
    <w:p w14:paraId="11BB8DFE" w14:textId="77777777" w:rsidR="00B7496C" w:rsidRDefault="005F607C">
      <w:pPr>
        <w:pStyle w:val="ListParagraph"/>
        <w:numPr>
          <w:ilvl w:val="0"/>
          <w:numId w:val="7"/>
        </w:numPr>
        <w:spacing w:line="360" w:lineRule="auto"/>
        <w:jc w:val="both"/>
        <w:rPr>
          <w:rFonts w:cs="FrankRuehl"/>
          <w:sz w:val="28"/>
          <w:szCs w:val="28"/>
        </w:rPr>
      </w:pPr>
      <w:hyperlink r:id="rId56"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452/14</w:t>
        </w:r>
      </w:hyperlink>
      <w:r>
        <w:rPr>
          <w:rFonts w:cs="FrankRuehl" w:hint="cs"/>
          <w:sz w:val="28"/>
          <w:szCs w:val="28"/>
          <w:rtl/>
        </w:rPr>
        <w:t xml:space="preserve"> ניסים דבוש נגד מדינת ישראל – בגין שוד מתדלק בתחנת דלק (1500 ₪), באמצעות קטנוע גנוב ואקדח צעצוע, העדיף בית המשפט לחרוג בעניינו ממתחם הענישה, לאור הליך שיקומי שכלל גמילה בקהילת רטורנו ושילוב בקהילה טיפולית, והטיל עליו עונש של 6 חודשי עבודות שירות, צו מבחן ופיצוי למתלונן. בית המשפט העליון (כבוד השופט ג'ובראן) עמד על כך שאף שתסקיר שירות המבחן הינו בגדר המלצה, הרי שבמקרה של "בגיר צעיר" יש לה משקל נכבד יותר. </w:t>
      </w:r>
    </w:p>
    <w:p w14:paraId="6342F10F" w14:textId="77777777" w:rsidR="00B7496C" w:rsidRDefault="00B7496C">
      <w:pPr>
        <w:pStyle w:val="ListParagraph"/>
        <w:spacing w:line="360" w:lineRule="auto"/>
        <w:jc w:val="both"/>
        <w:rPr>
          <w:rFonts w:cs="FrankRuehl"/>
          <w:sz w:val="28"/>
          <w:szCs w:val="28"/>
        </w:rPr>
      </w:pPr>
    </w:p>
    <w:p w14:paraId="1A26B799"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 xml:space="preserve">אשר לגזירת העונש, ביקש ב"כ הנאשם 2 להתחשב בנזקים שנגרמו לנאשם מביצוע העבירה ומהרשעתו. הנאשם 2 היה בן 21 בעת ביצוע העבירות, מעצרו הראשון היווה עבורו תמריץ לא לחזור ולעבור עבירות, ודי בהרשעתו לבדה כדי להסב לו נזק. כן נטען, כי הנאשם 2 מפרנס את אימו ותומך בה; כי נטל אחריות מלאה על מעשיו, הודה במעשים כבר בחקירתו במשטרה ואף בבית המשפט; כמו כן הסכים הנאשם 2 כי הקטנוע ששימשו לביצוע העברות יחולט. </w:t>
      </w:r>
    </w:p>
    <w:p w14:paraId="5A5E38AE" w14:textId="77777777" w:rsidR="00B7496C" w:rsidRDefault="00B7496C">
      <w:pPr>
        <w:pStyle w:val="ListParagraph"/>
        <w:spacing w:line="360" w:lineRule="auto"/>
        <w:jc w:val="both"/>
        <w:rPr>
          <w:rFonts w:cs="FrankRuehl"/>
          <w:sz w:val="28"/>
          <w:szCs w:val="28"/>
          <w:rtl/>
        </w:rPr>
      </w:pPr>
    </w:p>
    <w:p w14:paraId="6BB14BB7"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 xml:space="preserve">לאור </w:t>
      </w:r>
      <w:hyperlink r:id="rId57" w:history="1">
        <w:r w:rsidR="00D80AA0" w:rsidRPr="00D80AA0">
          <w:rPr>
            <w:rFonts w:cs="FrankRuehl" w:hint="cs"/>
            <w:color w:val="0000FF"/>
            <w:sz w:val="28"/>
            <w:szCs w:val="28"/>
            <w:u w:val="single"/>
            <w:rtl/>
          </w:rPr>
          <w:t>סעיף</w:t>
        </w:r>
        <w:r w:rsidR="00D80AA0" w:rsidRPr="00D80AA0">
          <w:rPr>
            <w:rFonts w:cs="FrankRuehl"/>
            <w:color w:val="0000FF"/>
            <w:sz w:val="28"/>
            <w:szCs w:val="28"/>
            <w:u w:val="single"/>
            <w:rtl/>
          </w:rPr>
          <w:t xml:space="preserve"> 40</w:t>
        </w:r>
        <w:r w:rsidR="00D80AA0" w:rsidRPr="00D80AA0">
          <w:rPr>
            <w:rFonts w:cs="FrankRuehl" w:hint="cs"/>
            <w:color w:val="0000FF"/>
            <w:sz w:val="28"/>
            <w:szCs w:val="28"/>
            <w:u w:val="single"/>
            <w:rtl/>
          </w:rPr>
          <w:t>ד</w:t>
        </w:r>
      </w:hyperlink>
      <w:r>
        <w:rPr>
          <w:rFonts w:cs="FrankRuehl" w:hint="cs"/>
          <w:sz w:val="28"/>
          <w:szCs w:val="28"/>
          <w:rtl/>
        </w:rPr>
        <w:t xml:space="preserve"> ל</w:t>
      </w:r>
      <w:hyperlink r:id="rId58" w:history="1">
        <w:r w:rsidRPr="005F607C">
          <w:rPr>
            <w:rFonts w:cs="FrankRuehl" w:hint="cs"/>
            <w:color w:val="0000FF"/>
            <w:sz w:val="28"/>
            <w:szCs w:val="28"/>
            <w:u w:val="single"/>
            <w:rtl/>
          </w:rPr>
          <w:t>חוק</w:t>
        </w:r>
        <w:r w:rsidRPr="005F607C">
          <w:rPr>
            <w:rFonts w:cs="FrankRuehl"/>
            <w:color w:val="0000FF"/>
            <w:sz w:val="28"/>
            <w:szCs w:val="28"/>
            <w:u w:val="single"/>
            <w:rtl/>
          </w:rPr>
          <w:t xml:space="preserve"> </w:t>
        </w:r>
        <w:r w:rsidRPr="005F607C">
          <w:rPr>
            <w:rFonts w:cs="FrankRuehl" w:hint="cs"/>
            <w:color w:val="0000FF"/>
            <w:sz w:val="28"/>
            <w:szCs w:val="28"/>
            <w:u w:val="single"/>
            <w:rtl/>
          </w:rPr>
          <w:t>העונשין</w:t>
        </w:r>
      </w:hyperlink>
      <w:r>
        <w:rPr>
          <w:rFonts w:cs="FrankRuehl" w:hint="cs"/>
          <w:sz w:val="28"/>
          <w:szCs w:val="28"/>
          <w:rtl/>
        </w:rPr>
        <w:t xml:space="preserve"> ותסקירי המבחן בעניינו של הנאשם 2, ביקשני ב"כ נאשם 2 לחרוג ממתחם העונש ההולם. נטען, כי הנאשם 2 שולב בטיפול מחודש אוקטובר 13' ועד דצמבר 14', מעוניין להמשיך בתהליך הטיפולי, מכיר בנזקים שהסב במעשיו למתלוננים, והסיכון למעורבות חוזרת בעבירות אלימות הינו נמוך. בנסיבות אלה ולאור גילו הצעיר יש להעדיף בעניינו את הפן השיקומי ולאמץ את המלצות שירות המבחן. </w:t>
      </w:r>
    </w:p>
    <w:p w14:paraId="0BB2A9E3" w14:textId="77777777" w:rsidR="00B7496C" w:rsidRDefault="00B7496C">
      <w:pPr>
        <w:pStyle w:val="ListParagraph"/>
        <w:spacing w:line="360" w:lineRule="auto"/>
        <w:jc w:val="both"/>
        <w:rPr>
          <w:rFonts w:cs="FrankRuehl"/>
          <w:sz w:val="28"/>
          <w:szCs w:val="28"/>
        </w:rPr>
      </w:pPr>
    </w:p>
    <w:p w14:paraId="602C2D6C"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 xml:space="preserve">נאשם 1 בדברו האחרון מסר כי במהלך מעצרו סייע לאסירים, הפנים את חומרת מעשיו, וביקש להביע צער וחרטה בפני המתלוננים. כן ציין כי מבקש הוא את רחמי בית המשפט, על מנת שיזכה לחזור לחיק ילדיו. </w:t>
      </w:r>
    </w:p>
    <w:p w14:paraId="19D77EC6" w14:textId="77777777" w:rsidR="00B7496C" w:rsidRDefault="00B7496C">
      <w:pPr>
        <w:pStyle w:val="ListParagraph"/>
        <w:spacing w:line="360" w:lineRule="auto"/>
        <w:jc w:val="both"/>
        <w:rPr>
          <w:rFonts w:cs="FrankRuehl"/>
          <w:sz w:val="28"/>
          <w:szCs w:val="28"/>
        </w:rPr>
      </w:pPr>
    </w:p>
    <w:p w14:paraId="7B27330A"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נאשם 2 בדברו האחרון מסר כי הוא מודע לחומרת מעשיו ולפגיעה במתלוננים, וביקש להביע את חרטתו בפניהם. כן ציין כי מעשיו פגעו בו ובאמו, כי נעזר בקצין המבחן כדי להבין את מעשיו ולא יחזור עליהם.</w:t>
      </w:r>
    </w:p>
    <w:p w14:paraId="29DE00EB" w14:textId="77777777" w:rsidR="00B7496C" w:rsidRDefault="00B7496C">
      <w:pPr>
        <w:pStyle w:val="ListParagraph"/>
        <w:spacing w:line="360" w:lineRule="auto"/>
        <w:jc w:val="both"/>
        <w:rPr>
          <w:rFonts w:cs="FrankRuehl"/>
          <w:sz w:val="28"/>
          <w:szCs w:val="28"/>
          <w:rtl/>
        </w:rPr>
      </w:pPr>
    </w:p>
    <w:p w14:paraId="44D5FBA1" w14:textId="77777777" w:rsidR="00B7496C" w:rsidRDefault="00B7496C">
      <w:pPr>
        <w:pStyle w:val="ListParagraph"/>
        <w:spacing w:line="360" w:lineRule="auto"/>
        <w:jc w:val="both"/>
        <w:rPr>
          <w:rFonts w:cs="FrankRuehl"/>
          <w:sz w:val="28"/>
          <w:szCs w:val="28"/>
          <w:rtl/>
        </w:rPr>
      </w:pPr>
    </w:p>
    <w:p w14:paraId="60233B89" w14:textId="77777777" w:rsidR="00B7496C" w:rsidRDefault="00B7496C">
      <w:pPr>
        <w:pStyle w:val="ListParagraph"/>
        <w:spacing w:line="360" w:lineRule="auto"/>
        <w:jc w:val="both"/>
        <w:rPr>
          <w:rFonts w:cs="FrankRuehl"/>
          <w:sz w:val="28"/>
          <w:szCs w:val="28"/>
          <w:rtl/>
        </w:rPr>
      </w:pPr>
    </w:p>
    <w:p w14:paraId="42AFCDC3" w14:textId="77777777" w:rsidR="00B7496C" w:rsidRDefault="00B7496C">
      <w:pPr>
        <w:pStyle w:val="ListParagraph"/>
        <w:spacing w:line="360" w:lineRule="auto"/>
        <w:jc w:val="both"/>
        <w:rPr>
          <w:rFonts w:cs="FrankRuehl"/>
          <w:sz w:val="28"/>
          <w:szCs w:val="28"/>
        </w:rPr>
      </w:pPr>
    </w:p>
    <w:p w14:paraId="6D758741" w14:textId="77777777" w:rsidR="00B7496C" w:rsidRDefault="005F607C">
      <w:pPr>
        <w:spacing w:line="360" w:lineRule="auto"/>
        <w:jc w:val="both"/>
        <w:rPr>
          <w:rFonts w:cs="FrankRuehl"/>
          <w:b/>
          <w:bCs/>
          <w:sz w:val="28"/>
          <w:szCs w:val="28"/>
          <w:u w:val="single"/>
          <w:rtl/>
        </w:rPr>
      </w:pPr>
      <w:r>
        <w:rPr>
          <w:rFonts w:cs="FrankRuehl" w:hint="cs"/>
          <w:b/>
          <w:bCs/>
          <w:sz w:val="28"/>
          <w:szCs w:val="28"/>
          <w:u w:val="single"/>
          <w:rtl/>
        </w:rPr>
        <w:t>דיון והכרעה</w:t>
      </w:r>
    </w:p>
    <w:p w14:paraId="50D2CB83" w14:textId="77777777" w:rsidR="00B7496C" w:rsidRDefault="005F607C">
      <w:pPr>
        <w:spacing w:line="360" w:lineRule="auto"/>
        <w:jc w:val="both"/>
        <w:rPr>
          <w:rFonts w:cs="FrankRuehl"/>
          <w:b/>
          <w:bCs/>
          <w:sz w:val="28"/>
          <w:szCs w:val="28"/>
          <w:u w:val="single"/>
          <w:rtl/>
        </w:rPr>
      </w:pPr>
      <w:r>
        <w:rPr>
          <w:rFonts w:cs="FrankRuehl" w:hint="cs"/>
          <w:b/>
          <w:bCs/>
          <w:sz w:val="28"/>
          <w:szCs w:val="28"/>
          <w:u w:val="single"/>
          <w:rtl/>
        </w:rPr>
        <w:t>קביעת מתחם העונש ההולם – ריבוי עבירות</w:t>
      </w:r>
    </w:p>
    <w:p w14:paraId="41D64704"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 xml:space="preserve">בהתאם </w:t>
      </w:r>
      <w:hyperlink r:id="rId59" w:history="1">
        <w:r w:rsidR="00D80AA0" w:rsidRPr="00D80AA0">
          <w:rPr>
            <w:rFonts w:cs="FrankRuehl" w:hint="cs"/>
            <w:color w:val="0000FF"/>
            <w:sz w:val="28"/>
            <w:szCs w:val="28"/>
            <w:u w:val="single"/>
            <w:rtl/>
          </w:rPr>
          <w:t>לסעיף</w:t>
        </w:r>
        <w:r w:rsidR="00D80AA0" w:rsidRPr="00D80AA0">
          <w:rPr>
            <w:rFonts w:cs="FrankRuehl"/>
            <w:color w:val="0000FF"/>
            <w:sz w:val="28"/>
            <w:szCs w:val="28"/>
            <w:u w:val="single"/>
            <w:rtl/>
          </w:rPr>
          <w:t xml:space="preserve"> 40</w:t>
        </w:r>
        <w:r w:rsidR="00D80AA0" w:rsidRPr="00D80AA0">
          <w:rPr>
            <w:rFonts w:cs="FrankRuehl" w:hint="cs"/>
            <w:color w:val="0000FF"/>
            <w:sz w:val="28"/>
            <w:szCs w:val="28"/>
            <w:u w:val="single"/>
            <w:rtl/>
          </w:rPr>
          <w:t>ג</w:t>
        </w:r>
        <w:r w:rsidR="00D80AA0" w:rsidRPr="00D80AA0">
          <w:rPr>
            <w:rFonts w:cs="FrankRuehl"/>
            <w:color w:val="0000FF"/>
            <w:sz w:val="28"/>
            <w:szCs w:val="28"/>
            <w:u w:val="single"/>
            <w:rtl/>
          </w:rPr>
          <w:t>.</w:t>
        </w:r>
      </w:hyperlink>
      <w:r>
        <w:rPr>
          <w:rFonts w:cs="FrankRuehl" w:hint="cs"/>
          <w:sz w:val="28"/>
          <w:szCs w:val="28"/>
          <w:rtl/>
        </w:rPr>
        <w:t xml:space="preserve"> לחוק, על בית המשפט לקבוע מתחם עונש הולם למעשה העבירה שביצע הנאשם, בהתחשב בערך החברתי שנפגע מביצוע העבירה, במידת הפגיעה בו, במדיניות הענישה הנהוגה ובנסיבות הקשורות בביצוע העבירה. </w:t>
      </w:r>
    </w:p>
    <w:p w14:paraId="546F49E8" w14:textId="77777777" w:rsidR="00B7496C" w:rsidRDefault="00B7496C">
      <w:pPr>
        <w:pStyle w:val="ListParagraph"/>
        <w:spacing w:line="360" w:lineRule="auto"/>
        <w:jc w:val="both"/>
        <w:rPr>
          <w:rFonts w:cs="FrankRuehl"/>
          <w:sz w:val="28"/>
          <w:szCs w:val="28"/>
        </w:rPr>
      </w:pPr>
    </w:p>
    <w:p w14:paraId="4C7320DF" w14:textId="77777777" w:rsidR="00B7496C" w:rsidRDefault="005F607C">
      <w:pPr>
        <w:pStyle w:val="ListParagraph"/>
        <w:numPr>
          <w:ilvl w:val="0"/>
          <w:numId w:val="1"/>
        </w:numPr>
        <w:spacing w:line="360" w:lineRule="auto"/>
        <w:jc w:val="both"/>
        <w:rPr>
          <w:rFonts w:cs="FrankRuehl"/>
          <w:sz w:val="28"/>
          <w:szCs w:val="28"/>
        </w:rPr>
      </w:pPr>
      <w:r>
        <w:rPr>
          <w:rFonts w:cs="FrankRuehl" w:hint="cs"/>
          <w:sz w:val="28"/>
          <w:szCs w:val="28"/>
          <w:rtl/>
        </w:rPr>
        <w:t xml:space="preserve">בהתאם </w:t>
      </w:r>
      <w:hyperlink r:id="rId60" w:history="1">
        <w:r w:rsidR="00D80AA0" w:rsidRPr="00D80AA0">
          <w:rPr>
            <w:rFonts w:cs="FrankRuehl" w:hint="cs"/>
            <w:color w:val="0000FF"/>
            <w:sz w:val="28"/>
            <w:szCs w:val="28"/>
            <w:u w:val="single"/>
            <w:rtl/>
          </w:rPr>
          <w:t>לסעיף</w:t>
        </w:r>
        <w:r w:rsidR="00D80AA0" w:rsidRPr="00D80AA0">
          <w:rPr>
            <w:rFonts w:cs="FrankRuehl"/>
            <w:color w:val="0000FF"/>
            <w:sz w:val="28"/>
            <w:szCs w:val="28"/>
            <w:u w:val="single"/>
            <w:rtl/>
          </w:rPr>
          <w:t xml:space="preserve"> 40</w:t>
        </w:r>
        <w:r w:rsidR="00D80AA0" w:rsidRPr="00D80AA0">
          <w:rPr>
            <w:rFonts w:cs="FrankRuehl" w:hint="cs"/>
            <w:color w:val="0000FF"/>
            <w:sz w:val="28"/>
            <w:szCs w:val="28"/>
            <w:u w:val="single"/>
            <w:rtl/>
          </w:rPr>
          <w:t>יג</w:t>
        </w:r>
        <w:r w:rsidR="00D80AA0" w:rsidRPr="00D80AA0">
          <w:rPr>
            <w:rFonts w:cs="FrankRuehl"/>
            <w:color w:val="0000FF"/>
            <w:sz w:val="28"/>
            <w:szCs w:val="28"/>
            <w:u w:val="single"/>
            <w:rtl/>
          </w:rPr>
          <w:t>.</w:t>
        </w:r>
      </w:hyperlink>
      <w:r>
        <w:rPr>
          <w:rFonts w:cs="FrankRuehl" w:hint="cs"/>
          <w:sz w:val="28"/>
          <w:szCs w:val="28"/>
          <w:rtl/>
        </w:rPr>
        <w:t xml:space="preserve"> לחוק, מקום שהרשיע בית המשפט נאשם בכמה עבירות, עליו לקבוע האם מהוות הן אירוע אחד, או כמה אירועים, בהתחשב מספר העבירות, תדירותן והזיקה ביניהן.</w:t>
      </w:r>
    </w:p>
    <w:p w14:paraId="77C0F1CF" w14:textId="77777777" w:rsidR="00B7496C" w:rsidRDefault="00B7496C">
      <w:pPr>
        <w:pStyle w:val="ListParagraph"/>
        <w:spacing w:line="360" w:lineRule="auto"/>
        <w:jc w:val="both"/>
        <w:rPr>
          <w:rFonts w:cs="FrankRuehl"/>
          <w:sz w:val="28"/>
          <w:szCs w:val="28"/>
        </w:rPr>
      </w:pPr>
    </w:p>
    <w:p w14:paraId="40099A7E" w14:textId="77777777" w:rsidR="00B7496C" w:rsidRDefault="005F607C">
      <w:pPr>
        <w:pStyle w:val="ListParagraph"/>
        <w:numPr>
          <w:ilvl w:val="0"/>
          <w:numId w:val="1"/>
        </w:numPr>
        <w:spacing w:line="360" w:lineRule="auto"/>
        <w:jc w:val="both"/>
        <w:rPr>
          <w:rFonts w:cs="FrankRuehl"/>
          <w:sz w:val="28"/>
          <w:szCs w:val="28"/>
        </w:rPr>
      </w:pPr>
      <w:r>
        <w:rPr>
          <w:rFonts w:cs="FrankRuehl" w:hint="cs"/>
          <w:sz w:val="28"/>
          <w:szCs w:val="28"/>
          <w:rtl/>
        </w:rPr>
        <w:t xml:space="preserve">במקרה דנן, בעניינו של נאשם 1, בוצעו 4 עבירות, האחת מתמשכת שמהותה החזקת נשק ותחמושת, ובעניינה יש לקבוע מתחם עונש נפרד. שאר המעשים, בוצעו בצוותא חדא עם נאשם 2, כאשר מדובר בשתי עבירות של שוד מזוין, שבוצעו יום אחר יום, בשני מקומות שונים (תחנת דלק וקיוסק), ואירוע נוסף שאירע למחרת, של נקיטת אלימות לשם גביית כסף מהמתלונן 3 במקום עבודתו.  </w:t>
      </w:r>
    </w:p>
    <w:p w14:paraId="4B78BD32" w14:textId="77777777" w:rsidR="00B7496C" w:rsidRDefault="00B7496C">
      <w:pPr>
        <w:pStyle w:val="ListParagraph"/>
        <w:spacing w:line="360" w:lineRule="auto"/>
        <w:rPr>
          <w:rFonts w:cs="FrankRuehl"/>
          <w:sz w:val="28"/>
          <w:szCs w:val="28"/>
        </w:rPr>
      </w:pPr>
    </w:p>
    <w:p w14:paraId="71FF16CE" w14:textId="77777777" w:rsidR="00B7496C" w:rsidRDefault="005F607C">
      <w:pPr>
        <w:pStyle w:val="ListParagraph"/>
        <w:spacing w:line="360" w:lineRule="auto"/>
        <w:jc w:val="both"/>
        <w:rPr>
          <w:rFonts w:cs="FrankRuehl"/>
          <w:sz w:val="28"/>
          <w:szCs w:val="28"/>
          <w:rtl/>
        </w:rPr>
      </w:pPr>
      <w:r>
        <w:rPr>
          <w:rFonts w:cs="FrankRuehl" w:hint="cs"/>
          <w:sz w:val="28"/>
          <w:szCs w:val="28"/>
          <w:rtl/>
        </w:rPr>
        <w:t>מדובר במעשים שונים במהותם, שבוצעו במרווחי זמן שאפשרו לכל אחד מהנאשמים להתחרט ולחדול ממעשיו. המעשים בוצעו כלפי מתלוננים שונים, ובענייננו שלושה נפגעי עבירה שונים, שנאלצים להתמודד עם השלכות האירועים. אף כי קיימת זיקה מסוימת בין המעשים – ביצועם על רקע מצוקה כלכלית – איני מוצאת כי ראוי לאחדם לכלל אירוע אחד (וראו לעניין זה החלטתו של כבוד השופט דנציגר ב</w:t>
      </w:r>
      <w:hyperlink r:id="rId61"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6007/13</w:t>
        </w:r>
      </w:hyperlink>
      <w:r>
        <w:rPr>
          <w:rFonts w:cs="FrankRuehl" w:hint="cs"/>
          <w:sz w:val="28"/>
          <w:szCs w:val="28"/>
          <w:rtl/>
        </w:rPr>
        <w:t xml:space="preserve"> חוסאם אבו שהאב נגד מדינת ישראל). </w:t>
      </w:r>
    </w:p>
    <w:p w14:paraId="621ACF66" w14:textId="77777777" w:rsidR="00B7496C" w:rsidRDefault="00B7496C">
      <w:pPr>
        <w:pStyle w:val="ListParagraph"/>
        <w:spacing w:line="360" w:lineRule="auto"/>
        <w:jc w:val="both"/>
        <w:rPr>
          <w:rFonts w:cs="FrankRuehl"/>
          <w:sz w:val="28"/>
          <w:szCs w:val="28"/>
          <w:rtl/>
        </w:rPr>
      </w:pPr>
    </w:p>
    <w:p w14:paraId="399371EB" w14:textId="77777777" w:rsidR="00B7496C" w:rsidRDefault="005F607C">
      <w:pPr>
        <w:spacing w:line="360" w:lineRule="auto"/>
        <w:jc w:val="both"/>
        <w:rPr>
          <w:rFonts w:cs="FrankRuehl"/>
          <w:b/>
          <w:bCs/>
          <w:sz w:val="28"/>
          <w:szCs w:val="28"/>
          <w:u w:val="single"/>
        </w:rPr>
      </w:pPr>
      <w:r>
        <w:rPr>
          <w:rFonts w:cs="FrankRuehl" w:hint="cs"/>
          <w:b/>
          <w:bCs/>
          <w:sz w:val="28"/>
          <w:szCs w:val="28"/>
          <w:u w:val="single"/>
          <w:rtl/>
        </w:rPr>
        <w:t>מתחם העונש ההולם לאישום הראשון (נאשם 1)</w:t>
      </w:r>
    </w:p>
    <w:p w14:paraId="6886137E" w14:textId="77777777" w:rsidR="00B7496C" w:rsidRDefault="005F607C">
      <w:pPr>
        <w:pStyle w:val="ListParagraph"/>
        <w:numPr>
          <w:ilvl w:val="0"/>
          <w:numId w:val="1"/>
        </w:numPr>
        <w:spacing w:line="360" w:lineRule="auto"/>
        <w:jc w:val="both"/>
        <w:rPr>
          <w:rFonts w:cs="FrankRuehl"/>
          <w:sz w:val="28"/>
          <w:szCs w:val="28"/>
        </w:rPr>
      </w:pPr>
      <w:r>
        <w:rPr>
          <w:rFonts w:cs="FrankRuehl" w:hint="cs"/>
          <w:sz w:val="28"/>
          <w:szCs w:val="28"/>
          <w:rtl/>
        </w:rPr>
        <w:t xml:space="preserve">על פי האישום הראשון, החזיק הנאשם 1 משך כשלוש שנים אקדח, מחסנית ותחמושת, אותם הסתיר במקומות שונים, בין היתר בתוך שיחים ברחוב בעיר חולון, מעשה אשר כשלעצמו מהווה סכנה לשלום הציבור. </w:t>
      </w:r>
    </w:p>
    <w:p w14:paraId="7AA6C1C8" w14:textId="77777777" w:rsidR="00B7496C" w:rsidRDefault="00B7496C">
      <w:pPr>
        <w:pStyle w:val="ListParagraph"/>
        <w:spacing w:line="360" w:lineRule="auto"/>
        <w:jc w:val="both"/>
        <w:rPr>
          <w:rFonts w:cs="FrankRuehl"/>
          <w:sz w:val="28"/>
          <w:szCs w:val="28"/>
        </w:rPr>
      </w:pPr>
    </w:p>
    <w:p w14:paraId="6A64FCE8"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אין המדובר בהחזקה רגעית או ספונטנית, אלא בהחזקה מתמשכת, כאשר בהמשך – כמפורט באישומים 2-4 – עשה הנאשם 1 שימוש בנשק לשם ביצוע עבירות פליליות. </w:t>
      </w:r>
    </w:p>
    <w:p w14:paraId="3F4735CF" w14:textId="77777777" w:rsidR="00B7496C" w:rsidRDefault="00B7496C">
      <w:pPr>
        <w:pStyle w:val="ListParagraph"/>
        <w:spacing w:line="360" w:lineRule="auto"/>
        <w:jc w:val="both"/>
        <w:rPr>
          <w:rFonts w:cs="FrankRuehl"/>
          <w:sz w:val="28"/>
          <w:szCs w:val="28"/>
          <w:rtl/>
        </w:rPr>
      </w:pPr>
    </w:p>
    <w:p w14:paraId="29E824C3" w14:textId="77777777" w:rsidR="00B7496C" w:rsidRDefault="005F607C">
      <w:pPr>
        <w:pStyle w:val="ListParagraph"/>
        <w:spacing w:line="360" w:lineRule="auto"/>
        <w:jc w:val="both"/>
        <w:rPr>
          <w:rFonts w:cs="FrankRuehl"/>
          <w:sz w:val="28"/>
          <w:szCs w:val="28"/>
          <w:rtl/>
        </w:rPr>
      </w:pPr>
      <w:r>
        <w:rPr>
          <w:rFonts w:cs="FrankRuehl" w:hint="cs"/>
          <w:sz w:val="28"/>
          <w:szCs w:val="28"/>
          <w:rtl/>
        </w:rPr>
        <w:t>יוזכר, כי "בשל פוטנציאל ההרס הטמון בכלי נשק, הכולל גם אפשרות לפגיעה עיוורת באנשים מן היישוב, מתפקידו של בית המשפט להרתיע אף מפני עבירת החזקה הנשק שלא כדין" (כבוד השופט הנדל ב</w:t>
      </w:r>
      <w:hyperlink r:id="rId62"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3288/14</w:t>
        </w:r>
      </w:hyperlink>
      <w:r>
        <w:rPr>
          <w:rFonts w:cs="FrankRuehl" w:hint="cs"/>
          <w:sz w:val="28"/>
          <w:szCs w:val="28"/>
          <w:rtl/>
        </w:rPr>
        <w:t>). בנסיבות המתוארות לעיל, מצאתי כי מתחם העונש ההולם לנסיבות החזקת הנשק על ידי נאשם 1 נע בין עונש מאסר שניתן לרצותו בדרך של עבודות שירות לבין 24 חודשי מאסר בפועל.</w:t>
      </w:r>
    </w:p>
    <w:p w14:paraId="49D70928" w14:textId="77777777" w:rsidR="00B7496C" w:rsidRDefault="00B7496C">
      <w:pPr>
        <w:pStyle w:val="ListParagraph"/>
        <w:spacing w:line="360" w:lineRule="auto"/>
        <w:jc w:val="both"/>
        <w:rPr>
          <w:rFonts w:cs="FrankRuehl"/>
          <w:sz w:val="28"/>
          <w:szCs w:val="28"/>
          <w:rtl/>
        </w:rPr>
      </w:pPr>
    </w:p>
    <w:p w14:paraId="598725D6" w14:textId="77777777" w:rsidR="00B7496C" w:rsidRDefault="005F607C">
      <w:pPr>
        <w:spacing w:line="360" w:lineRule="auto"/>
        <w:jc w:val="both"/>
        <w:rPr>
          <w:rFonts w:cs="FrankRuehl"/>
          <w:b/>
          <w:bCs/>
          <w:sz w:val="28"/>
          <w:szCs w:val="28"/>
          <w:u w:val="single"/>
        </w:rPr>
      </w:pPr>
      <w:r>
        <w:rPr>
          <w:rFonts w:cs="FrankRuehl" w:hint="cs"/>
          <w:b/>
          <w:bCs/>
          <w:sz w:val="28"/>
          <w:szCs w:val="28"/>
          <w:u w:val="single"/>
          <w:rtl/>
        </w:rPr>
        <w:t>מתחם העונש ההולם לאישומים 2 ו-3 (נאשמים 1 ו-2)</w:t>
      </w:r>
    </w:p>
    <w:p w14:paraId="30C36892" w14:textId="77777777" w:rsidR="00B7496C" w:rsidRDefault="005F607C">
      <w:pPr>
        <w:pStyle w:val="ListParagraph"/>
        <w:numPr>
          <w:ilvl w:val="0"/>
          <w:numId w:val="1"/>
        </w:numPr>
        <w:spacing w:line="360" w:lineRule="auto"/>
        <w:jc w:val="both"/>
        <w:rPr>
          <w:rFonts w:cs="FrankRuehl"/>
          <w:sz w:val="28"/>
          <w:szCs w:val="28"/>
        </w:rPr>
      </w:pPr>
      <w:r>
        <w:rPr>
          <w:rFonts w:cs="FrankRuehl" w:hint="cs"/>
          <w:sz w:val="28"/>
          <w:szCs w:val="28"/>
          <w:rtl/>
        </w:rPr>
        <w:t>ביחס לעבירת השוד אמרה כבוד השופטת ארבל ב</w:t>
      </w:r>
      <w:hyperlink r:id="rId63"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4177/06</w:t>
        </w:r>
      </w:hyperlink>
      <w:r>
        <w:rPr>
          <w:rFonts w:cs="FrankRuehl" w:hint="cs"/>
          <w:sz w:val="28"/>
          <w:szCs w:val="28"/>
          <w:rtl/>
        </w:rPr>
        <w:t xml:space="preserve"> אבו הוידי באהי לישנא:</w:t>
      </w:r>
    </w:p>
    <w:p w14:paraId="538F7D1C" w14:textId="77777777" w:rsidR="00B7496C" w:rsidRDefault="005F607C">
      <w:pPr>
        <w:pStyle w:val="ListParagraph"/>
        <w:spacing w:line="360" w:lineRule="auto"/>
        <w:jc w:val="both"/>
        <w:rPr>
          <w:rFonts w:cs="FrankRuehl"/>
          <w:sz w:val="28"/>
          <w:szCs w:val="28"/>
          <w:rtl/>
        </w:rPr>
      </w:pPr>
      <w:r>
        <w:rPr>
          <w:rFonts w:cs="FrankRuehl" w:hint="cs"/>
          <w:sz w:val="28"/>
          <w:szCs w:val="28"/>
          <w:rtl/>
        </w:rPr>
        <w:t>"היא מבטאת אי קבלה של תפישות היסוד של החברה באשר לכבוד שיש לנהוג בגופו של אדם ובזכותו על רכושו. היא מבטאת תפישה שלפיה כוח הזרוע הוא שמכתיב את ההתנהלות וגורמת לכך שהציבור מתנהל בתחושה של חוסר ביטחון אישי, בידיעה כי פורענות עשויה להתרגש עליו גם בהלכו לתומו ברחוב, מידו של מי אשר מבקש לעשות רווח קל. אותם אזרחים תמימים זכאים ללכת ברחוב מוגנים מפני תוקף ואורב שאינו רואה לנגד עיניו אלא את עניינו שלו. בגזירת הדין בעבירה מסוג זה ראוי כי בית המשפט ייתן את הדעת, לצד נסיבותיו האישיות של הנידון והאפשרות לשקמו, גם לצורך לשלוח מסר ברור לפיו מי שנכון לבצע מעשים מעין אלה צפוי לעונש משמעותי שיבטא גם את פגיעתו הרעה בחברה, לצד שיקולי הענישה האחרים" .</w:t>
      </w:r>
    </w:p>
    <w:p w14:paraId="42BF6D5E" w14:textId="77777777" w:rsidR="00B7496C" w:rsidRDefault="00B7496C">
      <w:pPr>
        <w:pStyle w:val="ListParagraph"/>
        <w:spacing w:line="360" w:lineRule="auto"/>
        <w:jc w:val="both"/>
        <w:rPr>
          <w:rFonts w:cs="FrankRuehl"/>
          <w:sz w:val="28"/>
          <w:szCs w:val="28"/>
          <w:rtl/>
        </w:rPr>
      </w:pPr>
    </w:p>
    <w:p w14:paraId="44D392F4" w14:textId="77777777" w:rsidR="00B7496C" w:rsidRDefault="005F607C">
      <w:pPr>
        <w:pStyle w:val="ListParagraph"/>
        <w:numPr>
          <w:ilvl w:val="0"/>
          <w:numId w:val="1"/>
        </w:numPr>
        <w:spacing w:line="360" w:lineRule="auto"/>
        <w:jc w:val="both"/>
        <w:rPr>
          <w:rFonts w:cs="FrankRuehl"/>
          <w:sz w:val="28"/>
          <w:szCs w:val="28"/>
        </w:rPr>
      </w:pPr>
      <w:r>
        <w:rPr>
          <w:rFonts w:cs="FrankRuehl" w:hint="cs"/>
          <w:sz w:val="28"/>
          <w:szCs w:val="28"/>
          <w:rtl/>
        </w:rPr>
        <w:t>ביחס לעבירת שוד בתחנת דלק נאמר ב</w:t>
      </w:r>
      <w:hyperlink r:id="rId64"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9647/09</w:t>
        </w:r>
      </w:hyperlink>
      <w:r>
        <w:rPr>
          <w:rFonts w:cs="FrankRuehl" w:hint="cs"/>
          <w:sz w:val="28"/>
          <w:szCs w:val="28"/>
          <w:rtl/>
        </w:rPr>
        <w:t xml:space="preserve"> שור נ' מדינת ישראל כך:</w:t>
      </w:r>
    </w:p>
    <w:p w14:paraId="03B97263" w14:textId="77777777" w:rsidR="00B7496C" w:rsidRDefault="005F607C">
      <w:pPr>
        <w:pStyle w:val="ListParagraph"/>
        <w:spacing w:line="360" w:lineRule="auto"/>
        <w:jc w:val="both"/>
        <w:rPr>
          <w:rFonts w:cs="FrankRuehl"/>
          <w:sz w:val="28"/>
          <w:szCs w:val="28"/>
        </w:rPr>
      </w:pPr>
      <w:r>
        <w:rPr>
          <w:rFonts w:cs="FrankRuehl" w:hint="cs"/>
          <w:sz w:val="28"/>
          <w:szCs w:val="28"/>
          <w:rtl/>
        </w:rPr>
        <w:t xml:space="preserve">"שוד כשלעצמו מן החמורות שבעבירות הוא, ועסקינן בשוד בנסיבות מחמירות לפי </w:t>
      </w:r>
      <w:hyperlink r:id="rId65" w:history="1">
        <w:r w:rsidR="00D80AA0" w:rsidRPr="00D80AA0">
          <w:rPr>
            <w:rFonts w:cs="FrankRuehl" w:hint="cs"/>
            <w:color w:val="0000FF"/>
            <w:sz w:val="28"/>
            <w:szCs w:val="28"/>
            <w:u w:val="single"/>
            <w:rtl/>
          </w:rPr>
          <w:t>סעיף</w:t>
        </w:r>
        <w:r w:rsidR="00D80AA0" w:rsidRPr="00D80AA0">
          <w:rPr>
            <w:rFonts w:cs="FrankRuehl"/>
            <w:color w:val="0000FF"/>
            <w:sz w:val="28"/>
            <w:szCs w:val="28"/>
            <w:u w:val="single"/>
            <w:rtl/>
          </w:rPr>
          <w:t xml:space="preserve"> 402 (</w:t>
        </w:r>
        <w:r w:rsidR="00D80AA0" w:rsidRPr="00D80AA0">
          <w:rPr>
            <w:rFonts w:cs="FrankRuehl" w:hint="cs"/>
            <w:color w:val="0000FF"/>
            <w:sz w:val="28"/>
            <w:szCs w:val="28"/>
            <w:u w:val="single"/>
            <w:rtl/>
          </w:rPr>
          <w:t>ב</w:t>
        </w:r>
        <w:r w:rsidR="00D80AA0" w:rsidRPr="00D80AA0">
          <w:rPr>
            <w:rFonts w:cs="FrankRuehl"/>
            <w:color w:val="0000FF"/>
            <w:sz w:val="28"/>
            <w:szCs w:val="28"/>
            <w:u w:val="single"/>
            <w:rtl/>
          </w:rPr>
          <w:t>)</w:t>
        </w:r>
      </w:hyperlink>
      <w:r>
        <w:rPr>
          <w:rFonts w:cs="FrankRuehl" w:hint="cs"/>
          <w:sz w:val="28"/>
          <w:szCs w:val="28"/>
          <w:rtl/>
        </w:rPr>
        <w:t xml:space="preserve"> ל</w:t>
      </w:r>
      <w:hyperlink r:id="rId66" w:history="1">
        <w:r w:rsidRPr="005F607C">
          <w:rPr>
            <w:rFonts w:cs="FrankRuehl" w:hint="cs"/>
            <w:color w:val="0000FF"/>
            <w:sz w:val="28"/>
            <w:szCs w:val="28"/>
            <w:u w:val="single"/>
            <w:rtl/>
          </w:rPr>
          <w:t>חוק</w:t>
        </w:r>
        <w:r w:rsidRPr="005F607C">
          <w:rPr>
            <w:rFonts w:cs="FrankRuehl"/>
            <w:color w:val="0000FF"/>
            <w:sz w:val="28"/>
            <w:szCs w:val="28"/>
            <w:u w:val="single"/>
            <w:rtl/>
          </w:rPr>
          <w:t xml:space="preserve"> </w:t>
        </w:r>
        <w:r w:rsidRPr="005F607C">
          <w:rPr>
            <w:rFonts w:cs="FrankRuehl" w:hint="cs"/>
            <w:color w:val="0000FF"/>
            <w:sz w:val="28"/>
            <w:szCs w:val="28"/>
            <w:u w:val="single"/>
            <w:rtl/>
          </w:rPr>
          <w:t>העונשין</w:t>
        </w:r>
      </w:hyperlink>
      <w:r>
        <w:rPr>
          <w:rFonts w:cs="FrankRuehl" w:hint="cs"/>
          <w:sz w:val="28"/>
          <w:szCs w:val="28"/>
          <w:rtl/>
        </w:rPr>
        <w:t xml:space="preserve">, שעונשו המירבי עשרים שנות מאסר. שוד בתחנת דלק בשעות ליל ניתן להשוותו למשל, לשוד נהג מונית, שעל חומרתו עמד בית משפט זה לא אחת ולא שתיים, ורוב מלים אך למותר; הצד השוה ביניהם הוא הפגיעה במי שנכון לשרת את הציבור, לפרנסתו, גם באישון לילה, והוא חשוף לזדון הזולת. נהג המונית הוא בודד, וכך על פי רוב המתדלק הלילי. דרך יחידה שבתי המשפט יכולים לבטא בה את עמדתם הנחרצת כלפי החוטאים בכגון דא, ולתרום להגנת המתדלקים, היא בענישה". </w:t>
      </w:r>
    </w:p>
    <w:p w14:paraId="7C65E7F9" w14:textId="77777777" w:rsidR="00B7496C" w:rsidRDefault="00B7496C">
      <w:pPr>
        <w:pStyle w:val="ListParagraph"/>
        <w:spacing w:line="360" w:lineRule="auto"/>
        <w:jc w:val="both"/>
        <w:rPr>
          <w:rFonts w:cs="FrankRuehl"/>
          <w:sz w:val="28"/>
          <w:szCs w:val="28"/>
          <w:rtl/>
        </w:rPr>
      </w:pPr>
    </w:p>
    <w:p w14:paraId="6C813B82"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 xml:space="preserve">שקלתי את בקשת ב"כ נאשם 2 לקבוע מתחמים שונים לנאשמים השונים. מרבית המעשים בוצעו מתוך שותפות מלאה ביניהם, ואף שהיתה חלוקת תפקידים מסויימת ביניהם, כל אחד מילא כדי חלקו בשותפות, וחלקו של כל אחד מהם לא היה מתקיים לולא האחר: </w:t>
      </w:r>
    </w:p>
    <w:p w14:paraId="34D4D467" w14:textId="77777777" w:rsidR="00B7496C" w:rsidRDefault="005F607C">
      <w:pPr>
        <w:pStyle w:val="ListParagraph"/>
        <w:spacing w:line="360" w:lineRule="auto"/>
        <w:jc w:val="both"/>
        <w:rPr>
          <w:rFonts w:cs="FrankRuehl"/>
          <w:sz w:val="28"/>
          <w:szCs w:val="28"/>
        </w:rPr>
      </w:pPr>
      <w:r>
        <w:rPr>
          <w:rFonts w:cs="FrankRuehl" w:hint="cs"/>
          <w:sz w:val="28"/>
          <w:szCs w:val="28"/>
          <w:rtl/>
        </w:rPr>
        <w:t>באישום השני שני הנאשמים תרו יחד אחר מקומות המתאימים לביצוע השוד, שניהם נכנסו בצורה מאיימת לתחנת הדלק כשפניהם מכוסות בחתיכות בד ובקסדות, ונוכחותם המשותפת היוותה איום על המתלונן 1.</w:t>
      </w:r>
    </w:p>
    <w:p w14:paraId="63E535BA" w14:textId="77777777" w:rsidR="00B7496C" w:rsidRDefault="00B7496C">
      <w:pPr>
        <w:pStyle w:val="ListParagraph"/>
        <w:spacing w:line="360" w:lineRule="auto"/>
        <w:jc w:val="both"/>
        <w:rPr>
          <w:rFonts w:cs="FrankRuehl"/>
          <w:sz w:val="28"/>
          <w:szCs w:val="28"/>
        </w:rPr>
      </w:pPr>
    </w:p>
    <w:p w14:paraId="6B4B1741"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כן התחשבתי בכך ששלל השוד באישום השני היה 3,000 ₪ ובאישום השלישי 700 ₪ , וכי בשל ביצוע המעשים באמצעות אקדח, האירוע יכול היה להתדרדר בקלות לכדי אירוע קשה יותר, המלווה בפציעות ובקרבנות בנפש. </w:t>
      </w:r>
    </w:p>
    <w:p w14:paraId="3AC80E07" w14:textId="77777777" w:rsidR="00B7496C" w:rsidRDefault="00B7496C">
      <w:pPr>
        <w:pStyle w:val="ListParagraph"/>
        <w:spacing w:line="360" w:lineRule="auto"/>
        <w:jc w:val="both"/>
        <w:rPr>
          <w:rFonts w:cs="FrankRuehl"/>
          <w:sz w:val="28"/>
          <w:szCs w:val="28"/>
        </w:rPr>
      </w:pPr>
    </w:p>
    <w:p w14:paraId="27CEEE4C" w14:textId="77777777" w:rsidR="00B7496C" w:rsidRDefault="005F607C">
      <w:pPr>
        <w:pStyle w:val="ListParagraph"/>
        <w:spacing w:line="360" w:lineRule="auto"/>
        <w:jc w:val="both"/>
        <w:rPr>
          <w:rFonts w:cs="FrankRuehl"/>
          <w:sz w:val="28"/>
          <w:szCs w:val="28"/>
          <w:rtl/>
        </w:rPr>
      </w:pPr>
      <w:r>
        <w:rPr>
          <w:rFonts w:cs="FrankRuehl" w:hint="cs"/>
          <w:sz w:val="28"/>
          <w:szCs w:val="28"/>
          <w:rtl/>
        </w:rPr>
        <w:t>מאידך התחשבתי בכך שלא ננקטה אלימות בפועל כלפי המתלוננים 1 ו-2 (למעט דחיפה של מתלונן 2 לכיוון הקופה).</w:t>
      </w:r>
    </w:p>
    <w:p w14:paraId="4898A596" w14:textId="77777777" w:rsidR="00B7496C" w:rsidRDefault="00B7496C">
      <w:pPr>
        <w:pStyle w:val="ListParagraph"/>
        <w:spacing w:line="360" w:lineRule="auto"/>
        <w:jc w:val="both"/>
        <w:rPr>
          <w:rFonts w:cs="FrankRuehl"/>
          <w:sz w:val="28"/>
          <w:szCs w:val="28"/>
          <w:rtl/>
        </w:rPr>
      </w:pPr>
    </w:p>
    <w:p w14:paraId="23154C60"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אכן קיים פער בין הנאשמים באירוע זה כתוצאה מכך שהנאשם 1 נשא  אקדח ואף עשה בו שימוש במהלך האירועים, וכי הוא זה שדרש את הכסף בפועל, אולם מקום שהאירועים תוכננו מראש ובשותפות מלאה, ומקום שלא נטען אחרת, עלי להניח כי נאשם 2 ידע אודות קיומו של האקדח מבעוד מועד ולא נרתע מכך. </w:t>
      </w:r>
    </w:p>
    <w:p w14:paraId="031FD366" w14:textId="77777777" w:rsidR="00B7496C" w:rsidRDefault="00B7496C">
      <w:pPr>
        <w:pStyle w:val="ListParagraph"/>
        <w:spacing w:line="360" w:lineRule="auto"/>
        <w:jc w:val="both"/>
        <w:rPr>
          <w:rFonts w:cs="FrankRuehl"/>
          <w:sz w:val="28"/>
          <w:szCs w:val="28"/>
        </w:rPr>
      </w:pPr>
    </w:p>
    <w:p w14:paraId="76FD9F55"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בנוסף לכך שקלתי את טענתו של ב"כ נאשם 2 בדבר השפעת נאשם 1 עליו לביצוע העבירה, נתון שיש בו להשפיע על קביעת המתחם, בהתאם </w:t>
      </w:r>
      <w:hyperlink r:id="rId67" w:history="1">
        <w:r w:rsidR="00D80AA0" w:rsidRPr="00D80AA0">
          <w:rPr>
            <w:rFonts w:cs="FrankRuehl" w:hint="cs"/>
            <w:color w:val="0000FF"/>
            <w:sz w:val="28"/>
            <w:szCs w:val="28"/>
            <w:u w:val="single"/>
            <w:rtl/>
          </w:rPr>
          <w:t>לסעיף</w:t>
        </w:r>
        <w:r w:rsidR="00D80AA0" w:rsidRPr="00D80AA0">
          <w:rPr>
            <w:rFonts w:cs="FrankRuehl"/>
            <w:color w:val="0000FF"/>
            <w:sz w:val="28"/>
            <w:szCs w:val="28"/>
            <w:u w:val="single"/>
            <w:rtl/>
          </w:rPr>
          <w:t xml:space="preserve"> 40</w:t>
        </w:r>
        <w:r w:rsidR="00D80AA0" w:rsidRPr="00D80AA0">
          <w:rPr>
            <w:rFonts w:cs="FrankRuehl" w:hint="cs"/>
            <w:color w:val="0000FF"/>
            <w:sz w:val="28"/>
            <w:szCs w:val="28"/>
            <w:u w:val="single"/>
            <w:rtl/>
          </w:rPr>
          <w:t>ט</w:t>
        </w:r>
        <w:r w:rsidR="00D80AA0" w:rsidRPr="00D80AA0">
          <w:rPr>
            <w:rFonts w:cs="FrankRuehl"/>
            <w:color w:val="0000FF"/>
            <w:sz w:val="28"/>
            <w:szCs w:val="28"/>
            <w:u w:val="single"/>
            <w:rtl/>
          </w:rPr>
          <w:t>(2)</w:t>
        </w:r>
      </w:hyperlink>
      <w:r>
        <w:rPr>
          <w:rFonts w:cs="FrankRuehl" w:hint="cs"/>
          <w:sz w:val="28"/>
          <w:szCs w:val="28"/>
          <w:rtl/>
        </w:rPr>
        <w:t xml:space="preserve"> סיפא לחוק, ואשר יתכן כי הסתייע במידה </w:t>
      </w:r>
      <w:r>
        <w:rPr>
          <w:rFonts w:cs="FrankRuehl" w:hint="cs"/>
          <w:sz w:val="28"/>
          <w:szCs w:val="28"/>
          <w:u w:val="single"/>
          <w:rtl/>
        </w:rPr>
        <w:t>מסוימת</w:t>
      </w:r>
      <w:r>
        <w:rPr>
          <w:rFonts w:cs="FrankRuehl" w:hint="cs"/>
          <w:sz w:val="28"/>
          <w:szCs w:val="28"/>
          <w:rtl/>
        </w:rPr>
        <w:t xml:space="preserve">  לנוכח גילו הצעיר של הנאשם 2 בהתאם </w:t>
      </w:r>
      <w:hyperlink r:id="rId68" w:history="1">
        <w:r w:rsidR="00D80AA0" w:rsidRPr="00D80AA0">
          <w:rPr>
            <w:rFonts w:cs="FrankRuehl" w:hint="cs"/>
            <w:color w:val="0000FF"/>
            <w:sz w:val="28"/>
            <w:szCs w:val="28"/>
            <w:u w:val="single"/>
            <w:rtl/>
          </w:rPr>
          <w:t>לסעיף</w:t>
        </w:r>
        <w:r w:rsidR="00D80AA0" w:rsidRPr="00D80AA0">
          <w:rPr>
            <w:rFonts w:cs="FrankRuehl"/>
            <w:color w:val="0000FF"/>
            <w:sz w:val="28"/>
            <w:szCs w:val="28"/>
            <w:u w:val="single"/>
            <w:rtl/>
          </w:rPr>
          <w:t xml:space="preserve"> 40</w:t>
        </w:r>
        <w:r w:rsidR="00D80AA0" w:rsidRPr="00D80AA0">
          <w:rPr>
            <w:rFonts w:cs="FrankRuehl" w:hint="cs"/>
            <w:color w:val="0000FF"/>
            <w:sz w:val="28"/>
            <w:szCs w:val="28"/>
            <w:u w:val="single"/>
            <w:rtl/>
          </w:rPr>
          <w:t>ט</w:t>
        </w:r>
        <w:r w:rsidR="00D80AA0" w:rsidRPr="00D80AA0">
          <w:rPr>
            <w:rFonts w:cs="FrankRuehl"/>
            <w:color w:val="0000FF"/>
            <w:sz w:val="28"/>
            <w:szCs w:val="28"/>
            <w:u w:val="single"/>
            <w:rtl/>
          </w:rPr>
          <w:t>(6)</w:t>
        </w:r>
      </w:hyperlink>
      <w:r>
        <w:rPr>
          <w:rFonts w:cs="FrankRuehl" w:hint="cs"/>
          <w:sz w:val="28"/>
          <w:szCs w:val="28"/>
          <w:rtl/>
        </w:rPr>
        <w:t xml:space="preserve"> סיפא לחוק. </w:t>
      </w:r>
    </w:p>
    <w:p w14:paraId="7AD67152" w14:textId="77777777" w:rsidR="00B7496C" w:rsidRDefault="00B7496C">
      <w:pPr>
        <w:pStyle w:val="ListParagraph"/>
        <w:spacing w:line="360" w:lineRule="auto"/>
        <w:jc w:val="both"/>
        <w:rPr>
          <w:rFonts w:cs="FrankRuehl"/>
          <w:sz w:val="28"/>
          <w:szCs w:val="28"/>
          <w:rtl/>
        </w:rPr>
      </w:pPr>
    </w:p>
    <w:p w14:paraId="0FC647DC"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ב"כ המאשימה אינו חולק על כך שנאשם 1 השפיע על נאשם 2 לביצוע המעשים, והדברים עולים באופן ברור אף מהודעות הנאשמים במשטרה, שהוגשו לעיוני. </w:t>
      </w:r>
    </w:p>
    <w:p w14:paraId="44BF7A25" w14:textId="77777777" w:rsidR="00B7496C" w:rsidRDefault="00B7496C">
      <w:pPr>
        <w:pStyle w:val="ListParagraph"/>
        <w:spacing w:line="360" w:lineRule="auto"/>
        <w:jc w:val="both"/>
        <w:rPr>
          <w:rFonts w:cs="FrankRuehl"/>
          <w:sz w:val="28"/>
          <w:szCs w:val="28"/>
          <w:rtl/>
        </w:rPr>
      </w:pPr>
    </w:p>
    <w:p w14:paraId="00BDB244"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בנסיבות אלה, יש מקום להבחנה מסוימת בין שני הנאשמים, ככל שהדבר נוגע לקביעת מתחם העונש ההולם למעשה העבירה, אולם הפער אינו יכול להיות משמעותי. </w:t>
      </w:r>
    </w:p>
    <w:p w14:paraId="086C7F7F" w14:textId="77777777" w:rsidR="00B7496C" w:rsidRDefault="00B7496C">
      <w:pPr>
        <w:pStyle w:val="ListParagraph"/>
        <w:spacing w:line="360" w:lineRule="auto"/>
        <w:jc w:val="both"/>
        <w:rPr>
          <w:rFonts w:cs="FrankRuehl"/>
          <w:sz w:val="28"/>
          <w:szCs w:val="28"/>
          <w:rtl/>
        </w:rPr>
      </w:pPr>
    </w:p>
    <w:p w14:paraId="4563E5BB" w14:textId="77777777" w:rsidR="00B7496C" w:rsidRDefault="005F607C">
      <w:pPr>
        <w:pStyle w:val="ListParagraph"/>
        <w:numPr>
          <w:ilvl w:val="0"/>
          <w:numId w:val="1"/>
        </w:numPr>
        <w:spacing w:line="360" w:lineRule="auto"/>
        <w:jc w:val="both"/>
        <w:rPr>
          <w:rFonts w:cs="FrankRuehl"/>
          <w:sz w:val="28"/>
          <w:szCs w:val="28"/>
        </w:rPr>
      </w:pPr>
      <w:r>
        <w:rPr>
          <w:rFonts w:cs="FrankRuehl" w:hint="cs"/>
          <w:sz w:val="28"/>
          <w:szCs w:val="28"/>
          <w:rtl/>
        </w:rPr>
        <w:t xml:space="preserve">בחינת רמת הענישה הנוהגת בגין אירועי שוד מתוכנן בחבורה בתחנות דלק באמצעות אקדח מלמדת כי העונשים נעים בין 3 ל-5 שנות מאסר (ראו לעניין זה </w:t>
      </w:r>
      <w:hyperlink r:id="rId69"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9647/09</w:t>
        </w:r>
      </w:hyperlink>
      <w:r>
        <w:rPr>
          <w:rFonts w:cs="FrankRuehl" w:hint="cs"/>
          <w:sz w:val="28"/>
          <w:szCs w:val="28"/>
          <w:rtl/>
        </w:rPr>
        <w:t xml:space="preserve"> עוזי שור נגד מדינת ישראל; </w:t>
      </w:r>
      <w:hyperlink r:id="rId70"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5368/14</w:t>
        </w:r>
      </w:hyperlink>
      <w:r>
        <w:rPr>
          <w:rFonts w:cs="FrankRuehl" w:hint="cs"/>
          <w:sz w:val="28"/>
          <w:szCs w:val="28"/>
          <w:rtl/>
        </w:rPr>
        <w:t xml:space="preserve"> ציון אברהם, אליהם הפנה גם ב"כ המאשימה). לא מצאתי לגזור גזירה שווה מגזרי הדין אליהם הפנה ב"כ הנאשם 2, המתייחסים לאירועי חטיפת מכשירי טלפון ניידים מידיהם של עוברים ושבים, לענייננו. גזר הדין היחיד אליו הפנה ואשר רלבנטי לענייננו, הינו </w:t>
      </w:r>
      <w:hyperlink r:id="rId71"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452/14</w:t>
        </w:r>
      </w:hyperlink>
      <w:r>
        <w:rPr>
          <w:rFonts w:cs="FrankRuehl" w:hint="cs"/>
          <w:sz w:val="28"/>
          <w:szCs w:val="28"/>
          <w:rtl/>
        </w:rPr>
        <w:t xml:space="preserve"> ניסים דבוש נגד מדינת ישראל, בו ציין כבוד השופט ג'ובראן כך:</w:t>
      </w:r>
    </w:p>
    <w:p w14:paraId="24711DED" w14:textId="77777777" w:rsidR="00B7496C" w:rsidRDefault="005F607C">
      <w:pPr>
        <w:pStyle w:val="ListParagraph"/>
        <w:spacing w:line="360" w:lineRule="auto"/>
        <w:jc w:val="both"/>
        <w:rPr>
          <w:rFonts w:cs="FrankRuehl"/>
          <w:sz w:val="28"/>
          <w:szCs w:val="28"/>
        </w:rPr>
      </w:pPr>
      <w:r>
        <w:rPr>
          <w:rFonts w:cs="FrankRuehl" w:hint="cs"/>
          <w:sz w:val="28"/>
          <w:szCs w:val="28"/>
          <w:rtl/>
        </w:rPr>
        <w:t xml:space="preserve">"הערך החברתי שנפגע מביצוע עבירת השוד הוא כבודם, חירותם ורכושם של המתלוננים -  קורבנות העבירה וביטחונו של הציבור, יכולתו הממשית לחיות את חייו, ולהלך ברחובות ללא חשש (עניין גברזגיי)". במסגרת תיק זה קבע בית המשפט המחוזי מתחם ענישה שבין שנה לשלוש שנות מאסר, לנוכח העובדה כי הנשק היה דמי ולא סיכן באמת את חייו של המתלונן, וכי לא ננקטה בנוסף אלימות פיזית. </w:t>
      </w:r>
    </w:p>
    <w:p w14:paraId="2295C6F2" w14:textId="77777777" w:rsidR="00B7496C" w:rsidRDefault="00B7496C">
      <w:pPr>
        <w:pStyle w:val="ListParagraph"/>
        <w:spacing w:line="360" w:lineRule="auto"/>
        <w:jc w:val="both"/>
        <w:rPr>
          <w:rFonts w:cs="FrankRuehl"/>
          <w:sz w:val="28"/>
          <w:szCs w:val="28"/>
        </w:rPr>
      </w:pPr>
    </w:p>
    <w:p w14:paraId="66FDEE14"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לאור האמור, ובהתחשב ברמת הענישה הנוהגת, באתי לכלל מסקנה כי מתחם העונש ההולם לכל אחד ממעשי העבירה נשוא האישום השני והשלישי– בעניינו של הנאשם 1 - נע בין 30 ל-60 חודשי מאסר בפועל, ובין 27 ל-54 חודשי מאסר בפועל בעניינו של נאשם 2.</w:t>
      </w:r>
    </w:p>
    <w:p w14:paraId="36A37000" w14:textId="77777777" w:rsidR="00B7496C" w:rsidRDefault="005F607C">
      <w:pPr>
        <w:spacing w:line="360" w:lineRule="auto"/>
        <w:jc w:val="both"/>
        <w:rPr>
          <w:rFonts w:cs="FrankRuehl"/>
          <w:b/>
          <w:bCs/>
          <w:sz w:val="28"/>
          <w:szCs w:val="28"/>
          <w:u w:val="single"/>
        </w:rPr>
      </w:pPr>
      <w:r>
        <w:rPr>
          <w:rFonts w:cs="FrankRuehl" w:hint="cs"/>
          <w:b/>
          <w:bCs/>
          <w:sz w:val="28"/>
          <w:szCs w:val="28"/>
          <w:u w:val="single"/>
          <w:rtl/>
        </w:rPr>
        <w:t>מתחם העונש ההולם לאישום 4 (נאשמים 1 ו-2)</w:t>
      </w:r>
    </w:p>
    <w:p w14:paraId="370C77B5"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 xml:space="preserve">הערך המוגן בעבירות בהן הורשע הנאשמים באישום זה הינו שלמות גופו של האדם ובטחונו האישי. כמו כן, במעשיהם פגעו הנאשמים 1 ו-2 בעסקו של המתלונן 3 וביכולתו לנהל את עסקיו. </w:t>
      </w:r>
    </w:p>
    <w:p w14:paraId="74592E12" w14:textId="77777777" w:rsidR="00B7496C" w:rsidRDefault="005F607C">
      <w:pPr>
        <w:pStyle w:val="ListParagraph"/>
        <w:numPr>
          <w:ilvl w:val="0"/>
          <w:numId w:val="1"/>
        </w:numPr>
        <w:spacing w:line="360" w:lineRule="auto"/>
        <w:jc w:val="both"/>
        <w:rPr>
          <w:rFonts w:cs="FrankRuehl"/>
          <w:sz w:val="28"/>
          <w:szCs w:val="28"/>
        </w:rPr>
      </w:pPr>
      <w:r>
        <w:rPr>
          <w:rFonts w:cs="FrankRuehl" w:hint="cs"/>
          <w:sz w:val="28"/>
          <w:szCs w:val="28"/>
          <w:rtl/>
        </w:rPr>
        <w:t>ביחס לעבירות אלימות קבע כבוד השופט דנציגר ב</w:t>
      </w:r>
      <w:hyperlink r:id="rId72"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7475/14</w:t>
        </w:r>
      </w:hyperlink>
      <w:r>
        <w:rPr>
          <w:rFonts w:cs="FrankRuehl" w:hint="cs"/>
          <w:sz w:val="28"/>
          <w:szCs w:val="28"/>
          <w:rtl/>
        </w:rPr>
        <w:t xml:space="preserve"> קבהא מהדי נגד מדינת ישראל כדלקמן:</w:t>
      </w:r>
    </w:p>
    <w:p w14:paraId="1C496825" w14:textId="77777777" w:rsidR="00B7496C" w:rsidRDefault="005F607C">
      <w:pPr>
        <w:pStyle w:val="ListParagraph"/>
        <w:spacing w:line="360" w:lineRule="auto"/>
        <w:jc w:val="both"/>
        <w:rPr>
          <w:rFonts w:cs="FrankRuehl"/>
          <w:sz w:val="28"/>
          <w:szCs w:val="28"/>
        </w:rPr>
      </w:pPr>
      <w:r>
        <w:rPr>
          <w:rFonts w:cs="FrankRuehl" w:hint="cs"/>
          <w:sz w:val="28"/>
          <w:szCs w:val="28"/>
          <w:rtl/>
        </w:rPr>
        <w:t xml:space="preserve">"בית משפט זה ציין לא אחת כי יש להילחם בנגע האלימות שפשט בארצנו וכי תרומתו של בית המשפט למלחמה זו הינה בהטלת עונשים מרתיעים ומשמעותיים שישקפו מסר מרתיע לעבריינים ולחברה כולה. לפיכך נקבע כי ככלל ענישה זו צריכה לכלול רכיב משמעותי של מאסר בפועל מאחורי סורג ובריח [ראו למשל: </w:t>
      </w:r>
      <w:hyperlink r:id="rId73"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5153/13</w:t>
        </w:r>
      </w:hyperlink>
      <w:r>
        <w:rPr>
          <w:rFonts w:cs="FrankRuehl" w:hint="cs"/>
          <w:sz w:val="28"/>
          <w:szCs w:val="28"/>
          <w:rtl/>
        </w:rPr>
        <w:t xml:space="preserve"> פלוני נ' מדינת ישראל (13.1.2014) (להלן: עניין פלוני); </w:t>
      </w:r>
      <w:hyperlink r:id="rId74"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6971/13</w:t>
        </w:r>
      </w:hyperlink>
      <w:r>
        <w:rPr>
          <w:rFonts w:cs="FrankRuehl" w:hint="cs"/>
          <w:sz w:val="28"/>
          <w:szCs w:val="28"/>
          <w:rtl/>
        </w:rPr>
        <w:t xml:space="preserve"> עמרן נ' מדינת ישראל (23.9.2014) (להלן: עניין עמרן); </w:t>
      </w:r>
      <w:hyperlink r:id="rId75"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4061/12</w:t>
        </w:r>
      </w:hyperlink>
      <w:r>
        <w:rPr>
          <w:rFonts w:cs="FrankRuehl" w:hint="cs"/>
          <w:sz w:val="28"/>
          <w:szCs w:val="28"/>
          <w:rtl/>
        </w:rPr>
        <w:t xml:space="preserve"> בדארנה נ' מדינת ישראל (4.9.2012)]. מעיון בפסיקת בית משפט זה בשנים האחרונות עולה כי קשת הענישה בעבירות אלימות, הנעשות תוך שימוש בנשק קר, היא רחבה ומגוונת, אך היא כוללת ברוב המקרים עונשי מאסר בפועל שנעים בין 18 ל-24 חודשי מאסר בפועל, ככל שהנאשם הודה במסגרת הסדר טיעון [להרחבה ראו סקירת הפסיקה בפסקאות 12-11 בעניין פלוני], ואף עונשי מאסר בפועל המגיעים לארבע שנות מאסר בפועל במקרים חמורים במיוחד. עם זאת, כבכל תחום במשפט הפלילי ניתן למצוא גם מקרים שבהם הענישה חורגת מהאמור לעיל – בין אם לחומרה ובין אם לקולא – בשים לב לנסיבות הספציפיות של כל מקרה ומקרה. דוגמא מובהקת של ענישה מחמירה יותר, בשים לב לנסיבותיו החמורות של אותו מקרה, ניתן למצוא בעניין עמרן, שבו הושתו על שלושת הנאשמים עונשים שנעו בין 34 ל-43 חודשי מאסר בפועל. מנגד, ניתן למצוא גם מקרים שבהם הושתו עונשים קלים יותר בעבירות אלימות שבוצעו בנסיבות דומות למקרה דנן, לרבות עונשי מאסר בני שישה חודשים לריצוי בדרך של עבודות שירות [ראו למשל: </w:t>
      </w:r>
      <w:hyperlink r:id="rId76"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5794/13</w:t>
        </w:r>
      </w:hyperlink>
      <w:r>
        <w:rPr>
          <w:rFonts w:cs="FrankRuehl" w:hint="cs"/>
          <w:sz w:val="28"/>
          <w:szCs w:val="28"/>
          <w:rtl/>
        </w:rPr>
        <w:t xml:space="preserve"> מדינת ישראל נ' שיכה (2.4.2014); </w:t>
      </w:r>
      <w:hyperlink r:id="rId77"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5641/09</w:t>
        </w:r>
      </w:hyperlink>
      <w:r>
        <w:rPr>
          <w:rFonts w:cs="FrankRuehl" w:hint="cs"/>
          <w:sz w:val="28"/>
          <w:szCs w:val="28"/>
          <w:rtl/>
        </w:rPr>
        <w:t xml:space="preserve"> מדינת ישראל נ' ברזינסקי (22.3.2010); </w:t>
      </w:r>
      <w:hyperlink r:id="rId78"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10676/07</w:t>
        </w:r>
      </w:hyperlink>
      <w:r>
        <w:rPr>
          <w:rFonts w:cs="FrankRuehl" w:hint="cs"/>
          <w:sz w:val="28"/>
          <w:szCs w:val="28"/>
          <w:rtl/>
        </w:rPr>
        <w:t xml:space="preserve"> אביטאן נ' מדינת ישראל (18.9.2008)]."</w:t>
      </w:r>
    </w:p>
    <w:p w14:paraId="472D13CE" w14:textId="77777777" w:rsidR="00B7496C" w:rsidRDefault="00B7496C">
      <w:pPr>
        <w:pStyle w:val="ListParagraph"/>
        <w:spacing w:line="360" w:lineRule="auto"/>
        <w:jc w:val="both"/>
        <w:rPr>
          <w:rFonts w:cs="FrankRuehl"/>
          <w:sz w:val="28"/>
          <w:szCs w:val="28"/>
          <w:rtl/>
        </w:rPr>
      </w:pPr>
    </w:p>
    <w:p w14:paraId="275DA0CD" w14:textId="77777777" w:rsidR="00B7496C" w:rsidRDefault="005F607C">
      <w:pPr>
        <w:pStyle w:val="ListParagraph"/>
        <w:numPr>
          <w:ilvl w:val="0"/>
          <w:numId w:val="1"/>
        </w:numPr>
        <w:spacing w:line="360" w:lineRule="auto"/>
        <w:jc w:val="both"/>
        <w:rPr>
          <w:rFonts w:cs="FrankRuehl"/>
          <w:sz w:val="28"/>
          <w:szCs w:val="28"/>
        </w:rPr>
      </w:pPr>
      <w:r>
        <w:rPr>
          <w:rFonts w:cs="FrankRuehl" w:hint="cs"/>
          <w:sz w:val="28"/>
          <w:szCs w:val="28"/>
          <w:rtl/>
        </w:rPr>
        <w:t xml:space="preserve">בענייננו, במסגרת נסיבות הקשורות בביצוע העבירה, יש לשקול את העובדה שנאשם 1 הוא שיזם את המעשה וצרף אליו את נאשם 2, מתוך ידיעה ברורה כי עליהם לנקוט באלימות, על מנת להניע את המתלונן 3 לשלם חוב לאחר, וכי המניע למעשים הינו כספי. </w:t>
      </w:r>
    </w:p>
    <w:p w14:paraId="4DEE9F94" w14:textId="77777777" w:rsidR="00B7496C" w:rsidRDefault="005F607C">
      <w:pPr>
        <w:pStyle w:val="ListParagraph"/>
        <w:spacing w:line="360" w:lineRule="auto"/>
        <w:jc w:val="both"/>
        <w:rPr>
          <w:rFonts w:cs="FrankRuehl"/>
          <w:sz w:val="28"/>
          <w:szCs w:val="28"/>
        </w:rPr>
      </w:pPr>
      <w:r>
        <w:rPr>
          <w:rFonts w:cs="FrankRuehl" w:hint="cs"/>
          <w:sz w:val="28"/>
          <w:szCs w:val="28"/>
          <w:rtl/>
        </w:rPr>
        <w:t xml:space="preserve">מאידך, נאשם 2, הצטרף במודע למעשים לאור התמורה הכספית המובטחת, המעשים תוכננו על ידם מראש, ולא זו אף זו – נאשם 2 הצטייד במערוך, כך שבפועל נאשם 1 היכה את המתלונן 3 באמצעות האקדח בעוד שנאשם 2 היכהו באמצעות מערוך. </w:t>
      </w:r>
    </w:p>
    <w:p w14:paraId="566CD911" w14:textId="77777777" w:rsidR="00B7496C" w:rsidRDefault="00B7496C">
      <w:pPr>
        <w:pStyle w:val="ListParagraph"/>
        <w:spacing w:line="360" w:lineRule="auto"/>
        <w:jc w:val="both"/>
        <w:rPr>
          <w:rFonts w:cs="FrankRuehl"/>
          <w:sz w:val="28"/>
          <w:szCs w:val="28"/>
        </w:rPr>
      </w:pPr>
    </w:p>
    <w:p w14:paraId="28D03506"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מדובר באלימות שננקטה בצוותא חדא, תוך שימוש בנשק חם ובחפץ קהה, ובהטלת מורא ואימה על המתלונן 3, תוך פגיעה בכבודו (שכן המעשים נושאים בחובם אף השפלה, בפרט כשהם בוצעו בנוכחות בנו), בשלמות גופו, וברכושו. כתוצאה מהמעשים נפצע המתלונן ונגרמו לו חתך עמוק בראשו, המטומות וכאבים עזים. </w:t>
      </w:r>
    </w:p>
    <w:p w14:paraId="568EE478" w14:textId="77777777" w:rsidR="00B7496C" w:rsidRDefault="00B7496C">
      <w:pPr>
        <w:pStyle w:val="ListParagraph"/>
        <w:spacing w:line="360" w:lineRule="auto"/>
        <w:jc w:val="both"/>
        <w:rPr>
          <w:rFonts w:cs="FrankRuehl"/>
          <w:sz w:val="28"/>
          <w:szCs w:val="28"/>
          <w:rtl/>
        </w:rPr>
      </w:pPr>
    </w:p>
    <w:p w14:paraId="42DFBFC3"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לאחר המעשים הסליק הנאשם 1 את הנשק ברחוב בחולון. </w:t>
      </w:r>
    </w:p>
    <w:p w14:paraId="1CCC7276" w14:textId="77777777" w:rsidR="00B7496C" w:rsidRDefault="00B7496C">
      <w:pPr>
        <w:pStyle w:val="ListParagraph"/>
        <w:spacing w:line="360" w:lineRule="auto"/>
        <w:jc w:val="both"/>
        <w:rPr>
          <w:rFonts w:cs="FrankRuehl"/>
          <w:sz w:val="28"/>
          <w:szCs w:val="28"/>
          <w:rtl/>
        </w:rPr>
      </w:pPr>
    </w:p>
    <w:p w14:paraId="6A4FCB71" w14:textId="77777777" w:rsidR="00B7496C" w:rsidRDefault="005F607C">
      <w:pPr>
        <w:pStyle w:val="ListParagraph"/>
        <w:numPr>
          <w:ilvl w:val="0"/>
          <w:numId w:val="1"/>
        </w:numPr>
        <w:spacing w:line="360" w:lineRule="auto"/>
        <w:jc w:val="both"/>
        <w:rPr>
          <w:rFonts w:cs="FrankRuehl"/>
          <w:sz w:val="28"/>
          <w:szCs w:val="28"/>
        </w:rPr>
      </w:pPr>
      <w:r>
        <w:rPr>
          <w:rFonts w:cs="FrankRuehl" w:hint="cs"/>
          <w:sz w:val="28"/>
          <w:szCs w:val="28"/>
          <w:rtl/>
        </w:rPr>
        <w:t xml:space="preserve">לאור האמור, ובהתחשב ברמת הענישה הנוהגת, באתי לכלל מסקנה כי מתחם העונש ההולם למעשה העבירה בעניינו של הנאשם 1 נע בין 18 ל-36 חודשי מאסר לריצוי בפועל, ובעניינו של הנאשם 2, נע המתחם בין 16 ל-32 חודשי מאסר לריצוי בפועל. </w:t>
      </w:r>
    </w:p>
    <w:p w14:paraId="123C9F32" w14:textId="77777777" w:rsidR="00B7496C" w:rsidRDefault="00B7496C">
      <w:pPr>
        <w:spacing w:line="360" w:lineRule="auto"/>
        <w:jc w:val="both"/>
        <w:rPr>
          <w:rFonts w:cs="FrankRuehl"/>
          <w:sz w:val="28"/>
          <w:szCs w:val="28"/>
          <w:u w:val="single"/>
          <w:rtl/>
        </w:rPr>
      </w:pPr>
    </w:p>
    <w:p w14:paraId="3AB3FF48" w14:textId="77777777" w:rsidR="00B7496C" w:rsidRDefault="005F607C">
      <w:pPr>
        <w:spacing w:line="360" w:lineRule="auto"/>
        <w:jc w:val="both"/>
        <w:rPr>
          <w:rFonts w:cs="FrankRuehl"/>
          <w:b/>
          <w:bCs/>
          <w:sz w:val="28"/>
          <w:szCs w:val="28"/>
          <w:u w:val="single"/>
          <w:rtl/>
        </w:rPr>
      </w:pPr>
      <w:r>
        <w:rPr>
          <w:rFonts w:cs="FrankRuehl" w:hint="cs"/>
          <w:b/>
          <w:bCs/>
          <w:sz w:val="28"/>
          <w:szCs w:val="28"/>
          <w:u w:val="single"/>
          <w:rtl/>
        </w:rPr>
        <w:t>קביעת העונש בתוך המתחם – נסיבות שאינן קשורות בביצוע העבירה</w:t>
      </w:r>
    </w:p>
    <w:p w14:paraId="265536E3" w14:textId="77777777" w:rsidR="00B7496C" w:rsidRDefault="005F607C">
      <w:pPr>
        <w:spacing w:line="360" w:lineRule="auto"/>
        <w:jc w:val="both"/>
        <w:rPr>
          <w:rFonts w:cs="FrankRuehl"/>
          <w:sz w:val="28"/>
          <w:szCs w:val="28"/>
          <w:u w:val="single"/>
          <w:rtl/>
        </w:rPr>
      </w:pPr>
      <w:r>
        <w:rPr>
          <w:rFonts w:cs="FrankRuehl" w:hint="cs"/>
          <w:sz w:val="28"/>
          <w:szCs w:val="28"/>
          <w:u w:val="single"/>
          <w:rtl/>
        </w:rPr>
        <w:t>נאשם 1</w:t>
      </w:r>
    </w:p>
    <w:p w14:paraId="2E27721D"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 xml:space="preserve">במסגרת הנסיבות שאינן קשורות למעשה העבירה, התחשבתי מחד בנסיבותיו האישיות של הנאשם 1 שהובילו אותו לביצוע המעשים כמפורט בהרחבה בתסקיר שירות המבחן ובטיעוני ב"כ הנאשם 1; בהיעדר עבר פלילי; בפגיעה של העונש בנאשם ובמשפחתו (ובפרט בילדיו, אשר התייתמו לפני שנים רבות מאמם ואשר מתגוררים עתה בבית הסבים); בנטילת האחריות מצדו למעשים, כבר בשלב מוקדם של החקירה; בנסיבות חייו הקשות, אבדן אשתו והתמוטטות כלכלית שחווה; בחרטה שהביע והרצון לחזור למוטב; ומאידך, התחשבתי בהערכת שירות המבחן ולפיה קיימת נטייה לאלימות ולאימפולסיביות וכי רמת הסיכון בעניינו מוערכת כבינונית למעורבות חוזרת בהתנהלות אלימה שחומרת תוצאותיה גבוהה, וכי הנאשם 1 לא השלים טיפול קבוצתי בו החל במהלך המעצר - אף כי כיום קיימת נכונות ובשלות גדולה יותר מצדו לעשות כן. </w:t>
      </w:r>
    </w:p>
    <w:p w14:paraId="3A519F99" w14:textId="77777777" w:rsidR="00B7496C" w:rsidRDefault="005F607C">
      <w:pPr>
        <w:pStyle w:val="ListParagraph"/>
        <w:numPr>
          <w:ilvl w:val="0"/>
          <w:numId w:val="1"/>
        </w:numPr>
        <w:spacing w:line="360" w:lineRule="auto"/>
        <w:jc w:val="both"/>
        <w:rPr>
          <w:rFonts w:cs="FrankRuehl"/>
          <w:sz w:val="28"/>
          <w:szCs w:val="28"/>
        </w:rPr>
      </w:pPr>
      <w:r>
        <w:rPr>
          <w:rFonts w:cs="FrankRuehl" w:hint="cs"/>
          <w:sz w:val="28"/>
          <w:szCs w:val="28"/>
          <w:rtl/>
        </w:rPr>
        <w:t xml:space="preserve"> בהתאם </w:t>
      </w:r>
      <w:hyperlink r:id="rId79" w:history="1">
        <w:r w:rsidR="00D80AA0" w:rsidRPr="00D80AA0">
          <w:rPr>
            <w:rFonts w:cs="FrankRuehl" w:hint="cs"/>
            <w:color w:val="0000FF"/>
            <w:sz w:val="28"/>
            <w:szCs w:val="28"/>
            <w:u w:val="single"/>
            <w:rtl/>
          </w:rPr>
          <w:t>לסעיף</w:t>
        </w:r>
        <w:r w:rsidR="00D80AA0" w:rsidRPr="00D80AA0">
          <w:rPr>
            <w:rFonts w:cs="FrankRuehl"/>
            <w:color w:val="0000FF"/>
            <w:sz w:val="28"/>
            <w:szCs w:val="28"/>
            <w:u w:val="single"/>
            <w:rtl/>
          </w:rPr>
          <w:t xml:space="preserve"> 40</w:t>
        </w:r>
        <w:r w:rsidR="00D80AA0" w:rsidRPr="00D80AA0">
          <w:rPr>
            <w:rFonts w:cs="FrankRuehl" w:hint="cs"/>
            <w:color w:val="0000FF"/>
            <w:sz w:val="28"/>
            <w:szCs w:val="28"/>
            <w:u w:val="single"/>
            <w:rtl/>
          </w:rPr>
          <w:t>יג</w:t>
        </w:r>
        <w:r w:rsidR="00D80AA0" w:rsidRPr="00D80AA0">
          <w:rPr>
            <w:rFonts w:cs="FrankRuehl"/>
            <w:color w:val="0000FF"/>
            <w:sz w:val="28"/>
            <w:szCs w:val="28"/>
            <w:u w:val="single"/>
            <w:rtl/>
          </w:rPr>
          <w:t>(</w:t>
        </w:r>
        <w:r w:rsidR="00D80AA0" w:rsidRPr="00D80AA0">
          <w:rPr>
            <w:rFonts w:cs="FrankRuehl" w:hint="cs"/>
            <w:color w:val="0000FF"/>
            <w:sz w:val="28"/>
            <w:szCs w:val="28"/>
            <w:u w:val="single"/>
            <w:rtl/>
          </w:rPr>
          <w:t>ב</w:t>
        </w:r>
        <w:r w:rsidR="00D80AA0" w:rsidRPr="00D80AA0">
          <w:rPr>
            <w:rFonts w:cs="FrankRuehl"/>
            <w:color w:val="0000FF"/>
            <w:sz w:val="28"/>
            <w:szCs w:val="28"/>
            <w:u w:val="single"/>
            <w:rtl/>
          </w:rPr>
          <w:t>)</w:t>
        </w:r>
      </w:hyperlink>
      <w:r>
        <w:rPr>
          <w:rFonts w:cs="FrankRuehl" w:hint="cs"/>
          <w:sz w:val="28"/>
          <w:szCs w:val="28"/>
          <w:rtl/>
        </w:rPr>
        <w:t xml:space="preserve"> לחוק, רשאי בית המשפט לגזור עונש נפרד לכל אירוע או עונש כולל לכל האירועים, וכך מצאתי לעשות במקרה דנן. </w:t>
      </w:r>
    </w:p>
    <w:p w14:paraId="68647AFC" w14:textId="77777777" w:rsidR="00B7496C" w:rsidRDefault="00B7496C">
      <w:pPr>
        <w:pStyle w:val="ListParagraph"/>
        <w:spacing w:line="360" w:lineRule="auto"/>
        <w:jc w:val="both"/>
        <w:rPr>
          <w:rFonts w:cs="FrankRuehl"/>
          <w:sz w:val="28"/>
          <w:szCs w:val="28"/>
        </w:rPr>
      </w:pPr>
    </w:p>
    <w:p w14:paraId="71CEFD8B" w14:textId="77777777" w:rsidR="00B7496C" w:rsidRDefault="005F607C">
      <w:pPr>
        <w:pStyle w:val="ListParagraph"/>
        <w:numPr>
          <w:ilvl w:val="0"/>
          <w:numId w:val="1"/>
        </w:numPr>
        <w:spacing w:line="360" w:lineRule="auto"/>
        <w:jc w:val="both"/>
        <w:rPr>
          <w:rFonts w:cs="FrankRuehl"/>
          <w:sz w:val="28"/>
          <w:szCs w:val="28"/>
        </w:rPr>
      </w:pPr>
      <w:r>
        <w:rPr>
          <w:rFonts w:cs="FrankRuehl" w:hint="cs"/>
          <w:sz w:val="28"/>
          <w:szCs w:val="28"/>
          <w:rtl/>
        </w:rPr>
        <w:t>בנסיבותיו של הנאשם 1, אשר זו לו הרשעה ראשונה, ופעם ראשונה בה הוא מצוי מאחורי סורג ובריח, מצאתי כי יש להשית עליו עונש המצוי ברף הנמוך של המתחם, שיעמוד על 48 חודשי מאסר בניכוי ימי מעצרו (המורכב מחפיפה מסוימת בין העונשים כדלקמן):</w:t>
      </w:r>
    </w:p>
    <w:p w14:paraId="2CE1C232" w14:textId="77777777" w:rsidR="00B7496C" w:rsidRDefault="005F607C">
      <w:pPr>
        <w:pStyle w:val="ListParagraph"/>
        <w:numPr>
          <w:ilvl w:val="0"/>
          <w:numId w:val="8"/>
        </w:numPr>
        <w:spacing w:line="360" w:lineRule="auto"/>
        <w:jc w:val="both"/>
        <w:rPr>
          <w:rFonts w:cs="FrankRuehl"/>
          <w:sz w:val="28"/>
          <w:szCs w:val="28"/>
        </w:rPr>
      </w:pPr>
      <w:r>
        <w:rPr>
          <w:rFonts w:cs="FrankRuehl" w:hint="cs"/>
          <w:sz w:val="28"/>
          <w:szCs w:val="28"/>
          <w:rtl/>
        </w:rPr>
        <w:t xml:space="preserve">בגין העבירה נשוא האישום הראשון – 12 חודשי מאסר לריצוי פועל. </w:t>
      </w:r>
    </w:p>
    <w:p w14:paraId="6BE3C603" w14:textId="77777777" w:rsidR="00B7496C" w:rsidRDefault="005F607C">
      <w:pPr>
        <w:pStyle w:val="ListParagraph"/>
        <w:numPr>
          <w:ilvl w:val="0"/>
          <w:numId w:val="8"/>
        </w:numPr>
        <w:spacing w:line="360" w:lineRule="auto"/>
        <w:jc w:val="both"/>
        <w:rPr>
          <w:rFonts w:cs="FrankRuehl"/>
          <w:sz w:val="28"/>
          <w:szCs w:val="28"/>
        </w:rPr>
      </w:pPr>
      <w:r>
        <w:rPr>
          <w:rFonts w:cs="FrankRuehl" w:hint="cs"/>
          <w:sz w:val="28"/>
          <w:szCs w:val="28"/>
          <w:rtl/>
        </w:rPr>
        <w:t xml:space="preserve">בגין העבירות נשואות האישומים השני והשלישי –30 חודשי מאסר בגין כל אחד מהאישומים. </w:t>
      </w:r>
    </w:p>
    <w:p w14:paraId="1C3056BB" w14:textId="77777777" w:rsidR="00B7496C" w:rsidRDefault="005F607C">
      <w:pPr>
        <w:pStyle w:val="ListParagraph"/>
        <w:numPr>
          <w:ilvl w:val="0"/>
          <w:numId w:val="8"/>
        </w:numPr>
        <w:spacing w:line="360" w:lineRule="auto"/>
        <w:jc w:val="both"/>
        <w:rPr>
          <w:rFonts w:cs="FrankRuehl"/>
          <w:sz w:val="28"/>
          <w:szCs w:val="28"/>
        </w:rPr>
      </w:pPr>
      <w:r>
        <w:rPr>
          <w:rFonts w:cs="FrankRuehl" w:hint="cs"/>
          <w:sz w:val="28"/>
          <w:szCs w:val="28"/>
          <w:rtl/>
        </w:rPr>
        <w:t xml:space="preserve">בגין העבירה נשוא האישום הרביעי - 18 חודשי מאסר לריצוי בפועל. </w:t>
      </w:r>
    </w:p>
    <w:p w14:paraId="057BFE4E" w14:textId="77777777" w:rsidR="00B7496C" w:rsidRDefault="005F607C">
      <w:pPr>
        <w:spacing w:line="360" w:lineRule="auto"/>
        <w:ind w:left="720"/>
        <w:jc w:val="both"/>
        <w:rPr>
          <w:rFonts w:cs="FrankRuehl"/>
          <w:sz w:val="28"/>
          <w:szCs w:val="28"/>
        </w:rPr>
      </w:pPr>
      <w:r>
        <w:rPr>
          <w:rFonts w:cs="FrankRuehl" w:hint="cs"/>
          <w:sz w:val="28"/>
          <w:szCs w:val="28"/>
          <w:rtl/>
        </w:rPr>
        <w:t>כן מצאתי להטיל על הנאשם 1 פיצוי לכל אחד מהמתלוננים בסך של 3,000 ₪, ועונש מאסר מותנה בן 12 חודשים, והתנאי הוא שלא יעבור עבירה בה הורשע משך 3 שנים מיום שחרורו ממאסר.</w:t>
      </w:r>
    </w:p>
    <w:p w14:paraId="00D7BCEC" w14:textId="77777777" w:rsidR="00B7496C" w:rsidRDefault="00B7496C">
      <w:pPr>
        <w:spacing w:line="360" w:lineRule="auto"/>
        <w:jc w:val="both"/>
        <w:rPr>
          <w:rFonts w:cs="FrankRuehl"/>
          <w:sz w:val="28"/>
          <w:szCs w:val="28"/>
          <w:u w:val="single"/>
          <w:rtl/>
        </w:rPr>
      </w:pPr>
    </w:p>
    <w:p w14:paraId="6F776141" w14:textId="77777777" w:rsidR="00B7496C" w:rsidRDefault="005F607C">
      <w:pPr>
        <w:spacing w:line="360" w:lineRule="auto"/>
        <w:jc w:val="both"/>
        <w:rPr>
          <w:rFonts w:cs="FrankRuehl"/>
          <w:sz w:val="28"/>
          <w:szCs w:val="28"/>
          <w:u w:val="single"/>
        </w:rPr>
      </w:pPr>
      <w:r>
        <w:rPr>
          <w:rFonts w:cs="FrankRuehl" w:hint="cs"/>
          <w:sz w:val="28"/>
          <w:szCs w:val="28"/>
          <w:u w:val="single"/>
          <w:rtl/>
        </w:rPr>
        <w:t>נאשם 2</w:t>
      </w:r>
    </w:p>
    <w:p w14:paraId="51DAEB4E" w14:textId="77777777" w:rsidR="00B7496C" w:rsidRDefault="005F607C">
      <w:pPr>
        <w:pStyle w:val="ListParagraph"/>
        <w:numPr>
          <w:ilvl w:val="0"/>
          <w:numId w:val="1"/>
        </w:numPr>
        <w:spacing w:line="360" w:lineRule="auto"/>
        <w:jc w:val="both"/>
        <w:rPr>
          <w:rFonts w:cs="FrankRuehl"/>
          <w:sz w:val="28"/>
          <w:szCs w:val="28"/>
        </w:rPr>
      </w:pPr>
      <w:r>
        <w:rPr>
          <w:rFonts w:cs="FrankRuehl" w:hint="cs"/>
          <w:sz w:val="28"/>
          <w:szCs w:val="28"/>
          <w:rtl/>
        </w:rPr>
        <w:t xml:space="preserve">בבואי לקבוע את עונשו של הנאשם 2 בתוך המתחם (שכאמור הינו נמוך מעט יותר לאור השפעתו של נאשם 1 עליו לביצוע העבירות וחלקו המצומצם מעט ביחס לנאשם 1), התחשבתי בגילו הצעיר של הנאשם 2, אשר ביצע המעשים בשלהי שירותו הצבאי (אותו השלים) ועונה להגדרת "בגיר – צעיר"; בהיעדר עבר פלילי; במשמעות ההרשעה על הנאשם 2; בפגיעה של העונש בו ובאמו הסובלת ממחלות רבות, ובתמיכתו בה במהלך השנים. כן שקלתי את נטילת האחריות מצדו, את החרטה שהביע, ואת ההליך השיקומי אותו החל, כפי שפורט בהרחבה על ידי שירות המבחן, ואת התגייסות בני משפחתו וקרוביו על מנת לסייע לו ולהחזירו לתלם. </w:t>
      </w:r>
    </w:p>
    <w:p w14:paraId="5681FBE8" w14:textId="77777777" w:rsidR="00B7496C" w:rsidRDefault="00B7496C">
      <w:pPr>
        <w:pStyle w:val="ListParagraph"/>
        <w:spacing w:line="360" w:lineRule="auto"/>
        <w:jc w:val="both"/>
        <w:rPr>
          <w:rFonts w:cs="FrankRuehl"/>
          <w:sz w:val="28"/>
          <w:szCs w:val="28"/>
          <w:rtl/>
        </w:rPr>
      </w:pPr>
    </w:p>
    <w:p w14:paraId="53A9D4B0" w14:textId="77777777" w:rsidR="00B7496C" w:rsidRDefault="00B7496C">
      <w:pPr>
        <w:pStyle w:val="ListParagraph"/>
        <w:spacing w:line="360" w:lineRule="auto"/>
        <w:jc w:val="both"/>
        <w:rPr>
          <w:rFonts w:cs="FrankRuehl"/>
          <w:sz w:val="28"/>
          <w:szCs w:val="28"/>
        </w:rPr>
      </w:pPr>
    </w:p>
    <w:p w14:paraId="355142DF" w14:textId="77777777" w:rsidR="00B7496C" w:rsidRDefault="005F607C">
      <w:pPr>
        <w:pStyle w:val="ListParagraph"/>
        <w:numPr>
          <w:ilvl w:val="0"/>
          <w:numId w:val="1"/>
        </w:numPr>
        <w:spacing w:line="360" w:lineRule="auto"/>
        <w:jc w:val="both"/>
        <w:rPr>
          <w:rFonts w:cs="FrankRuehl"/>
          <w:sz w:val="28"/>
          <w:szCs w:val="28"/>
        </w:rPr>
      </w:pPr>
      <w:r>
        <w:rPr>
          <w:rFonts w:cs="FrankRuehl" w:hint="cs"/>
          <w:sz w:val="28"/>
          <w:szCs w:val="28"/>
          <w:rtl/>
        </w:rPr>
        <w:t xml:space="preserve">מודעת אני לאפשרות לחרוג ממתחם הענישה בשל שיקולי שיקום בהתאם </w:t>
      </w:r>
      <w:hyperlink r:id="rId80" w:history="1">
        <w:r w:rsidR="00D80AA0" w:rsidRPr="00D80AA0">
          <w:rPr>
            <w:rFonts w:cs="FrankRuehl" w:hint="cs"/>
            <w:color w:val="0000FF"/>
            <w:sz w:val="28"/>
            <w:szCs w:val="28"/>
            <w:u w:val="single"/>
            <w:rtl/>
          </w:rPr>
          <w:t>לסעיף</w:t>
        </w:r>
        <w:r w:rsidR="00D80AA0" w:rsidRPr="00D80AA0">
          <w:rPr>
            <w:rFonts w:cs="FrankRuehl"/>
            <w:color w:val="0000FF"/>
            <w:sz w:val="28"/>
            <w:szCs w:val="28"/>
            <w:u w:val="single"/>
            <w:rtl/>
          </w:rPr>
          <w:t xml:space="preserve"> 40</w:t>
        </w:r>
        <w:r w:rsidR="00D80AA0" w:rsidRPr="00D80AA0">
          <w:rPr>
            <w:rFonts w:cs="FrankRuehl" w:hint="cs"/>
            <w:color w:val="0000FF"/>
            <w:sz w:val="28"/>
            <w:szCs w:val="28"/>
            <w:u w:val="single"/>
            <w:rtl/>
          </w:rPr>
          <w:t>ד</w:t>
        </w:r>
        <w:r w:rsidR="00D80AA0" w:rsidRPr="00D80AA0">
          <w:rPr>
            <w:rFonts w:cs="FrankRuehl"/>
            <w:color w:val="0000FF"/>
            <w:sz w:val="28"/>
            <w:szCs w:val="28"/>
            <w:u w:val="single"/>
            <w:rtl/>
          </w:rPr>
          <w:t>(</w:t>
        </w:r>
        <w:r w:rsidR="00D80AA0" w:rsidRPr="00D80AA0">
          <w:rPr>
            <w:rFonts w:cs="FrankRuehl" w:hint="cs"/>
            <w:color w:val="0000FF"/>
            <w:sz w:val="28"/>
            <w:szCs w:val="28"/>
            <w:u w:val="single"/>
            <w:rtl/>
          </w:rPr>
          <w:t>א</w:t>
        </w:r>
        <w:r w:rsidR="00D80AA0" w:rsidRPr="00D80AA0">
          <w:rPr>
            <w:rFonts w:cs="FrankRuehl"/>
            <w:color w:val="0000FF"/>
            <w:sz w:val="28"/>
            <w:szCs w:val="28"/>
            <w:u w:val="single"/>
            <w:rtl/>
          </w:rPr>
          <w:t>)</w:t>
        </w:r>
      </w:hyperlink>
      <w:r>
        <w:rPr>
          <w:rFonts w:cs="FrankRuehl" w:hint="cs"/>
          <w:sz w:val="28"/>
          <w:szCs w:val="28"/>
          <w:rtl/>
        </w:rPr>
        <w:t xml:space="preserve"> לחוק, ולהלכה בדבר "בגיר-צעיר" והמשקל הגבוה יותר שיש להעניק להמלצות שירות המבחן בעניינו. עם זאת, </w:t>
      </w:r>
      <w:hyperlink r:id="rId81" w:history="1">
        <w:r w:rsidR="00D80AA0" w:rsidRPr="00D80AA0">
          <w:rPr>
            <w:rFonts w:cs="FrankRuehl" w:hint="cs"/>
            <w:color w:val="0000FF"/>
            <w:sz w:val="28"/>
            <w:szCs w:val="28"/>
            <w:u w:val="single"/>
            <w:rtl/>
          </w:rPr>
          <w:t>סעיף</w:t>
        </w:r>
        <w:r w:rsidR="00D80AA0" w:rsidRPr="00D80AA0">
          <w:rPr>
            <w:rFonts w:cs="FrankRuehl"/>
            <w:color w:val="0000FF"/>
            <w:sz w:val="28"/>
            <w:szCs w:val="28"/>
            <w:u w:val="single"/>
            <w:rtl/>
          </w:rPr>
          <w:t xml:space="preserve"> 40</w:t>
        </w:r>
        <w:r w:rsidR="00D80AA0" w:rsidRPr="00D80AA0">
          <w:rPr>
            <w:rFonts w:cs="FrankRuehl" w:hint="cs"/>
            <w:color w:val="0000FF"/>
            <w:sz w:val="28"/>
            <w:szCs w:val="28"/>
            <w:u w:val="single"/>
            <w:rtl/>
          </w:rPr>
          <w:t>ד</w:t>
        </w:r>
        <w:r w:rsidR="00D80AA0" w:rsidRPr="00D80AA0">
          <w:rPr>
            <w:rFonts w:cs="FrankRuehl"/>
            <w:color w:val="0000FF"/>
            <w:sz w:val="28"/>
            <w:szCs w:val="28"/>
            <w:u w:val="single"/>
            <w:rtl/>
          </w:rPr>
          <w:t>(</w:t>
        </w:r>
        <w:r w:rsidR="00D80AA0" w:rsidRPr="00D80AA0">
          <w:rPr>
            <w:rFonts w:cs="FrankRuehl" w:hint="cs"/>
            <w:color w:val="0000FF"/>
            <w:sz w:val="28"/>
            <w:szCs w:val="28"/>
            <w:u w:val="single"/>
            <w:rtl/>
          </w:rPr>
          <w:t>ב</w:t>
        </w:r>
        <w:r w:rsidR="00D80AA0" w:rsidRPr="00D80AA0">
          <w:rPr>
            <w:rFonts w:cs="FrankRuehl"/>
            <w:color w:val="0000FF"/>
            <w:sz w:val="28"/>
            <w:szCs w:val="28"/>
            <w:u w:val="single"/>
            <w:rtl/>
          </w:rPr>
          <w:t>)</w:t>
        </w:r>
      </w:hyperlink>
      <w:r>
        <w:rPr>
          <w:rFonts w:cs="FrankRuehl" w:hint="cs"/>
          <w:sz w:val="28"/>
          <w:szCs w:val="28"/>
          <w:rtl/>
        </w:rPr>
        <w:t xml:space="preserve"> מסייג את האפשרות לחרוג ממתחם העונש ההולם במקום בהם מעשה העבירה ומידת אשמו של הנאשם הינם בעלי חומרה יתרה לנסיבות "מיוחדות ויוצאות דופן". </w:t>
      </w:r>
    </w:p>
    <w:p w14:paraId="097F442D" w14:textId="77777777" w:rsidR="00B7496C" w:rsidRDefault="00B7496C">
      <w:pPr>
        <w:pStyle w:val="ListParagraph"/>
        <w:spacing w:line="360" w:lineRule="auto"/>
        <w:rPr>
          <w:rFonts w:cs="FrankRuehl"/>
          <w:sz w:val="28"/>
          <w:szCs w:val="28"/>
        </w:rPr>
      </w:pPr>
    </w:p>
    <w:p w14:paraId="726719AF"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 xml:space="preserve">מלאכת גזירת הדין לאו מלאכה קלה היא. נטיית הלב הינה לבכר את הסיכוי כי נאשם 2 ישתקם, כפי שמעריך שירות המבחן, וכולי תקווה כי הנאשם 2 אכן יעמוד בדבריו. </w:t>
      </w:r>
    </w:p>
    <w:p w14:paraId="78513646" w14:textId="77777777" w:rsidR="00B7496C" w:rsidRDefault="00B7496C">
      <w:pPr>
        <w:pStyle w:val="ListParagraph"/>
        <w:spacing w:line="360" w:lineRule="auto"/>
        <w:jc w:val="both"/>
        <w:rPr>
          <w:rFonts w:cs="FrankRuehl"/>
          <w:sz w:val="28"/>
          <w:szCs w:val="28"/>
        </w:rPr>
      </w:pPr>
    </w:p>
    <w:p w14:paraId="5E9C0441" w14:textId="77777777" w:rsidR="00B7496C" w:rsidRDefault="005F607C">
      <w:pPr>
        <w:pStyle w:val="ListParagraph"/>
        <w:spacing w:line="360" w:lineRule="auto"/>
        <w:jc w:val="both"/>
        <w:rPr>
          <w:rFonts w:cs="FrankRuehl"/>
          <w:sz w:val="28"/>
          <w:szCs w:val="28"/>
          <w:rtl/>
        </w:rPr>
      </w:pPr>
      <w:r>
        <w:rPr>
          <w:rFonts w:cs="FrankRuehl" w:hint="cs"/>
          <w:sz w:val="28"/>
          <w:szCs w:val="28"/>
          <w:rtl/>
        </w:rPr>
        <w:t>מאידך, אין המדובר במעידה חד פעמית (כפי שהיה ב</w:t>
      </w:r>
      <w:hyperlink r:id="rId82"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452/14</w:t>
        </w:r>
      </w:hyperlink>
      <w:r>
        <w:rPr>
          <w:rFonts w:cs="FrankRuehl" w:hint="cs"/>
          <w:sz w:val="28"/>
          <w:szCs w:val="28"/>
          <w:rtl/>
        </w:rPr>
        <w:t xml:space="preserve"> האמור בעניינו של ניסים דבוש), ובכל קנה מידה בו בוחנים את האירועים, מדובר במסכת אירועים, אשר היה בידי הנאשם 2 לקטוע אותה, ולא זו אף זו – ניכרת הסלמה בחומרת המעשים, כאשר באישום הרביעי נקט הנאשם 2 בעצמו – אף אם לא רצה בכך מלכתחילה – באלימות פיזית, קשה ומכוערת, והטיל אימה על המתלונן 3, שצלקותיה (הפיזיות והנפשיות) ודאי ניכרות בו עד עצם היום הזה. </w:t>
      </w:r>
    </w:p>
    <w:p w14:paraId="225C0FF3" w14:textId="77777777" w:rsidR="00B7496C" w:rsidRDefault="00B7496C">
      <w:pPr>
        <w:pStyle w:val="ListParagraph"/>
        <w:spacing w:line="360" w:lineRule="auto"/>
        <w:jc w:val="both"/>
        <w:rPr>
          <w:rFonts w:cs="FrankRuehl"/>
          <w:sz w:val="28"/>
          <w:szCs w:val="28"/>
          <w:rtl/>
        </w:rPr>
      </w:pPr>
    </w:p>
    <w:p w14:paraId="40DCAB0E"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סבורני כי אכן עניינו של הנאשם 2 נופל בגדר "מעשים בעלי חומרה יתרה" בהתאם </w:t>
      </w:r>
      <w:hyperlink r:id="rId83" w:history="1">
        <w:r w:rsidR="00D80AA0" w:rsidRPr="00D80AA0">
          <w:rPr>
            <w:rFonts w:cs="FrankRuehl" w:hint="cs"/>
            <w:color w:val="0000FF"/>
            <w:sz w:val="28"/>
            <w:szCs w:val="28"/>
            <w:u w:val="single"/>
            <w:rtl/>
          </w:rPr>
          <w:t>לסעיף</w:t>
        </w:r>
        <w:r w:rsidR="00D80AA0" w:rsidRPr="00D80AA0">
          <w:rPr>
            <w:rFonts w:cs="FrankRuehl"/>
            <w:color w:val="0000FF"/>
            <w:sz w:val="28"/>
            <w:szCs w:val="28"/>
            <w:u w:val="single"/>
            <w:rtl/>
          </w:rPr>
          <w:t xml:space="preserve"> 40</w:t>
        </w:r>
        <w:r w:rsidR="00D80AA0" w:rsidRPr="00D80AA0">
          <w:rPr>
            <w:rFonts w:cs="FrankRuehl" w:hint="cs"/>
            <w:color w:val="0000FF"/>
            <w:sz w:val="28"/>
            <w:szCs w:val="28"/>
            <w:u w:val="single"/>
            <w:rtl/>
          </w:rPr>
          <w:t>ד</w:t>
        </w:r>
        <w:r w:rsidR="00D80AA0" w:rsidRPr="00D80AA0">
          <w:rPr>
            <w:rFonts w:cs="FrankRuehl"/>
            <w:color w:val="0000FF"/>
            <w:sz w:val="28"/>
            <w:szCs w:val="28"/>
            <w:u w:val="single"/>
            <w:rtl/>
          </w:rPr>
          <w:t>(</w:t>
        </w:r>
        <w:r w:rsidR="00D80AA0" w:rsidRPr="00D80AA0">
          <w:rPr>
            <w:rFonts w:cs="FrankRuehl" w:hint="cs"/>
            <w:color w:val="0000FF"/>
            <w:sz w:val="28"/>
            <w:szCs w:val="28"/>
            <w:u w:val="single"/>
            <w:rtl/>
          </w:rPr>
          <w:t>ב</w:t>
        </w:r>
        <w:r w:rsidR="00D80AA0" w:rsidRPr="00D80AA0">
          <w:rPr>
            <w:rFonts w:cs="FrankRuehl"/>
            <w:color w:val="0000FF"/>
            <w:sz w:val="28"/>
            <w:szCs w:val="28"/>
            <w:u w:val="single"/>
            <w:rtl/>
          </w:rPr>
          <w:t>)</w:t>
        </w:r>
      </w:hyperlink>
      <w:r>
        <w:rPr>
          <w:rFonts w:cs="FrankRuehl" w:hint="cs"/>
          <w:sz w:val="28"/>
          <w:szCs w:val="28"/>
          <w:rtl/>
        </w:rPr>
        <w:t xml:space="preserve"> לחוק, לאור ריבוי המעשים, טיבם, האלימות הפיזית הקשה שננקטה על ידו - באמצעות מערוך - כלפי המתלונן 3 ותוצאותיה. </w:t>
      </w:r>
    </w:p>
    <w:p w14:paraId="6C9B0064" w14:textId="77777777" w:rsidR="00B7496C" w:rsidRDefault="00B7496C">
      <w:pPr>
        <w:pStyle w:val="ListParagraph"/>
        <w:spacing w:line="360" w:lineRule="auto"/>
        <w:jc w:val="both"/>
        <w:rPr>
          <w:rFonts w:cs="FrankRuehl"/>
          <w:sz w:val="28"/>
          <w:szCs w:val="28"/>
          <w:rtl/>
        </w:rPr>
      </w:pPr>
    </w:p>
    <w:p w14:paraId="116AE109"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בנסיבות אלה, עליי לבחון בצורה מדוקדקת את הנאמר בתסקיר שירות המבחן, בשים לב לכך כי ישנם מקרים בהם חרף העובדה שמדובר ב"בגיר-צעיר" יהיו טעמים משמעותיים המחייבים לבכר את שיקולי ההרתעה והגמול על שיקולי השיקום. </w:t>
      </w:r>
    </w:p>
    <w:p w14:paraId="4C47CE8A" w14:textId="77777777" w:rsidR="00B7496C" w:rsidRDefault="00B7496C">
      <w:pPr>
        <w:pStyle w:val="ListParagraph"/>
        <w:spacing w:line="360" w:lineRule="auto"/>
        <w:jc w:val="both"/>
        <w:rPr>
          <w:rFonts w:cs="FrankRuehl"/>
          <w:sz w:val="28"/>
          <w:szCs w:val="28"/>
          <w:rtl/>
        </w:rPr>
      </w:pPr>
    </w:p>
    <w:p w14:paraId="79CB6DC7"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מחד – מציין שירות המבחן כי מיום ששוחרר הנאשם 2 למעצר בית, השתתף בקבוצה לעצורי בית, והסיכון להישנות עבירות הצטמצם. תקופת הפיקוח הוארכה לבקשתו. שירות המבחן נתן דעתו לכך שהנאשם 2 גדל ללא דמות אב, והנאשם 1 היווה עבורו דמות אבהית, ונתון זה עשוי להיות קשור להתדרדרותו המהירה ולביצוע עבירות חוזרות בפרק זמן קצר. מרגע שנעצר נאשם 2 ונותק קשר זה, עטפו אותו גורמי משפחה מציבי גבולות וגורמי טיפול, והנאשם 2 הכיר בחומרת מעשיו וגילה אמפתיה למתלוננים. </w:t>
      </w:r>
    </w:p>
    <w:p w14:paraId="0C3F6FD8" w14:textId="77777777" w:rsidR="00B7496C" w:rsidRDefault="00B7496C">
      <w:pPr>
        <w:pStyle w:val="ListParagraph"/>
        <w:spacing w:line="360" w:lineRule="auto"/>
        <w:jc w:val="both"/>
        <w:rPr>
          <w:rFonts w:cs="FrankRuehl"/>
          <w:sz w:val="28"/>
          <w:szCs w:val="28"/>
          <w:rtl/>
        </w:rPr>
      </w:pPr>
    </w:p>
    <w:p w14:paraId="78B27161" w14:textId="77777777" w:rsidR="00B7496C" w:rsidRDefault="005F607C">
      <w:pPr>
        <w:pStyle w:val="ListParagraph"/>
        <w:spacing w:line="360" w:lineRule="auto"/>
        <w:jc w:val="both"/>
        <w:rPr>
          <w:rFonts w:cs="FrankRuehl"/>
          <w:sz w:val="28"/>
          <w:szCs w:val="28"/>
          <w:rtl/>
        </w:rPr>
      </w:pPr>
      <w:r>
        <w:rPr>
          <w:rFonts w:cs="FrankRuehl" w:hint="cs"/>
          <w:sz w:val="28"/>
          <w:szCs w:val="28"/>
          <w:rtl/>
        </w:rPr>
        <w:t>מאידך - המלצת שירות המבחן ניתנה לאחר לבטים, ועל פיה טרם הושלם שיקומו של הנאשם 2 אלא יש להעמידו בצו מבחן למשך שנה וחצי במסגרתו ישתלב בקבוצה טיפולית לצעירים עוברי חוק, אשר תובילו להקטנת הסיכון להישנות ביצוע עבירות.</w:t>
      </w:r>
    </w:p>
    <w:p w14:paraId="70B4941D" w14:textId="77777777" w:rsidR="00B7496C" w:rsidRDefault="00B7496C">
      <w:pPr>
        <w:pStyle w:val="ListParagraph"/>
        <w:spacing w:line="360" w:lineRule="auto"/>
        <w:jc w:val="both"/>
        <w:rPr>
          <w:rFonts w:cs="FrankRuehl"/>
          <w:sz w:val="28"/>
          <w:szCs w:val="28"/>
          <w:rtl/>
        </w:rPr>
      </w:pPr>
    </w:p>
    <w:p w14:paraId="5AA322BB"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מכלל ההן ניתן ללמוד על הלאו – לא נאמר כי הנאשם 2 השתקם ולא נאמר בשלב זה כי קיים סיכוי של ממש שישתקם. כמו כן לא נאמר דבר באשר להשפעה כזו או אחרת שתהיה להשתת מאסר על המשך הליך שיקומו, ואף צויין כי היה ויורה בית המשפט על עונש מאסר, יומלץ כי ישולב הנאשם 2 בכלא בעל אפיק טיפולי, על מנת שיוכל להמשיך בהליך הטיפולי בו החל. </w:t>
      </w:r>
    </w:p>
    <w:p w14:paraId="3F784610" w14:textId="77777777" w:rsidR="00B7496C" w:rsidRDefault="00B7496C">
      <w:pPr>
        <w:pStyle w:val="ListParagraph"/>
        <w:spacing w:line="360" w:lineRule="auto"/>
        <w:jc w:val="both"/>
        <w:rPr>
          <w:rFonts w:cs="FrankRuehl"/>
          <w:sz w:val="28"/>
          <w:szCs w:val="28"/>
          <w:rtl/>
        </w:rPr>
      </w:pPr>
    </w:p>
    <w:p w14:paraId="04249D65"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כבוד השופטת ארבל עמדה על הנסיבות שיש בכוחן להצדיק סטייה לקולא ממתחם העונש ההולם, על פי </w:t>
      </w:r>
      <w:hyperlink r:id="rId84" w:history="1">
        <w:r w:rsidR="00D80AA0" w:rsidRPr="00D80AA0">
          <w:rPr>
            <w:rFonts w:cs="FrankRuehl" w:hint="cs"/>
            <w:color w:val="0000FF"/>
            <w:sz w:val="28"/>
            <w:szCs w:val="28"/>
            <w:u w:val="single"/>
            <w:rtl/>
          </w:rPr>
          <w:t>סעיף</w:t>
        </w:r>
        <w:r w:rsidR="00D80AA0" w:rsidRPr="00D80AA0">
          <w:rPr>
            <w:rFonts w:cs="FrankRuehl"/>
            <w:color w:val="0000FF"/>
            <w:sz w:val="28"/>
            <w:szCs w:val="28"/>
            <w:u w:val="single"/>
            <w:rtl/>
          </w:rPr>
          <w:t xml:space="preserve"> 40</w:t>
        </w:r>
        <w:r w:rsidR="00D80AA0" w:rsidRPr="00D80AA0">
          <w:rPr>
            <w:rFonts w:cs="FrankRuehl" w:hint="cs"/>
            <w:color w:val="0000FF"/>
            <w:sz w:val="28"/>
            <w:szCs w:val="28"/>
            <w:u w:val="single"/>
            <w:rtl/>
          </w:rPr>
          <w:t>ד</w:t>
        </w:r>
        <w:r w:rsidR="00D80AA0" w:rsidRPr="00D80AA0">
          <w:rPr>
            <w:rFonts w:cs="FrankRuehl"/>
            <w:color w:val="0000FF"/>
            <w:sz w:val="28"/>
            <w:szCs w:val="28"/>
            <w:u w:val="single"/>
            <w:rtl/>
          </w:rPr>
          <w:t>(</w:t>
        </w:r>
        <w:r w:rsidR="00D80AA0" w:rsidRPr="00D80AA0">
          <w:rPr>
            <w:rFonts w:cs="FrankRuehl" w:hint="cs"/>
            <w:color w:val="0000FF"/>
            <w:sz w:val="28"/>
            <w:szCs w:val="28"/>
            <w:u w:val="single"/>
            <w:rtl/>
          </w:rPr>
          <w:t>א</w:t>
        </w:r>
        <w:r w:rsidR="00D80AA0" w:rsidRPr="00D80AA0">
          <w:rPr>
            <w:rFonts w:cs="FrankRuehl"/>
            <w:color w:val="0000FF"/>
            <w:sz w:val="28"/>
            <w:szCs w:val="28"/>
            <w:u w:val="single"/>
            <w:rtl/>
          </w:rPr>
          <w:t>)</w:t>
        </w:r>
      </w:hyperlink>
      <w:r>
        <w:rPr>
          <w:rFonts w:cs="FrankRuehl" w:hint="cs"/>
          <w:sz w:val="28"/>
          <w:szCs w:val="28"/>
          <w:rtl/>
        </w:rPr>
        <w:t xml:space="preserve"> לחוק בקובעה:</w:t>
      </w:r>
    </w:p>
    <w:p w14:paraId="0BB6ED68"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"במקרה הנדון קיימים נתונים רבים המעידים על פוטנציאל שיקומי גבוה במיוחד באופן המצדיק חריגה ממתחם העונש שנקבע בהתאם </w:t>
      </w:r>
      <w:hyperlink r:id="rId85" w:history="1">
        <w:r w:rsidR="00D80AA0" w:rsidRPr="00D80AA0">
          <w:rPr>
            <w:rFonts w:cs="FrankRuehl" w:hint="cs"/>
            <w:color w:val="0000FF"/>
            <w:sz w:val="28"/>
            <w:szCs w:val="28"/>
            <w:u w:val="single"/>
            <w:rtl/>
          </w:rPr>
          <w:t>לסעיף</w:t>
        </w:r>
        <w:r w:rsidR="00D80AA0" w:rsidRPr="00D80AA0">
          <w:rPr>
            <w:rFonts w:cs="FrankRuehl"/>
            <w:color w:val="0000FF"/>
            <w:sz w:val="28"/>
            <w:szCs w:val="28"/>
            <w:u w:val="single"/>
            <w:rtl/>
          </w:rPr>
          <w:t xml:space="preserve"> 40</w:t>
        </w:r>
        <w:r w:rsidR="00D80AA0" w:rsidRPr="00D80AA0">
          <w:rPr>
            <w:rFonts w:cs="FrankRuehl" w:hint="cs"/>
            <w:color w:val="0000FF"/>
            <w:sz w:val="28"/>
            <w:szCs w:val="28"/>
            <w:u w:val="single"/>
            <w:rtl/>
          </w:rPr>
          <w:t>ד</w:t>
        </w:r>
        <w:r w:rsidR="00D80AA0" w:rsidRPr="00D80AA0">
          <w:rPr>
            <w:rFonts w:cs="FrankRuehl"/>
            <w:color w:val="0000FF"/>
            <w:sz w:val="28"/>
            <w:szCs w:val="28"/>
            <w:u w:val="single"/>
            <w:rtl/>
          </w:rPr>
          <w:t>(</w:t>
        </w:r>
        <w:r w:rsidR="00D80AA0" w:rsidRPr="00D80AA0">
          <w:rPr>
            <w:rFonts w:cs="FrankRuehl" w:hint="cs"/>
            <w:color w:val="0000FF"/>
            <w:sz w:val="28"/>
            <w:szCs w:val="28"/>
            <w:u w:val="single"/>
            <w:rtl/>
          </w:rPr>
          <w:t>א</w:t>
        </w:r>
        <w:r w:rsidR="00D80AA0" w:rsidRPr="00D80AA0">
          <w:rPr>
            <w:rFonts w:cs="FrankRuehl"/>
            <w:color w:val="0000FF"/>
            <w:sz w:val="28"/>
            <w:szCs w:val="28"/>
            <w:u w:val="single"/>
            <w:rtl/>
          </w:rPr>
          <w:t>)</w:t>
        </w:r>
      </w:hyperlink>
      <w:r>
        <w:rPr>
          <w:rFonts w:cs="FrankRuehl" w:hint="cs"/>
          <w:sz w:val="28"/>
          <w:szCs w:val="28"/>
          <w:rtl/>
        </w:rPr>
        <w:t xml:space="preserve"> לחוק. עברו של המערער נקי לחלוטין, וכאמור עד לאירוע הנדון הוא ניהל אורח חיים נורמטיבי. תסקיר המבחן בעניינו של המערער מגלה פוטנציאל שיקומי ממשי, תוך קביעה כי הסיכוי לביצוע עבירות נוספות בעתיד הוא נמוך ביותר. שירות המבחן המליץ כזכור להשית על המערער עונש מאסר שיבוצע בעבודות שירות. כמו כן, מהתנהלות המערער בתקופת מעצרו, ומאסרו עד כה, ניתן ללמוד על שיתוף פעולה אמיתי עם רשויות אכיפת החוק ובמיוחד עם שירות המבחן, מה שמעיד על רצונו להשתקם, וכן דומה כי למערער משפחה שיכולה לספק לו תמיכה משמעותית לשם כך. התסקיר אף מלמד כי מאסרו של המערער עלול להביא להידרדרות במצבו ולפגוע קשות בסיכויי שיקומו, חשש המתגבר ככל שמדובר במאסר ממושך יותר. כל אלו, לצד החרטה שהביע על מעשיו, מביאים למסקנה כי למערער סיכוי של ממש להשתקם, באופן המצדיק לחרוג מהמתחם שנקבע" (</w:t>
      </w:r>
      <w:hyperlink r:id="rId86" w:history="1">
        <w:r w:rsidRPr="005F607C">
          <w:rPr>
            <w:rFonts w:cs="FrankRuehl" w:hint="cs"/>
            <w:color w:val="0000FF"/>
            <w:sz w:val="28"/>
            <w:szCs w:val="28"/>
            <w:u w:val="single"/>
            <w:rtl/>
          </w:rPr>
          <w:t>ע</w:t>
        </w:r>
        <w:r w:rsidRPr="005F607C">
          <w:rPr>
            <w:rFonts w:cs="FrankRuehl"/>
            <w:color w:val="0000FF"/>
            <w:sz w:val="28"/>
            <w:szCs w:val="28"/>
            <w:u w:val="single"/>
            <w:rtl/>
          </w:rPr>
          <w:t>"</w:t>
        </w:r>
        <w:r w:rsidRPr="005F607C">
          <w:rPr>
            <w:rFonts w:cs="FrankRuehl" w:hint="cs"/>
            <w:color w:val="0000FF"/>
            <w:sz w:val="28"/>
            <w:szCs w:val="28"/>
            <w:u w:val="single"/>
            <w:rtl/>
          </w:rPr>
          <w:t>פ</w:t>
        </w:r>
        <w:r w:rsidRPr="005F607C">
          <w:rPr>
            <w:rFonts w:cs="FrankRuehl"/>
            <w:color w:val="0000FF"/>
            <w:sz w:val="28"/>
            <w:szCs w:val="28"/>
            <w:u w:val="single"/>
            <w:rtl/>
          </w:rPr>
          <w:t xml:space="preserve"> 1903/13</w:t>
        </w:r>
      </w:hyperlink>
      <w:r>
        <w:rPr>
          <w:rFonts w:cs="FrankRuehl" w:hint="cs"/>
          <w:sz w:val="28"/>
          <w:szCs w:val="28"/>
          <w:rtl/>
        </w:rPr>
        <w:t xml:space="preserve"> עיאשה נ' מדינת ישראל (14.7.2013), פסקה 12).</w:t>
      </w:r>
    </w:p>
    <w:p w14:paraId="03BE6DBA" w14:textId="77777777" w:rsidR="00B7496C" w:rsidRDefault="00B7496C">
      <w:pPr>
        <w:pStyle w:val="ListParagraph"/>
        <w:spacing w:line="360" w:lineRule="auto"/>
        <w:jc w:val="both"/>
        <w:rPr>
          <w:rFonts w:cs="FrankRuehl"/>
          <w:sz w:val="28"/>
          <w:szCs w:val="28"/>
          <w:rtl/>
        </w:rPr>
      </w:pPr>
    </w:p>
    <w:p w14:paraId="3B841BDD" w14:textId="77777777" w:rsidR="00B7496C" w:rsidRDefault="005F607C">
      <w:pPr>
        <w:pStyle w:val="ListParagraph"/>
        <w:spacing w:line="360" w:lineRule="auto"/>
        <w:jc w:val="both"/>
        <w:rPr>
          <w:rFonts w:cs="FrankRuehl"/>
          <w:sz w:val="28"/>
          <w:szCs w:val="28"/>
          <w:rtl/>
        </w:rPr>
      </w:pPr>
      <w:r>
        <w:rPr>
          <w:rFonts w:cs="FrankRuehl" w:hint="cs"/>
          <w:sz w:val="28"/>
          <w:szCs w:val="28"/>
          <w:rtl/>
        </w:rPr>
        <w:t xml:space="preserve">בענייננו, כאמור, מדובר </w:t>
      </w:r>
      <w:hyperlink r:id="rId87" w:history="1">
        <w:r w:rsidR="00D80AA0" w:rsidRPr="00D80AA0">
          <w:rPr>
            <w:rFonts w:cs="FrankRuehl" w:hint="cs"/>
            <w:color w:val="0000FF"/>
            <w:sz w:val="28"/>
            <w:szCs w:val="28"/>
            <w:u w:val="single"/>
            <w:rtl/>
          </w:rPr>
          <w:t>בסעיף</w:t>
        </w:r>
        <w:r w:rsidR="00D80AA0" w:rsidRPr="00D80AA0">
          <w:rPr>
            <w:rFonts w:cs="FrankRuehl"/>
            <w:color w:val="0000FF"/>
            <w:sz w:val="28"/>
            <w:szCs w:val="28"/>
            <w:u w:val="single"/>
            <w:rtl/>
          </w:rPr>
          <w:t xml:space="preserve"> 40</w:t>
        </w:r>
        <w:r w:rsidR="00D80AA0" w:rsidRPr="00D80AA0">
          <w:rPr>
            <w:rFonts w:cs="FrankRuehl" w:hint="cs"/>
            <w:color w:val="0000FF"/>
            <w:sz w:val="28"/>
            <w:szCs w:val="28"/>
            <w:u w:val="single"/>
            <w:rtl/>
          </w:rPr>
          <w:t>ד</w:t>
        </w:r>
        <w:r w:rsidR="00D80AA0" w:rsidRPr="00D80AA0">
          <w:rPr>
            <w:rFonts w:cs="FrankRuehl"/>
            <w:color w:val="0000FF"/>
            <w:sz w:val="28"/>
            <w:szCs w:val="28"/>
            <w:u w:val="single"/>
            <w:rtl/>
          </w:rPr>
          <w:t>(</w:t>
        </w:r>
        <w:r w:rsidR="00D80AA0" w:rsidRPr="00D80AA0">
          <w:rPr>
            <w:rFonts w:cs="FrankRuehl" w:hint="cs"/>
            <w:color w:val="0000FF"/>
            <w:sz w:val="28"/>
            <w:szCs w:val="28"/>
            <w:u w:val="single"/>
            <w:rtl/>
          </w:rPr>
          <w:t>ב</w:t>
        </w:r>
        <w:r w:rsidR="00D80AA0" w:rsidRPr="00D80AA0">
          <w:rPr>
            <w:rFonts w:cs="FrankRuehl"/>
            <w:color w:val="0000FF"/>
            <w:sz w:val="28"/>
            <w:szCs w:val="28"/>
            <w:u w:val="single"/>
            <w:rtl/>
          </w:rPr>
          <w:t>)</w:t>
        </w:r>
      </w:hyperlink>
      <w:r>
        <w:rPr>
          <w:rFonts w:cs="FrankRuehl" w:hint="cs"/>
          <w:sz w:val="28"/>
          <w:szCs w:val="28"/>
          <w:u w:val="single"/>
          <w:rtl/>
        </w:rPr>
        <w:t>,</w:t>
      </w:r>
      <w:r>
        <w:rPr>
          <w:rFonts w:cs="FrankRuehl" w:hint="cs"/>
          <w:sz w:val="28"/>
          <w:szCs w:val="28"/>
          <w:rtl/>
        </w:rPr>
        <w:t xml:space="preserve"> כאשר השיקולים לסטייה מהמתחם צריכים להיות כבדי משקל. אף כי שירות המבחן לא קבע מפורשות  כי הנאשם 2 השתקם או עתיד להשלים שיקום מלא,  מצאתי כי נתקיימו אותן נסיבות חריגות ויוצאות דופן המצדיקות סטייה ממתחם העונש ההולם, אך לא כדי אימוץ המלצות שירות המבחן.</w:t>
      </w:r>
    </w:p>
    <w:p w14:paraId="562DB5F7" w14:textId="77777777" w:rsidR="00B7496C" w:rsidRDefault="00B7496C">
      <w:pPr>
        <w:pStyle w:val="ListParagraph"/>
        <w:spacing w:line="360" w:lineRule="auto"/>
        <w:jc w:val="both"/>
        <w:rPr>
          <w:rFonts w:cs="FrankRuehl"/>
          <w:sz w:val="28"/>
          <w:szCs w:val="28"/>
          <w:rtl/>
        </w:rPr>
      </w:pPr>
    </w:p>
    <w:p w14:paraId="32AAA5EA" w14:textId="77777777" w:rsidR="00B7496C" w:rsidRDefault="005F607C">
      <w:pPr>
        <w:spacing w:line="360" w:lineRule="auto"/>
        <w:ind w:firstLine="720"/>
        <w:rPr>
          <w:rFonts w:cs="FrankRuehl"/>
          <w:sz w:val="28"/>
          <w:szCs w:val="28"/>
          <w:rtl/>
        </w:rPr>
      </w:pPr>
      <w:r>
        <w:rPr>
          <w:rFonts w:cs="FrankRuehl" w:hint="cs"/>
          <w:sz w:val="28"/>
          <w:szCs w:val="28"/>
          <w:rtl/>
        </w:rPr>
        <w:t>יפים דברי חבר</w:t>
      </w:r>
      <w:bookmarkStart w:id="8" w:name="_GoBack"/>
      <w:bookmarkEnd w:id="8"/>
      <w:r>
        <w:rPr>
          <w:rFonts w:cs="FrankRuehl" w:hint="cs"/>
          <w:sz w:val="28"/>
          <w:szCs w:val="28"/>
          <w:rtl/>
        </w:rPr>
        <w:t>י, כבוד השופט רון שפירא  ב</w:t>
      </w:r>
      <w:hyperlink r:id="rId88" w:history="1">
        <w:r w:rsidRPr="005F607C">
          <w:rPr>
            <w:rFonts w:cs="FrankRuehl"/>
            <w:color w:val="0000FF"/>
            <w:sz w:val="28"/>
            <w:szCs w:val="28"/>
            <w:u w:val="single"/>
            <w:rtl/>
          </w:rPr>
          <w:t>ת.פ. 53603-06-13</w:t>
        </w:r>
      </w:hyperlink>
      <w:r>
        <w:rPr>
          <w:rFonts w:cs="FrankRuehl" w:hint="cs"/>
          <w:sz w:val="28"/>
          <w:szCs w:val="28"/>
          <w:rtl/>
        </w:rPr>
        <w:t xml:space="preserve"> בה פסק כי</w:t>
      </w:r>
    </w:p>
    <w:p w14:paraId="57ABCC09" w14:textId="77777777" w:rsidR="00B7496C" w:rsidRDefault="005F607C">
      <w:pPr>
        <w:spacing w:line="360" w:lineRule="auto"/>
        <w:ind w:left="720"/>
        <w:rPr>
          <w:rFonts w:ascii="Arial" w:hAnsi="Arial" w:cs="FrankRuehl"/>
          <w:sz w:val="28"/>
          <w:szCs w:val="28"/>
        </w:rPr>
      </w:pPr>
      <w:r>
        <w:rPr>
          <w:rFonts w:cs="FrankRuehl" w:hint="cs"/>
          <w:sz w:val="28"/>
          <w:szCs w:val="28"/>
          <w:rtl/>
        </w:rPr>
        <w:t>"</w:t>
      </w:r>
      <w:r>
        <w:rPr>
          <w:rFonts w:ascii="Arial" w:hAnsi="Arial" w:cs="FrankRuehl"/>
          <w:sz w:val="28"/>
          <w:szCs w:val="28"/>
          <w:rtl/>
        </w:rPr>
        <w:t xml:space="preserve">עם זאת, והגם שסבור אני כי אשמו של הנאשם הוא בעל חומרה יתרה, או קרוב להגדרה זו, כמשמעו בהוראות </w:t>
      </w:r>
      <w:hyperlink r:id="rId89" w:history="1">
        <w:r w:rsidR="00D80AA0" w:rsidRPr="00D80AA0">
          <w:rPr>
            <w:rFonts w:ascii="Arial" w:hAnsi="Arial" w:cs="FrankRuehl"/>
            <w:color w:val="0000FF"/>
            <w:sz w:val="28"/>
            <w:szCs w:val="28"/>
            <w:u w:val="single"/>
            <w:rtl/>
          </w:rPr>
          <w:t>סעיף 40ד(ב)</w:t>
        </w:r>
      </w:hyperlink>
      <w:r>
        <w:rPr>
          <w:rFonts w:ascii="Arial" w:hAnsi="Arial" w:cs="FrankRuehl"/>
          <w:sz w:val="28"/>
          <w:szCs w:val="28"/>
          <w:rtl/>
        </w:rPr>
        <w:t xml:space="preserve"> ל</w:t>
      </w:r>
      <w:hyperlink r:id="rId90" w:history="1">
        <w:r w:rsidRPr="005F607C">
          <w:rPr>
            <w:rFonts w:ascii="Arial" w:hAnsi="Arial" w:cs="FrankRuehl"/>
            <w:color w:val="0000FF"/>
            <w:sz w:val="28"/>
            <w:szCs w:val="28"/>
            <w:u w:val="single"/>
            <w:rtl/>
          </w:rPr>
          <w:t>חוק העונשין</w:t>
        </w:r>
      </w:hyperlink>
      <w:r>
        <w:rPr>
          <w:rFonts w:ascii="Arial" w:hAnsi="Arial" w:cs="FrankRuehl"/>
          <w:sz w:val="28"/>
          <w:szCs w:val="28"/>
          <w:rtl/>
        </w:rPr>
        <w:t>, הרי שגם ל"חומרה יתרה" קיימות דרגות. נראה כי בנסיבות אלו, ניתן לסטות במידת-מה ממתחם העונש שקבעתי, באופן שייתן לנאשם שצעיר בגילו אור בקצה מנהרת הענישה, ויסייע בידו להשתקם בעתיד. בעניין זה סבור אני, כי נסיבות המקרה אינן מצדיקות חריגה ממתחם הענישה, באופן שיאמץ את המלצות שירות המבחן. נזכיר לעניין זה כי שיקולי בית המשפט שונים משיקוליו של שירות המבחן, כאשר הם מביאים בחשבון גם נימוקים נוספים, מעבר לאלו שבבסיס המלצתו של שירות המבחן [</w:t>
      </w:r>
      <w:hyperlink r:id="rId91" w:history="1">
        <w:r w:rsidRPr="005F607C">
          <w:rPr>
            <w:rFonts w:ascii="Arial" w:hAnsi="Arial" w:cs="FrankRuehl"/>
            <w:color w:val="0000FF"/>
            <w:sz w:val="28"/>
            <w:szCs w:val="28"/>
            <w:u w:val="single"/>
            <w:rtl/>
          </w:rPr>
          <w:t>ע"פ 4872/95 מדינת ישראל נ' אילון, פ"ד נג</w:t>
        </w:r>
      </w:hyperlink>
      <w:r>
        <w:rPr>
          <w:rFonts w:ascii="Arial" w:hAnsi="Arial" w:cs="FrankRuehl"/>
          <w:sz w:val="28"/>
          <w:szCs w:val="28"/>
          <w:rtl/>
        </w:rPr>
        <w:t xml:space="preserve">(3) 1, 10 (1999); </w:t>
      </w:r>
      <w:hyperlink r:id="rId92" w:history="1">
        <w:r w:rsidRPr="005F607C">
          <w:rPr>
            <w:rFonts w:ascii="Arial" w:hAnsi="Arial" w:cs="FrankRuehl"/>
            <w:color w:val="0000FF"/>
            <w:sz w:val="28"/>
            <w:szCs w:val="28"/>
            <w:u w:val="single"/>
            <w:rtl/>
          </w:rPr>
          <w:t>ע"פ 5120/11</w:t>
        </w:r>
      </w:hyperlink>
      <w:r>
        <w:rPr>
          <w:rFonts w:ascii="Arial" w:hAnsi="Arial" w:cs="FrankRuehl"/>
          <w:sz w:val="28"/>
          <w:szCs w:val="28"/>
          <w:rtl/>
        </w:rPr>
        <w:t xml:space="preserve"> שתיווי נ' מדינת ישראל (ניתן ביום 18.12.11); </w:t>
      </w:r>
      <w:hyperlink r:id="rId93" w:history="1">
        <w:r w:rsidRPr="005F607C">
          <w:rPr>
            <w:rFonts w:ascii="Arial" w:hAnsi="Arial" w:cs="FrankRuehl"/>
            <w:color w:val="0000FF"/>
            <w:sz w:val="28"/>
            <w:szCs w:val="28"/>
            <w:u w:val="single"/>
            <w:rtl/>
          </w:rPr>
          <w:t>ע"פ 3790/11</w:t>
        </w:r>
      </w:hyperlink>
      <w:r>
        <w:rPr>
          <w:rFonts w:ascii="Arial" w:hAnsi="Arial" w:cs="FrankRuehl"/>
          <w:sz w:val="28"/>
          <w:szCs w:val="28"/>
          <w:rtl/>
        </w:rPr>
        <w:t xml:space="preserve"> משעל נ' מדינת ישראל (ניתן ביום 23.2.12)]. עם זאת, סבור אני כי סיכוי השיקום במקרה זה תומכים בגזירת עונש מאסר, אשר לא יהיה ברף העליון של מתחם הענישה ויחרוג במידת-מה לקולא מהמתחם שקבעתי.</w:t>
      </w:r>
    </w:p>
    <w:p w14:paraId="74BF60CA" w14:textId="77777777" w:rsidR="00B7496C" w:rsidRDefault="00B7496C">
      <w:pPr>
        <w:spacing w:line="360" w:lineRule="auto"/>
        <w:rPr>
          <w:rFonts w:ascii="Arial" w:hAnsi="Arial" w:cs="FrankRuehl"/>
          <w:sz w:val="28"/>
          <w:szCs w:val="28"/>
          <w:rtl/>
        </w:rPr>
      </w:pPr>
    </w:p>
    <w:p w14:paraId="6CF11852" w14:textId="77777777" w:rsidR="00B7496C" w:rsidRDefault="005F607C">
      <w:pPr>
        <w:spacing w:line="360" w:lineRule="auto"/>
        <w:ind w:left="720"/>
        <w:rPr>
          <w:rFonts w:ascii="Arial" w:hAnsi="Arial" w:cs="FrankRuehl"/>
          <w:sz w:val="28"/>
          <w:szCs w:val="28"/>
          <w:rtl/>
        </w:rPr>
      </w:pPr>
      <w:r>
        <w:rPr>
          <w:rFonts w:ascii="Arial" w:hAnsi="Arial" w:cs="FrankRuehl"/>
          <w:sz w:val="28"/>
          <w:szCs w:val="28"/>
          <w:rtl/>
        </w:rPr>
        <w:t xml:space="preserve">אוסיף עוד לעניין זה כי גם מסקנה כי קיים סיכוי של ממש שנאשם ישתקם, כמשמעו </w:t>
      </w:r>
      <w:hyperlink r:id="rId94" w:history="1">
        <w:r w:rsidR="00D80AA0" w:rsidRPr="00D80AA0">
          <w:rPr>
            <w:rFonts w:ascii="Arial" w:hAnsi="Arial" w:cs="FrankRuehl"/>
            <w:color w:val="0000FF"/>
            <w:sz w:val="28"/>
            <w:szCs w:val="28"/>
            <w:u w:val="single"/>
            <w:rtl/>
          </w:rPr>
          <w:t>בסעיף 40ד'(א)</w:t>
        </w:r>
      </w:hyperlink>
      <w:r>
        <w:rPr>
          <w:rFonts w:ascii="Arial" w:hAnsi="Arial" w:cs="FrankRuehl"/>
          <w:sz w:val="28"/>
          <w:szCs w:val="28"/>
          <w:rtl/>
        </w:rPr>
        <w:t xml:space="preserve"> לחוק אינה מובילה בהכרח למסקנה כי אין מקום לגזור עליו עונש של מאסר במתקן כליאה. סיכויי השיקום מובילים אל האפשרות לחרוג ממתחם הענישה ואולם אין להסיק מכך בהכרח כי ייגזר עונש קל שאינו כולל רכיב של מאסר במתקן כליאה. לעניין זה נזכיר כי גם במסגרת שב"ס פועל מערך שיקומי, וחזקה על נציב שב"ס שיפעל בהתאם לסמכותו כאמור </w:t>
      </w:r>
      <w:hyperlink r:id="rId95" w:history="1">
        <w:r w:rsidR="00D80AA0" w:rsidRPr="00D80AA0">
          <w:rPr>
            <w:rFonts w:ascii="Arial" w:hAnsi="Arial" w:cs="FrankRuehl"/>
            <w:color w:val="0000FF"/>
            <w:sz w:val="28"/>
            <w:szCs w:val="28"/>
            <w:u w:val="single"/>
            <w:rtl/>
          </w:rPr>
          <w:t>בסעיף 11ד'</w:t>
        </w:r>
      </w:hyperlink>
      <w:r>
        <w:rPr>
          <w:rFonts w:ascii="Arial" w:hAnsi="Arial" w:cs="FrankRuehl"/>
          <w:sz w:val="28"/>
          <w:szCs w:val="28"/>
          <w:rtl/>
        </w:rPr>
        <w:t xml:space="preserve"> ל</w:t>
      </w:r>
      <w:hyperlink r:id="rId96" w:history="1">
        <w:r w:rsidRPr="005F607C">
          <w:rPr>
            <w:rFonts w:ascii="Arial" w:hAnsi="Arial" w:cs="FrankRuehl"/>
            <w:color w:val="0000FF"/>
            <w:sz w:val="28"/>
            <w:szCs w:val="28"/>
            <w:u w:val="single"/>
            <w:rtl/>
          </w:rPr>
          <w:t>פקודת בתי הסוהר</w:t>
        </w:r>
      </w:hyperlink>
      <w:r>
        <w:rPr>
          <w:rFonts w:ascii="Arial" w:hAnsi="Arial" w:cs="FrankRuehl"/>
          <w:sz w:val="28"/>
          <w:szCs w:val="28"/>
          <w:rtl/>
        </w:rPr>
        <w:t xml:space="preserve"> ויבחן אפשרות לשיקומו של הנאשם, ובעיקר כאשר נקבע ע"י בית המשפט שראוי לעשות כן</w:t>
      </w:r>
      <w:r>
        <w:rPr>
          <w:rFonts w:ascii="Arial" w:hAnsi="Arial" w:cs="FrankRuehl" w:hint="cs"/>
          <w:sz w:val="28"/>
          <w:szCs w:val="28"/>
          <w:rtl/>
        </w:rPr>
        <w:t>"</w:t>
      </w:r>
      <w:r>
        <w:rPr>
          <w:rFonts w:ascii="Arial" w:hAnsi="Arial" w:cs="FrankRuehl"/>
          <w:sz w:val="28"/>
          <w:szCs w:val="28"/>
          <w:rtl/>
        </w:rPr>
        <w:t xml:space="preserve">. </w:t>
      </w:r>
    </w:p>
    <w:p w14:paraId="783EF434" w14:textId="77777777" w:rsidR="00B7496C" w:rsidRDefault="00B7496C">
      <w:pPr>
        <w:rPr>
          <w:rFonts w:ascii="Calibri" w:hAnsi="Calibri" w:cs="FrankRuehl"/>
          <w:sz w:val="28"/>
          <w:szCs w:val="28"/>
          <w:rtl/>
        </w:rPr>
      </w:pPr>
    </w:p>
    <w:p w14:paraId="222B56D1" w14:textId="77777777" w:rsidR="00B7496C" w:rsidRDefault="005F607C">
      <w:pPr>
        <w:pStyle w:val="ListParagraph"/>
        <w:numPr>
          <w:ilvl w:val="0"/>
          <w:numId w:val="1"/>
        </w:numPr>
        <w:spacing w:line="360" w:lineRule="auto"/>
        <w:jc w:val="both"/>
        <w:rPr>
          <w:rFonts w:cs="FrankRuehl"/>
          <w:sz w:val="28"/>
          <w:szCs w:val="28"/>
          <w:rtl/>
        </w:rPr>
      </w:pPr>
      <w:r>
        <w:rPr>
          <w:rFonts w:cs="FrankRuehl" w:hint="cs"/>
          <w:sz w:val="28"/>
          <w:szCs w:val="28"/>
          <w:rtl/>
        </w:rPr>
        <w:t>לא בלי לבטים מצאתי כי יש לחרוג ממתחם הענישה אם כי לא לקבל את המלצת שירות המבחן. על כן, בהתחשב בעונש שנגזר על נאשם 1, בהתחשב בתקופה בה מצוי הנאשם 2 במעצר בית, בגילו, בהודאתו, בסיכויי שיקומו ובאמור בתסקיר שירות המבחן , אני גוזרת על הנאשם 2 עונש של 18 חודשי מאסר, בניכוי ימי מעצרו מיום 23.9.13  ועד ליום24.10.13 .</w:t>
      </w:r>
    </w:p>
    <w:p w14:paraId="73AE675D" w14:textId="77777777" w:rsidR="00B7496C" w:rsidRDefault="005F607C">
      <w:pPr>
        <w:spacing w:line="360" w:lineRule="auto"/>
        <w:ind w:left="720"/>
        <w:rPr>
          <w:rFonts w:cs="FrankRuehl"/>
          <w:sz w:val="28"/>
          <w:szCs w:val="28"/>
        </w:rPr>
      </w:pPr>
      <w:r>
        <w:rPr>
          <w:rFonts w:cs="FrankRuehl" w:hint="cs"/>
          <w:sz w:val="28"/>
          <w:szCs w:val="28"/>
          <w:rtl/>
        </w:rPr>
        <w:t>כן מצאתי להטיל על הנאשם 2 פיצוי לכל אחד מהמתלוננים בסך של 1,500 ₪, ועונש מאסר מותנה בן 12 חודשים, והתנאי הוא שלא יעבור עבירה בה הורשע משך 3 שנים מיום שחרורו ממאסר.</w:t>
      </w:r>
    </w:p>
    <w:p w14:paraId="04C05A04" w14:textId="77777777" w:rsidR="00B7496C" w:rsidRDefault="00B7496C">
      <w:pPr>
        <w:pStyle w:val="ListParagraph"/>
        <w:spacing w:line="360" w:lineRule="auto"/>
        <w:jc w:val="both"/>
        <w:rPr>
          <w:rFonts w:cs="FrankRuehl"/>
          <w:sz w:val="28"/>
          <w:szCs w:val="28"/>
          <w:rtl/>
        </w:rPr>
      </w:pPr>
    </w:p>
    <w:p w14:paraId="624A0F69" w14:textId="77777777" w:rsidR="00B7496C" w:rsidRDefault="005F607C">
      <w:pPr>
        <w:pStyle w:val="ListParagraph"/>
        <w:spacing w:line="360" w:lineRule="auto"/>
        <w:jc w:val="both"/>
        <w:rPr>
          <w:rFonts w:cs="FrankRuehl"/>
          <w:sz w:val="28"/>
          <w:szCs w:val="28"/>
        </w:rPr>
      </w:pPr>
      <w:r>
        <w:rPr>
          <w:rFonts w:cs="FrankRuehl" w:hint="cs"/>
          <w:sz w:val="28"/>
          <w:szCs w:val="28"/>
          <w:rtl/>
        </w:rPr>
        <w:t>קטנוע מסוג "ג'וי מקס" בצבע לבן מספר רישוי  515313 המצוי בבעלות הנאשם 2 יחולט.</w:t>
      </w:r>
    </w:p>
    <w:p w14:paraId="4E3E25AE" w14:textId="77777777" w:rsidR="00B7496C" w:rsidRDefault="00B7496C">
      <w:pPr>
        <w:spacing w:line="360" w:lineRule="auto"/>
        <w:rPr>
          <w:rFonts w:cs="FrankRuehl"/>
          <w:sz w:val="28"/>
          <w:szCs w:val="28"/>
          <w:rtl/>
        </w:rPr>
      </w:pPr>
    </w:p>
    <w:p w14:paraId="41386BB0" w14:textId="77777777" w:rsidR="00B7496C" w:rsidRDefault="005F607C">
      <w:pPr>
        <w:spacing w:line="360" w:lineRule="auto"/>
        <w:rPr>
          <w:rFonts w:cs="FrankRuehl"/>
          <w:b/>
          <w:bCs/>
          <w:sz w:val="28"/>
          <w:szCs w:val="28"/>
          <w:rtl/>
        </w:rPr>
      </w:pPr>
      <w:r>
        <w:rPr>
          <w:rFonts w:cs="FrankRuehl" w:hint="cs"/>
          <w:b/>
          <w:bCs/>
          <w:sz w:val="28"/>
          <w:szCs w:val="28"/>
          <w:rtl/>
        </w:rPr>
        <w:t>זכות ערעור לבית המשפט העליון תוך 45 יום מהיום.</w:t>
      </w:r>
    </w:p>
    <w:p w14:paraId="2C8812DC" w14:textId="77777777" w:rsidR="00B7496C" w:rsidRDefault="00B7496C">
      <w:pPr>
        <w:spacing w:line="360" w:lineRule="auto"/>
        <w:rPr>
          <w:rFonts w:cs="FrankRuehl"/>
          <w:sz w:val="28"/>
          <w:szCs w:val="28"/>
          <w:rtl/>
        </w:rPr>
      </w:pPr>
    </w:p>
    <w:p w14:paraId="7B48462E" w14:textId="77777777" w:rsidR="00B7496C" w:rsidRDefault="005F607C">
      <w:pPr>
        <w:spacing w:line="360" w:lineRule="auto"/>
        <w:rPr>
          <w:rFonts w:cs="FrankRuehl"/>
          <w:sz w:val="28"/>
          <w:szCs w:val="28"/>
          <w:rtl/>
        </w:rPr>
      </w:pPr>
      <w:r>
        <w:rPr>
          <w:rFonts w:ascii="Arial" w:hAnsi="Arial" w:cs="FrankRuehl"/>
          <w:sz w:val="28"/>
          <w:szCs w:val="28"/>
          <w:rtl/>
        </w:rPr>
        <w:t xml:space="preserve">ניתן היום,  כ"א אדר תשע"ה, 12 מרץ 2015, במעמד הצדדים. </w:t>
      </w:r>
    </w:p>
    <w:p w14:paraId="1EB93EC3" w14:textId="77777777" w:rsidR="00B7496C" w:rsidRPr="005F607C" w:rsidRDefault="005F607C">
      <w:pPr>
        <w:spacing w:line="360" w:lineRule="auto"/>
        <w:rPr>
          <w:rFonts w:cs="FrankRuehl"/>
          <w:color w:val="FFFFFF"/>
          <w:sz w:val="2"/>
          <w:szCs w:val="2"/>
          <w:rtl/>
        </w:rPr>
      </w:pPr>
      <w:r w:rsidRPr="005F607C">
        <w:rPr>
          <w:rFonts w:cs="FrankRuehl"/>
          <w:color w:val="FFFFFF"/>
          <w:sz w:val="2"/>
          <w:szCs w:val="2"/>
          <w:rtl/>
        </w:rPr>
        <w:t>5129371</w:t>
      </w:r>
    </w:p>
    <w:tbl>
      <w:tblPr>
        <w:bidiVisual/>
        <w:tblW w:w="0" w:type="auto"/>
        <w:jc w:val="right"/>
        <w:tblLook w:val="01E0" w:firstRow="1" w:lastRow="1" w:firstColumn="1" w:lastColumn="1" w:noHBand="0" w:noVBand="0"/>
      </w:tblPr>
      <w:tblGrid>
        <w:gridCol w:w="3217"/>
      </w:tblGrid>
      <w:tr w:rsidR="00B7496C" w14:paraId="562BE3C1" w14:textId="77777777">
        <w:trPr>
          <w:trHeight w:val="891"/>
          <w:jc w:val="right"/>
        </w:trPr>
        <w:tc>
          <w:tcPr>
            <w:tcW w:w="3217" w:type="dxa"/>
            <w:tcBorders>
              <w:top w:val="nil"/>
              <w:left w:val="nil"/>
              <w:bottom w:val="single" w:sz="4" w:space="0" w:color="auto"/>
              <w:right w:val="nil"/>
            </w:tcBorders>
            <w:vAlign w:val="bottom"/>
          </w:tcPr>
          <w:p w14:paraId="43A96F9E" w14:textId="77777777" w:rsidR="00B7496C" w:rsidRPr="005F607C" w:rsidRDefault="005F607C">
            <w:pPr>
              <w:jc w:val="center"/>
              <w:rPr>
                <w:rFonts w:ascii="Courier New" w:hAnsi="Courier New"/>
                <w:b/>
                <w:bCs/>
                <w:color w:val="FFFFFF"/>
                <w:sz w:val="2"/>
                <w:szCs w:val="2"/>
              </w:rPr>
            </w:pPr>
            <w:r w:rsidRPr="005F607C">
              <w:rPr>
                <w:rFonts w:ascii="Courier New" w:hAnsi="Courier New"/>
                <w:b/>
                <w:bCs/>
                <w:color w:val="FFFFFF"/>
                <w:sz w:val="2"/>
                <w:szCs w:val="2"/>
                <w:rtl/>
              </w:rPr>
              <w:t>54678313</w:t>
            </w:r>
          </w:p>
        </w:tc>
      </w:tr>
      <w:tr w:rsidR="00B7496C" w14:paraId="17D377E3" w14:textId="77777777">
        <w:trPr>
          <w:trHeight w:val="549"/>
          <w:jc w:val="right"/>
        </w:trPr>
        <w:tc>
          <w:tcPr>
            <w:tcW w:w="3217" w:type="dxa"/>
            <w:tcBorders>
              <w:top w:val="single" w:sz="4" w:space="0" w:color="auto"/>
              <w:left w:val="nil"/>
              <w:bottom w:val="nil"/>
              <w:right w:val="nil"/>
            </w:tcBorders>
            <w:vAlign w:val="bottom"/>
          </w:tcPr>
          <w:p w14:paraId="6CCD3768" w14:textId="77777777" w:rsidR="00B7496C" w:rsidRDefault="005F607C">
            <w:pPr>
              <w:jc w:val="center"/>
              <w:rPr>
                <w:rFonts w:ascii="Courier New" w:hAnsi="Courier New"/>
                <w:b/>
                <w:bCs/>
              </w:rPr>
            </w:pPr>
            <w:r>
              <w:rPr>
                <w:rFonts w:ascii="Courier New" w:hAnsi="Courier New" w:hint="cs"/>
                <w:b/>
                <w:bCs/>
                <w:rtl/>
              </w:rPr>
              <w:t>מיכל ברנט, שופטת</w:t>
            </w:r>
          </w:p>
        </w:tc>
      </w:tr>
    </w:tbl>
    <w:p w14:paraId="26AAF08B" w14:textId="77777777" w:rsidR="00B7496C" w:rsidRDefault="00B7496C"/>
    <w:p w14:paraId="06DADD5D" w14:textId="77777777" w:rsidR="00B7496C" w:rsidRDefault="00B7496C">
      <w:pPr>
        <w:pStyle w:val="a3"/>
        <w:spacing w:line="360" w:lineRule="auto"/>
        <w:rPr>
          <w:rFonts w:cs="FrankRuehl"/>
          <w:sz w:val="28"/>
          <w:szCs w:val="28"/>
          <w:rtl/>
        </w:rPr>
      </w:pPr>
    </w:p>
    <w:p w14:paraId="156AFC99" w14:textId="77777777" w:rsidR="005F607C" w:rsidRPr="005F607C" w:rsidRDefault="005F607C" w:rsidP="005F607C">
      <w:pPr>
        <w:keepNext/>
        <w:rPr>
          <w:rFonts w:ascii="David" w:hAnsi="David"/>
          <w:color w:val="000000"/>
          <w:sz w:val="22"/>
          <w:szCs w:val="22"/>
          <w:rtl/>
        </w:rPr>
      </w:pPr>
    </w:p>
    <w:p w14:paraId="44693BD2" w14:textId="77777777" w:rsidR="005F607C" w:rsidRPr="005F607C" w:rsidRDefault="005F607C" w:rsidP="005F607C">
      <w:pPr>
        <w:keepNext/>
        <w:rPr>
          <w:rFonts w:ascii="David" w:hAnsi="David"/>
          <w:color w:val="000000"/>
          <w:sz w:val="22"/>
          <w:szCs w:val="22"/>
          <w:rtl/>
        </w:rPr>
      </w:pPr>
      <w:r w:rsidRPr="005F607C">
        <w:rPr>
          <w:rFonts w:ascii="David" w:hAnsi="David"/>
          <w:color w:val="000000"/>
          <w:sz w:val="22"/>
          <w:szCs w:val="22"/>
          <w:rtl/>
        </w:rPr>
        <w:t>מיכל ברנט 54678313</w:t>
      </w:r>
    </w:p>
    <w:p w14:paraId="1428B0A6" w14:textId="77777777" w:rsidR="005F607C" w:rsidRDefault="005F607C" w:rsidP="005F607C">
      <w:r w:rsidRPr="005F607C">
        <w:rPr>
          <w:color w:val="000000"/>
          <w:rtl/>
        </w:rPr>
        <w:t>נוסח מסמך זה כפוף לשינויי ניסוח ועריכה</w:t>
      </w:r>
    </w:p>
    <w:p w14:paraId="780D7D1C" w14:textId="77777777" w:rsidR="005F607C" w:rsidRDefault="005F607C" w:rsidP="005F607C">
      <w:pPr>
        <w:rPr>
          <w:rtl/>
        </w:rPr>
      </w:pPr>
    </w:p>
    <w:p w14:paraId="38858CD7" w14:textId="77777777" w:rsidR="005F607C" w:rsidRDefault="005F607C" w:rsidP="005F607C">
      <w:pPr>
        <w:jc w:val="center"/>
        <w:rPr>
          <w:color w:val="0000FF"/>
          <w:u w:val="single"/>
        </w:rPr>
      </w:pPr>
      <w:hyperlink r:id="rId97" w:history="1">
        <w:r>
          <w:rPr>
            <w:color w:val="0000FF"/>
            <w:u w:val="single"/>
            <w:rtl/>
          </w:rPr>
          <w:t>בעניין עריכה ושינויים במסמכי פסיקה, חקיקה ועוד באתר נבו – הקש כאן</w:t>
        </w:r>
      </w:hyperlink>
      <w:r w:rsidR="0082020D">
        <w:rPr>
          <w:rFonts w:hint="cs"/>
          <w:color w:val="0000FF"/>
          <w:u w:val="single"/>
          <w:rtl/>
        </w:rPr>
        <w:t xml:space="preserve"> </w:t>
      </w:r>
    </w:p>
    <w:p w14:paraId="7678DCB5" w14:textId="77777777" w:rsidR="00B7496C" w:rsidRPr="005F607C" w:rsidRDefault="00B7496C" w:rsidP="005F607C">
      <w:pPr>
        <w:jc w:val="center"/>
        <w:rPr>
          <w:color w:val="0000FF"/>
          <w:u w:val="single"/>
        </w:rPr>
      </w:pPr>
    </w:p>
    <w:sectPr w:rsidR="00B7496C" w:rsidRPr="005F607C" w:rsidSect="005F607C">
      <w:headerReference w:type="even" r:id="rId98"/>
      <w:headerReference w:type="default" r:id="rId99"/>
      <w:footerReference w:type="even" r:id="rId100"/>
      <w:footerReference w:type="default" r:id="rId10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C415A" w14:textId="77777777" w:rsidR="00786EB7" w:rsidRPr="000726DC" w:rsidRDefault="00786EB7">
      <w:pPr>
        <w:rPr>
          <w:rFonts w:cs="Arial"/>
          <w:szCs w:val="20"/>
        </w:rPr>
      </w:pPr>
      <w:r>
        <w:separator/>
      </w:r>
    </w:p>
  </w:endnote>
  <w:endnote w:type="continuationSeparator" w:id="0">
    <w:p w14:paraId="1C8B03FE" w14:textId="77777777" w:rsidR="00786EB7" w:rsidRPr="000726DC" w:rsidRDefault="00786EB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8C977" w14:textId="77777777" w:rsidR="00086535" w:rsidRDefault="00086535" w:rsidP="005F60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035D4E3" w14:textId="77777777" w:rsidR="00086535" w:rsidRPr="005F607C" w:rsidRDefault="00086535" w:rsidP="005F607C">
    <w:pPr>
      <w:pStyle w:val="a4"/>
      <w:pBdr>
        <w:top w:val="single" w:sz="4" w:space="1" w:color="auto"/>
        <w:between w:val="single" w:sz="4" w:space="0" w:color="auto"/>
      </w:pBdr>
      <w:spacing w:after="60"/>
      <w:jc w:val="center"/>
      <w:rPr>
        <w:rFonts w:ascii="FrankRuehl" w:hAnsi="FrankRuehl" w:cs="FrankRuehl"/>
        <w:color w:val="000000"/>
      </w:rPr>
    </w:pPr>
    <w:r w:rsidRPr="005F60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7651D" w14:textId="77777777" w:rsidR="00086535" w:rsidRDefault="00086535" w:rsidP="005F60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4327">
      <w:rPr>
        <w:rFonts w:ascii="FrankRuehl" w:hAnsi="FrankRuehl" w:cs="FrankRuehl"/>
        <w:noProof/>
        <w:rtl/>
      </w:rPr>
      <w:t>2</w:t>
    </w:r>
    <w:r>
      <w:rPr>
        <w:rFonts w:ascii="FrankRuehl" w:hAnsi="FrankRuehl" w:cs="FrankRuehl"/>
        <w:rtl/>
      </w:rPr>
      <w:fldChar w:fldCharType="end"/>
    </w:r>
  </w:p>
  <w:p w14:paraId="134F08C4" w14:textId="77777777" w:rsidR="00086535" w:rsidRPr="005F607C" w:rsidRDefault="00086535" w:rsidP="005F607C">
    <w:pPr>
      <w:pStyle w:val="a4"/>
      <w:pBdr>
        <w:top w:val="single" w:sz="4" w:space="1" w:color="auto"/>
        <w:between w:val="single" w:sz="4" w:space="0" w:color="auto"/>
      </w:pBdr>
      <w:spacing w:after="60"/>
      <w:jc w:val="center"/>
      <w:rPr>
        <w:rFonts w:ascii="FrankRuehl" w:hAnsi="FrankRuehl" w:cs="FrankRuehl"/>
        <w:color w:val="000000"/>
      </w:rPr>
    </w:pPr>
    <w:r w:rsidRPr="005F607C">
      <w:rPr>
        <w:rFonts w:ascii="FrankRuehl" w:hAnsi="FrankRuehl" w:cs="FrankRuehl"/>
        <w:color w:val="000000"/>
      </w:rPr>
      <w:pict w14:anchorId="2E3B01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DE707" w14:textId="77777777" w:rsidR="00786EB7" w:rsidRPr="000726DC" w:rsidRDefault="00786EB7">
      <w:pPr>
        <w:rPr>
          <w:rFonts w:cs="Arial"/>
          <w:szCs w:val="20"/>
        </w:rPr>
      </w:pPr>
      <w:r>
        <w:separator/>
      </w:r>
    </w:p>
  </w:footnote>
  <w:footnote w:type="continuationSeparator" w:id="0">
    <w:p w14:paraId="73897065" w14:textId="77777777" w:rsidR="00786EB7" w:rsidRPr="000726DC" w:rsidRDefault="00786EB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3F1E2" w14:textId="77777777" w:rsidR="00086535" w:rsidRPr="005F607C" w:rsidRDefault="00086535" w:rsidP="005F60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3670-10-13</w:t>
    </w:r>
    <w:r>
      <w:rPr>
        <w:rFonts w:ascii="David" w:hAnsi="David"/>
        <w:color w:val="000000"/>
        <w:sz w:val="22"/>
        <w:szCs w:val="22"/>
        <w:rtl/>
      </w:rPr>
      <w:tab/>
      <w:t xml:space="preserve"> מדינת ישראל נ' ראובן דנון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C8641" w14:textId="77777777" w:rsidR="00086535" w:rsidRPr="005F607C" w:rsidRDefault="00086535" w:rsidP="005F60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3670-10-13</w:t>
    </w:r>
    <w:r>
      <w:rPr>
        <w:rFonts w:ascii="David" w:hAnsi="David"/>
        <w:color w:val="000000"/>
        <w:sz w:val="22"/>
        <w:szCs w:val="22"/>
        <w:rtl/>
      </w:rPr>
      <w:tab/>
      <w:t xml:space="preserve"> מדינת ישראל נ' ראובן דנון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47E90"/>
    <w:multiLevelType w:val="hybridMultilevel"/>
    <w:tmpl w:val="10AE4454"/>
    <w:lvl w:ilvl="0" w:tplc="D328641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05C2C3B"/>
    <w:multiLevelType w:val="hybridMultilevel"/>
    <w:tmpl w:val="A01A9F1E"/>
    <w:lvl w:ilvl="0" w:tplc="5E28921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26003B8"/>
    <w:multiLevelType w:val="hybridMultilevel"/>
    <w:tmpl w:val="F9B88F2A"/>
    <w:lvl w:ilvl="0" w:tplc="B2923E9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14745E"/>
    <w:multiLevelType w:val="hybridMultilevel"/>
    <w:tmpl w:val="0262E8D2"/>
    <w:lvl w:ilvl="0" w:tplc="8FF2AD1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9E6224F"/>
    <w:multiLevelType w:val="hybridMultilevel"/>
    <w:tmpl w:val="36B29496"/>
    <w:lvl w:ilvl="0" w:tplc="EB42E9B6">
      <w:start w:val="1"/>
      <w:numFmt w:val="hebrew1"/>
      <w:lvlText w:val="%1."/>
      <w:lvlJc w:val="left"/>
      <w:pPr>
        <w:ind w:left="1080" w:hanging="360"/>
      </w:pPr>
      <w:rPr>
        <w:lang w:val="en-U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C704D69"/>
    <w:multiLevelType w:val="hybridMultilevel"/>
    <w:tmpl w:val="F15879CE"/>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3D714FC2"/>
    <w:multiLevelType w:val="hybridMultilevel"/>
    <w:tmpl w:val="7570C1A4"/>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600907CC"/>
    <w:multiLevelType w:val="hybridMultilevel"/>
    <w:tmpl w:val="592AF724"/>
    <w:lvl w:ilvl="0" w:tplc="971C79A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0383151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26205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73911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488599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87910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710986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84854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359600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7496C"/>
    <w:rsid w:val="00086535"/>
    <w:rsid w:val="00344327"/>
    <w:rsid w:val="003B416E"/>
    <w:rsid w:val="004F3A14"/>
    <w:rsid w:val="0050589C"/>
    <w:rsid w:val="005F607C"/>
    <w:rsid w:val="00786EB7"/>
    <w:rsid w:val="0082020D"/>
    <w:rsid w:val="00B7496C"/>
    <w:rsid w:val="00B81858"/>
    <w:rsid w:val="00D80A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F35F32"/>
  <w15:chartTrackingRefBased/>
  <w15:docId w15:val="{2F1489F9-5EBC-4E18-9E18-D2CD00C4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496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7496C"/>
    <w:pPr>
      <w:tabs>
        <w:tab w:val="center" w:pos="4153"/>
        <w:tab w:val="right" w:pos="8306"/>
      </w:tabs>
    </w:pPr>
  </w:style>
  <w:style w:type="paragraph" w:styleId="a4">
    <w:name w:val="footer"/>
    <w:basedOn w:val="a"/>
    <w:rsid w:val="00B7496C"/>
    <w:pPr>
      <w:tabs>
        <w:tab w:val="center" w:pos="4153"/>
        <w:tab w:val="right" w:pos="8306"/>
      </w:tabs>
    </w:pPr>
  </w:style>
  <w:style w:type="character" w:styleId="a5">
    <w:name w:val="page number"/>
    <w:basedOn w:val="a0"/>
    <w:rsid w:val="00B7496C"/>
  </w:style>
  <w:style w:type="paragraph" w:customStyle="1" w:styleId="ListParagraph">
    <w:name w:val="List Paragraph"/>
    <w:basedOn w:val="a"/>
    <w:rsid w:val="00B7496C"/>
    <w:pPr>
      <w:spacing w:after="200" w:line="276" w:lineRule="auto"/>
      <w:ind w:left="720"/>
      <w:contextualSpacing/>
    </w:pPr>
    <w:rPr>
      <w:rFonts w:ascii="Calibri" w:eastAsia="Calibri" w:hAnsi="Calibri" w:cs="Arial"/>
      <w:sz w:val="22"/>
      <w:szCs w:val="22"/>
    </w:rPr>
  </w:style>
  <w:style w:type="character" w:styleId="Hyperlink">
    <w:name w:val="Hyperlink"/>
    <w:rsid w:val="005F60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a" TargetMode="External"/><Relationship Id="rId21" Type="http://schemas.openxmlformats.org/officeDocument/2006/relationships/hyperlink" Target="http://www.nevo.co.il/law/70301/40jc" TargetMode="External"/><Relationship Id="rId42" Type="http://schemas.openxmlformats.org/officeDocument/2006/relationships/hyperlink" Target="http://www.nevo.co.il/law/70301/335.a.1" TargetMode="External"/><Relationship Id="rId47" Type="http://schemas.openxmlformats.org/officeDocument/2006/relationships/hyperlink" Target="http://www.nevo.co.il/case/6157272" TargetMode="External"/><Relationship Id="rId63" Type="http://schemas.openxmlformats.org/officeDocument/2006/relationships/hyperlink" Target="http://www.nevo.co.il/case/5942308" TargetMode="External"/><Relationship Id="rId68" Type="http://schemas.openxmlformats.org/officeDocument/2006/relationships/hyperlink" Target="http://www.nevo.co.il/law/70301/40i.6" TargetMode="External"/><Relationship Id="rId84" Type="http://schemas.openxmlformats.org/officeDocument/2006/relationships/hyperlink" Target="http://www.nevo.co.il/law/70301/40d.a" TargetMode="External"/><Relationship Id="rId89" Type="http://schemas.openxmlformats.org/officeDocument/2006/relationships/hyperlink" Target="http://www.nevo.co.il/law/70301/40d.b" TargetMode="External"/><Relationship Id="rId16" Type="http://schemas.openxmlformats.org/officeDocument/2006/relationships/hyperlink" Target="http://www.nevo.co.il/law/70301/144.b" TargetMode="External"/><Relationship Id="rId11" Type="http://schemas.openxmlformats.org/officeDocument/2006/relationships/hyperlink" Target="http://www.nevo.co.il/law/70301/40d.a" TargetMode="External"/><Relationship Id="rId32" Type="http://schemas.openxmlformats.org/officeDocument/2006/relationships/hyperlink" Target="http://www.nevo.co.il/law/70301/499.a.1" TargetMode="External"/><Relationship Id="rId37" Type="http://schemas.openxmlformats.org/officeDocument/2006/relationships/hyperlink" Target="http://www.nevo.co.il/law/70301/29" TargetMode="External"/><Relationship Id="rId53" Type="http://schemas.openxmlformats.org/officeDocument/2006/relationships/hyperlink" Target="http://www.nevo.co.il/case/6846470"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8291746" TargetMode="External"/><Relationship Id="rId79" Type="http://schemas.openxmlformats.org/officeDocument/2006/relationships/hyperlink" Target="http://www.nevo.co.il/law/70301/40jc.b"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hyperlink" Target="http://www.nevo.co.il/law/75015/11d" TargetMode="External"/><Relationship Id="rId22" Type="http://schemas.openxmlformats.org/officeDocument/2006/relationships/hyperlink" Target="http://www.nevo.co.il/law/70301/40jc.b" TargetMode="External"/><Relationship Id="rId27" Type="http://schemas.openxmlformats.org/officeDocument/2006/relationships/hyperlink" Target="http://www.nevo.co.il/law/70301" TargetMode="External"/><Relationship Id="rId43" Type="http://schemas.openxmlformats.org/officeDocument/2006/relationships/hyperlink" Target="http://www.nevo.co.il/law/70301/335.a.2" TargetMode="External"/><Relationship Id="rId48" Type="http://schemas.openxmlformats.org/officeDocument/2006/relationships/hyperlink" Target="http://www.nevo.co.il/case/4035365" TargetMode="External"/><Relationship Id="rId64" Type="http://schemas.openxmlformats.org/officeDocument/2006/relationships/hyperlink" Target="http://www.nevo.co.il/case/6157272" TargetMode="External"/><Relationship Id="rId69" Type="http://schemas.openxmlformats.org/officeDocument/2006/relationships/hyperlink" Target="http://www.nevo.co.il/case/6157272" TargetMode="External"/><Relationship Id="rId80" Type="http://schemas.openxmlformats.org/officeDocument/2006/relationships/hyperlink" Target="http://www.nevo.co.il/law/70301/40d.a" TargetMode="External"/><Relationship Id="rId85" Type="http://schemas.openxmlformats.org/officeDocument/2006/relationships/hyperlink" Target="http://www.nevo.co.il/law/70301/40d.a" TargetMode="External"/><Relationship Id="rId12" Type="http://schemas.openxmlformats.org/officeDocument/2006/relationships/hyperlink" Target="http://www.nevo.co.il/law/70301/40d.b" TargetMode="External"/><Relationship Id="rId17" Type="http://schemas.openxmlformats.org/officeDocument/2006/relationships/hyperlink" Target="http://www.nevo.co.il/law/70301/334" TargetMode="External"/><Relationship Id="rId25" Type="http://schemas.openxmlformats.org/officeDocument/2006/relationships/hyperlink" Target="http://www.nevo.co.il/law/75015/11d" TargetMode="External"/><Relationship Id="rId33" Type="http://schemas.openxmlformats.org/officeDocument/2006/relationships/hyperlink" Target="http://www.nevo.co.il/law/70301/334" TargetMode="External"/><Relationship Id="rId38" Type="http://schemas.openxmlformats.org/officeDocument/2006/relationships/hyperlink" Target="http://www.nevo.co.il/law/70301/499.a.1" TargetMode="External"/><Relationship Id="rId46" Type="http://schemas.openxmlformats.org/officeDocument/2006/relationships/hyperlink" Target="http://www.nevo.co.il/case/17905523" TargetMode="External"/><Relationship Id="rId59" Type="http://schemas.openxmlformats.org/officeDocument/2006/relationships/hyperlink" Target="http://www.nevo.co.il/law/70301/40c" TargetMode="External"/><Relationship Id="rId67" Type="http://schemas.openxmlformats.org/officeDocument/2006/relationships/hyperlink" Target="http://www.nevo.co.il/law/70301/40i.2" TargetMode="External"/><Relationship Id="rId103" Type="http://schemas.openxmlformats.org/officeDocument/2006/relationships/theme" Target="theme/theme1.xml"/><Relationship Id="rId20" Type="http://schemas.openxmlformats.org/officeDocument/2006/relationships/hyperlink" Target="http://www.nevo.co.il/law/70301/402.b" TargetMode="External"/><Relationship Id="rId41" Type="http://schemas.openxmlformats.org/officeDocument/2006/relationships/hyperlink" Target="http://www.nevo.co.il/law/70301/334" TargetMode="External"/><Relationship Id="rId54" Type="http://schemas.openxmlformats.org/officeDocument/2006/relationships/hyperlink" Target="http://www.nevo.co.il/case/3878183" TargetMode="External"/><Relationship Id="rId62" Type="http://schemas.openxmlformats.org/officeDocument/2006/relationships/hyperlink" Target="http://www.nevo.co.il/case/16913730" TargetMode="External"/><Relationship Id="rId70" Type="http://schemas.openxmlformats.org/officeDocument/2006/relationships/hyperlink" Target="http://www.nevo.co.il/case/17905523" TargetMode="External"/><Relationship Id="rId75" Type="http://schemas.openxmlformats.org/officeDocument/2006/relationships/hyperlink" Target="http://www.nevo.co.il/case/5585697" TargetMode="External"/><Relationship Id="rId83" Type="http://schemas.openxmlformats.org/officeDocument/2006/relationships/hyperlink" Target="http://www.nevo.co.il/law/70301/40d.b" TargetMode="External"/><Relationship Id="rId88" Type="http://schemas.openxmlformats.org/officeDocument/2006/relationships/hyperlink" Target="http://www.nevo.co.il/case/7697412" TargetMode="External"/><Relationship Id="rId91" Type="http://schemas.openxmlformats.org/officeDocument/2006/relationships/hyperlink" Target="http://www.nevo.co.il/case/17924718" TargetMode="External"/><Relationship Id="rId96" Type="http://schemas.openxmlformats.org/officeDocument/2006/relationships/hyperlink" Target="http://www.nevo.co.il/law/7501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law/70301/402.b" TargetMode="External"/><Relationship Id="rId36" Type="http://schemas.openxmlformats.org/officeDocument/2006/relationships/hyperlink" Target="http://www.nevo.co.il/law/70301/402.b" TargetMode="External"/><Relationship Id="rId49" Type="http://schemas.openxmlformats.org/officeDocument/2006/relationships/hyperlink" Target="http://www.nevo.co.il/law/70301/40d.b" TargetMode="External"/><Relationship Id="rId57" Type="http://schemas.openxmlformats.org/officeDocument/2006/relationships/hyperlink" Target="http://www.nevo.co.il/law/70301/40d" TargetMode="External"/><Relationship Id="rId10" Type="http://schemas.openxmlformats.org/officeDocument/2006/relationships/hyperlink" Target="http://www.nevo.co.il/law/70301/40d" TargetMode="External"/><Relationship Id="rId31" Type="http://schemas.openxmlformats.org/officeDocument/2006/relationships/hyperlink" Target="http://www.nevo.co.il/law/70301/29" TargetMode="External"/><Relationship Id="rId44" Type="http://schemas.openxmlformats.org/officeDocument/2006/relationships/hyperlink" Target="http://www.nevo.co.il/case/7791493" TargetMode="External"/><Relationship Id="rId52" Type="http://schemas.openxmlformats.org/officeDocument/2006/relationships/hyperlink" Target="http://www.nevo.co.il/case/4261467" TargetMode="External"/><Relationship Id="rId60" Type="http://schemas.openxmlformats.org/officeDocument/2006/relationships/hyperlink" Target="http://www.nevo.co.il/law/70301/40jc" TargetMode="External"/><Relationship Id="rId65" Type="http://schemas.openxmlformats.org/officeDocument/2006/relationships/hyperlink" Target="http://www.nevo.co.il/law/70301/402.b" TargetMode="External"/><Relationship Id="rId73" Type="http://schemas.openxmlformats.org/officeDocument/2006/relationships/hyperlink" Target="http://www.nevo.co.il/case/7802262" TargetMode="External"/><Relationship Id="rId78" Type="http://schemas.openxmlformats.org/officeDocument/2006/relationships/hyperlink" Target="http://www.nevo.co.il/case/6173264" TargetMode="External"/><Relationship Id="rId81" Type="http://schemas.openxmlformats.org/officeDocument/2006/relationships/hyperlink" Target="http://www.nevo.co.il/law/70301/40d.b" TargetMode="External"/><Relationship Id="rId86" Type="http://schemas.openxmlformats.org/officeDocument/2006/relationships/hyperlink" Target="http://www.nevo.co.il/case/6824952" TargetMode="External"/><Relationship Id="rId94" Type="http://schemas.openxmlformats.org/officeDocument/2006/relationships/hyperlink" Target="http://www.nevo.co.il/law/70301/40d.a" TargetMode="External"/><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40i.2" TargetMode="External"/><Relationship Id="rId18" Type="http://schemas.openxmlformats.org/officeDocument/2006/relationships/hyperlink" Target="http://www.nevo.co.il/law/70301/335.a.1" TargetMode="External"/><Relationship Id="rId39" Type="http://schemas.openxmlformats.org/officeDocument/2006/relationships/hyperlink" Target="http://www.nevo.co.il/law/70301/144.b" TargetMode="External"/><Relationship Id="rId34" Type="http://schemas.openxmlformats.org/officeDocument/2006/relationships/hyperlink" Target="http://www.nevo.co.il/law/70301/335.a.1" TargetMode="External"/><Relationship Id="rId50" Type="http://schemas.openxmlformats.org/officeDocument/2006/relationships/hyperlink" Target="http://www.nevo.co.il/case/5826540" TargetMode="External"/><Relationship Id="rId55" Type="http://schemas.openxmlformats.org/officeDocument/2006/relationships/hyperlink" Target="http://www.nevo.co.il/case/4095221" TargetMode="External"/><Relationship Id="rId76" Type="http://schemas.openxmlformats.org/officeDocument/2006/relationships/hyperlink" Target="http://www.nevo.co.il/case/7977368" TargetMode="External"/><Relationship Id="rId97"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71" Type="http://schemas.openxmlformats.org/officeDocument/2006/relationships/hyperlink" Target="http://www.nevo.co.il/case/11206432" TargetMode="External"/><Relationship Id="rId92" Type="http://schemas.openxmlformats.org/officeDocument/2006/relationships/hyperlink" Target="http://www.nevo.co.il/case/5995135" TargetMode="External"/><Relationship Id="rId2" Type="http://schemas.openxmlformats.org/officeDocument/2006/relationships/styles" Target="styles.xml"/><Relationship Id="rId29" Type="http://schemas.openxmlformats.org/officeDocument/2006/relationships/hyperlink" Target="http://www.nevo.co.il/law/70301/29" TargetMode="External"/><Relationship Id="rId24" Type="http://schemas.openxmlformats.org/officeDocument/2006/relationships/hyperlink" Target="http://www.nevo.co.il/law/75015" TargetMode="External"/><Relationship Id="rId40" Type="http://schemas.openxmlformats.org/officeDocument/2006/relationships/hyperlink" Target="http://www.nevo.co.il/law/70301/29" TargetMode="External"/><Relationship Id="rId45" Type="http://schemas.openxmlformats.org/officeDocument/2006/relationships/hyperlink" Target="http://www.nevo.co.il/case/16913730"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40d.b" TargetMode="External"/><Relationship Id="rId61" Type="http://schemas.openxmlformats.org/officeDocument/2006/relationships/hyperlink" Target="http://www.nevo.co.il/case/10442677" TargetMode="External"/><Relationship Id="rId82" Type="http://schemas.openxmlformats.org/officeDocument/2006/relationships/hyperlink" Target="http://www.nevo.co.il/case/11206432" TargetMode="External"/><Relationship Id="rId19" Type="http://schemas.openxmlformats.org/officeDocument/2006/relationships/hyperlink" Target="http://www.nevo.co.il/law/70301/335.a.2" TargetMode="External"/><Relationship Id="rId14" Type="http://schemas.openxmlformats.org/officeDocument/2006/relationships/hyperlink" Target="http://www.nevo.co.il/law/70301/40i.6"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70301/335.a.2" TargetMode="External"/><Relationship Id="rId56" Type="http://schemas.openxmlformats.org/officeDocument/2006/relationships/hyperlink" Target="http://www.nevo.co.il/case/11206432" TargetMode="External"/><Relationship Id="rId77" Type="http://schemas.openxmlformats.org/officeDocument/2006/relationships/hyperlink" Target="http://www.nevo.co.il/case/6025720" TargetMode="External"/><Relationship Id="rId100"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hyperlink" Target="http://www.nevo.co.il/case/5591978" TargetMode="External"/><Relationship Id="rId72" Type="http://schemas.openxmlformats.org/officeDocument/2006/relationships/hyperlink" Target="http://www.nevo.co.il/case/18653755" TargetMode="External"/><Relationship Id="rId93" Type="http://schemas.openxmlformats.org/officeDocument/2006/relationships/hyperlink" Target="http://www.nevo.co.il/case/5581144" TargetMode="External"/><Relationship Id="rId98" Type="http://schemas.openxmlformats.org/officeDocument/2006/relationships/header" Target="head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6814</Words>
  <Characters>34072</Characters>
  <Application>Microsoft Office Word</Application>
  <DocSecurity>0</DocSecurity>
  <Lines>283</Lines>
  <Paragraphs>81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40805</CharactersWithSpaces>
  <SharedDoc>false</SharedDoc>
  <HLinks>
    <vt:vector size="546" baseType="variant">
      <vt:variant>
        <vt:i4>393283</vt:i4>
      </vt:variant>
      <vt:variant>
        <vt:i4>270</vt:i4>
      </vt:variant>
      <vt:variant>
        <vt:i4>0</vt:i4>
      </vt:variant>
      <vt:variant>
        <vt:i4>5</vt:i4>
      </vt:variant>
      <vt:variant>
        <vt:lpwstr>http://www.nevo.co.il/advertisements/nevo-100.doc</vt:lpwstr>
      </vt:variant>
      <vt:variant>
        <vt:lpwstr/>
      </vt:variant>
      <vt:variant>
        <vt:i4>8257639</vt:i4>
      </vt:variant>
      <vt:variant>
        <vt:i4>267</vt:i4>
      </vt:variant>
      <vt:variant>
        <vt:i4>0</vt:i4>
      </vt:variant>
      <vt:variant>
        <vt:i4>5</vt:i4>
      </vt:variant>
      <vt:variant>
        <vt:lpwstr>http://www.nevo.co.il/law/75015</vt:lpwstr>
      </vt:variant>
      <vt:variant>
        <vt:lpwstr/>
      </vt:variant>
      <vt:variant>
        <vt:i4>6291555</vt:i4>
      </vt:variant>
      <vt:variant>
        <vt:i4>264</vt:i4>
      </vt:variant>
      <vt:variant>
        <vt:i4>0</vt:i4>
      </vt:variant>
      <vt:variant>
        <vt:i4>5</vt:i4>
      </vt:variant>
      <vt:variant>
        <vt:lpwstr>http://www.nevo.co.il/law/75015/11d</vt:lpwstr>
      </vt:variant>
      <vt:variant>
        <vt:lpwstr/>
      </vt:variant>
      <vt:variant>
        <vt:i4>4915205</vt:i4>
      </vt:variant>
      <vt:variant>
        <vt:i4>261</vt:i4>
      </vt:variant>
      <vt:variant>
        <vt:i4>0</vt:i4>
      </vt:variant>
      <vt:variant>
        <vt:i4>5</vt:i4>
      </vt:variant>
      <vt:variant>
        <vt:lpwstr>http://www.nevo.co.il/law/70301/40d.a</vt:lpwstr>
      </vt:variant>
      <vt:variant>
        <vt:lpwstr/>
      </vt:variant>
      <vt:variant>
        <vt:i4>3670132</vt:i4>
      </vt:variant>
      <vt:variant>
        <vt:i4>258</vt:i4>
      </vt:variant>
      <vt:variant>
        <vt:i4>0</vt:i4>
      </vt:variant>
      <vt:variant>
        <vt:i4>5</vt:i4>
      </vt:variant>
      <vt:variant>
        <vt:lpwstr>http://www.nevo.co.il/case/5581144</vt:lpwstr>
      </vt:variant>
      <vt:variant>
        <vt:lpwstr/>
      </vt:variant>
      <vt:variant>
        <vt:i4>3670139</vt:i4>
      </vt:variant>
      <vt:variant>
        <vt:i4>255</vt:i4>
      </vt:variant>
      <vt:variant>
        <vt:i4>0</vt:i4>
      </vt:variant>
      <vt:variant>
        <vt:i4>5</vt:i4>
      </vt:variant>
      <vt:variant>
        <vt:lpwstr>http://www.nevo.co.il/case/5995135</vt:lpwstr>
      </vt:variant>
      <vt:variant>
        <vt:lpwstr/>
      </vt:variant>
      <vt:variant>
        <vt:i4>3997814</vt:i4>
      </vt:variant>
      <vt:variant>
        <vt:i4>252</vt:i4>
      </vt:variant>
      <vt:variant>
        <vt:i4>0</vt:i4>
      </vt:variant>
      <vt:variant>
        <vt:i4>5</vt:i4>
      </vt:variant>
      <vt:variant>
        <vt:lpwstr>http://www.nevo.co.il/case/17924718</vt:lpwstr>
      </vt:variant>
      <vt:variant>
        <vt:lpwstr/>
      </vt:variant>
      <vt:variant>
        <vt:i4>7995492</vt:i4>
      </vt:variant>
      <vt:variant>
        <vt:i4>249</vt:i4>
      </vt:variant>
      <vt:variant>
        <vt:i4>0</vt:i4>
      </vt:variant>
      <vt:variant>
        <vt:i4>5</vt:i4>
      </vt:variant>
      <vt:variant>
        <vt:lpwstr>http://www.nevo.co.il/law/70301</vt:lpwstr>
      </vt:variant>
      <vt:variant>
        <vt:lpwstr/>
      </vt:variant>
      <vt:variant>
        <vt:i4>4915205</vt:i4>
      </vt:variant>
      <vt:variant>
        <vt:i4>246</vt:i4>
      </vt:variant>
      <vt:variant>
        <vt:i4>0</vt:i4>
      </vt:variant>
      <vt:variant>
        <vt:i4>5</vt:i4>
      </vt:variant>
      <vt:variant>
        <vt:lpwstr>http://www.nevo.co.il/law/70301/40d.b</vt:lpwstr>
      </vt:variant>
      <vt:variant>
        <vt:lpwstr/>
      </vt:variant>
      <vt:variant>
        <vt:i4>3670132</vt:i4>
      </vt:variant>
      <vt:variant>
        <vt:i4>243</vt:i4>
      </vt:variant>
      <vt:variant>
        <vt:i4>0</vt:i4>
      </vt:variant>
      <vt:variant>
        <vt:i4>5</vt:i4>
      </vt:variant>
      <vt:variant>
        <vt:lpwstr>http://www.nevo.co.il/case/7697412</vt:lpwstr>
      </vt:variant>
      <vt:variant>
        <vt:lpwstr/>
      </vt:variant>
      <vt:variant>
        <vt:i4>4915205</vt:i4>
      </vt:variant>
      <vt:variant>
        <vt:i4>240</vt:i4>
      </vt:variant>
      <vt:variant>
        <vt:i4>0</vt:i4>
      </vt:variant>
      <vt:variant>
        <vt:i4>5</vt:i4>
      </vt:variant>
      <vt:variant>
        <vt:lpwstr>http://www.nevo.co.il/law/70301/40d.b</vt:lpwstr>
      </vt:variant>
      <vt:variant>
        <vt:lpwstr/>
      </vt:variant>
      <vt:variant>
        <vt:i4>4128893</vt:i4>
      </vt:variant>
      <vt:variant>
        <vt:i4>237</vt:i4>
      </vt:variant>
      <vt:variant>
        <vt:i4>0</vt:i4>
      </vt:variant>
      <vt:variant>
        <vt:i4>5</vt:i4>
      </vt:variant>
      <vt:variant>
        <vt:lpwstr>http://www.nevo.co.il/case/6824952</vt:lpwstr>
      </vt:variant>
      <vt:variant>
        <vt:lpwstr/>
      </vt:variant>
      <vt:variant>
        <vt:i4>4915205</vt:i4>
      </vt:variant>
      <vt:variant>
        <vt:i4>234</vt:i4>
      </vt:variant>
      <vt:variant>
        <vt:i4>0</vt:i4>
      </vt:variant>
      <vt:variant>
        <vt:i4>5</vt:i4>
      </vt:variant>
      <vt:variant>
        <vt:lpwstr>http://www.nevo.co.il/law/70301/40d.a</vt:lpwstr>
      </vt:variant>
      <vt:variant>
        <vt:lpwstr/>
      </vt:variant>
      <vt:variant>
        <vt:i4>4915205</vt:i4>
      </vt:variant>
      <vt:variant>
        <vt:i4>231</vt:i4>
      </vt:variant>
      <vt:variant>
        <vt:i4>0</vt:i4>
      </vt:variant>
      <vt:variant>
        <vt:i4>5</vt:i4>
      </vt:variant>
      <vt:variant>
        <vt:lpwstr>http://www.nevo.co.il/law/70301/40d.a</vt:lpwstr>
      </vt:variant>
      <vt:variant>
        <vt:lpwstr/>
      </vt:variant>
      <vt:variant>
        <vt:i4>4915205</vt:i4>
      </vt:variant>
      <vt:variant>
        <vt:i4>228</vt:i4>
      </vt:variant>
      <vt:variant>
        <vt:i4>0</vt:i4>
      </vt:variant>
      <vt:variant>
        <vt:i4>5</vt:i4>
      </vt:variant>
      <vt:variant>
        <vt:lpwstr>http://www.nevo.co.il/law/70301/40d.b</vt:lpwstr>
      </vt:variant>
      <vt:variant>
        <vt:lpwstr/>
      </vt:variant>
      <vt:variant>
        <vt:i4>3539057</vt:i4>
      </vt:variant>
      <vt:variant>
        <vt:i4>225</vt:i4>
      </vt:variant>
      <vt:variant>
        <vt:i4>0</vt:i4>
      </vt:variant>
      <vt:variant>
        <vt:i4>5</vt:i4>
      </vt:variant>
      <vt:variant>
        <vt:lpwstr>http://www.nevo.co.il/case/11206432</vt:lpwstr>
      </vt:variant>
      <vt:variant>
        <vt:lpwstr/>
      </vt:variant>
      <vt:variant>
        <vt:i4>4915205</vt:i4>
      </vt:variant>
      <vt:variant>
        <vt:i4>222</vt:i4>
      </vt:variant>
      <vt:variant>
        <vt:i4>0</vt:i4>
      </vt:variant>
      <vt:variant>
        <vt:i4>5</vt:i4>
      </vt:variant>
      <vt:variant>
        <vt:lpwstr>http://www.nevo.co.il/law/70301/40d.b</vt:lpwstr>
      </vt:variant>
      <vt:variant>
        <vt:lpwstr/>
      </vt:variant>
      <vt:variant>
        <vt:i4>4915205</vt:i4>
      </vt:variant>
      <vt:variant>
        <vt:i4>219</vt:i4>
      </vt:variant>
      <vt:variant>
        <vt:i4>0</vt:i4>
      </vt:variant>
      <vt:variant>
        <vt:i4>5</vt:i4>
      </vt:variant>
      <vt:variant>
        <vt:lpwstr>http://www.nevo.co.il/law/70301/40d.a</vt:lpwstr>
      </vt:variant>
      <vt:variant>
        <vt:lpwstr/>
      </vt:variant>
      <vt:variant>
        <vt:i4>6553637</vt:i4>
      </vt:variant>
      <vt:variant>
        <vt:i4>216</vt:i4>
      </vt:variant>
      <vt:variant>
        <vt:i4>0</vt:i4>
      </vt:variant>
      <vt:variant>
        <vt:i4>5</vt:i4>
      </vt:variant>
      <vt:variant>
        <vt:lpwstr>http://www.nevo.co.il/law/70301/40jc.b</vt:lpwstr>
      </vt:variant>
      <vt:variant>
        <vt:lpwstr/>
      </vt:variant>
      <vt:variant>
        <vt:i4>3604592</vt:i4>
      </vt:variant>
      <vt:variant>
        <vt:i4>213</vt:i4>
      </vt:variant>
      <vt:variant>
        <vt:i4>0</vt:i4>
      </vt:variant>
      <vt:variant>
        <vt:i4>5</vt:i4>
      </vt:variant>
      <vt:variant>
        <vt:lpwstr>http://www.nevo.co.il/case/6173264</vt:lpwstr>
      </vt:variant>
      <vt:variant>
        <vt:lpwstr/>
      </vt:variant>
      <vt:variant>
        <vt:i4>3342451</vt:i4>
      </vt:variant>
      <vt:variant>
        <vt:i4>210</vt:i4>
      </vt:variant>
      <vt:variant>
        <vt:i4>0</vt:i4>
      </vt:variant>
      <vt:variant>
        <vt:i4>5</vt:i4>
      </vt:variant>
      <vt:variant>
        <vt:lpwstr>http://www.nevo.co.il/case/6025720</vt:lpwstr>
      </vt:variant>
      <vt:variant>
        <vt:lpwstr/>
      </vt:variant>
      <vt:variant>
        <vt:i4>3866748</vt:i4>
      </vt:variant>
      <vt:variant>
        <vt:i4>207</vt:i4>
      </vt:variant>
      <vt:variant>
        <vt:i4>0</vt:i4>
      </vt:variant>
      <vt:variant>
        <vt:i4>5</vt:i4>
      </vt:variant>
      <vt:variant>
        <vt:lpwstr>http://www.nevo.co.il/case/7977368</vt:lpwstr>
      </vt:variant>
      <vt:variant>
        <vt:lpwstr/>
      </vt:variant>
      <vt:variant>
        <vt:i4>3932285</vt:i4>
      </vt:variant>
      <vt:variant>
        <vt:i4>204</vt:i4>
      </vt:variant>
      <vt:variant>
        <vt:i4>0</vt:i4>
      </vt:variant>
      <vt:variant>
        <vt:i4>5</vt:i4>
      </vt:variant>
      <vt:variant>
        <vt:lpwstr>http://www.nevo.co.il/case/5585697</vt:lpwstr>
      </vt:variant>
      <vt:variant>
        <vt:lpwstr/>
      </vt:variant>
      <vt:variant>
        <vt:i4>3145843</vt:i4>
      </vt:variant>
      <vt:variant>
        <vt:i4>201</vt:i4>
      </vt:variant>
      <vt:variant>
        <vt:i4>0</vt:i4>
      </vt:variant>
      <vt:variant>
        <vt:i4>5</vt:i4>
      </vt:variant>
      <vt:variant>
        <vt:lpwstr>http://www.nevo.co.il/case/8291746</vt:lpwstr>
      </vt:variant>
      <vt:variant>
        <vt:lpwstr/>
      </vt:variant>
      <vt:variant>
        <vt:i4>3604600</vt:i4>
      </vt:variant>
      <vt:variant>
        <vt:i4>198</vt:i4>
      </vt:variant>
      <vt:variant>
        <vt:i4>0</vt:i4>
      </vt:variant>
      <vt:variant>
        <vt:i4>5</vt:i4>
      </vt:variant>
      <vt:variant>
        <vt:lpwstr>http://www.nevo.co.il/case/7802262</vt:lpwstr>
      </vt:variant>
      <vt:variant>
        <vt:lpwstr/>
      </vt:variant>
      <vt:variant>
        <vt:i4>3211390</vt:i4>
      </vt:variant>
      <vt:variant>
        <vt:i4>195</vt:i4>
      </vt:variant>
      <vt:variant>
        <vt:i4>0</vt:i4>
      </vt:variant>
      <vt:variant>
        <vt:i4>5</vt:i4>
      </vt:variant>
      <vt:variant>
        <vt:lpwstr>http://www.nevo.co.il/case/18653755</vt:lpwstr>
      </vt:variant>
      <vt:variant>
        <vt:lpwstr/>
      </vt:variant>
      <vt:variant>
        <vt:i4>3539057</vt:i4>
      </vt:variant>
      <vt:variant>
        <vt:i4>192</vt:i4>
      </vt:variant>
      <vt:variant>
        <vt:i4>0</vt:i4>
      </vt:variant>
      <vt:variant>
        <vt:i4>5</vt:i4>
      </vt:variant>
      <vt:variant>
        <vt:lpwstr>http://www.nevo.co.il/case/11206432</vt:lpwstr>
      </vt:variant>
      <vt:variant>
        <vt:lpwstr/>
      </vt:variant>
      <vt:variant>
        <vt:i4>4128886</vt:i4>
      </vt:variant>
      <vt:variant>
        <vt:i4>189</vt:i4>
      </vt:variant>
      <vt:variant>
        <vt:i4>0</vt:i4>
      </vt:variant>
      <vt:variant>
        <vt:i4>5</vt:i4>
      </vt:variant>
      <vt:variant>
        <vt:lpwstr>http://www.nevo.co.il/case/17905523</vt:lpwstr>
      </vt:variant>
      <vt:variant>
        <vt:lpwstr/>
      </vt:variant>
      <vt:variant>
        <vt:i4>3342453</vt:i4>
      </vt:variant>
      <vt:variant>
        <vt:i4>186</vt:i4>
      </vt:variant>
      <vt:variant>
        <vt:i4>0</vt:i4>
      </vt:variant>
      <vt:variant>
        <vt:i4>5</vt:i4>
      </vt:variant>
      <vt:variant>
        <vt:lpwstr>http://www.nevo.co.il/case/6157272</vt:lpwstr>
      </vt:variant>
      <vt:variant>
        <vt:lpwstr/>
      </vt:variant>
      <vt:variant>
        <vt:i4>4915208</vt:i4>
      </vt:variant>
      <vt:variant>
        <vt:i4>183</vt:i4>
      </vt:variant>
      <vt:variant>
        <vt:i4>0</vt:i4>
      </vt:variant>
      <vt:variant>
        <vt:i4>5</vt:i4>
      </vt:variant>
      <vt:variant>
        <vt:lpwstr>http://www.nevo.co.il/law/70301/40i.6</vt:lpwstr>
      </vt:variant>
      <vt:variant>
        <vt:lpwstr/>
      </vt:variant>
      <vt:variant>
        <vt:i4>4915208</vt:i4>
      </vt:variant>
      <vt:variant>
        <vt:i4>180</vt:i4>
      </vt:variant>
      <vt:variant>
        <vt:i4>0</vt:i4>
      </vt:variant>
      <vt:variant>
        <vt:i4>5</vt:i4>
      </vt:variant>
      <vt:variant>
        <vt:lpwstr>http://www.nevo.co.il/law/70301/40i.2</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4915283</vt:i4>
      </vt:variant>
      <vt:variant>
        <vt:i4>174</vt:i4>
      </vt:variant>
      <vt:variant>
        <vt:i4>0</vt:i4>
      </vt:variant>
      <vt:variant>
        <vt:i4>5</vt:i4>
      </vt:variant>
      <vt:variant>
        <vt:lpwstr>http://www.nevo.co.il/law/70301/402.b</vt:lpwstr>
      </vt:variant>
      <vt:variant>
        <vt:lpwstr/>
      </vt:variant>
      <vt:variant>
        <vt:i4>3342453</vt:i4>
      </vt:variant>
      <vt:variant>
        <vt:i4>171</vt:i4>
      </vt:variant>
      <vt:variant>
        <vt:i4>0</vt:i4>
      </vt:variant>
      <vt:variant>
        <vt:i4>5</vt:i4>
      </vt:variant>
      <vt:variant>
        <vt:lpwstr>http://www.nevo.co.il/case/6157272</vt:lpwstr>
      </vt:variant>
      <vt:variant>
        <vt:lpwstr/>
      </vt:variant>
      <vt:variant>
        <vt:i4>3801215</vt:i4>
      </vt:variant>
      <vt:variant>
        <vt:i4>168</vt:i4>
      </vt:variant>
      <vt:variant>
        <vt:i4>0</vt:i4>
      </vt:variant>
      <vt:variant>
        <vt:i4>5</vt:i4>
      </vt:variant>
      <vt:variant>
        <vt:lpwstr>http://www.nevo.co.il/case/5942308</vt:lpwstr>
      </vt:variant>
      <vt:variant>
        <vt:lpwstr/>
      </vt:variant>
      <vt:variant>
        <vt:i4>3670132</vt:i4>
      </vt:variant>
      <vt:variant>
        <vt:i4>165</vt:i4>
      </vt:variant>
      <vt:variant>
        <vt:i4>0</vt:i4>
      </vt:variant>
      <vt:variant>
        <vt:i4>5</vt:i4>
      </vt:variant>
      <vt:variant>
        <vt:lpwstr>http://www.nevo.co.il/case/16913730</vt:lpwstr>
      </vt:variant>
      <vt:variant>
        <vt:lpwstr/>
      </vt:variant>
      <vt:variant>
        <vt:i4>3145846</vt:i4>
      </vt:variant>
      <vt:variant>
        <vt:i4>162</vt:i4>
      </vt:variant>
      <vt:variant>
        <vt:i4>0</vt:i4>
      </vt:variant>
      <vt:variant>
        <vt:i4>5</vt:i4>
      </vt:variant>
      <vt:variant>
        <vt:lpwstr>http://www.nevo.co.il/case/10442677</vt:lpwstr>
      </vt:variant>
      <vt:variant>
        <vt:lpwstr/>
      </vt:variant>
      <vt:variant>
        <vt:i4>393227</vt:i4>
      </vt:variant>
      <vt:variant>
        <vt:i4>159</vt:i4>
      </vt:variant>
      <vt:variant>
        <vt:i4>0</vt:i4>
      </vt:variant>
      <vt:variant>
        <vt:i4>5</vt:i4>
      </vt:variant>
      <vt:variant>
        <vt:lpwstr>http://www.nevo.co.il/law/70301/40jc</vt:lpwstr>
      </vt:variant>
      <vt:variant>
        <vt:lpwstr/>
      </vt:variant>
      <vt:variant>
        <vt:i4>6619233</vt:i4>
      </vt:variant>
      <vt:variant>
        <vt:i4>156</vt:i4>
      </vt:variant>
      <vt:variant>
        <vt:i4>0</vt:i4>
      </vt:variant>
      <vt:variant>
        <vt:i4>5</vt:i4>
      </vt:variant>
      <vt:variant>
        <vt:lpwstr>http://www.nevo.co.il/law/70301/40c</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6619233</vt:i4>
      </vt:variant>
      <vt:variant>
        <vt:i4>150</vt:i4>
      </vt:variant>
      <vt:variant>
        <vt:i4>0</vt:i4>
      </vt:variant>
      <vt:variant>
        <vt:i4>5</vt:i4>
      </vt:variant>
      <vt:variant>
        <vt:lpwstr>http://www.nevo.co.il/law/70301/40d</vt:lpwstr>
      </vt:variant>
      <vt:variant>
        <vt:lpwstr/>
      </vt:variant>
      <vt:variant>
        <vt:i4>3539057</vt:i4>
      </vt:variant>
      <vt:variant>
        <vt:i4>147</vt:i4>
      </vt:variant>
      <vt:variant>
        <vt:i4>0</vt:i4>
      </vt:variant>
      <vt:variant>
        <vt:i4>5</vt:i4>
      </vt:variant>
      <vt:variant>
        <vt:lpwstr>http://www.nevo.co.il/case/11206432</vt:lpwstr>
      </vt:variant>
      <vt:variant>
        <vt:lpwstr/>
      </vt:variant>
      <vt:variant>
        <vt:i4>4063347</vt:i4>
      </vt:variant>
      <vt:variant>
        <vt:i4>144</vt:i4>
      </vt:variant>
      <vt:variant>
        <vt:i4>0</vt:i4>
      </vt:variant>
      <vt:variant>
        <vt:i4>5</vt:i4>
      </vt:variant>
      <vt:variant>
        <vt:lpwstr>http://www.nevo.co.il/case/4095221</vt:lpwstr>
      </vt:variant>
      <vt:variant>
        <vt:lpwstr/>
      </vt:variant>
      <vt:variant>
        <vt:i4>3539068</vt:i4>
      </vt:variant>
      <vt:variant>
        <vt:i4>141</vt:i4>
      </vt:variant>
      <vt:variant>
        <vt:i4>0</vt:i4>
      </vt:variant>
      <vt:variant>
        <vt:i4>5</vt:i4>
      </vt:variant>
      <vt:variant>
        <vt:lpwstr>http://www.nevo.co.il/case/3878183</vt:lpwstr>
      </vt:variant>
      <vt:variant>
        <vt:lpwstr/>
      </vt:variant>
      <vt:variant>
        <vt:i4>3539069</vt:i4>
      </vt:variant>
      <vt:variant>
        <vt:i4>138</vt:i4>
      </vt:variant>
      <vt:variant>
        <vt:i4>0</vt:i4>
      </vt:variant>
      <vt:variant>
        <vt:i4>5</vt:i4>
      </vt:variant>
      <vt:variant>
        <vt:lpwstr>http://www.nevo.co.il/case/6846470</vt:lpwstr>
      </vt:variant>
      <vt:variant>
        <vt:lpwstr/>
      </vt:variant>
      <vt:variant>
        <vt:i4>3211377</vt:i4>
      </vt:variant>
      <vt:variant>
        <vt:i4>135</vt:i4>
      </vt:variant>
      <vt:variant>
        <vt:i4>0</vt:i4>
      </vt:variant>
      <vt:variant>
        <vt:i4>5</vt:i4>
      </vt:variant>
      <vt:variant>
        <vt:lpwstr>http://www.nevo.co.il/case/4261467</vt:lpwstr>
      </vt:variant>
      <vt:variant>
        <vt:lpwstr/>
      </vt:variant>
      <vt:variant>
        <vt:i4>3997815</vt:i4>
      </vt:variant>
      <vt:variant>
        <vt:i4>132</vt:i4>
      </vt:variant>
      <vt:variant>
        <vt:i4>0</vt:i4>
      </vt:variant>
      <vt:variant>
        <vt:i4>5</vt:i4>
      </vt:variant>
      <vt:variant>
        <vt:lpwstr>http://www.nevo.co.il/case/5591978</vt:lpwstr>
      </vt:variant>
      <vt:variant>
        <vt:lpwstr/>
      </vt:variant>
      <vt:variant>
        <vt:i4>3276926</vt:i4>
      </vt:variant>
      <vt:variant>
        <vt:i4>129</vt:i4>
      </vt:variant>
      <vt:variant>
        <vt:i4>0</vt:i4>
      </vt:variant>
      <vt:variant>
        <vt:i4>5</vt:i4>
      </vt:variant>
      <vt:variant>
        <vt:lpwstr>http://www.nevo.co.il/case/5826540</vt:lpwstr>
      </vt:variant>
      <vt:variant>
        <vt:lpwstr/>
      </vt:variant>
      <vt:variant>
        <vt:i4>4915205</vt:i4>
      </vt:variant>
      <vt:variant>
        <vt:i4>126</vt:i4>
      </vt:variant>
      <vt:variant>
        <vt:i4>0</vt:i4>
      </vt:variant>
      <vt:variant>
        <vt:i4>5</vt:i4>
      </vt:variant>
      <vt:variant>
        <vt:lpwstr>http://www.nevo.co.il/law/70301/40d.b</vt:lpwstr>
      </vt:variant>
      <vt:variant>
        <vt:lpwstr/>
      </vt:variant>
      <vt:variant>
        <vt:i4>3211383</vt:i4>
      </vt:variant>
      <vt:variant>
        <vt:i4>123</vt:i4>
      </vt:variant>
      <vt:variant>
        <vt:i4>0</vt:i4>
      </vt:variant>
      <vt:variant>
        <vt:i4>5</vt:i4>
      </vt:variant>
      <vt:variant>
        <vt:lpwstr>http://www.nevo.co.il/case/4035365</vt:lpwstr>
      </vt:variant>
      <vt:variant>
        <vt:lpwstr/>
      </vt:variant>
      <vt:variant>
        <vt:i4>3342453</vt:i4>
      </vt:variant>
      <vt:variant>
        <vt:i4>120</vt:i4>
      </vt:variant>
      <vt:variant>
        <vt:i4>0</vt:i4>
      </vt:variant>
      <vt:variant>
        <vt:i4>5</vt:i4>
      </vt:variant>
      <vt:variant>
        <vt:lpwstr>http://www.nevo.co.il/case/6157272</vt:lpwstr>
      </vt:variant>
      <vt:variant>
        <vt:lpwstr/>
      </vt:variant>
      <vt:variant>
        <vt:i4>4128886</vt:i4>
      </vt:variant>
      <vt:variant>
        <vt:i4>117</vt:i4>
      </vt:variant>
      <vt:variant>
        <vt:i4>0</vt:i4>
      </vt:variant>
      <vt:variant>
        <vt:i4>5</vt:i4>
      </vt:variant>
      <vt:variant>
        <vt:lpwstr>http://www.nevo.co.il/case/17905523</vt:lpwstr>
      </vt:variant>
      <vt:variant>
        <vt:lpwstr/>
      </vt:variant>
      <vt:variant>
        <vt:i4>3670132</vt:i4>
      </vt:variant>
      <vt:variant>
        <vt:i4>114</vt:i4>
      </vt:variant>
      <vt:variant>
        <vt:i4>0</vt:i4>
      </vt:variant>
      <vt:variant>
        <vt:i4>5</vt:i4>
      </vt:variant>
      <vt:variant>
        <vt:lpwstr>http://www.nevo.co.il/case/16913730</vt:lpwstr>
      </vt:variant>
      <vt:variant>
        <vt:lpwstr/>
      </vt:variant>
      <vt:variant>
        <vt:i4>3735675</vt:i4>
      </vt:variant>
      <vt:variant>
        <vt:i4>111</vt:i4>
      </vt:variant>
      <vt:variant>
        <vt:i4>0</vt:i4>
      </vt:variant>
      <vt:variant>
        <vt:i4>5</vt:i4>
      </vt:variant>
      <vt:variant>
        <vt:lpwstr>http://www.nevo.co.il/case/7791493</vt:lpwstr>
      </vt:variant>
      <vt:variant>
        <vt:lpwstr/>
      </vt:variant>
      <vt:variant>
        <vt:i4>6684722</vt:i4>
      </vt:variant>
      <vt:variant>
        <vt:i4>108</vt:i4>
      </vt:variant>
      <vt:variant>
        <vt:i4>0</vt:i4>
      </vt:variant>
      <vt:variant>
        <vt:i4>5</vt:i4>
      </vt:variant>
      <vt:variant>
        <vt:lpwstr>http://www.nevo.co.il/law/70301/335.a.2</vt:lpwstr>
      </vt:variant>
      <vt:variant>
        <vt:lpwstr/>
      </vt:variant>
      <vt:variant>
        <vt:i4>6684722</vt:i4>
      </vt:variant>
      <vt:variant>
        <vt:i4>105</vt:i4>
      </vt:variant>
      <vt:variant>
        <vt:i4>0</vt:i4>
      </vt:variant>
      <vt:variant>
        <vt:i4>5</vt:i4>
      </vt:variant>
      <vt:variant>
        <vt:lpwstr>http://www.nevo.co.il/law/70301/335.a.1</vt:lpwstr>
      </vt:variant>
      <vt:variant>
        <vt:lpwstr/>
      </vt:variant>
      <vt:variant>
        <vt:i4>6684774</vt:i4>
      </vt:variant>
      <vt:variant>
        <vt:i4>102</vt:i4>
      </vt:variant>
      <vt:variant>
        <vt:i4>0</vt:i4>
      </vt:variant>
      <vt:variant>
        <vt:i4>5</vt:i4>
      </vt:variant>
      <vt:variant>
        <vt:lpwstr>http://www.nevo.co.il/law/70301/334</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7077945</vt:i4>
      </vt:variant>
      <vt:variant>
        <vt:i4>93</vt:i4>
      </vt:variant>
      <vt:variant>
        <vt:i4>0</vt:i4>
      </vt:variant>
      <vt:variant>
        <vt:i4>5</vt:i4>
      </vt:variant>
      <vt:variant>
        <vt:lpwstr>http://www.nevo.co.il/law/70301/499.a.1</vt:lpwstr>
      </vt:variant>
      <vt:variant>
        <vt:lpwstr/>
      </vt:variant>
      <vt:variant>
        <vt:i4>7077991</vt:i4>
      </vt:variant>
      <vt:variant>
        <vt:i4>90</vt:i4>
      </vt:variant>
      <vt:variant>
        <vt:i4>0</vt:i4>
      </vt:variant>
      <vt:variant>
        <vt:i4>5</vt:i4>
      </vt:variant>
      <vt:variant>
        <vt:lpwstr>http://www.nevo.co.il/law/70301/29</vt:lpwstr>
      </vt:variant>
      <vt:variant>
        <vt:lpwstr/>
      </vt:variant>
      <vt:variant>
        <vt:i4>4915283</vt:i4>
      </vt:variant>
      <vt:variant>
        <vt:i4>87</vt:i4>
      </vt:variant>
      <vt:variant>
        <vt:i4>0</vt:i4>
      </vt:variant>
      <vt:variant>
        <vt:i4>5</vt:i4>
      </vt:variant>
      <vt:variant>
        <vt:lpwstr>http://www.nevo.co.il/law/70301/402.b</vt:lpwstr>
      </vt:variant>
      <vt:variant>
        <vt:lpwstr/>
      </vt:variant>
      <vt:variant>
        <vt:i4>6684722</vt:i4>
      </vt:variant>
      <vt:variant>
        <vt:i4>84</vt:i4>
      </vt:variant>
      <vt:variant>
        <vt:i4>0</vt:i4>
      </vt:variant>
      <vt:variant>
        <vt:i4>5</vt:i4>
      </vt:variant>
      <vt:variant>
        <vt:lpwstr>http://www.nevo.co.il/law/70301/335.a.2</vt:lpwstr>
      </vt:variant>
      <vt:variant>
        <vt:lpwstr/>
      </vt:variant>
      <vt:variant>
        <vt:i4>6684722</vt:i4>
      </vt:variant>
      <vt:variant>
        <vt:i4>81</vt:i4>
      </vt:variant>
      <vt:variant>
        <vt:i4>0</vt:i4>
      </vt:variant>
      <vt:variant>
        <vt:i4>5</vt:i4>
      </vt:variant>
      <vt:variant>
        <vt:lpwstr>http://www.nevo.co.il/law/70301/335.a.1</vt:lpwstr>
      </vt:variant>
      <vt:variant>
        <vt:lpwstr/>
      </vt:variant>
      <vt:variant>
        <vt:i4>6684774</vt:i4>
      </vt:variant>
      <vt:variant>
        <vt:i4>78</vt:i4>
      </vt:variant>
      <vt:variant>
        <vt:i4>0</vt:i4>
      </vt:variant>
      <vt:variant>
        <vt:i4>5</vt:i4>
      </vt:variant>
      <vt:variant>
        <vt:lpwstr>http://www.nevo.co.il/law/70301/334</vt:lpwstr>
      </vt:variant>
      <vt:variant>
        <vt:lpwstr/>
      </vt:variant>
      <vt:variant>
        <vt:i4>7077945</vt:i4>
      </vt:variant>
      <vt:variant>
        <vt:i4>75</vt:i4>
      </vt:variant>
      <vt:variant>
        <vt:i4>0</vt:i4>
      </vt:variant>
      <vt:variant>
        <vt:i4>5</vt:i4>
      </vt:variant>
      <vt:variant>
        <vt:lpwstr>http://www.nevo.co.il/law/70301/499.a.1</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4915283</vt:i4>
      </vt:variant>
      <vt:variant>
        <vt:i4>63</vt:i4>
      </vt:variant>
      <vt:variant>
        <vt:i4>0</vt:i4>
      </vt:variant>
      <vt:variant>
        <vt:i4>5</vt:i4>
      </vt:variant>
      <vt:variant>
        <vt:lpwstr>http://www.nevo.co.il/law/70301/402.b</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6291555</vt:i4>
      </vt:variant>
      <vt:variant>
        <vt:i4>54</vt:i4>
      </vt:variant>
      <vt:variant>
        <vt:i4>0</vt:i4>
      </vt:variant>
      <vt:variant>
        <vt:i4>5</vt:i4>
      </vt:variant>
      <vt:variant>
        <vt:lpwstr>http://www.nevo.co.il/law/75015/11d</vt:lpwstr>
      </vt:variant>
      <vt:variant>
        <vt:lpwstr/>
      </vt:variant>
      <vt:variant>
        <vt:i4>8257639</vt:i4>
      </vt:variant>
      <vt:variant>
        <vt:i4>51</vt:i4>
      </vt:variant>
      <vt:variant>
        <vt:i4>0</vt:i4>
      </vt:variant>
      <vt:variant>
        <vt:i4>5</vt:i4>
      </vt:variant>
      <vt:variant>
        <vt:lpwstr>http://www.nevo.co.il/law/75015</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4915283</vt:i4>
      </vt:variant>
      <vt:variant>
        <vt:i4>39</vt:i4>
      </vt:variant>
      <vt:variant>
        <vt:i4>0</vt:i4>
      </vt:variant>
      <vt:variant>
        <vt:i4>5</vt:i4>
      </vt:variant>
      <vt:variant>
        <vt:lpwstr>http://www.nevo.co.il/law/70301/402.b</vt:lpwstr>
      </vt:variant>
      <vt:variant>
        <vt:lpwstr/>
      </vt:variant>
      <vt:variant>
        <vt:i4>6684722</vt:i4>
      </vt:variant>
      <vt:variant>
        <vt:i4>36</vt:i4>
      </vt:variant>
      <vt:variant>
        <vt:i4>0</vt:i4>
      </vt:variant>
      <vt:variant>
        <vt:i4>5</vt:i4>
      </vt:variant>
      <vt:variant>
        <vt:lpwstr>http://www.nevo.co.il/law/70301/335.a.2</vt:lpwstr>
      </vt:variant>
      <vt:variant>
        <vt:lpwstr/>
      </vt:variant>
      <vt:variant>
        <vt:i4>6684722</vt:i4>
      </vt:variant>
      <vt:variant>
        <vt:i4>33</vt:i4>
      </vt:variant>
      <vt:variant>
        <vt:i4>0</vt:i4>
      </vt:variant>
      <vt:variant>
        <vt:i4>5</vt:i4>
      </vt:variant>
      <vt:variant>
        <vt:lpwstr>http://www.nevo.co.il/law/70301/335.a.1</vt:lpwstr>
      </vt:variant>
      <vt:variant>
        <vt:lpwstr/>
      </vt:variant>
      <vt:variant>
        <vt:i4>6684774</vt:i4>
      </vt:variant>
      <vt:variant>
        <vt:i4>30</vt:i4>
      </vt:variant>
      <vt:variant>
        <vt:i4>0</vt:i4>
      </vt:variant>
      <vt:variant>
        <vt:i4>5</vt:i4>
      </vt:variant>
      <vt:variant>
        <vt:lpwstr>http://www.nevo.co.il/law/70301/334</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4915208</vt:i4>
      </vt:variant>
      <vt:variant>
        <vt:i4>21</vt:i4>
      </vt:variant>
      <vt:variant>
        <vt:i4>0</vt:i4>
      </vt:variant>
      <vt:variant>
        <vt:i4>5</vt:i4>
      </vt:variant>
      <vt:variant>
        <vt:lpwstr>http://www.nevo.co.il/law/70301/40i.6</vt:lpwstr>
      </vt:variant>
      <vt:variant>
        <vt:lpwstr/>
      </vt:variant>
      <vt:variant>
        <vt:i4>4915208</vt:i4>
      </vt:variant>
      <vt:variant>
        <vt:i4>18</vt:i4>
      </vt:variant>
      <vt:variant>
        <vt:i4>0</vt:i4>
      </vt:variant>
      <vt:variant>
        <vt:i4>5</vt:i4>
      </vt:variant>
      <vt:variant>
        <vt:lpwstr>http://www.nevo.co.il/law/70301/40i.2</vt:lpwstr>
      </vt:variant>
      <vt:variant>
        <vt:lpwstr/>
      </vt:variant>
      <vt:variant>
        <vt:i4>4915205</vt:i4>
      </vt:variant>
      <vt:variant>
        <vt:i4>15</vt:i4>
      </vt:variant>
      <vt:variant>
        <vt:i4>0</vt:i4>
      </vt:variant>
      <vt:variant>
        <vt:i4>5</vt:i4>
      </vt:variant>
      <vt:variant>
        <vt:lpwstr>http://www.nevo.co.il/law/70301/40d.b</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2025-04-25T10:31:00Z</dcterms:created>
  <dcterms:modified xsi:type="dcterms:W3CDTF">2025-04-25T10:31:00Z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3670</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ראובן דנון;דוד נסים</vt:lpwstr>
  </property>
  <property fmtid="{D5CDD505-2E9C-101B-9397-08002B2CF9AE}" pid="10" name="LAWYER">
    <vt:lpwstr>דן כהן;אדלמן;קניג עטיה</vt:lpwstr>
  </property>
  <property fmtid="{D5CDD505-2E9C-101B-9397-08002B2CF9AE}" pid="11" name="JUDGE">
    <vt:lpwstr>מיכל ברנט</vt:lpwstr>
  </property>
  <property fmtid="{D5CDD505-2E9C-101B-9397-08002B2CF9AE}" pid="12" name="CITY">
    <vt:lpwstr>מרכז</vt:lpwstr>
  </property>
  <property fmtid="{D5CDD505-2E9C-101B-9397-08002B2CF9AE}" pid="13" name="DATE">
    <vt:lpwstr>20150312</vt:lpwstr>
  </property>
  <property fmtid="{D5CDD505-2E9C-101B-9397-08002B2CF9AE}" pid="14" name="TYPE_N_DATE">
    <vt:lpwstr>39020150312</vt:lpwstr>
  </property>
  <property fmtid="{D5CDD505-2E9C-101B-9397-08002B2CF9AE}" pid="15" name="CASESLISTTMP1">
    <vt:lpwstr>7791493;16913730:2;17905523:2;6157272:3;4035365;5826540;5591978;4261467;6846470;3878183;4095221;11206432:3;10442677;5942308;18653755;7802262;8291746;5585697;7977368;6025720;6173264;6824952;7697412;17924718;5995135;5581144</vt:lpwstr>
  </property>
  <property fmtid="{D5CDD505-2E9C-101B-9397-08002B2CF9AE}" pid="16" name="CASENOTES1">
    <vt:lpwstr>ProcID=209&amp;PartA=90074&amp;PartB=11&amp;PartC=09</vt:lpwstr>
  </property>
  <property fmtid="{D5CDD505-2E9C-101B-9397-08002B2CF9AE}" pid="17" name="CASENOTES2">
    <vt:lpwstr>ProcID=213&amp;PartA=12&amp;PartC=11</vt:lpwstr>
  </property>
  <property fmtid="{D5CDD505-2E9C-101B-9397-08002B2CF9AE}" pid="18" name="WORDNUMPAGES">
    <vt:lpwstr>26</vt:lpwstr>
  </property>
  <property fmtid="{D5CDD505-2E9C-101B-9397-08002B2CF9AE}" pid="19" name="TYPE_ABS_DATE">
    <vt:lpwstr>390020150312</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70301/144.a;402.b:3;029:4;144.b:2;499.a.1:2;334:2;335.a.1:2;335.a.2:2;040d.b:5;040d;040c;40jc;040i.2;040i.6;40jc.b;040d.a:4</vt:lpwstr>
  </property>
  <property fmtid="{D5CDD505-2E9C-101B-9397-08002B2CF9AE}" pid="39" name="LAWLISTTMP2">
    <vt:lpwstr>75015/011d</vt:lpwstr>
  </property>
</Properties>
</file>