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F25E70" w:rsidRPr="00CE2C31" w14:paraId="0A3D9A42" w14:textId="77777777">
        <w:trPr>
          <w:trHeight w:hRule="exact" w:val="418"/>
          <w:jc w:val="center"/>
        </w:trPr>
        <w:tc>
          <w:tcPr>
            <w:tcW w:w="8721" w:type="dxa"/>
            <w:gridSpan w:val="2"/>
          </w:tcPr>
          <w:p w14:paraId="002AEFC9" w14:textId="77777777" w:rsidR="00F25E70" w:rsidRPr="00CE2C31" w:rsidRDefault="00CE2C31">
            <w:pPr>
              <w:pStyle w:val="a3"/>
              <w:jc w:val="center"/>
              <w:rPr>
                <w:rFonts w:ascii="Tahoma" w:hAnsi="Tahoma" w:cs="Tahoma"/>
                <w:color w:val="000080"/>
                <w:rtl/>
              </w:rPr>
            </w:pPr>
            <w:bookmarkStart w:id="0" w:name="LastJudge"/>
            <w:r w:rsidRPr="00CE2C31">
              <w:rPr>
                <w:rFonts w:ascii="Tahoma" w:hAnsi="Tahoma" w:cs="Tahoma"/>
                <w:b/>
                <w:bCs/>
                <w:color w:val="000080"/>
                <w:rtl/>
              </w:rPr>
              <w:t>בית המשפט המחוזי בירושלים</w:t>
            </w:r>
          </w:p>
        </w:tc>
      </w:tr>
      <w:tr w:rsidR="00F25E70" w:rsidRPr="00CE2C31" w14:paraId="5B1CDAB3" w14:textId="77777777">
        <w:trPr>
          <w:trHeight w:val="337"/>
          <w:jc w:val="center"/>
        </w:trPr>
        <w:tc>
          <w:tcPr>
            <w:tcW w:w="5050" w:type="dxa"/>
          </w:tcPr>
          <w:p w14:paraId="78539E35" w14:textId="77777777" w:rsidR="00F25E70" w:rsidRPr="00CE2C31" w:rsidRDefault="00CE2C31">
            <w:pPr>
              <w:rPr>
                <w:rFonts w:cs="FrankRuehl"/>
                <w:sz w:val="28"/>
                <w:szCs w:val="28"/>
                <w:rtl/>
              </w:rPr>
            </w:pPr>
            <w:r w:rsidRPr="00CE2C31">
              <w:rPr>
                <w:rFonts w:cs="FrankRuehl"/>
                <w:sz w:val="28"/>
                <w:szCs w:val="28"/>
                <w:rtl/>
              </w:rPr>
              <w:t>ת"פ</w:t>
            </w:r>
            <w:r w:rsidRPr="00CE2C31">
              <w:rPr>
                <w:rFonts w:cs="FrankRuehl" w:hint="cs"/>
                <w:sz w:val="28"/>
                <w:szCs w:val="28"/>
                <w:rtl/>
              </w:rPr>
              <w:t xml:space="preserve"> </w:t>
            </w:r>
            <w:r w:rsidRPr="00CE2C31">
              <w:rPr>
                <w:rFonts w:cs="FrankRuehl"/>
                <w:sz w:val="28"/>
                <w:szCs w:val="28"/>
                <w:rtl/>
              </w:rPr>
              <w:t>53169-10-13</w:t>
            </w:r>
            <w:r w:rsidRPr="00CE2C31">
              <w:rPr>
                <w:rFonts w:cs="FrankRuehl" w:hint="cs"/>
                <w:sz w:val="28"/>
                <w:szCs w:val="28"/>
                <w:rtl/>
              </w:rPr>
              <w:t xml:space="preserve"> </w:t>
            </w:r>
            <w:r w:rsidRPr="00CE2C31">
              <w:rPr>
                <w:rFonts w:cs="FrankRuehl"/>
                <w:sz w:val="28"/>
                <w:szCs w:val="28"/>
                <w:rtl/>
              </w:rPr>
              <w:t>מדינת ישראל נ' עבדו אל רחמן</w:t>
            </w:r>
          </w:p>
          <w:p w14:paraId="3AE9435E" w14:textId="77777777" w:rsidR="00F25E70" w:rsidRPr="00CE2C31" w:rsidRDefault="00F25E70">
            <w:pPr>
              <w:pStyle w:val="a3"/>
              <w:rPr>
                <w:rtl/>
              </w:rPr>
            </w:pPr>
          </w:p>
          <w:p w14:paraId="21CA3BE6" w14:textId="77777777" w:rsidR="00F25E70" w:rsidRPr="00CE2C31" w:rsidRDefault="00F25E70">
            <w:pPr>
              <w:pStyle w:val="a3"/>
              <w:rPr>
                <w:rFonts w:cs="FrankRuehl"/>
                <w:sz w:val="28"/>
                <w:szCs w:val="28"/>
                <w:rtl/>
              </w:rPr>
            </w:pPr>
          </w:p>
        </w:tc>
        <w:tc>
          <w:tcPr>
            <w:tcW w:w="3671" w:type="dxa"/>
          </w:tcPr>
          <w:p w14:paraId="6668BCB8" w14:textId="77777777" w:rsidR="00F25E70" w:rsidRPr="00CE2C31" w:rsidRDefault="00CE2C31">
            <w:pPr>
              <w:pStyle w:val="a3"/>
              <w:jc w:val="right"/>
              <w:rPr>
                <w:rFonts w:cs="FrankRuehl"/>
                <w:sz w:val="28"/>
                <w:szCs w:val="28"/>
                <w:rtl/>
              </w:rPr>
            </w:pPr>
            <w:r w:rsidRPr="00CE2C31">
              <w:rPr>
                <w:rFonts w:cs="FrankRuehl"/>
                <w:sz w:val="28"/>
                <w:szCs w:val="28"/>
                <w:rtl/>
              </w:rPr>
              <w:t>13 יולי 2014</w:t>
            </w:r>
          </w:p>
        </w:tc>
      </w:tr>
    </w:tbl>
    <w:p w14:paraId="7CFEE887" w14:textId="77777777" w:rsidR="00F25E70" w:rsidRPr="00CE2C31" w:rsidRDefault="00CE2C31">
      <w:pPr>
        <w:pStyle w:val="a3"/>
        <w:rPr>
          <w:rtl/>
        </w:rPr>
      </w:pPr>
      <w:r w:rsidRPr="00CE2C31">
        <w:rPr>
          <w:rFonts w:hint="cs"/>
          <w:rtl/>
        </w:rPr>
        <w:t xml:space="preserve"> </w:t>
      </w:r>
    </w:p>
    <w:p w14:paraId="5A2B8BA3" w14:textId="77777777" w:rsidR="00F25E70" w:rsidRPr="00CE2C31" w:rsidRDefault="00CE2C31">
      <w:pPr>
        <w:pStyle w:val="a3"/>
      </w:pPr>
      <w:r w:rsidRPr="00CE2C31">
        <w:rPr>
          <w:rFonts w:cs="Times New Roman" w:hint="cs"/>
          <w:b/>
          <w:bCs/>
          <w:sz w:val="26"/>
          <w:szCs w:val="28"/>
          <w:rtl/>
        </w:rPr>
        <w:t xml:space="preserve"> </w:t>
      </w:r>
    </w:p>
    <w:p w14:paraId="5398CB26" w14:textId="77777777" w:rsidR="00F25E70" w:rsidRPr="00CE2C31" w:rsidRDefault="00F25E70">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25E70" w:rsidRPr="00CE2C31" w14:paraId="59EB5D9A" w14:textId="77777777">
        <w:trPr>
          <w:trHeight w:val="295"/>
          <w:jc w:val="center"/>
        </w:trPr>
        <w:tc>
          <w:tcPr>
            <w:tcW w:w="923" w:type="dxa"/>
            <w:tcBorders>
              <w:top w:val="nil"/>
              <w:left w:val="nil"/>
              <w:bottom w:val="nil"/>
              <w:right w:val="nil"/>
            </w:tcBorders>
          </w:tcPr>
          <w:p w14:paraId="27B64FF7" w14:textId="77777777" w:rsidR="00F25E70" w:rsidRPr="00CE2C31" w:rsidRDefault="00CE2C31">
            <w:pPr>
              <w:spacing w:line="360" w:lineRule="auto"/>
              <w:jc w:val="both"/>
              <w:rPr>
                <w:rFonts w:ascii="Arial" w:hAnsi="Arial"/>
              </w:rPr>
            </w:pPr>
            <w:r w:rsidRPr="00CE2C31">
              <w:rPr>
                <w:rFonts w:ascii="Arial" w:hAnsi="Arial" w:hint="cs"/>
                <w:rtl/>
              </w:rPr>
              <w:t>ב</w:t>
            </w:r>
            <w:r w:rsidRPr="00CE2C31">
              <w:rPr>
                <w:rFonts w:ascii="Arial" w:hAnsi="Arial"/>
                <w:rtl/>
              </w:rPr>
              <w:t>פני</w:t>
            </w:r>
            <w:r w:rsidRPr="00CE2C31">
              <w:rPr>
                <w:rFonts w:ascii="Arial" w:hAnsi="Arial" w:hint="cs"/>
                <w:rtl/>
              </w:rPr>
              <w:t>:</w:t>
            </w:r>
            <w:r w:rsidRPr="00CE2C31">
              <w:rPr>
                <w:rFonts w:ascii="Arial" w:hAnsi="Arial"/>
                <w:rtl/>
              </w:rPr>
              <w:t xml:space="preserve"> </w:t>
            </w:r>
          </w:p>
        </w:tc>
        <w:tc>
          <w:tcPr>
            <w:tcW w:w="7897" w:type="dxa"/>
            <w:gridSpan w:val="2"/>
            <w:tcBorders>
              <w:top w:val="nil"/>
              <w:left w:val="nil"/>
              <w:bottom w:val="nil"/>
              <w:right w:val="nil"/>
            </w:tcBorders>
          </w:tcPr>
          <w:p w14:paraId="1826846F" w14:textId="77777777" w:rsidR="00F25E70" w:rsidRPr="00CE2C31" w:rsidRDefault="00CE2C31">
            <w:pPr>
              <w:spacing w:line="360" w:lineRule="auto"/>
              <w:jc w:val="both"/>
              <w:rPr>
                <w:rFonts w:ascii="Arial" w:hAnsi="Arial"/>
                <w:b/>
                <w:bCs/>
                <w:rtl/>
              </w:rPr>
            </w:pPr>
            <w:r w:rsidRPr="00CE2C31">
              <w:rPr>
                <w:rFonts w:ascii="Arial" w:hAnsi="Arial" w:hint="cs"/>
                <w:b/>
                <w:bCs/>
                <w:rtl/>
              </w:rPr>
              <w:t>כב' ה</w:t>
            </w:r>
            <w:r w:rsidRPr="00CE2C31">
              <w:rPr>
                <w:rFonts w:ascii="Arial" w:hAnsi="Arial"/>
                <w:b/>
                <w:bCs/>
                <w:rtl/>
              </w:rPr>
              <w:t xml:space="preserve">שופט </w:t>
            </w:r>
            <w:bookmarkStart w:id="1" w:name="_GoBack"/>
            <w:bookmarkEnd w:id="1"/>
            <w:r w:rsidRPr="00CE2C31">
              <w:rPr>
                <w:rFonts w:ascii="Arial" w:hAnsi="Arial"/>
                <w:b/>
                <w:bCs/>
                <w:rtl/>
              </w:rPr>
              <w:t>בכיר</w:t>
            </w:r>
            <w:r w:rsidRPr="00CE2C31">
              <w:rPr>
                <w:rFonts w:ascii="Arial" w:hAnsi="Arial" w:hint="cs"/>
                <w:b/>
                <w:bCs/>
                <w:rtl/>
              </w:rPr>
              <w:t xml:space="preserve"> </w:t>
            </w:r>
            <w:r w:rsidRPr="00CE2C31">
              <w:rPr>
                <w:rFonts w:ascii="Arial" w:hAnsi="Arial"/>
                <w:b/>
                <w:bCs/>
                <w:rtl/>
              </w:rPr>
              <w:t>אמנון כהן</w:t>
            </w:r>
          </w:p>
          <w:p w14:paraId="18B357AA" w14:textId="77777777" w:rsidR="00F25E70" w:rsidRPr="00CE2C31" w:rsidRDefault="00F25E70">
            <w:pPr>
              <w:spacing w:line="360" w:lineRule="auto"/>
              <w:jc w:val="both"/>
              <w:rPr>
                <w:rFonts w:ascii="Arial" w:hAnsi="Arial"/>
                <w:b/>
                <w:bCs/>
                <w:rtl/>
              </w:rPr>
            </w:pPr>
          </w:p>
          <w:p w14:paraId="3336D738" w14:textId="77777777" w:rsidR="00F25E70" w:rsidRPr="00CE2C31" w:rsidRDefault="00F25E70">
            <w:pPr>
              <w:spacing w:line="360" w:lineRule="auto"/>
              <w:jc w:val="both"/>
              <w:rPr>
                <w:rFonts w:ascii="Arial" w:hAnsi="Arial"/>
              </w:rPr>
            </w:pPr>
          </w:p>
        </w:tc>
      </w:tr>
      <w:tr w:rsidR="00F25E70" w:rsidRPr="00CE2C31" w14:paraId="226DAD82" w14:textId="77777777">
        <w:trPr>
          <w:trHeight w:val="355"/>
          <w:jc w:val="center"/>
        </w:trPr>
        <w:tc>
          <w:tcPr>
            <w:tcW w:w="923" w:type="dxa"/>
            <w:tcBorders>
              <w:top w:val="nil"/>
              <w:left w:val="nil"/>
              <w:bottom w:val="nil"/>
              <w:right w:val="nil"/>
            </w:tcBorders>
          </w:tcPr>
          <w:p w14:paraId="3572CA1E" w14:textId="77777777" w:rsidR="00F25E70" w:rsidRPr="00CE2C31" w:rsidRDefault="00F25E70">
            <w:pPr>
              <w:spacing w:line="360" w:lineRule="auto"/>
              <w:jc w:val="both"/>
              <w:rPr>
                <w:rFonts w:ascii="Arial" w:hAnsi="Arial"/>
                <w:rtl/>
              </w:rPr>
            </w:pPr>
            <w:bookmarkStart w:id="2" w:name="FirstAppellant"/>
          </w:p>
          <w:p w14:paraId="0FC0AD54" w14:textId="77777777" w:rsidR="00F25E70" w:rsidRPr="00CE2C31" w:rsidRDefault="00CE2C31">
            <w:pPr>
              <w:spacing w:line="360" w:lineRule="auto"/>
              <w:jc w:val="both"/>
              <w:rPr>
                <w:rFonts w:ascii="Arial" w:hAnsi="Arial"/>
              </w:rPr>
            </w:pPr>
            <w:r w:rsidRPr="00CE2C31">
              <w:rPr>
                <w:rFonts w:ascii="Arial" w:hAnsi="Arial" w:hint="cs"/>
                <w:rtl/>
              </w:rPr>
              <w:t>בעניין:</w:t>
            </w:r>
          </w:p>
        </w:tc>
        <w:tc>
          <w:tcPr>
            <w:tcW w:w="4126" w:type="dxa"/>
            <w:tcBorders>
              <w:top w:val="nil"/>
              <w:left w:val="nil"/>
              <w:bottom w:val="nil"/>
              <w:right w:val="nil"/>
            </w:tcBorders>
          </w:tcPr>
          <w:p w14:paraId="6DC62D7B" w14:textId="77777777" w:rsidR="00F25E70" w:rsidRPr="00CE2C31" w:rsidRDefault="00F25E70">
            <w:pPr>
              <w:spacing w:line="360" w:lineRule="auto"/>
              <w:jc w:val="both"/>
              <w:rPr>
                <w:rFonts w:ascii="Arial" w:hAnsi="Arial"/>
                <w:rtl/>
              </w:rPr>
            </w:pPr>
          </w:p>
          <w:p w14:paraId="66CBA9D6" w14:textId="77777777" w:rsidR="00F25E70" w:rsidRPr="00CE2C31" w:rsidRDefault="00CE2C31">
            <w:pPr>
              <w:spacing w:line="360" w:lineRule="auto"/>
              <w:jc w:val="both"/>
            </w:pPr>
            <w:r w:rsidRPr="00CE2C31">
              <w:rPr>
                <w:rFonts w:ascii="Arial" w:hAnsi="Arial"/>
                <w:rtl/>
              </w:rPr>
              <w:t>מדינת ישראל</w:t>
            </w:r>
          </w:p>
          <w:p w14:paraId="2E3F7526" w14:textId="77777777" w:rsidR="00F25E70" w:rsidRPr="00CE2C31" w:rsidRDefault="00F25E70">
            <w:pPr>
              <w:spacing w:line="360" w:lineRule="auto"/>
              <w:jc w:val="both"/>
              <w:rPr>
                <w:rFonts w:ascii="Arial" w:hAnsi="Arial"/>
              </w:rPr>
            </w:pPr>
          </w:p>
        </w:tc>
        <w:tc>
          <w:tcPr>
            <w:tcW w:w="3771" w:type="dxa"/>
            <w:tcBorders>
              <w:top w:val="nil"/>
              <w:left w:val="nil"/>
              <w:bottom w:val="nil"/>
              <w:right w:val="nil"/>
            </w:tcBorders>
          </w:tcPr>
          <w:p w14:paraId="537DF6B0" w14:textId="77777777" w:rsidR="00F25E70" w:rsidRPr="00CE2C31" w:rsidRDefault="00F25E70">
            <w:pPr>
              <w:spacing w:line="360" w:lineRule="auto"/>
              <w:jc w:val="both"/>
              <w:rPr>
                <w:rFonts w:ascii="Arial" w:hAnsi="Arial"/>
              </w:rPr>
            </w:pPr>
          </w:p>
        </w:tc>
      </w:tr>
      <w:bookmarkEnd w:id="2"/>
      <w:tr w:rsidR="00F25E70" w:rsidRPr="00CE2C31" w14:paraId="5A72422C" w14:textId="77777777">
        <w:trPr>
          <w:trHeight w:val="355"/>
          <w:jc w:val="center"/>
        </w:trPr>
        <w:tc>
          <w:tcPr>
            <w:tcW w:w="923" w:type="dxa"/>
            <w:tcBorders>
              <w:top w:val="nil"/>
              <w:left w:val="nil"/>
              <w:bottom w:val="nil"/>
              <w:right w:val="nil"/>
            </w:tcBorders>
          </w:tcPr>
          <w:p w14:paraId="64A61975"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532B9769" w14:textId="77777777" w:rsidR="00F25E70" w:rsidRPr="00CE2C31" w:rsidRDefault="00F25E70">
            <w:pPr>
              <w:spacing w:line="360" w:lineRule="auto"/>
              <w:jc w:val="both"/>
              <w:rPr>
                <w:rtl/>
              </w:rPr>
            </w:pPr>
          </w:p>
        </w:tc>
        <w:tc>
          <w:tcPr>
            <w:tcW w:w="3771" w:type="dxa"/>
            <w:tcBorders>
              <w:top w:val="nil"/>
              <w:left w:val="nil"/>
              <w:bottom w:val="nil"/>
              <w:right w:val="nil"/>
            </w:tcBorders>
          </w:tcPr>
          <w:p w14:paraId="4A5C854A" w14:textId="77777777" w:rsidR="00F25E70" w:rsidRPr="00CE2C31" w:rsidRDefault="00CE2C31">
            <w:pPr>
              <w:spacing w:line="360" w:lineRule="auto"/>
              <w:jc w:val="both"/>
              <w:rPr>
                <w:rFonts w:ascii="Arial" w:hAnsi="Arial"/>
                <w:b/>
                <w:bCs/>
                <w:rtl/>
              </w:rPr>
            </w:pPr>
            <w:r w:rsidRPr="00CE2C31">
              <w:rPr>
                <w:rFonts w:ascii="Arial" w:hAnsi="Arial" w:hint="cs"/>
                <w:b/>
                <w:bCs/>
                <w:rtl/>
              </w:rPr>
              <w:t>ה</w:t>
            </w:r>
            <w:r w:rsidRPr="00CE2C31">
              <w:rPr>
                <w:rFonts w:ascii="Arial" w:hAnsi="Arial"/>
                <w:b/>
                <w:bCs/>
                <w:rtl/>
              </w:rPr>
              <w:t>מאשימה</w:t>
            </w:r>
          </w:p>
        </w:tc>
      </w:tr>
      <w:tr w:rsidR="00F25E70" w:rsidRPr="00CE2C31" w14:paraId="037551E6" w14:textId="77777777">
        <w:trPr>
          <w:trHeight w:val="355"/>
          <w:jc w:val="center"/>
        </w:trPr>
        <w:tc>
          <w:tcPr>
            <w:tcW w:w="923" w:type="dxa"/>
            <w:tcBorders>
              <w:top w:val="nil"/>
              <w:left w:val="nil"/>
              <w:bottom w:val="nil"/>
              <w:right w:val="nil"/>
            </w:tcBorders>
          </w:tcPr>
          <w:p w14:paraId="6C61671A" w14:textId="77777777" w:rsidR="00F25E70" w:rsidRPr="00CE2C31" w:rsidRDefault="00F25E70">
            <w:pPr>
              <w:spacing w:line="360" w:lineRule="auto"/>
              <w:jc w:val="both"/>
              <w:rPr>
                <w:rFonts w:ascii="Arial" w:hAnsi="Arial"/>
                <w:rtl/>
              </w:rPr>
            </w:pPr>
          </w:p>
        </w:tc>
        <w:tc>
          <w:tcPr>
            <w:tcW w:w="7897" w:type="dxa"/>
            <w:gridSpan w:val="2"/>
            <w:tcBorders>
              <w:top w:val="nil"/>
              <w:left w:val="nil"/>
              <w:bottom w:val="nil"/>
              <w:right w:val="nil"/>
            </w:tcBorders>
          </w:tcPr>
          <w:p w14:paraId="6FBD3778" w14:textId="77777777" w:rsidR="00F25E70" w:rsidRPr="00CE2C31" w:rsidRDefault="00CE2C31">
            <w:pPr>
              <w:spacing w:line="360" w:lineRule="auto"/>
              <w:rPr>
                <w:rFonts w:ascii="Arial" w:hAnsi="Arial"/>
                <w:b/>
                <w:bCs/>
                <w:sz w:val="28"/>
                <w:szCs w:val="28"/>
                <w:rtl/>
              </w:rPr>
            </w:pPr>
            <w:r w:rsidRPr="00CE2C31">
              <w:rPr>
                <w:rFonts w:ascii="Arial" w:hAnsi="Arial" w:hint="cs"/>
                <w:b/>
                <w:bCs/>
                <w:rtl/>
              </w:rPr>
              <w:t xml:space="preserve">                                             </w:t>
            </w:r>
            <w:r w:rsidRPr="00CE2C31">
              <w:rPr>
                <w:rFonts w:ascii="Arial" w:hAnsi="Arial"/>
                <w:b/>
                <w:bCs/>
                <w:sz w:val="28"/>
                <w:szCs w:val="28"/>
                <w:rtl/>
              </w:rPr>
              <w:t>נ</w:t>
            </w:r>
            <w:r w:rsidRPr="00CE2C31">
              <w:rPr>
                <w:rFonts w:ascii="Arial" w:hAnsi="Arial" w:hint="cs"/>
                <w:b/>
                <w:bCs/>
                <w:sz w:val="28"/>
                <w:szCs w:val="28"/>
                <w:rtl/>
              </w:rPr>
              <w:t xml:space="preserve"> </w:t>
            </w:r>
            <w:r w:rsidRPr="00CE2C31">
              <w:rPr>
                <w:rFonts w:ascii="Arial" w:hAnsi="Arial"/>
                <w:b/>
                <w:bCs/>
                <w:sz w:val="28"/>
                <w:szCs w:val="28"/>
                <w:rtl/>
              </w:rPr>
              <w:t>ג</w:t>
            </w:r>
            <w:r w:rsidRPr="00CE2C31">
              <w:rPr>
                <w:rFonts w:ascii="Arial" w:hAnsi="Arial" w:hint="cs"/>
                <w:b/>
                <w:bCs/>
                <w:sz w:val="28"/>
                <w:szCs w:val="28"/>
                <w:rtl/>
              </w:rPr>
              <w:t xml:space="preserve"> </w:t>
            </w:r>
            <w:r w:rsidRPr="00CE2C31">
              <w:rPr>
                <w:rFonts w:ascii="Arial" w:hAnsi="Arial"/>
                <w:b/>
                <w:bCs/>
                <w:sz w:val="28"/>
                <w:szCs w:val="28"/>
                <w:rtl/>
              </w:rPr>
              <w:t>ד</w:t>
            </w:r>
          </w:p>
          <w:p w14:paraId="4905ED81" w14:textId="77777777" w:rsidR="00F25E70" w:rsidRPr="00CE2C31" w:rsidRDefault="00F25E70">
            <w:pPr>
              <w:spacing w:line="360" w:lineRule="auto"/>
              <w:jc w:val="both"/>
              <w:rPr>
                <w:rFonts w:ascii="Arial" w:hAnsi="Arial"/>
              </w:rPr>
            </w:pPr>
          </w:p>
        </w:tc>
      </w:tr>
      <w:tr w:rsidR="00F25E70" w:rsidRPr="00CE2C31" w14:paraId="58DFAED5" w14:textId="77777777">
        <w:trPr>
          <w:trHeight w:val="355"/>
          <w:jc w:val="center"/>
        </w:trPr>
        <w:tc>
          <w:tcPr>
            <w:tcW w:w="923" w:type="dxa"/>
            <w:tcBorders>
              <w:top w:val="nil"/>
              <w:left w:val="nil"/>
              <w:bottom w:val="nil"/>
              <w:right w:val="nil"/>
            </w:tcBorders>
          </w:tcPr>
          <w:p w14:paraId="46D38479"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3B8DFE55" w14:textId="77777777" w:rsidR="00F25E70" w:rsidRPr="00CE2C31" w:rsidRDefault="00CE2C31">
            <w:pPr>
              <w:spacing w:line="360" w:lineRule="auto"/>
              <w:jc w:val="both"/>
              <w:rPr>
                <w:rtl/>
              </w:rPr>
            </w:pPr>
            <w:r w:rsidRPr="00CE2C31">
              <w:rPr>
                <w:rFonts w:ascii="Arial" w:hAnsi="Arial"/>
                <w:rtl/>
              </w:rPr>
              <w:t>מוחמד עבדו אל רחמן</w:t>
            </w:r>
          </w:p>
        </w:tc>
        <w:tc>
          <w:tcPr>
            <w:tcW w:w="3771" w:type="dxa"/>
            <w:tcBorders>
              <w:top w:val="nil"/>
              <w:left w:val="nil"/>
              <w:bottom w:val="nil"/>
              <w:right w:val="nil"/>
            </w:tcBorders>
          </w:tcPr>
          <w:p w14:paraId="5162DDB1" w14:textId="77777777" w:rsidR="00F25E70" w:rsidRPr="00CE2C31" w:rsidRDefault="00F25E70">
            <w:pPr>
              <w:spacing w:line="360" w:lineRule="auto"/>
              <w:jc w:val="both"/>
              <w:rPr>
                <w:rFonts w:ascii="Arial" w:hAnsi="Arial"/>
              </w:rPr>
            </w:pPr>
          </w:p>
        </w:tc>
      </w:tr>
      <w:tr w:rsidR="00F25E70" w:rsidRPr="00CE2C31" w14:paraId="3A3AD122" w14:textId="77777777">
        <w:trPr>
          <w:trHeight w:val="355"/>
          <w:jc w:val="center"/>
        </w:trPr>
        <w:tc>
          <w:tcPr>
            <w:tcW w:w="923" w:type="dxa"/>
            <w:tcBorders>
              <w:top w:val="nil"/>
              <w:left w:val="nil"/>
              <w:bottom w:val="nil"/>
              <w:right w:val="nil"/>
            </w:tcBorders>
          </w:tcPr>
          <w:p w14:paraId="184311ED"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60135DD4" w14:textId="77777777" w:rsidR="00F25E70" w:rsidRPr="00CE2C31" w:rsidRDefault="00F25E70">
            <w:pPr>
              <w:spacing w:line="360" w:lineRule="auto"/>
              <w:jc w:val="both"/>
              <w:rPr>
                <w:rtl/>
              </w:rPr>
            </w:pPr>
          </w:p>
        </w:tc>
        <w:tc>
          <w:tcPr>
            <w:tcW w:w="3771" w:type="dxa"/>
            <w:tcBorders>
              <w:top w:val="nil"/>
              <w:left w:val="nil"/>
              <w:bottom w:val="nil"/>
              <w:right w:val="nil"/>
            </w:tcBorders>
          </w:tcPr>
          <w:p w14:paraId="620378B6" w14:textId="77777777" w:rsidR="00F25E70" w:rsidRPr="00CE2C31" w:rsidRDefault="00CE2C31">
            <w:pPr>
              <w:spacing w:line="360" w:lineRule="auto"/>
              <w:jc w:val="both"/>
              <w:rPr>
                <w:rFonts w:ascii="Arial" w:hAnsi="Arial"/>
                <w:b/>
                <w:bCs/>
              </w:rPr>
            </w:pPr>
            <w:r w:rsidRPr="00CE2C31">
              <w:rPr>
                <w:rFonts w:ascii="Arial" w:hAnsi="Arial" w:hint="cs"/>
                <w:b/>
                <w:bCs/>
                <w:rtl/>
              </w:rPr>
              <w:t>ה</w:t>
            </w:r>
            <w:r w:rsidRPr="00CE2C31">
              <w:rPr>
                <w:rFonts w:ascii="Arial" w:hAnsi="Arial"/>
                <w:b/>
                <w:bCs/>
                <w:rtl/>
              </w:rPr>
              <w:t>נאשם</w:t>
            </w:r>
          </w:p>
        </w:tc>
      </w:tr>
      <w:tr w:rsidR="00F25E70" w14:paraId="023C8CE9" w14:textId="77777777">
        <w:trPr>
          <w:trHeight w:val="355"/>
          <w:jc w:val="center"/>
        </w:trPr>
        <w:tc>
          <w:tcPr>
            <w:tcW w:w="8820" w:type="dxa"/>
            <w:gridSpan w:val="3"/>
            <w:tcBorders>
              <w:top w:val="nil"/>
              <w:left w:val="nil"/>
              <w:bottom w:val="nil"/>
              <w:right w:val="nil"/>
            </w:tcBorders>
          </w:tcPr>
          <w:p w14:paraId="7D75D838" w14:textId="77777777" w:rsidR="005F6ED0" w:rsidRPr="005F6ED0" w:rsidRDefault="005F6ED0" w:rsidP="005F6ED0">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4"/>
          </w:p>
          <w:p w14:paraId="2CF4D880" w14:textId="77777777" w:rsidR="005F6ED0" w:rsidRPr="005F6ED0" w:rsidRDefault="005F6ED0" w:rsidP="005F6ED0">
            <w:pPr>
              <w:spacing w:after="120" w:line="240" w:lineRule="exact"/>
              <w:ind w:left="283" w:hanging="283"/>
              <w:jc w:val="both"/>
              <w:rPr>
                <w:rFonts w:ascii="FrankRuehl" w:hAnsi="FrankRuehl" w:cs="FrankRuehl"/>
                <w:rtl/>
              </w:rPr>
            </w:pPr>
            <w:r w:rsidRPr="005F6ED0">
              <w:rPr>
                <w:rFonts w:ascii="FrankRuehl" w:hAnsi="FrankRuehl" w:cs="FrankRuehl"/>
                <w:rtl/>
              </w:rPr>
              <w:t xml:space="preserve">חקיקה שאוזכרה: </w:t>
            </w:r>
          </w:p>
          <w:p w14:paraId="48227F97" w14:textId="77777777" w:rsidR="005F6ED0" w:rsidRPr="005F6ED0" w:rsidRDefault="005F6ED0" w:rsidP="005F6ED0">
            <w:pPr>
              <w:spacing w:after="120" w:line="240" w:lineRule="exact"/>
              <w:ind w:left="283" w:hanging="283"/>
              <w:jc w:val="both"/>
              <w:rPr>
                <w:rFonts w:ascii="FrankRuehl" w:hAnsi="FrankRuehl" w:cs="FrankRuehl"/>
                <w:rtl/>
              </w:rPr>
            </w:pPr>
            <w:hyperlink r:id="rId6" w:history="1">
              <w:r w:rsidRPr="005F6ED0">
                <w:rPr>
                  <w:rFonts w:ascii="FrankRuehl" w:hAnsi="FrankRuehl" w:cs="FrankRuehl"/>
                  <w:color w:val="0000FF"/>
                  <w:u w:val="single"/>
                  <w:rtl/>
                </w:rPr>
                <w:t>חוק העונשין, תשל"ז-1977</w:t>
              </w:r>
            </w:hyperlink>
            <w:r w:rsidRPr="005F6ED0">
              <w:rPr>
                <w:rFonts w:ascii="FrankRuehl" w:hAnsi="FrankRuehl" w:cs="FrankRuehl"/>
                <w:rtl/>
              </w:rPr>
              <w:t xml:space="preserve">: סע'  </w:t>
            </w:r>
            <w:hyperlink r:id="rId7" w:history="1">
              <w:r w:rsidRPr="005F6ED0">
                <w:rPr>
                  <w:rFonts w:ascii="FrankRuehl" w:hAnsi="FrankRuehl" w:cs="FrankRuehl"/>
                  <w:color w:val="0000FF"/>
                  <w:u w:val="single"/>
                  <w:rtl/>
                </w:rPr>
                <w:t>144</w:t>
              </w:r>
            </w:hyperlink>
            <w:r w:rsidRPr="005F6ED0">
              <w:rPr>
                <w:rFonts w:ascii="FrankRuehl" w:hAnsi="FrankRuehl" w:cs="FrankRuehl"/>
                <w:rtl/>
              </w:rPr>
              <w:t xml:space="preserve">, </w:t>
            </w:r>
            <w:hyperlink r:id="rId8" w:history="1">
              <w:r w:rsidRPr="005F6ED0">
                <w:rPr>
                  <w:rFonts w:ascii="FrankRuehl" w:hAnsi="FrankRuehl" w:cs="FrankRuehl"/>
                  <w:color w:val="0000FF"/>
                  <w:u w:val="single"/>
                  <w:rtl/>
                </w:rPr>
                <w:t>144(ב)</w:t>
              </w:r>
            </w:hyperlink>
          </w:p>
          <w:p w14:paraId="6E859C91" w14:textId="77777777" w:rsidR="005F6ED0" w:rsidRPr="005F6ED0" w:rsidRDefault="005F6ED0" w:rsidP="005F6ED0">
            <w:pPr>
              <w:spacing w:after="120" w:line="240" w:lineRule="exact"/>
              <w:ind w:left="283" w:hanging="283"/>
              <w:jc w:val="both"/>
              <w:rPr>
                <w:rFonts w:ascii="FrankRuehl" w:hAnsi="FrankRuehl" w:cs="FrankRuehl"/>
                <w:rtl/>
              </w:rPr>
            </w:pPr>
          </w:p>
          <w:p w14:paraId="16D46947" w14:textId="77777777" w:rsidR="00CE2C31" w:rsidRPr="00CE2C31" w:rsidRDefault="00CE2C31" w:rsidP="00CE2C31">
            <w:pPr>
              <w:spacing w:line="360" w:lineRule="auto"/>
              <w:jc w:val="center"/>
              <w:rPr>
                <w:rFonts w:ascii="Arial" w:hAnsi="Arial"/>
                <w:b/>
                <w:bCs/>
                <w:sz w:val="30"/>
                <w:szCs w:val="30"/>
                <w:u w:val="single"/>
                <w:rtl/>
              </w:rPr>
            </w:pPr>
            <w:bookmarkStart w:id="5" w:name="LawTable_End"/>
            <w:bookmarkEnd w:id="5"/>
            <w:r w:rsidRPr="00CE2C31">
              <w:rPr>
                <w:rFonts w:ascii="Arial" w:hAnsi="Arial"/>
                <w:b/>
                <w:bCs/>
                <w:sz w:val="30"/>
                <w:szCs w:val="30"/>
                <w:u w:val="single"/>
                <w:rtl/>
              </w:rPr>
              <w:t>גזר דין</w:t>
            </w:r>
          </w:p>
          <w:p w14:paraId="6DD79358" w14:textId="77777777" w:rsidR="00F25E70" w:rsidRPr="00CE2C31" w:rsidRDefault="00F25E70" w:rsidP="00CE2C31">
            <w:pPr>
              <w:spacing w:line="360" w:lineRule="auto"/>
              <w:jc w:val="center"/>
              <w:rPr>
                <w:rFonts w:ascii="Arial" w:hAnsi="Arial"/>
                <w:bCs/>
                <w:sz w:val="30"/>
                <w:szCs w:val="30"/>
                <w:u w:val="single"/>
                <w:rtl/>
              </w:rPr>
            </w:pPr>
          </w:p>
        </w:tc>
      </w:tr>
      <w:bookmarkEnd w:id="3"/>
    </w:tbl>
    <w:p w14:paraId="67F67686" w14:textId="77777777" w:rsidR="00F25E70" w:rsidRDefault="00F25E70">
      <w:pPr>
        <w:spacing w:line="360" w:lineRule="auto"/>
        <w:jc w:val="both"/>
        <w:rPr>
          <w:rFonts w:ascii="Arial" w:hAnsi="Arial"/>
          <w:rtl/>
        </w:rPr>
      </w:pPr>
    </w:p>
    <w:p w14:paraId="752DCF24" w14:textId="77777777" w:rsidR="00F25E70" w:rsidRDefault="00F25E70">
      <w:pPr>
        <w:spacing w:line="360" w:lineRule="auto"/>
        <w:jc w:val="both"/>
        <w:rPr>
          <w:rFonts w:ascii="Arial" w:hAnsi="Arial"/>
          <w:rtl/>
        </w:rPr>
      </w:pPr>
    </w:p>
    <w:p w14:paraId="79708E76" w14:textId="77777777" w:rsidR="00F25E70" w:rsidRDefault="00CE2C31">
      <w:pPr>
        <w:spacing w:line="360" w:lineRule="auto"/>
        <w:jc w:val="both"/>
        <w:rPr>
          <w:rtl/>
        </w:rPr>
      </w:pPr>
      <w:bookmarkStart w:id="6" w:name="ABSTRACT_START"/>
      <w:bookmarkEnd w:id="6"/>
      <w:r>
        <w:rPr>
          <w:rFonts w:hint="cs"/>
          <w:rtl/>
        </w:rPr>
        <w:t xml:space="preserve">ביום 29.1.14 הרשעתי את הנאשם על פי הודאתו ובמסגרת הסדר טיעון, בכתב אישום מתוקן בעבירה של נשיאת נשק בניגוד </w:t>
      </w:r>
      <w:hyperlink r:id="rId9" w:history="1">
        <w:r w:rsidR="005F6ED0" w:rsidRPr="005F6ED0">
          <w:rPr>
            <w:color w:val="0000FF"/>
            <w:u w:val="single"/>
            <w:rtl/>
          </w:rPr>
          <w:t>לסעיף 144(ב)</w:t>
        </w:r>
      </w:hyperlink>
      <w:r>
        <w:rPr>
          <w:rFonts w:hint="cs"/>
          <w:rtl/>
        </w:rPr>
        <w:t xml:space="preserve"> ל</w:t>
      </w:r>
      <w:hyperlink r:id="rId10" w:history="1">
        <w:r w:rsidRPr="00CE2C31">
          <w:rPr>
            <w:color w:val="0000FF"/>
            <w:u w:val="single"/>
            <w:rtl/>
          </w:rPr>
          <w:t>חוק העונשין</w:t>
        </w:r>
      </w:hyperlink>
      <w:r>
        <w:rPr>
          <w:rFonts w:hint="cs"/>
          <w:rtl/>
        </w:rPr>
        <w:t xml:space="preserve">. </w:t>
      </w:r>
    </w:p>
    <w:p w14:paraId="6E1644C4" w14:textId="77777777" w:rsidR="00F25E70" w:rsidRDefault="00F25E70">
      <w:pPr>
        <w:spacing w:line="360" w:lineRule="auto"/>
        <w:jc w:val="both"/>
        <w:rPr>
          <w:rtl/>
        </w:rPr>
      </w:pPr>
      <w:bookmarkStart w:id="7" w:name="ABSTRACT_END"/>
      <w:bookmarkEnd w:id="7"/>
    </w:p>
    <w:p w14:paraId="675915CD" w14:textId="77777777" w:rsidR="00F25E70" w:rsidRDefault="00CE2C31">
      <w:pPr>
        <w:spacing w:line="360" w:lineRule="auto"/>
        <w:jc w:val="both"/>
        <w:rPr>
          <w:rtl/>
        </w:rPr>
      </w:pPr>
      <w:r>
        <w:rPr>
          <w:rFonts w:hint="cs"/>
          <w:rtl/>
        </w:rPr>
        <w:t>הנאשם הודה, כי נשא אקדח הטעון במחסנית ריקה ובכיסו האחורי נמצאו 2 כדורים התואמים לאקדח. כמו כן, הודה הנאשם, כי החזיק מתחת לכיסא הנהג שברכבו שקית ובה 17 כדורי אקדח ומחסנית לאקדח.</w:t>
      </w:r>
    </w:p>
    <w:p w14:paraId="5FA64A63" w14:textId="77777777" w:rsidR="00F25E70" w:rsidRDefault="00F25E70">
      <w:pPr>
        <w:spacing w:line="360" w:lineRule="auto"/>
        <w:jc w:val="both"/>
        <w:rPr>
          <w:rtl/>
        </w:rPr>
      </w:pPr>
    </w:p>
    <w:p w14:paraId="0980ADE8" w14:textId="77777777" w:rsidR="00F25E70" w:rsidRDefault="00CE2C31">
      <w:pPr>
        <w:spacing w:line="360" w:lineRule="auto"/>
        <w:jc w:val="both"/>
        <w:rPr>
          <w:rtl/>
        </w:rPr>
      </w:pPr>
      <w:r>
        <w:rPr>
          <w:rFonts w:hint="cs"/>
          <w:rtl/>
        </w:rPr>
        <w:t xml:space="preserve">בנוסף, הודה הנאשם, כי זמן מה קודם לכן, ירה בנשק כ- 15 יריות לכיוון שאינו ידוע למאשימה. </w:t>
      </w:r>
    </w:p>
    <w:p w14:paraId="289C4D03" w14:textId="77777777" w:rsidR="00F25E70" w:rsidRDefault="00F25E70">
      <w:pPr>
        <w:spacing w:line="360" w:lineRule="auto"/>
        <w:jc w:val="both"/>
        <w:rPr>
          <w:rtl/>
        </w:rPr>
      </w:pPr>
    </w:p>
    <w:p w14:paraId="0F433A9E" w14:textId="77777777" w:rsidR="00F25E70" w:rsidRDefault="00CE2C31">
      <w:pPr>
        <w:spacing w:line="360" w:lineRule="auto"/>
        <w:jc w:val="both"/>
        <w:rPr>
          <w:rtl/>
        </w:rPr>
      </w:pPr>
      <w:r>
        <w:rPr>
          <w:rFonts w:hint="cs"/>
          <w:rtl/>
        </w:rPr>
        <w:lastRenderedPageBreak/>
        <w:t xml:space="preserve">בעת הצגת הסדר הטיעון, הודיעה התביעה, כי היא עומדת על הרשעה וכי היא מסכימה להגשת תסקיר (בכל מקרה מדובר בתסקיר חובה). </w:t>
      </w:r>
    </w:p>
    <w:p w14:paraId="212C80AA" w14:textId="77777777" w:rsidR="00F25E70" w:rsidRDefault="00F25E70">
      <w:pPr>
        <w:spacing w:line="360" w:lineRule="auto"/>
        <w:jc w:val="both"/>
        <w:rPr>
          <w:rtl/>
        </w:rPr>
      </w:pPr>
    </w:p>
    <w:p w14:paraId="4350B540" w14:textId="77777777" w:rsidR="00F25E70" w:rsidRDefault="00CE2C31">
      <w:pPr>
        <w:spacing w:line="360" w:lineRule="auto"/>
        <w:jc w:val="both"/>
        <w:rPr>
          <w:rtl/>
        </w:rPr>
      </w:pPr>
      <w:r>
        <w:rPr>
          <w:rFonts w:hint="cs"/>
          <w:rtl/>
        </w:rPr>
        <w:t xml:space="preserve">ב"כ הנאשם הודיע בעת הצגת הסדר הטיעון, כי הוסכם ש "המאשימה תשקול עמדתה לאחר קבלת התסקיר" והודיע, כי יבקש לבטל את הרשעת הנאשם. בנוסף טען, (והתביעה הודיעה כי לא תסתור טענות אלה), כי נודע לנאשם מנערים בכפר אבו-גוש על הימצאותו של אקדח המוחבא במקום כלשהו, וכי הנאשם מצא את האקדח וכי לא הייתה לו כוונה לעשות שימוש באקדח וכי מדובר ב "מעשה שהיה מתוך סקרנות של נער בן 19". </w:t>
      </w:r>
    </w:p>
    <w:p w14:paraId="0A463AA2" w14:textId="77777777" w:rsidR="00F25E70" w:rsidRDefault="00F25E70">
      <w:pPr>
        <w:spacing w:line="360" w:lineRule="auto"/>
        <w:jc w:val="both"/>
        <w:rPr>
          <w:rtl/>
        </w:rPr>
      </w:pPr>
    </w:p>
    <w:p w14:paraId="43441F49" w14:textId="77777777" w:rsidR="00F25E70" w:rsidRDefault="00CE2C31">
      <w:pPr>
        <w:spacing w:line="360" w:lineRule="auto"/>
        <w:jc w:val="both"/>
        <w:rPr>
          <w:rtl/>
        </w:rPr>
      </w:pPr>
      <w:r>
        <w:rPr>
          <w:rFonts w:hint="cs"/>
          <w:rtl/>
        </w:rPr>
        <w:t>בתסקיר שהוגש לבית המשפט הודגש, כי הוריו של הנאשם התגרשו, עובדה שגרמה למציאות חיים מורכבת ולחסכים רגשיים של הנאשם.</w:t>
      </w:r>
    </w:p>
    <w:p w14:paraId="27710378" w14:textId="77777777" w:rsidR="00F25E70" w:rsidRDefault="00F25E70">
      <w:pPr>
        <w:spacing w:line="360" w:lineRule="auto"/>
        <w:jc w:val="both"/>
        <w:rPr>
          <w:rtl/>
        </w:rPr>
      </w:pPr>
    </w:p>
    <w:p w14:paraId="359EE52A" w14:textId="77777777" w:rsidR="00F25E70" w:rsidRDefault="00CE2C31">
      <w:pPr>
        <w:spacing w:line="360" w:lineRule="auto"/>
        <w:jc w:val="both"/>
        <w:rPr>
          <w:rtl/>
        </w:rPr>
      </w:pPr>
      <w:r>
        <w:rPr>
          <w:rFonts w:hint="cs"/>
          <w:rtl/>
        </w:rPr>
        <w:t>בנוסף, הודגשה השפעת המעצר על הנאשם ועל הקשיים איתם מתמודד הנאשם מאז שחרורו ממעצר. שירות המבחן הוסיף, כי הנאשם גילה מודעות לצורך שלו לקבל טיפול וסיוע על מנת שיוכל לטפל ולהתמודד עם קשייו אלו. בסופו של תסקיר, התקשה שירות המבחן לבוא בהמלצה לאי הרשעתו והמליץ על ענישה מוחשית של מאסר בעבודות שירות לתקופה קצרה "כגורם מרתיע ומוחשי". בנוסף, המליץ שירות המבחן, להטיל על הנאשם צו מבחן לתקופה של שנה, במהלכו יופנה הנאשם לטיפול נפשי על רקע המצוקה הנפשית איתה הוא מתמודד וכן ישולב בקבוצה לצעירים שמטרתה העלאת המודעות לגבי חומרת המעורבות והקניית כלים להתמודדות טובה יותר במצבי לחץ ומשבר.</w:t>
      </w:r>
    </w:p>
    <w:p w14:paraId="2BCA5C8B" w14:textId="77777777" w:rsidR="00F25E70" w:rsidRDefault="00F25E70">
      <w:pPr>
        <w:spacing w:line="360" w:lineRule="auto"/>
        <w:jc w:val="both"/>
        <w:rPr>
          <w:rtl/>
        </w:rPr>
      </w:pPr>
    </w:p>
    <w:p w14:paraId="0D4D03A3" w14:textId="77777777" w:rsidR="00F25E70" w:rsidRDefault="00CE2C31">
      <w:pPr>
        <w:spacing w:line="360" w:lineRule="auto"/>
        <w:jc w:val="both"/>
        <w:rPr>
          <w:rtl/>
        </w:rPr>
      </w:pPr>
      <w:r>
        <w:rPr>
          <w:rFonts w:hint="cs"/>
          <w:rtl/>
        </w:rPr>
        <w:t>מן הראוי לציין, כי לנאשם תיק קודם בו נקבעה אחריותו בגין נהיגת רכב ללא רישיון ונהיגה פוחזת של רכב.</w:t>
      </w:r>
    </w:p>
    <w:p w14:paraId="5E912E19" w14:textId="77777777" w:rsidR="00F25E70" w:rsidRDefault="00F25E70">
      <w:pPr>
        <w:spacing w:line="360" w:lineRule="auto"/>
        <w:jc w:val="both"/>
        <w:rPr>
          <w:rtl/>
        </w:rPr>
      </w:pPr>
    </w:p>
    <w:p w14:paraId="02A26388" w14:textId="77777777" w:rsidR="00F25E70" w:rsidRDefault="00CE2C31">
      <w:pPr>
        <w:spacing w:line="360" w:lineRule="auto"/>
        <w:jc w:val="both"/>
        <w:rPr>
          <w:rtl/>
        </w:rPr>
      </w:pPr>
      <w:r>
        <w:rPr>
          <w:rFonts w:hint="cs"/>
          <w:rtl/>
        </w:rPr>
        <w:t xml:space="preserve">אביו של הנאשם, העובד כחוקר במשטרה למעלה מ- 28 שנה, העיד כעד אופי למען בנו ועל ההלם שנגרם לו בעת מעצרו של בנו. </w:t>
      </w:r>
    </w:p>
    <w:p w14:paraId="2AD101D8" w14:textId="77777777" w:rsidR="00F25E70" w:rsidRDefault="00F25E70">
      <w:pPr>
        <w:spacing w:line="360" w:lineRule="auto"/>
        <w:jc w:val="both"/>
        <w:rPr>
          <w:rtl/>
        </w:rPr>
      </w:pPr>
    </w:p>
    <w:p w14:paraId="2F40801B" w14:textId="77777777" w:rsidR="00F25E70" w:rsidRDefault="00CE2C31">
      <w:pPr>
        <w:spacing w:line="360" w:lineRule="auto"/>
        <w:jc w:val="both"/>
        <w:rPr>
          <w:rtl/>
        </w:rPr>
      </w:pPr>
      <w:r>
        <w:rPr>
          <w:rFonts w:hint="cs"/>
          <w:rtl/>
        </w:rPr>
        <w:t>התובעת התנגדה להמלצת שירות המבחן ודרשה להטיל על הנאשם מאסר בפועל.</w:t>
      </w:r>
    </w:p>
    <w:p w14:paraId="587F64F9" w14:textId="77777777" w:rsidR="00F25E70" w:rsidRDefault="00F25E70">
      <w:pPr>
        <w:spacing w:line="360" w:lineRule="auto"/>
        <w:jc w:val="both"/>
        <w:rPr>
          <w:rtl/>
        </w:rPr>
      </w:pPr>
    </w:p>
    <w:p w14:paraId="2A518424" w14:textId="77777777" w:rsidR="00F25E70" w:rsidRDefault="00CE2C31">
      <w:pPr>
        <w:spacing w:line="360" w:lineRule="auto"/>
        <w:jc w:val="both"/>
        <w:rPr>
          <w:rtl/>
        </w:rPr>
      </w:pPr>
      <w:r>
        <w:rPr>
          <w:rFonts w:hint="cs"/>
          <w:rtl/>
        </w:rPr>
        <w:t xml:space="preserve">התובעת טענה, כי הערך החברתי שנפגע מביצוע העבירה הוא "שלום הציבור מפגיעות רכוש וגוף" וכי מדיניות הענישה כלפי מבצעי עבירות נשק הינה מאסרים בפועל. לטענת התביעה, מתחם העונש ההולם נע בין 12-36 חודשי מאסר בפועל וכי לנוכח גילו של הנאשם, הודאתו ותסקיר שירות המבחן, יש להטיל על הנאשם עונש ברבע התחתון של המתחם ומאסר על תנאי. </w:t>
      </w:r>
    </w:p>
    <w:p w14:paraId="14473132" w14:textId="77777777" w:rsidR="00F25E70" w:rsidRDefault="00F25E70">
      <w:pPr>
        <w:spacing w:line="360" w:lineRule="auto"/>
        <w:jc w:val="both"/>
        <w:rPr>
          <w:rtl/>
        </w:rPr>
      </w:pPr>
    </w:p>
    <w:p w14:paraId="0A371605" w14:textId="77777777" w:rsidR="00F25E70" w:rsidRDefault="00CE2C31">
      <w:pPr>
        <w:spacing w:line="360" w:lineRule="auto"/>
        <w:jc w:val="both"/>
        <w:rPr>
          <w:rtl/>
        </w:rPr>
      </w:pPr>
      <w:r>
        <w:rPr>
          <w:rFonts w:hint="cs"/>
          <w:rtl/>
        </w:rPr>
        <w:lastRenderedPageBreak/>
        <w:t xml:space="preserve">ב"כ הנאשם, אשר טען בצורה ראויה להערכה, ביקש לשכנע את בית המשפט לבטל את הרשעת הנאשם, אך לא מצאתי כי ישנה הצדקה לביטול ההרשעה וזאת בעיקר, בשים לב לחומרת העבירה ולעובדה כי לנאשם תיק קודם (בו הוא לא הורשע). לא למותר להוסיף, כי גם שירות המבחן לא המליץ לבטל את ההרשעה. </w:t>
      </w:r>
    </w:p>
    <w:p w14:paraId="7E5482E6" w14:textId="77777777" w:rsidR="00F25E70" w:rsidRDefault="00F25E70">
      <w:pPr>
        <w:spacing w:line="360" w:lineRule="auto"/>
        <w:jc w:val="both"/>
        <w:rPr>
          <w:rtl/>
        </w:rPr>
      </w:pPr>
    </w:p>
    <w:p w14:paraId="0B2E9D88" w14:textId="77777777" w:rsidR="00F25E70" w:rsidRDefault="00CE2C31">
      <w:pPr>
        <w:spacing w:line="360" w:lineRule="auto"/>
        <w:jc w:val="both"/>
        <w:rPr>
          <w:rtl/>
        </w:rPr>
      </w:pPr>
      <w:r>
        <w:rPr>
          <w:rFonts w:hint="cs"/>
          <w:rtl/>
        </w:rPr>
        <w:t xml:space="preserve">ב"כ הנאשם התרעם על כך שבעת הצגת הסדר הטיעון הסכימה התביעה, כי "תשקול עמדתה לאחר התסקיר" וכי למרות התסקיר החיובי, דרשה התביעה להטיל על הנאשם מאסר בפועל. </w:t>
      </w:r>
    </w:p>
    <w:p w14:paraId="165E1425" w14:textId="77777777" w:rsidR="00F25E70" w:rsidRDefault="00F25E70">
      <w:pPr>
        <w:spacing w:line="360" w:lineRule="auto"/>
        <w:jc w:val="both"/>
        <w:rPr>
          <w:rtl/>
        </w:rPr>
      </w:pPr>
    </w:p>
    <w:p w14:paraId="32378996" w14:textId="77777777" w:rsidR="00F25E70" w:rsidRDefault="00CE2C31">
      <w:pPr>
        <w:spacing w:line="360" w:lineRule="auto"/>
        <w:jc w:val="both"/>
        <w:rPr>
          <w:rtl/>
        </w:rPr>
      </w:pPr>
      <w:r>
        <w:rPr>
          <w:rFonts w:hint="cs"/>
          <w:rtl/>
        </w:rPr>
        <w:t xml:space="preserve">ב"כ הנאשם טען, כי התביעה הסכימה שהסיפור שהנאשם סיפר, כאמור בפרוטוקול מיום 29.1.14, מקובל על התביעה וכי מדובר בנסיבות חריגות שיש בהן כדי להקל עם הנאשם. </w:t>
      </w:r>
    </w:p>
    <w:p w14:paraId="17A61789" w14:textId="77777777" w:rsidR="00F25E70" w:rsidRDefault="00F25E70">
      <w:pPr>
        <w:spacing w:line="360" w:lineRule="auto"/>
        <w:jc w:val="both"/>
        <w:rPr>
          <w:rtl/>
        </w:rPr>
      </w:pPr>
    </w:p>
    <w:p w14:paraId="59E1A6A7" w14:textId="77777777" w:rsidR="00F25E70" w:rsidRDefault="00CE2C31">
      <w:pPr>
        <w:spacing w:line="360" w:lineRule="auto"/>
        <w:jc w:val="both"/>
        <w:rPr>
          <w:rtl/>
        </w:rPr>
      </w:pPr>
      <w:r>
        <w:rPr>
          <w:rFonts w:hint="cs"/>
          <w:rtl/>
        </w:rPr>
        <w:t>כל צד הגיש פסיקה התומכת, לטענתו, בעמדתו לעניין העונש. ואולם, גם לאחר תיקון 113 הענישה הנה אינדיבידואלית.</w:t>
      </w:r>
    </w:p>
    <w:p w14:paraId="40C3443D" w14:textId="77777777" w:rsidR="00F25E70" w:rsidRDefault="00F25E70">
      <w:pPr>
        <w:spacing w:line="360" w:lineRule="auto"/>
        <w:jc w:val="both"/>
        <w:rPr>
          <w:rtl/>
        </w:rPr>
      </w:pPr>
    </w:p>
    <w:p w14:paraId="1E1D9D65" w14:textId="77777777" w:rsidR="00F25E70" w:rsidRDefault="00CE2C31">
      <w:pPr>
        <w:spacing w:line="360" w:lineRule="auto"/>
        <w:jc w:val="both"/>
        <w:rPr>
          <w:rtl/>
        </w:rPr>
      </w:pPr>
      <w:r>
        <w:rPr>
          <w:rFonts w:hint="cs"/>
          <w:rtl/>
        </w:rPr>
        <w:t xml:space="preserve">כידוע, על בית המשפט לקבוע את מתחם העונש ההולם למעשה העבירה שביצע הנאשם ולשם כך יש להתחשב בערך החברתי שנפגע מביצוע העבירה, במידת הפגיעה בו, במדיניות הענישה הנהוגה ובנסיבות הקשורות בביצוע העבירה. מקובל עלי, כי הנאשם תכנן את מעשיו וכי היה צפוי להיגרם נזק מביצוע העבירה. בנסיבות אלה, אני קובע, כי מתחם העונש ההולם נע בין 6 חודשי מאסר ל- 2.5 שנות מאסר. </w:t>
      </w:r>
    </w:p>
    <w:p w14:paraId="712BFF3C" w14:textId="77777777" w:rsidR="00F25E70" w:rsidRDefault="00F25E70">
      <w:pPr>
        <w:spacing w:line="360" w:lineRule="auto"/>
        <w:jc w:val="both"/>
        <w:rPr>
          <w:rtl/>
        </w:rPr>
      </w:pPr>
    </w:p>
    <w:p w14:paraId="3FEB8EF1" w14:textId="77777777" w:rsidR="00F25E70" w:rsidRDefault="00CE2C31">
      <w:pPr>
        <w:spacing w:line="360" w:lineRule="auto"/>
        <w:jc w:val="both"/>
        <w:rPr>
          <w:rtl/>
        </w:rPr>
      </w:pPr>
      <w:r>
        <w:rPr>
          <w:rFonts w:hint="cs"/>
          <w:rtl/>
        </w:rPr>
        <w:t xml:space="preserve">אשר לנסיבות שאינן קשורות בביצוע העבירה, יש להביא בחשבון את גילו הצעיר של הנאשם, את הפגיעה במשפחתו ואת הנזקים שנגרמו לנאשם בעת שהותו במעצר. בנוסף, נטל הנאשם אחריות על מעשיו ושיתף פעולה עם רשויות אכיפת החוק. אין להתעלם גם מנסיבות חייו הקשות של הנאשם. </w:t>
      </w:r>
    </w:p>
    <w:p w14:paraId="4AD78DFD" w14:textId="77777777" w:rsidR="00F25E70" w:rsidRDefault="00F25E70">
      <w:pPr>
        <w:spacing w:line="360" w:lineRule="auto"/>
        <w:jc w:val="both"/>
        <w:rPr>
          <w:rtl/>
        </w:rPr>
      </w:pPr>
    </w:p>
    <w:p w14:paraId="4A6F05F7" w14:textId="77777777" w:rsidR="00F25E70" w:rsidRDefault="00CE2C31">
      <w:pPr>
        <w:spacing w:line="360" w:lineRule="auto"/>
        <w:jc w:val="both"/>
        <w:rPr>
          <w:rtl/>
        </w:rPr>
      </w:pPr>
      <w:r>
        <w:rPr>
          <w:rFonts w:hint="cs"/>
          <w:rtl/>
        </w:rPr>
        <w:t xml:space="preserve">הנאשם שהה במעצר ממש 5 ימים ולאחר מכן שהה במעצר בית והותר לו לצאת לעבודה 3 פעמים בשבוע. </w:t>
      </w:r>
    </w:p>
    <w:p w14:paraId="2044B384" w14:textId="77777777" w:rsidR="00F25E70" w:rsidRDefault="00F25E70">
      <w:pPr>
        <w:spacing w:line="360" w:lineRule="auto"/>
        <w:jc w:val="both"/>
        <w:rPr>
          <w:rtl/>
        </w:rPr>
      </w:pPr>
    </w:p>
    <w:p w14:paraId="06A7A02E" w14:textId="77777777" w:rsidR="00F25E70" w:rsidRDefault="00CE2C31">
      <w:pPr>
        <w:spacing w:line="360" w:lineRule="auto"/>
        <w:jc w:val="both"/>
        <w:rPr>
          <w:rtl/>
        </w:rPr>
      </w:pPr>
      <w:r>
        <w:rPr>
          <w:rFonts w:hint="cs"/>
          <w:rtl/>
        </w:rPr>
        <w:t xml:space="preserve">אוסיף ואציין, כי גם אם הייתי מקבל את מתחם העונש ההולם שהוצג על ידי התביעה, הייתי עושה שימוש בסעיף 40ד לתיקון 113, וזאת בשים לב לשיקומו של הנאשם והמלצת שירות המבחן על נקיטת אמצעי שיקומי כלפי הנאשם. </w:t>
      </w:r>
    </w:p>
    <w:p w14:paraId="67B8B44A" w14:textId="77777777" w:rsidR="00F25E70" w:rsidRDefault="00F25E70">
      <w:pPr>
        <w:spacing w:line="360" w:lineRule="auto"/>
        <w:jc w:val="both"/>
        <w:rPr>
          <w:rtl/>
        </w:rPr>
      </w:pPr>
    </w:p>
    <w:p w14:paraId="33E961D6" w14:textId="77777777" w:rsidR="00F25E70" w:rsidRDefault="00CE2C31">
      <w:pPr>
        <w:spacing w:line="360" w:lineRule="auto"/>
        <w:jc w:val="both"/>
        <w:rPr>
          <w:rtl/>
        </w:rPr>
      </w:pPr>
      <w:r>
        <w:rPr>
          <w:rFonts w:hint="cs"/>
          <w:rtl/>
        </w:rPr>
        <w:t>אני ער לעובדה, כי שירות המבחן המליץ להטיל על הנאשם מאסר שירוצה בעבודות שירות לתקופה קצרה, אך, נראה לי, כי יש מקום להטיל על הנאשם את מלוא התקופה הקבועה בחוק לעניין עבודות השירות.</w:t>
      </w:r>
    </w:p>
    <w:p w14:paraId="1B5B1840" w14:textId="77777777" w:rsidR="00F25E70" w:rsidRDefault="00F25E70">
      <w:pPr>
        <w:spacing w:line="360" w:lineRule="auto"/>
        <w:jc w:val="both"/>
        <w:rPr>
          <w:rtl/>
        </w:rPr>
      </w:pPr>
    </w:p>
    <w:p w14:paraId="10BE09FF" w14:textId="77777777" w:rsidR="00F25E70" w:rsidRDefault="00CE2C31">
      <w:pPr>
        <w:spacing w:line="360" w:lineRule="auto"/>
        <w:jc w:val="both"/>
        <w:rPr>
          <w:rtl/>
        </w:rPr>
      </w:pPr>
      <w:r>
        <w:rPr>
          <w:rFonts w:hint="cs"/>
          <w:rtl/>
        </w:rPr>
        <w:t xml:space="preserve">בשים לב לכך, ולאחר שהתקבלה חוות דעת מתאימה מהממונה על עבודות השירות, החלטתי שלא למצות את הדין עם הנאשם ולא להטיל עליו מאסר בפועל ממש. </w:t>
      </w:r>
    </w:p>
    <w:p w14:paraId="65923EB2" w14:textId="77777777" w:rsidR="00F25E70" w:rsidRDefault="00F25E70">
      <w:pPr>
        <w:spacing w:line="360" w:lineRule="auto"/>
        <w:jc w:val="both"/>
        <w:rPr>
          <w:rtl/>
        </w:rPr>
      </w:pPr>
    </w:p>
    <w:p w14:paraId="367C224F" w14:textId="77777777" w:rsidR="00F25E70" w:rsidRDefault="00CE2C31">
      <w:pPr>
        <w:spacing w:line="360" w:lineRule="auto"/>
        <w:jc w:val="both"/>
        <w:rPr>
          <w:rtl/>
        </w:rPr>
      </w:pPr>
      <w:r>
        <w:rPr>
          <w:rFonts w:hint="cs"/>
          <w:rtl/>
        </w:rPr>
        <w:t>אשר על כן, אני מטיל על הנאשם מאסר לתקופה של 6 חודשים. ואולם, כאמור, בהתאם לחוות דעתו של הממונה על עבודות השירות, ירוצה המאסר בעבודות שירות ציבוריות בגן החיות בשכונת מלחה בירושלים, 5 ימים בשבוע, 8.5 שעות עבודה יומיות.</w:t>
      </w:r>
    </w:p>
    <w:p w14:paraId="533CFCE7" w14:textId="77777777" w:rsidR="00F25E70" w:rsidRDefault="00F25E70">
      <w:pPr>
        <w:spacing w:line="360" w:lineRule="auto"/>
        <w:jc w:val="both"/>
        <w:rPr>
          <w:rtl/>
        </w:rPr>
      </w:pPr>
    </w:p>
    <w:p w14:paraId="65BEF957" w14:textId="77777777" w:rsidR="00F25E70" w:rsidRDefault="00CE2C31">
      <w:pPr>
        <w:spacing w:line="360" w:lineRule="auto"/>
        <w:jc w:val="both"/>
        <w:rPr>
          <w:rtl/>
        </w:rPr>
      </w:pPr>
      <w:r>
        <w:rPr>
          <w:rFonts w:hint="cs"/>
          <w:rtl/>
        </w:rPr>
        <w:t xml:space="preserve">מועד תחילת ריצוי עבודות השירות 11.11.14. המפקח האחראי חגג עינת. </w:t>
      </w:r>
    </w:p>
    <w:p w14:paraId="6A706D1F" w14:textId="77777777" w:rsidR="00F25E70" w:rsidRDefault="00F25E70">
      <w:pPr>
        <w:spacing w:line="360" w:lineRule="auto"/>
        <w:jc w:val="both"/>
        <w:rPr>
          <w:rtl/>
        </w:rPr>
      </w:pPr>
    </w:p>
    <w:p w14:paraId="76173B64" w14:textId="77777777" w:rsidR="00F25E70" w:rsidRDefault="00CE2C31">
      <w:pPr>
        <w:spacing w:line="360" w:lineRule="auto"/>
        <w:jc w:val="both"/>
        <w:rPr>
          <w:rtl/>
        </w:rPr>
      </w:pPr>
      <w:r>
        <w:rPr>
          <w:rFonts w:hint="cs"/>
          <w:rtl/>
        </w:rPr>
        <w:t>אני מחייב את הנאשם לעדכן את משרדי הממונה על עבודות שירות בכל שינוי אם יחול בכתובת מגוריו. כמו כן, עליו לעמוד בתנאי הפיקוח ובביקורות פתע וכל הפרה בתנאי השירות תביא להפסקה מנהלית ולריצוי העונש במאסר ממש.</w:t>
      </w:r>
    </w:p>
    <w:p w14:paraId="744E5234" w14:textId="77777777" w:rsidR="00F25E70" w:rsidRDefault="00F25E70">
      <w:pPr>
        <w:spacing w:line="360" w:lineRule="auto"/>
        <w:jc w:val="both"/>
        <w:rPr>
          <w:rtl/>
        </w:rPr>
      </w:pPr>
    </w:p>
    <w:p w14:paraId="7BB47DDD" w14:textId="77777777" w:rsidR="00F25E70" w:rsidRDefault="00CE2C31">
      <w:pPr>
        <w:spacing w:line="360" w:lineRule="auto"/>
        <w:jc w:val="both"/>
        <w:rPr>
          <w:rtl/>
        </w:rPr>
      </w:pPr>
      <w:r>
        <w:rPr>
          <w:rFonts w:hint="cs"/>
          <w:rtl/>
        </w:rPr>
        <w:t xml:space="preserve">הנאשם יתייצב ביום 11.11.14 בשעה 10:00 במשרדי הממונה על עבודות השירות בבאר שבע לצורך קליטה והצבה. </w:t>
      </w:r>
    </w:p>
    <w:p w14:paraId="564D738E" w14:textId="77777777" w:rsidR="00F25E70" w:rsidRDefault="00F25E70">
      <w:pPr>
        <w:spacing w:line="360" w:lineRule="auto"/>
        <w:jc w:val="both"/>
        <w:rPr>
          <w:rtl/>
        </w:rPr>
      </w:pPr>
    </w:p>
    <w:p w14:paraId="7456FA8E" w14:textId="77777777" w:rsidR="00F25E70" w:rsidRDefault="00CE2C31">
      <w:pPr>
        <w:spacing w:line="360" w:lineRule="auto"/>
        <w:jc w:val="both"/>
        <w:rPr>
          <w:rtl/>
        </w:rPr>
      </w:pPr>
      <w:r>
        <w:rPr>
          <w:rFonts w:hint="cs"/>
          <w:rtl/>
        </w:rPr>
        <w:t xml:space="preserve">בנוסף, אני מטיל על הנאשם מאסר על תנאי למשך 9 חודשים ואולם הנאשם לא יישא בעונש זה אלא אם יעבור תוך תקופה של שנתיים מהיום על עבירות בנשק, בניגוד </w:t>
      </w:r>
      <w:hyperlink r:id="rId11" w:history="1">
        <w:r w:rsidR="005F6ED0" w:rsidRPr="005F6ED0">
          <w:rPr>
            <w:color w:val="0000FF"/>
            <w:u w:val="single"/>
            <w:rtl/>
          </w:rPr>
          <w:t>לסעיף 144</w:t>
        </w:r>
      </w:hyperlink>
      <w:r>
        <w:rPr>
          <w:rFonts w:hint="cs"/>
          <w:rtl/>
        </w:rPr>
        <w:t xml:space="preserve"> ל</w:t>
      </w:r>
      <w:hyperlink r:id="rId12" w:history="1">
        <w:r w:rsidRPr="00CE2C31">
          <w:rPr>
            <w:color w:val="0000FF"/>
            <w:u w:val="single"/>
            <w:rtl/>
          </w:rPr>
          <w:t>חוק העונשין</w:t>
        </w:r>
      </w:hyperlink>
      <w:r>
        <w:rPr>
          <w:rFonts w:hint="cs"/>
          <w:rtl/>
        </w:rPr>
        <w:t xml:space="preserve">. </w:t>
      </w:r>
    </w:p>
    <w:p w14:paraId="47D70FF9" w14:textId="77777777" w:rsidR="00F25E70" w:rsidRDefault="00F25E70">
      <w:pPr>
        <w:spacing w:line="360" w:lineRule="auto"/>
        <w:jc w:val="both"/>
        <w:rPr>
          <w:rtl/>
        </w:rPr>
      </w:pPr>
    </w:p>
    <w:p w14:paraId="208C9D00" w14:textId="77777777" w:rsidR="00F25E70" w:rsidRDefault="00CE2C31">
      <w:pPr>
        <w:spacing w:line="360" w:lineRule="auto"/>
        <w:jc w:val="both"/>
        <w:rPr>
          <w:rtl/>
        </w:rPr>
      </w:pPr>
      <w:r>
        <w:rPr>
          <w:rFonts w:hint="cs"/>
          <w:rtl/>
        </w:rPr>
        <w:t>כמו כן, ובהתאם להמלצת שירות המבחן, אני מטיל על הנאשם צו מבחן לתקופה של שנה במהלכו יופנה הנאשם לטיפול נפשי וכן ישולב בקבוצה טיפולית.</w:t>
      </w:r>
    </w:p>
    <w:p w14:paraId="4D6FBECC" w14:textId="77777777" w:rsidR="00F25E70" w:rsidRDefault="00F25E70">
      <w:pPr>
        <w:spacing w:line="360" w:lineRule="auto"/>
        <w:jc w:val="both"/>
        <w:rPr>
          <w:rtl/>
        </w:rPr>
      </w:pPr>
    </w:p>
    <w:p w14:paraId="52F781FB" w14:textId="77777777" w:rsidR="00F25E70" w:rsidRDefault="00CE2C31">
      <w:pPr>
        <w:spacing w:line="360" w:lineRule="auto"/>
        <w:jc w:val="both"/>
        <w:rPr>
          <w:rtl/>
        </w:rPr>
      </w:pPr>
      <w:r>
        <w:rPr>
          <w:rFonts w:hint="cs"/>
          <w:rtl/>
        </w:rPr>
        <w:t>יש לשלוח העתק לשירות המבחן ולממונה על עבודות השירות.</w:t>
      </w:r>
    </w:p>
    <w:p w14:paraId="7C426D45" w14:textId="77777777" w:rsidR="00F25E70" w:rsidRDefault="00F25E70">
      <w:pPr>
        <w:spacing w:line="360" w:lineRule="auto"/>
        <w:jc w:val="both"/>
        <w:rPr>
          <w:rtl/>
        </w:rPr>
      </w:pPr>
    </w:p>
    <w:p w14:paraId="1B66F045" w14:textId="77777777" w:rsidR="00F25E70" w:rsidRPr="00CE2C31" w:rsidRDefault="00CE2C31">
      <w:pPr>
        <w:spacing w:line="360" w:lineRule="auto"/>
        <w:jc w:val="both"/>
        <w:rPr>
          <w:color w:val="FFFFFF"/>
          <w:sz w:val="2"/>
          <w:szCs w:val="2"/>
          <w:rtl/>
        </w:rPr>
      </w:pPr>
      <w:r w:rsidRPr="00CE2C31">
        <w:rPr>
          <w:color w:val="FFFFFF"/>
          <w:sz w:val="2"/>
          <w:szCs w:val="2"/>
          <w:rtl/>
        </w:rPr>
        <w:t>5129371</w:t>
      </w:r>
    </w:p>
    <w:p w14:paraId="571C58D0" w14:textId="77777777" w:rsidR="00F25E70" w:rsidRDefault="00CE2C31">
      <w:pPr>
        <w:spacing w:line="360" w:lineRule="auto"/>
        <w:jc w:val="both"/>
        <w:rPr>
          <w:rtl/>
        </w:rPr>
      </w:pPr>
      <w:r w:rsidRPr="00CE2C31">
        <w:rPr>
          <w:rFonts w:ascii="Arial" w:hAnsi="Arial"/>
          <w:color w:val="FFFFFF"/>
          <w:sz w:val="2"/>
          <w:szCs w:val="2"/>
          <w:rtl/>
        </w:rPr>
        <w:t>54678313</w:t>
      </w:r>
      <w:r>
        <w:rPr>
          <w:rFonts w:ascii="Arial" w:hAnsi="Arial"/>
          <w:rtl/>
        </w:rPr>
        <w:t xml:space="preserve">ניתן היום,  ט"ו תמוז תשע"ד, 13 יולי 2014, בהעדר הצדדים. </w:t>
      </w:r>
    </w:p>
    <w:p w14:paraId="758803EB" w14:textId="77777777" w:rsidR="00F25E70" w:rsidRDefault="00CE2C31">
      <w:pPr>
        <w:spacing w:line="360" w:lineRule="auto"/>
        <w:jc w:val="both"/>
        <w:rPr>
          <w:rFonts w:ascii="Arial" w:hAnsi="Arial"/>
          <w:rtl/>
        </w:rPr>
      </w:pPr>
      <w:r>
        <w:rPr>
          <w:rFonts w:ascii="Arial" w:hAnsi="Arial"/>
          <w:rtl/>
        </w:rPr>
        <w:t>חתימה</w:t>
      </w:r>
    </w:p>
    <w:p w14:paraId="7E0B3ED6" w14:textId="77777777" w:rsidR="00F25E70" w:rsidRDefault="00F25E70">
      <w:pPr>
        <w:spacing w:line="360" w:lineRule="auto"/>
        <w:jc w:val="both"/>
        <w:rPr>
          <w:rtl/>
        </w:rPr>
      </w:pPr>
    </w:p>
    <w:p w14:paraId="10768A50" w14:textId="77777777" w:rsidR="00F25E70" w:rsidRDefault="00F25E70">
      <w:pPr>
        <w:pStyle w:val="a3"/>
        <w:spacing w:line="360" w:lineRule="auto"/>
        <w:jc w:val="both"/>
        <w:rPr>
          <w:rtl/>
        </w:rPr>
      </w:pPr>
    </w:p>
    <w:p w14:paraId="2EA4C833" w14:textId="77777777" w:rsidR="00F25E70" w:rsidRDefault="00F25E70">
      <w:pPr>
        <w:pStyle w:val="a3"/>
        <w:spacing w:line="360" w:lineRule="auto"/>
        <w:jc w:val="both"/>
      </w:pPr>
    </w:p>
    <w:p w14:paraId="02A11BA8" w14:textId="77777777" w:rsidR="00CE2C31" w:rsidRPr="00CE2C31" w:rsidRDefault="00CE2C31" w:rsidP="00CE2C31">
      <w:pPr>
        <w:keepNext/>
        <w:rPr>
          <w:rFonts w:ascii="David" w:hAnsi="David"/>
          <w:color w:val="000000"/>
          <w:sz w:val="22"/>
          <w:szCs w:val="22"/>
          <w:rtl/>
        </w:rPr>
      </w:pPr>
    </w:p>
    <w:p w14:paraId="79AEA850" w14:textId="77777777" w:rsidR="00CE2C31" w:rsidRPr="00CE2C31" w:rsidRDefault="00CE2C31" w:rsidP="00CE2C31">
      <w:pPr>
        <w:keepNext/>
        <w:rPr>
          <w:rFonts w:ascii="David" w:hAnsi="David"/>
          <w:color w:val="000000"/>
          <w:sz w:val="22"/>
          <w:szCs w:val="22"/>
          <w:rtl/>
        </w:rPr>
      </w:pPr>
      <w:r w:rsidRPr="00CE2C31">
        <w:rPr>
          <w:rFonts w:ascii="David" w:hAnsi="David"/>
          <w:color w:val="000000"/>
          <w:sz w:val="22"/>
          <w:szCs w:val="22"/>
          <w:rtl/>
        </w:rPr>
        <w:t>אמנון כהן 54678313</w:t>
      </w:r>
    </w:p>
    <w:p w14:paraId="3C7BEC51" w14:textId="77777777" w:rsidR="00CE2C31" w:rsidRDefault="00CE2C31" w:rsidP="00CE2C31">
      <w:r w:rsidRPr="00CE2C31">
        <w:rPr>
          <w:color w:val="000000"/>
          <w:rtl/>
        </w:rPr>
        <w:t>נוסח מסמך זה כפוף לשינויי ניסוח ועריכה</w:t>
      </w:r>
    </w:p>
    <w:p w14:paraId="7925B584" w14:textId="77777777" w:rsidR="00CE2C31" w:rsidRDefault="00CE2C31" w:rsidP="00CE2C31">
      <w:pPr>
        <w:rPr>
          <w:rtl/>
        </w:rPr>
      </w:pPr>
    </w:p>
    <w:p w14:paraId="36B17DD8" w14:textId="77777777" w:rsidR="00CE2C31" w:rsidRDefault="00CE2C31" w:rsidP="00CE2C31">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523588BB" w14:textId="77777777" w:rsidR="00F25E70" w:rsidRPr="00CE2C31" w:rsidRDefault="00F25E70" w:rsidP="00CE2C31">
      <w:pPr>
        <w:jc w:val="center"/>
        <w:rPr>
          <w:color w:val="0000FF"/>
          <w:u w:val="single"/>
        </w:rPr>
      </w:pPr>
    </w:p>
    <w:sectPr w:rsidR="00F25E70" w:rsidRPr="00CE2C31" w:rsidSect="00CE2C31">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11680" w14:textId="77777777" w:rsidR="0049506E" w:rsidRPr="00044901" w:rsidRDefault="0049506E">
      <w:pPr>
        <w:rPr>
          <w:rFonts w:cs="Arial"/>
          <w:szCs w:val="20"/>
        </w:rPr>
      </w:pPr>
      <w:r>
        <w:separator/>
      </w:r>
    </w:p>
  </w:endnote>
  <w:endnote w:type="continuationSeparator" w:id="0">
    <w:p w14:paraId="18B6B454" w14:textId="77777777" w:rsidR="0049506E" w:rsidRPr="00044901" w:rsidRDefault="0049506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DF917" w14:textId="77777777" w:rsidR="00CE2C31" w:rsidRDefault="00CE2C31" w:rsidP="00CE2C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399463" w14:textId="77777777" w:rsidR="00F25E70" w:rsidRPr="00CE2C31" w:rsidRDefault="00CE2C31" w:rsidP="00CE2C31">
    <w:pPr>
      <w:pStyle w:val="a4"/>
      <w:pBdr>
        <w:top w:val="single" w:sz="4" w:space="1" w:color="auto"/>
        <w:between w:val="single" w:sz="4" w:space="0" w:color="auto"/>
      </w:pBdr>
      <w:spacing w:after="60"/>
      <w:jc w:val="center"/>
      <w:rPr>
        <w:rFonts w:ascii="FrankRuehl" w:hAnsi="FrankRuehl" w:cs="FrankRuehl"/>
        <w:color w:val="000000"/>
      </w:rPr>
    </w:pPr>
    <w:r w:rsidRPr="00CE2C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1CC84" w14:textId="77777777" w:rsidR="00CE2C31" w:rsidRDefault="00CE2C31" w:rsidP="00CE2C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6E20">
      <w:rPr>
        <w:rFonts w:ascii="FrankRuehl" w:hAnsi="FrankRuehl" w:cs="FrankRuehl"/>
        <w:noProof/>
        <w:rtl/>
      </w:rPr>
      <w:t>2</w:t>
    </w:r>
    <w:r>
      <w:rPr>
        <w:rFonts w:ascii="FrankRuehl" w:hAnsi="FrankRuehl" w:cs="FrankRuehl"/>
        <w:rtl/>
      </w:rPr>
      <w:fldChar w:fldCharType="end"/>
    </w:r>
  </w:p>
  <w:p w14:paraId="1D2FB853" w14:textId="77777777" w:rsidR="00F25E70" w:rsidRPr="00CE2C31" w:rsidRDefault="00CE2C31" w:rsidP="00CE2C31">
    <w:pPr>
      <w:pStyle w:val="a4"/>
      <w:pBdr>
        <w:top w:val="single" w:sz="4" w:space="1" w:color="auto"/>
        <w:between w:val="single" w:sz="4" w:space="0" w:color="auto"/>
      </w:pBdr>
      <w:spacing w:after="60"/>
      <w:jc w:val="center"/>
      <w:rPr>
        <w:rFonts w:ascii="FrankRuehl" w:hAnsi="FrankRuehl" w:cs="FrankRuehl"/>
        <w:color w:val="000000"/>
      </w:rPr>
    </w:pPr>
    <w:r w:rsidRPr="00CE2C31">
      <w:rPr>
        <w:rFonts w:ascii="FrankRuehl" w:hAnsi="FrankRuehl" w:cs="FrankRuehl"/>
        <w:color w:val="000000"/>
      </w:rPr>
      <w:pict w14:anchorId="35F0A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0DAC4" w14:textId="77777777" w:rsidR="0049506E" w:rsidRPr="00044901" w:rsidRDefault="0049506E">
      <w:pPr>
        <w:rPr>
          <w:rFonts w:cs="Arial"/>
          <w:szCs w:val="20"/>
        </w:rPr>
      </w:pPr>
      <w:r>
        <w:separator/>
      </w:r>
    </w:p>
  </w:footnote>
  <w:footnote w:type="continuationSeparator" w:id="0">
    <w:p w14:paraId="0D52B80A" w14:textId="77777777" w:rsidR="0049506E" w:rsidRPr="00044901" w:rsidRDefault="0049506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E1426" w14:textId="77777777" w:rsidR="00CE2C31" w:rsidRPr="00CE2C31" w:rsidRDefault="00CE2C31" w:rsidP="00CE2C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53169-10-13</w:t>
    </w:r>
    <w:r>
      <w:rPr>
        <w:rFonts w:ascii="David" w:hAnsi="David"/>
        <w:color w:val="000000"/>
        <w:sz w:val="22"/>
        <w:szCs w:val="22"/>
        <w:rtl/>
      </w:rPr>
      <w:tab/>
      <w:t xml:space="preserve"> מדינת ישראל נ' מוחמד עבדו אל רחמן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70E65" w14:textId="77777777" w:rsidR="00CE2C31" w:rsidRPr="00CE2C31" w:rsidRDefault="00CE2C31" w:rsidP="00CE2C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53169-10-13</w:t>
    </w:r>
    <w:r>
      <w:rPr>
        <w:rFonts w:ascii="David" w:hAnsi="David"/>
        <w:color w:val="000000"/>
        <w:sz w:val="22"/>
        <w:szCs w:val="22"/>
        <w:rtl/>
      </w:rPr>
      <w:tab/>
      <w:t xml:space="preserve"> מדינת ישראל נ' מוחמד עבדו אל רחמן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5E70"/>
    <w:rsid w:val="00220384"/>
    <w:rsid w:val="0049506E"/>
    <w:rsid w:val="005F6ED0"/>
    <w:rsid w:val="009F6E20"/>
    <w:rsid w:val="00AB5DCD"/>
    <w:rsid w:val="00CE2C31"/>
    <w:rsid w:val="00F2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C0A9C4"/>
  <w15:chartTrackingRefBased/>
  <w15:docId w15:val="{9AFE3D41-A5C1-4510-A320-3B511B16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5E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25E70"/>
    <w:pPr>
      <w:tabs>
        <w:tab w:val="center" w:pos="4153"/>
        <w:tab w:val="right" w:pos="8306"/>
      </w:tabs>
    </w:pPr>
  </w:style>
  <w:style w:type="paragraph" w:styleId="a4">
    <w:name w:val="footer"/>
    <w:basedOn w:val="a"/>
    <w:rsid w:val="00F25E70"/>
    <w:pPr>
      <w:tabs>
        <w:tab w:val="center" w:pos="4153"/>
        <w:tab w:val="right" w:pos="8306"/>
      </w:tabs>
    </w:pPr>
  </w:style>
  <w:style w:type="character" w:styleId="a5">
    <w:name w:val="page number"/>
    <w:basedOn w:val="a0"/>
    <w:rsid w:val="00F25E70"/>
  </w:style>
  <w:style w:type="character" w:styleId="Hyperlink">
    <w:name w:val="Hyperlink"/>
    <w:basedOn w:val="a0"/>
    <w:rsid w:val="00CE2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5943</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53169</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עבדו אל רחמן</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20140713</vt:lpwstr>
  </property>
  <property fmtid="{D5CDD505-2E9C-101B-9397-08002B2CF9AE}" pid="13" name="TYPE_N_DATE">
    <vt:lpwstr>39020140713</vt:lpwstr>
  </property>
  <property fmtid="{D5CDD505-2E9C-101B-9397-08002B2CF9AE}" pid="14" name="WORDNUMPAGES">
    <vt:lpwstr>4</vt:lpwstr>
  </property>
  <property fmtid="{D5CDD505-2E9C-101B-9397-08002B2CF9AE}" pid="15" name="TYPE_ABS_DATE">
    <vt:lpwstr>390020140713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vt:lpwstr>
  </property>
</Properties>
</file>