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582" w:type="dxa"/>
        <w:jc w:val="center"/>
        <w:tblLook w:val="0000" w:firstRow="0" w:lastRow="0" w:firstColumn="0" w:lastColumn="0" w:noHBand="0" w:noVBand="0"/>
      </w:tblPr>
      <w:tblGrid>
        <w:gridCol w:w="5919"/>
        <w:gridCol w:w="3663"/>
      </w:tblGrid>
      <w:tr w:rsidR="00D42166" w:rsidRPr="00D42166" w14:paraId="457710AF" w14:textId="77777777">
        <w:trPr>
          <w:trHeight w:hRule="exact" w:val="418"/>
          <w:jc w:val="center"/>
        </w:trPr>
        <w:tc>
          <w:tcPr>
            <w:tcW w:w="9582" w:type="dxa"/>
            <w:gridSpan w:val="2"/>
          </w:tcPr>
          <w:p w14:paraId="0393502A" w14:textId="77777777" w:rsidR="00D42166" w:rsidRPr="00D42166" w:rsidRDefault="00D42166" w:rsidP="00D42166">
            <w:pPr>
              <w:pStyle w:val="a3"/>
              <w:jc w:val="center"/>
              <w:rPr>
                <w:rFonts w:ascii="Tahoma" w:hAnsi="Tahoma" w:cs="Tahoma"/>
                <w:color w:val="000080"/>
              </w:rPr>
            </w:pPr>
            <w:bookmarkStart w:id="0" w:name="LastJudge"/>
            <w:r w:rsidRPr="00D42166">
              <w:rPr>
                <w:rFonts w:ascii="Tahoma" w:hAnsi="Tahoma" w:cs="Tahoma"/>
                <w:b/>
                <w:bCs/>
                <w:color w:val="000080"/>
                <w:rtl/>
              </w:rPr>
              <w:t>בית המשפט המחוזי מרכז-לוד</w:t>
            </w:r>
          </w:p>
        </w:tc>
      </w:tr>
      <w:tr w:rsidR="00D42166" w:rsidRPr="00D42166" w14:paraId="3F4AD9C7" w14:textId="77777777">
        <w:trPr>
          <w:trHeight w:val="337"/>
          <w:jc w:val="center"/>
        </w:trPr>
        <w:tc>
          <w:tcPr>
            <w:tcW w:w="5919" w:type="dxa"/>
          </w:tcPr>
          <w:p w14:paraId="03C7D09C" w14:textId="77777777" w:rsidR="00D42166" w:rsidRPr="00D42166" w:rsidRDefault="00D42166" w:rsidP="00D42166">
            <w:pPr>
              <w:rPr>
                <w:rFonts w:ascii="Arial" w:hAnsi="Arial" w:cs="Arial"/>
                <w:b/>
                <w:bCs/>
                <w:rtl/>
              </w:rPr>
            </w:pPr>
            <w:r w:rsidRPr="00D42166">
              <w:rPr>
                <w:rFonts w:ascii="Arial" w:hAnsi="Arial" w:cs="Arial"/>
                <w:b/>
                <w:bCs/>
                <w:rtl/>
              </w:rPr>
              <w:t>ת"פ</w:t>
            </w:r>
            <w:r w:rsidRPr="00D42166">
              <w:rPr>
                <w:rFonts w:ascii="Arial" w:hAnsi="Arial" w:cs="Arial" w:hint="cs"/>
                <w:b/>
                <w:bCs/>
                <w:rtl/>
              </w:rPr>
              <w:t xml:space="preserve"> </w:t>
            </w:r>
            <w:r w:rsidRPr="00D42166">
              <w:rPr>
                <w:rFonts w:ascii="Arial" w:hAnsi="Arial" w:cs="Arial"/>
                <w:b/>
                <w:bCs/>
                <w:rtl/>
              </w:rPr>
              <w:t>54150-10-13</w:t>
            </w:r>
            <w:r w:rsidRPr="00D42166">
              <w:rPr>
                <w:rFonts w:ascii="Arial" w:hAnsi="Arial" w:cs="Arial" w:hint="cs"/>
                <w:b/>
                <w:bCs/>
                <w:rtl/>
              </w:rPr>
              <w:t xml:space="preserve"> </w:t>
            </w:r>
            <w:r w:rsidRPr="00D42166">
              <w:rPr>
                <w:rFonts w:ascii="Arial" w:hAnsi="Arial" w:cs="Arial"/>
                <w:b/>
                <w:bCs/>
                <w:rtl/>
              </w:rPr>
              <w:t>מדינת ישראל נ' עיסא</w:t>
            </w:r>
            <w:r w:rsidR="00736CDD">
              <w:rPr>
                <w:rFonts w:ascii="Arial" w:hAnsi="Arial" w:cs="Arial" w:hint="cs"/>
                <w:b/>
                <w:bCs/>
                <w:rtl/>
              </w:rPr>
              <w:t xml:space="preserve"> </w:t>
            </w:r>
            <w:r w:rsidRPr="00D42166">
              <w:rPr>
                <w:rFonts w:ascii="Arial" w:hAnsi="Arial" w:cs="Arial"/>
                <w:b/>
                <w:bCs/>
                <w:rtl/>
              </w:rPr>
              <w:t>(עציר) ואח'</w:t>
            </w:r>
          </w:p>
          <w:p w14:paraId="239AABA4" w14:textId="77777777" w:rsidR="00D42166" w:rsidRPr="00D42166" w:rsidRDefault="00D42166" w:rsidP="00D42166">
            <w:pPr>
              <w:pStyle w:val="a3"/>
              <w:rPr>
                <w:rFonts w:cs="FrankRuehl"/>
                <w:sz w:val="28"/>
                <w:szCs w:val="28"/>
              </w:rPr>
            </w:pPr>
          </w:p>
        </w:tc>
        <w:tc>
          <w:tcPr>
            <w:tcW w:w="3663" w:type="dxa"/>
          </w:tcPr>
          <w:p w14:paraId="7FB78A8A" w14:textId="77777777" w:rsidR="00D42166" w:rsidRPr="00D42166" w:rsidRDefault="00D42166" w:rsidP="00D42166">
            <w:pPr>
              <w:pStyle w:val="a3"/>
              <w:jc w:val="right"/>
              <w:rPr>
                <w:rFonts w:cs="FrankRuehl"/>
                <w:sz w:val="28"/>
                <w:szCs w:val="28"/>
              </w:rPr>
            </w:pPr>
          </w:p>
        </w:tc>
      </w:tr>
    </w:tbl>
    <w:p w14:paraId="359174B2" w14:textId="77777777" w:rsidR="00D42166" w:rsidRPr="00D42166" w:rsidRDefault="00D42166" w:rsidP="00D42166">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559ED" w:rsidRPr="00D42166" w14:paraId="0007C235" w14:textId="77777777">
        <w:trPr>
          <w:trHeight w:val="295"/>
          <w:jc w:val="center"/>
        </w:trPr>
        <w:tc>
          <w:tcPr>
            <w:tcW w:w="923" w:type="dxa"/>
            <w:tcBorders>
              <w:top w:val="nil"/>
              <w:left w:val="nil"/>
              <w:bottom w:val="nil"/>
              <w:right w:val="nil"/>
            </w:tcBorders>
          </w:tcPr>
          <w:p w14:paraId="28369C7E" w14:textId="77777777" w:rsidR="008559ED" w:rsidRPr="00D42166" w:rsidRDefault="008559ED" w:rsidP="006231FA">
            <w:pPr>
              <w:jc w:val="both"/>
              <w:rPr>
                <w:rFonts w:ascii="Arial" w:hAnsi="Arial" w:cs="Arial"/>
                <w:b/>
                <w:bCs/>
              </w:rPr>
            </w:pPr>
            <w:r w:rsidRPr="00D42166">
              <w:rPr>
                <w:rFonts w:ascii="Arial" w:hAnsi="Arial" w:cs="Arial"/>
                <w:b/>
                <w:bCs/>
                <w:rtl/>
              </w:rPr>
              <w:t xml:space="preserve">בפני </w:t>
            </w:r>
          </w:p>
        </w:tc>
        <w:tc>
          <w:tcPr>
            <w:tcW w:w="7897" w:type="dxa"/>
            <w:gridSpan w:val="2"/>
            <w:tcBorders>
              <w:top w:val="nil"/>
              <w:left w:val="nil"/>
              <w:bottom w:val="nil"/>
              <w:right w:val="nil"/>
            </w:tcBorders>
          </w:tcPr>
          <w:p w14:paraId="521E60B8" w14:textId="77777777" w:rsidR="008559ED" w:rsidRPr="00D42166" w:rsidRDefault="008559ED" w:rsidP="00736CDD">
            <w:pPr>
              <w:rPr>
                <w:rFonts w:ascii="Arial" w:hAnsi="Arial" w:cs="Arial"/>
                <w:b/>
                <w:bCs/>
                <w:rtl/>
              </w:rPr>
            </w:pPr>
            <w:r w:rsidRPr="00D42166">
              <w:rPr>
                <w:rFonts w:ascii="Arial" w:hAnsi="Arial" w:cs="Arial"/>
                <w:b/>
                <w:bCs/>
                <w:rtl/>
              </w:rPr>
              <w:t>כב' השופטת</w:t>
            </w:r>
            <w:r w:rsidR="00DD06F0" w:rsidRPr="00D42166">
              <w:rPr>
                <w:rFonts w:ascii="Arial" w:hAnsi="Arial" w:cs="Arial" w:hint="cs"/>
                <w:b/>
                <w:bCs/>
                <w:rtl/>
              </w:rPr>
              <w:t xml:space="preserve"> </w:t>
            </w:r>
            <w:r w:rsidRPr="00D42166">
              <w:rPr>
                <w:rFonts w:ascii="Arial" w:hAnsi="Arial" w:cs="Arial"/>
                <w:b/>
                <w:bCs/>
                <w:rtl/>
              </w:rPr>
              <w:t>מיכל ברנט</w:t>
            </w:r>
          </w:p>
          <w:p w14:paraId="72714F9A" w14:textId="77777777" w:rsidR="008559ED" w:rsidRPr="00D42166" w:rsidRDefault="008559ED" w:rsidP="006231FA">
            <w:pPr>
              <w:jc w:val="both"/>
              <w:rPr>
                <w:rFonts w:ascii="Arial" w:hAnsi="Arial" w:cs="Arial"/>
                <w:b/>
                <w:bCs/>
              </w:rPr>
            </w:pPr>
          </w:p>
        </w:tc>
      </w:tr>
      <w:tr w:rsidR="008559ED" w:rsidRPr="00D42166" w14:paraId="1F6E211C" w14:textId="77777777">
        <w:trPr>
          <w:trHeight w:val="355"/>
          <w:jc w:val="center"/>
        </w:trPr>
        <w:tc>
          <w:tcPr>
            <w:tcW w:w="923" w:type="dxa"/>
            <w:tcBorders>
              <w:top w:val="nil"/>
              <w:left w:val="nil"/>
              <w:bottom w:val="nil"/>
              <w:right w:val="nil"/>
            </w:tcBorders>
          </w:tcPr>
          <w:p w14:paraId="44B21716" w14:textId="77777777" w:rsidR="008559ED" w:rsidRPr="00D42166" w:rsidRDefault="008559ED" w:rsidP="006231FA">
            <w:pPr>
              <w:jc w:val="both"/>
              <w:rPr>
                <w:rFonts w:ascii="Arial" w:hAnsi="Arial" w:cs="Arial"/>
                <w:b/>
                <w:bCs/>
              </w:rPr>
            </w:pPr>
            <w:bookmarkStart w:id="1" w:name="FirstAppellant"/>
            <w:r w:rsidRPr="00D42166">
              <w:rPr>
                <w:rFonts w:ascii="Arial" w:hAnsi="Arial" w:cs="Arial"/>
                <w:b/>
                <w:bCs/>
                <w:rtl/>
              </w:rPr>
              <w:t>בעניין:</w:t>
            </w:r>
          </w:p>
        </w:tc>
        <w:tc>
          <w:tcPr>
            <w:tcW w:w="4126" w:type="dxa"/>
            <w:tcBorders>
              <w:top w:val="nil"/>
              <w:left w:val="nil"/>
              <w:bottom w:val="nil"/>
              <w:right w:val="nil"/>
            </w:tcBorders>
          </w:tcPr>
          <w:p w14:paraId="7F2C8ACB" w14:textId="77777777" w:rsidR="008559ED" w:rsidRPr="00D42166" w:rsidRDefault="008559ED" w:rsidP="003E0C9F">
            <w:pPr>
              <w:rPr>
                <w:rFonts w:ascii="Arial" w:hAnsi="Arial" w:cs="Arial"/>
                <w:b/>
                <w:bCs/>
              </w:rPr>
            </w:pPr>
            <w:r w:rsidRPr="00D42166">
              <w:rPr>
                <w:rFonts w:ascii="Arial" w:hAnsi="Arial" w:cs="Arial"/>
                <w:b/>
                <w:bCs/>
                <w:rtl/>
              </w:rPr>
              <w:t>מדינת ישראל</w:t>
            </w:r>
          </w:p>
        </w:tc>
        <w:tc>
          <w:tcPr>
            <w:tcW w:w="3771" w:type="dxa"/>
            <w:tcBorders>
              <w:top w:val="nil"/>
              <w:left w:val="nil"/>
              <w:bottom w:val="nil"/>
              <w:right w:val="nil"/>
            </w:tcBorders>
          </w:tcPr>
          <w:p w14:paraId="6AD5997C" w14:textId="77777777" w:rsidR="008559ED" w:rsidRPr="00D42166" w:rsidRDefault="008559ED" w:rsidP="006231FA">
            <w:pPr>
              <w:jc w:val="both"/>
              <w:rPr>
                <w:rFonts w:ascii="Arial" w:hAnsi="Arial" w:cs="Arial"/>
                <w:b/>
                <w:bCs/>
              </w:rPr>
            </w:pPr>
          </w:p>
        </w:tc>
      </w:tr>
      <w:bookmarkEnd w:id="1"/>
      <w:tr w:rsidR="008559ED" w:rsidRPr="00D42166" w14:paraId="5EEA3A22" w14:textId="77777777">
        <w:trPr>
          <w:trHeight w:val="355"/>
          <w:jc w:val="center"/>
        </w:trPr>
        <w:tc>
          <w:tcPr>
            <w:tcW w:w="923" w:type="dxa"/>
            <w:tcBorders>
              <w:top w:val="nil"/>
              <w:left w:val="nil"/>
              <w:bottom w:val="nil"/>
              <w:right w:val="nil"/>
            </w:tcBorders>
          </w:tcPr>
          <w:p w14:paraId="5EF8FAC6" w14:textId="77777777" w:rsidR="008559ED" w:rsidRPr="00D42166" w:rsidRDefault="008559ED" w:rsidP="006231FA">
            <w:pPr>
              <w:jc w:val="both"/>
              <w:rPr>
                <w:rFonts w:ascii="Arial" w:hAnsi="Arial" w:cs="Arial"/>
                <w:b/>
                <w:bCs/>
              </w:rPr>
            </w:pPr>
          </w:p>
        </w:tc>
        <w:tc>
          <w:tcPr>
            <w:tcW w:w="4126" w:type="dxa"/>
            <w:tcBorders>
              <w:top w:val="nil"/>
              <w:left w:val="nil"/>
              <w:bottom w:val="nil"/>
              <w:right w:val="nil"/>
            </w:tcBorders>
          </w:tcPr>
          <w:p w14:paraId="10B96256" w14:textId="77777777" w:rsidR="008559ED" w:rsidRPr="00D42166" w:rsidRDefault="008559ED" w:rsidP="006231FA">
            <w:pPr>
              <w:jc w:val="both"/>
              <w:rPr>
                <w:rFonts w:ascii="Arial" w:hAnsi="Arial" w:cs="Arial"/>
                <w:b/>
                <w:bCs/>
              </w:rPr>
            </w:pPr>
          </w:p>
        </w:tc>
        <w:tc>
          <w:tcPr>
            <w:tcW w:w="3771" w:type="dxa"/>
            <w:tcBorders>
              <w:top w:val="nil"/>
              <w:left w:val="nil"/>
              <w:bottom w:val="nil"/>
              <w:right w:val="nil"/>
            </w:tcBorders>
          </w:tcPr>
          <w:p w14:paraId="32FE4001" w14:textId="77777777" w:rsidR="008559ED" w:rsidRPr="00D42166" w:rsidRDefault="008559ED" w:rsidP="00DD06F0">
            <w:pPr>
              <w:rPr>
                <w:rFonts w:ascii="Arial" w:hAnsi="Arial" w:cs="Arial"/>
                <w:b/>
                <w:bCs/>
              </w:rPr>
            </w:pPr>
            <w:r w:rsidRPr="00D42166">
              <w:rPr>
                <w:rFonts w:ascii="Arial" w:hAnsi="Arial" w:cs="Arial"/>
                <w:b/>
                <w:bCs/>
                <w:rtl/>
              </w:rPr>
              <w:t>המאשימה</w:t>
            </w:r>
          </w:p>
        </w:tc>
      </w:tr>
      <w:tr w:rsidR="008559ED" w:rsidRPr="00D42166" w14:paraId="325C69BA" w14:textId="77777777">
        <w:trPr>
          <w:trHeight w:val="355"/>
          <w:jc w:val="center"/>
        </w:trPr>
        <w:tc>
          <w:tcPr>
            <w:tcW w:w="923" w:type="dxa"/>
            <w:tcBorders>
              <w:top w:val="nil"/>
              <w:left w:val="nil"/>
              <w:bottom w:val="nil"/>
              <w:right w:val="nil"/>
            </w:tcBorders>
          </w:tcPr>
          <w:p w14:paraId="5AC50709" w14:textId="77777777" w:rsidR="008559ED" w:rsidRPr="00D42166" w:rsidRDefault="008559ED" w:rsidP="006231FA">
            <w:pPr>
              <w:jc w:val="both"/>
              <w:rPr>
                <w:rFonts w:ascii="Arial" w:hAnsi="Arial" w:cs="Arial"/>
                <w:b/>
                <w:bCs/>
              </w:rPr>
            </w:pPr>
          </w:p>
        </w:tc>
        <w:tc>
          <w:tcPr>
            <w:tcW w:w="7897" w:type="dxa"/>
            <w:gridSpan w:val="2"/>
            <w:tcBorders>
              <w:top w:val="nil"/>
              <w:left w:val="nil"/>
              <w:bottom w:val="nil"/>
              <w:right w:val="nil"/>
            </w:tcBorders>
          </w:tcPr>
          <w:p w14:paraId="53ABD88F" w14:textId="77777777" w:rsidR="008559ED" w:rsidRPr="00D42166" w:rsidRDefault="008559ED" w:rsidP="006231FA">
            <w:pPr>
              <w:jc w:val="center"/>
              <w:rPr>
                <w:rFonts w:ascii="Arial" w:hAnsi="Arial" w:cs="Arial"/>
                <w:b/>
                <w:bCs/>
                <w:rtl/>
              </w:rPr>
            </w:pPr>
          </w:p>
          <w:p w14:paraId="029FBC32" w14:textId="77777777" w:rsidR="008559ED" w:rsidRPr="00D42166" w:rsidRDefault="008559ED" w:rsidP="006231FA">
            <w:pPr>
              <w:jc w:val="center"/>
              <w:rPr>
                <w:rFonts w:ascii="Arial" w:hAnsi="Arial" w:cs="Arial"/>
                <w:b/>
                <w:bCs/>
                <w:rtl/>
              </w:rPr>
            </w:pPr>
            <w:r w:rsidRPr="00D42166">
              <w:rPr>
                <w:rFonts w:ascii="Arial" w:hAnsi="Arial" w:cs="Arial"/>
                <w:b/>
                <w:bCs/>
                <w:rtl/>
              </w:rPr>
              <w:t>נגד</w:t>
            </w:r>
          </w:p>
          <w:p w14:paraId="45038043" w14:textId="77777777" w:rsidR="008559ED" w:rsidRPr="00D42166" w:rsidRDefault="008559ED" w:rsidP="006231FA">
            <w:pPr>
              <w:jc w:val="both"/>
              <w:rPr>
                <w:rFonts w:ascii="Arial" w:hAnsi="Arial" w:cs="Arial"/>
                <w:b/>
                <w:bCs/>
              </w:rPr>
            </w:pPr>
          </w:p>
        </w:tc>
      </w:tr>
      <w:tr w:rsidR="008559ED" w:rsidRPr="00D42166" w14:paraId="6DFF47DE" w14:textId="77777777">
        <w:trPr>
          <w:trHeight w:val="355"/>
          <w:jc w:val="center"/>
        </w:trPr>
        <w:tc>
          <w:tcPr>
            <w:tcW w:w="923" w:type="dxa"/>
            <w:tcBorders>
              <w:top w:val="nil"/>
              <w:left w:val="nil"/>
              <w:bottom w:val="nil"/>
              <w:right w:val="nil"/>
            </w:tcBorders>
          </w:tcPr>
          <w:p w14:paraId="1E50D7D1" w14:textId="77777777" w:rsidR="008559ED" w:rsidRPr="00D42166" w:rsidRDefault="008559ED" w:rsidP="003E0C9F">
            <w:pPr>
              <w:rPr>
                <w:rFonts w:ascii="Arial" w:hAnsi="Arial" w:cs="Arial"/>
                <w:b/>
                <w:bCs/>
              </w:rPr>
            </w:pPr>
          </w:p>
        </w:tc>
        <w:tc>
          <w:tcPr>
            <w:tcW w:w="4126" w:type="dxa"/>
            <w:tcBorders>
              <w:top w:val="nil"/>
              <w:left w:val="nil"/>
              <w:bottom w:val="nil"/>
              <w:right w:val="nil"/>
            </w:tcBorders>
          </w:tcPr>
          <w:p w14:paraId="1E743F33" w14:textId="77777777" w:rsidR="008559ED" w:rsidRPr="00D42166" w:rsidRDefault="008559ED" w:rsidP="003E0C9F">
            <w:pPr>
              <w:rPr>
                <w:rFonts w:ascii="Arial" w:hAnsi="Arial" w:cs="Arial"/>
                <w:b/>
                <w:bCs/>
                <w:rtl/>
              </w:rPr>
            </w:pPr>
            <w:r w:rsidRPr="00D42166">
              <w:rPr>
                <w:rFonts w:ascii="Arial" w:hAnsi="Arial" w:cs="Arial"/>
                <w:b/>
                <w:bCs/>
                <w:rtl/>
              </w:rPr>
              <w:t>1.אחמד עיסא (עציר)</w:t>
            </w:r>
          </w:p>
          <w:p w14:paraId="6CA94BEF" w14:textId="77777777" w:rsidR="008559ED" w:rsidRPr="00D42166" w:rsidRDefault="008559ED" w:rsidP="003E0C9F">
            <w:pPr>
              <w:rPr>
                <w:rFonts w:ascii="Arial" w:hAnsi="Arial" w:cs="Arial"/>
                <w:b/>
                <w:bCs/>
                <w:rtl/>
              </w:rPr>
            </w:pPr>
            <w:r w:rsidRPr="00D42166">
              <w:rPr>
                <w:rFonts w:ascii="Arial" w:hAnsi="Arial" w:cs="Arial"/>
                <w:b/>
                <w:bCs/>
                <w:rtl/>
              </w:rPr>
              <w:t>2.נידאל נזאל (עציר)</w:t>
            </w:r>
          </w:p>
          <w:p w14:paraId="35D309CF" w14:textId="77777777" w:rsidR="008559ED" w:rsidRPr="00D42166" w:rsidRDefault="008559ED" w:rsidP="003E0C9F">
            <w:pPr>
              <w:rPr>
                <w:rFonts w:ascii="Arial" w:hAnsi="Arial" w:cs="Arial"/>
                <w:b/>
                <w:bCs/>
                <w:rtl/>
              </w:rPr>
            </w:pPr>
            <w:r w:rsidRPr="00D42166">
              <w:rPr>
                <w:rFonts w:ascii="Arial" w:hAnsi="Arial" w:cs="Arial"/>
                <w:b/>
                <w:bCs/>
                <w:rtl/>
              </w:rPr>
              <w:t>3.פורס ריאן (עציר)</w:t>
            </w:r>
          </w:p>
          <w:p w14:paraId="7C2C18F2" w14:textId="77777777" w:rsidR="008559ED" w:rsidRPr="00D42166" w:rsidRDefault="008559ED" w:rsidP="003E0C9F">
            <w:pPr>
              <w:rPr>
                <w:rFonts w:ascii="Arial" w:hAnsi="Arial" w:cs="Arial"/>
                <w:b/>
                <w:bCs/>
                <w:rtl/>
              </w:rPr>
            </w:pPr>
            <w:r w:rsidRPr="00D42166">
              <w:rPr>
                <w:rFonts w:ascii="Arial" w:hAnsi="Arial" w:cs="Arial"/>
                <w:b/>
                <w:bCs/>
                <w:rtl/>
              </w:rPr>
              <w:t>4.אחמד עיסא (עציר)</w:t>
            </w:r>
          </w:p>
          <w:p w14:paraId="42C5F872" w14:textId="77777777" w:rsidR="008559ED" w:rsidRPr="00D42166" w:rsidRDefault="008559ED" w:rsidP="003E0C9F">
            <w:pPr>
              <w:rPr>
                <w:rFonts w:ascii="Arial" w:hAnsi="Arial" w:cs="Arial"/>
                <w:b/>
                <w:bCs/>
                <w:rtl/>
              </w:rPr>
            </w:pPr>
            <w:r w:rsidRPr="00D42166">
              <w:rPr>
                <w:rFonts w:ascii="Arial" w:hAnsi="Arial" w:cs="Arial"/>
                <w:b/>
                <w:bCs/>
                <w:rtl/>
              </w:rPr>
              <w:t>5.ורד בדיר (עציר)</w:t>
            </w:r>
          </w:p>
          <w:p w14:paraId="3FD9030F" w14:textId="77777777" w:rsidR="008559ED" w:rsidRPr="00D42166" w:rsidRDefault="008559ED" w:rsidP="003E0C9F">
            <w:pPr>
              <w:rPr>
                <w:rFonts w:ascii="Arial" w:hAnsi="Arial" w:cs="Arial"/>
                <w:b/>
                <w:bCs/>
                <w:rtl/>
              </w:rPr>
            </w:pPr>
            <w:r w:rsidRPr="00D42166">
              <w:rPr>
                <w:rFonts w:ascii="Arial" w:hAnsi="Arial" w:cs="Arial"/>
                <w:b/>
                <w:bCs/>
                <w:rtl/>
              </w:rPr>
              <w:t>6.פאדי עיסא (עציר)</w:t>
            </w:r>
          </w:p>
          <w:p w14:paraId="03572188" w14:textId="77777777" w:rsidR="008559ED" w:rsidRPr="00D42166" w:rsidRDefault="008559ED" w:rsidP="003E0C9F">
            <w:pPr>
              <w:rPr>
                <w:rFonts w:ascii="Arial" w:hAnsi="Arial" w:cs="Arial"/>
                <w:b/>
                <w:bCs/>
                <w:rtl/>
              </w:rPr>
            </w:pPr>
            <w:r w:rsidRPr="00D42166">
              <w:rPr>
                <w:rFonts w:ascii="Arial" w:hAnsi="Arial" w:cs="Arial"/>
                <w:b/>
                <w:bCs/>
                <w:rtl/>
              </w:rPr>
              <w:t>7.אחמד בדיר (עציר)</w:t>
            </w:r>
          </w:p>
          <w:p w14:paraId="40AE1208" w14:textId="77777777" w:rsidR="008559ED" w:rsidRPr="00D42166" w:rsidRDefault="008559ED" w:rsidP="003E0C9F">
            <w:pPr>
              <w:rPr>
                <w:rFonts w:ascii="Arial" w:hAnsi="Arial" w:cs="Arial"/>
                <w:b/>
                <w:bCs/>
                <w:rtl/>
              </w:rPr>
            </w:pPr>
            <w:r w:rsidRPr="00D42166">
              <w:rPr>
                <w:rFonts w:ascii="Arial" w:hAnsi="Arial" w:cs="Arial"/>
                <w:b/>
                <w:bCs/>
                <w:rtl/>
              </w:rPr>
              <w:t>8.בילאל ריאן (עציר)</w:t>
            </w:r>
          </w:p>
          <w:p w14:paraId="70F69C83" w14:textId="77777777" w:rsidR="008559ED" w:rsidRPr="00D42166" w:rsidRDefault="008559ED" w:rsidP="003E0C9F">
            <w:pPr>
              <w:rPr>
                <w:rFonts w:ascii="Arial" w:hAnsi="Arial" w:cs="Arial"/>
                <w:b/>
                <w:bCs/>
                <w:rtl/>
              </w:rPr>
            </w:pPr>
            <w:r w:rsidRPr="00D42166">
              <w:rPr>
                <w:rFonts w:ascii="Arial" w:hAnsi="Arial" w:cs="Arial"/>
                <w:b/>
                <w:bCs/>
                <w:rtl/>
              </w:rPr>
              <w:t>9.מועין בדיר (עציר)</w:t>
            </w:r>
          </w:p>
          <w:p w14:paraId="3FDF451A" w14:textId="77777777" w:rsidR="008559ED" w:rsidRPr="00D42166" w:rsidRDefault="008559ED" w:rsidP="003E0C9F">
            <w:pPr>
              <w:rPr>
                <w:rFonts w:ascii="Arial" w:hAnsi="Arial" w:cs="Arial"/>
                <w:b/>
                <w:bCs/>
                <w:rtl/>
              </w:rPr>
            </w:pPr>
            <w:r w:rsidRPr="00D42166">
              <w:rPr>
                <w:rFonts w:ascii="Arial" w:hAnsi="Arial" w:cs="Arial"/>
                <w:b/>
                <w:bCs/>
                <w:rtl/>
              </w:rPr>
              <w:t>10.מוחמד בדיר (עציר)</w:t>
            </w:r>
          </w:p>
          <w:p w14:paraId="736AC57E" w14:textId="77777777" w:rsidR="008559ED" w:rsidRPr="00D42166" w:rsidRDefault="008559ED" w:rsidP="003E0C9F">
            <w:pPr>
              <w:rPr>
                <w:rFonts w:ascii="Arial" w:hAnsi="Arial" w:cs="Arial"/>
                <w:b/>
                <w:bCs/>
                <w:rtl/>
              </w:rPr>
            </w:pPr>
            <w:r w:rsidRPr="00D42166">
              <w:rPr>
                <w:rFonts w:ascii="Arial" w:hAnsi="Arial" w:cs="Arial"/>
                <w:b/>
                <w:bCs/>
                <w:rtl/>
              </w:rPr>
              <w:t>11.מוחמד דסוקי (עציר)</w:t>
            </w:r>
          </w:p>
          <w:p w14:paraId="622764D0" w14:textId="77777777" w:rsidR="008559ED" w:rsidRPr="00D42166" w:rsidRDefault="008559ED" w:rsidP="003E0C9F">
            <w:pPr>
              <w:rPr>
                <w:rFonts w:ascii="Arial" w:hAnsi="Arial" w:cs="Arial"/>
                <w:b/>
                <w:bCs/>
                <w:rtl/>
              </w:rPr>
            </w:pPr>
            <w:r w:rsidRPr="00D42166">
              <w:rPr>
                <w:rFonts w:ascii="Arial" w:hAnsi="Arial" w:cs="Arial"/>
                <w:b/>
                <w:bCs/>
                <w:rtl/>
              </w:rPr>
              <w:t>12.חביב אשקר (עציר)</w:t>
            </w:r>
          </w:p>
          <w:p w14:paraId="1C536B16" w14:textId="77777777" w:rsidR="008559ED" w:rsidRPr="00D42166" w:rsidRDefault="008559ED" w:rsidP="003E0C9F">
            <w:pPr>
              <w:rPr>
                <w:rFonts w:ascii="Arial" w:hAnsi="Arial" w:cs="Arial"/>
                <w:b/>
                <w:bCs/>
                <w:rtl/>
              </w:rPr>
            </w:pPr>
            <w:r w:rsidRPr="00D42166">
              <w:rPr>
                <w:rFonts w:ascii="Arial" w:hAnsi="Arial" w:cs="Arial"/>
                <w:b/>
                <w:bCs/>
                <w:rtl/>
              </w:rPr>
              <w:t>13.מוחמד סרסור (עציר)</w:t>
            </w:r>
          </w:p>
          <w:p w14:paraId="473FF792" w14:textId="77777777" w:rsidR="008559ED" w:rsidRPr="00D42166" w:rsidRDefault="008559ED" w:rsidP="003E0C9F">
            <w:pPr>
              <w:rPr>
                <w:rFonts w:ascii="Arial" w:hAnsi="Arial" w:cs="Arial"/>
                <w:b/>
                <w:bCs/>
                <w:rtl/>
              </w:rPr>
            </w:pPr>
            <w:r w:rsidRPr="00D42166">
              <w:rPr>
                <w:rFonts w:ascii="Arial" w:hAnsi="Arial" w:cs="Arial"/>
                <w:b/>
                <w:bCs/>
                <w:rtl/>
              </w:rPr>
              <w:t>14.ואחיד עיסא (עציר)</w:t>
            </w:r>
          </w:p>
          <w:p w14:paraId="7C0967F0" w14:textId="77777777" w:rsidR="008559ED" w:rsidRPr="00D42166" w:rsidRDefault="008559ED" w:rsidP="00D84694">
            <w:pPr>
              <w:rPr>
                <w:rFonts w:ascii="Arial" w:hAnsi="Arial" w:cs="Arial"/>
                <w:b/>
                <w:bCs/>
              </w:rPr>
            </w:pPr>
            <w:r w:rsidRPr="00D42166">
              <w:rPr>
                <w:rFonts w:ascii="Arial" w:hAnsi="Arial" w:cs="Arial"/>
                <w:b/>
                <w:bCs/>
                <w:rtl/>
              </w:rPr>
              <w:t>15.חמזי אבו ג'אבר</w:t>
            </w:r>
          </w:p>
        </w:tc>
        <w:tc>
          <w:tcPr>
            <w:tcW w:w="3771" w:type="dxa"/>
            <w:tcBorders>
              <w:top w:val="nil"/>
              <w:left w:val="nil"/>
              <w:bottom w:val="nil"/>
              <w:right w:val="nil"/>
            </w:tcBorders>
          </w:tcPr>
          <w:p w14:paraId="0FE56278" w14:textId="77777777" w:rsidR="008559ED" w:rsidRPr="00D42166" w:rsidRDefault="008559ED" w:rsidP="006231FA">
            <w:pPr>
              <w:jc w:val="right"/>
              <w:rPr>
                <w:rFonts w:ascii="Arial" w:hAnsi="Arial" w:cs="Arial"/>
                <w:b/>
                <w:bCs/>
              </w:rPr>
            </w:pPr>
          </w:p>
        </w:tc>
      </w:tr>
      <w:tr w:rsidR="008559ED" w:rsidRPr="00D42166" w14:paraId="71E77223" w14:textId="77777777">
        <w:trPr>
          <w:trHeight w:val="355"/>
          <w:jc w:val="center"/>
        </w:trPr>
        <w:tc>
          <w:tcPr>
            <w:tcW w:w="923" w:type="dxa"/>
            <w:tcBorders>
              <w:top w:val="nil"/>
              <w:left w:val="nil"/>
              <w:bottom w:val="nil"/>
              <w:right w:val="nil"/>
            </w:tcBorders>
          </w:tcPr>
          <w:p w14:paraId="75750B47" w14:textId="77777777" w:rsidR="008559ED" w:rsidRPr="00D42166" w:rsidRDefault="008559ED" w:rsidP="006231FA">
            <w:pPr>
              <w:jc w:val="both"/>
              <w:rPr>
                <w:rFonts w:ascii="Arial" w:hAnsi="Arial" w:cs="Arial"/>
                <w:b/>
                <w:bCs/>
              </w:rPr>
            </w:pPr>
          </w:p>
        </w:tc>
        <w:tc>
          <w:tcPr>
            <w:tcW w:w="4126" w:type="dxa"/>
            <w:tcBorders>
              <w:top w:val="nil"/>
              <w:left w:val="nil"/>
              <w:bottom w:val="nil"/>
              <w:right w:val="nil"/>
            </w:tcBorders>
          </w:tcPr>
          <w:p w14:paraId="263E97E8" w14:textId="77777777" w:rsidR="008559ED" w:rsidRPr="00D42166" w:rsidRDefault="008559ED" w:rsidP="006231FA">
            <w:pPr>
              <w:jc w:val="both"/>
              <w:rPr>
                <w:rFonts w:ascii="Arial" w:hAnsi="Arial" w:cs="Arial"/>
                <w:b/>
                <w:bCs/>
              </w:rPr>
            </w:pPr>
          </w:p>
        </w:tc>
        <w:tc>
          <w:tcPr>
            <w:tcW w:w="3771" w:type="dxa"/>
            <w:tcBorders>
              <w:top w:val="nil"/>
              <w:left w:val="nil"/>
              <w:bottom w:val="nil"/>
              <w:right w:val="nil"/>
            </w:tcBorders>
          </w:tcPr>
          <w:p w14:paraId="4A567586" w14:textId="77777777" w:rsidR="008559ED" w:rsidRPr="00D42166" w:rsidRDefault="008559ED" w:rsidP="00DD06F0">
            <w:pPr>
              <w:rPr>
                <w:rFonts w:ascii="Arial" w:hAnsi="Arial" w:cs="Arial"/>
                <w:b/>
                <w:bCs/>
              </w:rPr>
            </w:pPr>
            <w:r w:rsidRPr="00D42166">
              <w:rPr>
                <w:rFonts w:ascii="Arial" w:hAnsi="Arial" w:cs="Arial"/>
                <w:b/>
                <w:bCs/>
                <w:rtl/>
              </w:rPr>
              <w:t>הנאשמים</w:t>
            </w:r>
          </w:p>
        </w:tc>
      </w:tr>
    </w:tbl>
    <w:p w14:paraId="5712AE76" w14:textId="77777777" w:rsidR="008559ED" w:rsidRPr="00D42166" w:rsidRDefault="008559ED">
      <w:pPr>
        <w:rPr>
          <w:rFonts w:ascii="Arial" w:hAnsi="Arial" w:cs="Arial"/>
          <w:b/>
          <w:bCs/>
          <w:rtl/>
        </w:rPr>
      </w:pPr>
    </w:p>
    <w:bookmarkEnd w:id="0"/>
    <w:p w14:paraId="02BBC78D" w14:textId="77777777" w:rsidR="008559ED" w:rsidRDefault="008559ED">
      <w:pPr>
        <w:rPr>
          <w:rFonts w:ascii="Arial" w:hAnsi="Arial" w:cs="Arial"/>
          <w:b/>
          <w:bCs/>
          <w:rtl/>
        </w:rPr>
      </w:pPr>
      <w:r>
        <w:rPr>
          <w:rFonts w:ascii="Arial" w:hAnsi="Arial" w:cs="Arial"/>
          <w:b/>
          <w:bCs/>
          <w:rtl/>
        </w:rPr>
        <w:t>נוכחים: ב"כ המאשימה עו"ד לירון שטרית</w:t>
      </w:r>
    </w:p>
    <w:p w14:paraId="78E3282A" w14:textId="77777777" w:rsidR="008559ED" w:rsidRDefault="008559ED">
      <w:pPr>
        <w:rPr>
          <w:rFonts w:ascii="Arial" w:hAnsi="Arial" w:cs="Arial"/>
          <w:b/>
          <w:bCs/>
          <w:rtl/>
        </w:rPr>
      </w:pPr>
      <w:r>
        <w:rPr>
          <w:rFonts w:ascii="Arial" w:hAnsi="Arial" w:cs="Arial"/>
          <w:b/>
          <w:bCs/>
          <w:rtl/>
        </w:rPr>
        <w:tab/>
        <w:t>ב"כ הנאשם 2 עו"ד ניל סיימון</w:t>
      </w:r>
    </w:p>
    <w:p w14:paraId="3D88B917" w14:textId="77777777" w:rsidR="008559ED" w:rsidRPr="00D84694" w:rsidRDefault="008559ED">
      <w:pPr>
        <w:rPr>
          <w:rFonts w:ascii="Arial" w:hAnsi="Arial" w:cs="Arial"/>
          <w:b/>
          <w:bCs/>
        </w:rPr>
      </w:pPr>
      <w:r>
        <w:rPr>
          <w:rFonts w:ascii="Arial" w:hAnsi="Arial" w:cs="Arial"/>
          <w:b/>
          <w:bCs/>
          <w:rtl/>
        </w:rPr>
        <w:tab/>
        <w:t>הנאשם 2 הובא על ידי שב"ס</w:t>
      </w:r>
      <w:r>
        <w:rPr>
          <w:rFonts w:ascii="Arial" w:hAnsi="Arial" w:cs="Arial"/>
          <w:b/>
          <w:bCs/>
          <w:rtl/>
        </w:rPr>
        <w:br/>
      </w:r>
    </w:p>
    <w:p w14:paraId="41316C11" w14:textId="77777777" w:rsidR="00DF0AC5" w:rsidRPr="00DF0AC5" w:rsidRDefault="00DF0AC5" w:rsidP="00DF0AC5">
      <w:pPr>
        <w:spacing w:after="120" w:line="240" w:lineRule="exact"/>
        <w:ind w:left="283" w:hanging="283"/>
        <w:jc w:val="both"/>
        <w:rPr>
          <w:rFonts w:ascii="FrankRuehl" w:hAnsi="FrankRuehl" w:cs="FrankRuehl"/>
          <w:rtl/>
        </w:rPr>
      </w:pPr>
      <w:r w:rsidRPr="00DF0AC5">
        <w:rPr>
          <w:rFonts w:ascii="FrankRuehl" w:hAnsi="FrankRuehl" w:cs="FrankRuehl"/>
          <w:rtl/>
        </w:rPr>
        <w:t xml:space="preserve">חקיקה שאוזכרה: </w:t>
      </w:r>
    </w:p>
    <w:p w14:paraId="200B914F" w14:textId="77777777" w:rsidR="00DF0AC5" w:rsidRPr="00DF0AC5" w:rsidRDefault="00DF0AC5" w:rsidP="00DF0AC5">
      <w:pPr>
        <w:spacing w:after="120" w:line="240" w:lineRule="exact"/>
        <w:ind w:left="283" w:hanging="283"/>
        <w:jc w:val="both"/>
        <w:rPr>
          <w:rFonts w:ascii="FrankRuehl" w:hAnsi="FrankRuehl" w:cs="FrankRuehl"/>
          <w:rtl/>
        </w:rPr>
      </w:pPr>
      <w:hyperlink r:id="rId7" w:history="1">
        <w:r w:rsidRPr="00DF0AC5">
          <w:rPr>
            <w:rFonts w:ascii="FrankRuehl" w:hAnsi="FrankRuehl" w:cs="FrankRuehl"/>
            <w:color w:val="0000FF"/>
            <w:u w:val="single"/>
            <w:rtl/>
          </w:rPr>
          <w:t>חוק העונשין, תשל"ז-1977</w:t>
        </w:r>
      </w:hyperlink>
      <w:r w:rsidRPr="00DF0AC5">
        <w:rPr>
          <w:rFonts w:ascii="FrankRuehl" w:hAnsi="FrankRuehl" w:cs="FrankRuehl"/>
          <w:rtl/>
        </w:rPr>
        <w:t xml:space="preserve">: סע'  </w:t>
      </w:r>
      <w:hyperlink r:id="rId8" w:history="1">
        <w:r w:rsidRPr="00DF0AC5">
          <w:rPr>
            <w:rFonts w:ascii="FrankRuehl" w:hAnsi="FrankRuehl" w:cs="FrankRuehl"/>
            <w:color w:val="0000FF"/>
            <w:u w:val="single"/>
            <w:rtl/>
          </w:rPr>
          <w:t>25</w:t>
        </w:r>
      </w:hyperlink>
      <w:r w:rsidRPr="00DF0AC5">
        <w:rPr>
          <w:rFonts w:ascii="FrankRuehl" w:hAnsi="FrankRuehl" w:cs="FrankRuehl"/>
          <w:rtl/>
        </w:rPr>
        <w:t xml:space="preserve">, </w:t>
      </w:r>
      <w:hyperlink r:id="rId9" w:history="1">
        <w:r w:rsidRPr="00DF0AC5">
          <w:rPr>
            <w:rFonts w:ascii="FrankRuehl" w:hAnsi="FrankRuehl" w:cs="FrankRuehl"/>
            <w:color w:val="0000FF"/>
            <w:u w:val="single"/>
            <w:rtl/>
          </w:rPr>
          <w:t>40ג</w:t>
        </w:r>
      </w:hyperlink>
      <w:r w:rsidRPr="00DF0AC5">
        <w:rPr>
          <w:rFonts w:ascii="FrankRuehl" w:hAnsi="FrankRuehl" w:cs="FrankRuehl"/>
          <w:rtl/>
        </w:rPr>
        <w:t xml:space="preserve">, </w:t>
      </w:r>
      <w:hyperlink r:id="rId10" w:history="1">
        <w:r w:rsidRPr="00DF0AC5">
          <w:rPr>
            <w:rFonts w:ascii="FrankRuehl" w:hAnsi="FrankRuehl" w:cs="FrankRuehl"/>
            <w:color w:val="0000FF"/>
            <w:u w:val="single"/>
            <w:rtl/>
          </w:rPr>
          <w:t>40ג(ב)</w:t>
        </w:r>
      </w:hyperlink>
      <w:r w:rsidRPr="00DF0AC5">
        <w:rPr>
          <w:rFonts w:ascii="FrankRuehl" w:hAnsi="FrankRuehl" w:cs="FrankRuehl"/>
          <w:rtl/>
        </w:rPr>
        <w:t xml:space="preserve">, </w:t>
      </w:r>
      <w:hyperlink r:id="rId11" w:history="1">
        <w:r w:rsidRPr="00DF0AC5">
          <w:rPr>
            <w:rFonts w:ascii="FrankRuehl" w:hAnsi="FrankRuehl" w:cs="FrankRuehl"/>
            <w:color w:val="0000FF"/>
            <w:u w:val="single"/>
            <w:rtl/>
          </w:rPr>
          <w:t>144</w:t>
        </w:r>
      </w:hyperlink>
      <w:r w:rsidRPr="00DF0AC5">
        <w:rPr>
          <w:rFonts w:ascii="FrankRuehl" w:hAnsi="FrankRuehl" w:cs="FrankRuehl"/>
          <w:rtl/>
        </w:rPr>
        <w:t xml:space="preserve">, </w:t>
      </w:r>
      <w:hyperlink r:id="rId12" w:history="1">
        <w:r w:rsidRPr="00DF0AC5">
          <w:rPr>
            <w:rFonts w:ascii="FrankRuehl" w:hAnsi="FrankRuehl" w:cs="FrankRuehl"/>
            <w:color w:val="0000FF"/>
            <w:u w:val="single"/>
            <w:rtl/>
          </w:rPr>
          <w:t>144(ב2)</w:t>
        </w:r>
      </w:hyperlink>
      <w:r w:rsidRPr="00DF0AC5">
        <w:rPr>
          <w:rFonts w:ascii="FrankRuehl" w:hAnsi="FrankRuehl" w:cs="FrankRuehl"/>
          <w:rtl/>
        </w:rPr>
        <w:t xml:space="preserve">, </w:t>
      </w:r>
      <w:hyperlink r:id="rId13" w:history="1">
        <w:r w:rsidRPr="00DF0AC5">
          <w:rPr>
            <w:rFonts w:ascii="FrankRuehl" w:hAnsi="FrankRuehl" w:cs="FrankRuehl"/>
            <w:color w:val="0000FF"/>
            <w:u w:val="single"/>
            <w:rtl/>
          </w:rPr>
          <w:t>40יג.</w:t>
        </w:r>
      </w:hyperlink>
    </w:p>
    <w:p w14:paraId="76D241F6" w14:textId="77777777" w:rsidR="00DF0AC5" w:rsidRPr="00DF0AC5" w:rsidRDefault="00DF0AC5" w:rsidP="00DF0AC5">
      <w:pPr>
        <w:spacing w:after="120" w:line="240" w:lineRule="exact"/>
        <w:ind w:left="283" w:hanging="283"/>
        <w:jc w:val="both"/>
        <w:rPr>
          <w:rFonts w:ascii="FrankRuehl" w:hAnsi="FrankRuehl" w:cs="FrankRuehl"/>
          <w:rtl/>
        </w:rPr>
      </w:pPr>
    </w:p>
    <w:p w14:paraId="7B397865" w14:textId="77777777" w:rsidR="00736CDD" w:rsidRDefault="00736CDD" w:rsidP="00736CDD">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2" w:name="ABSTRACT_START"/>
      <w:bookmarkEnd w:id="2"/>
      <w:r>
        <w:rPr>
          <w:rFonts w:ascii="Times New Roman" w:hAnsi="Times New Roman" w:cs="FrankRuehl"/>
          <w:sz w:val="24"/>
          <w:szCs w:val="26"/>
          <w:rtl/>
        </w:rPr>
        <w:t>מיני-רציו:</w:t>
      </w:r>
    </w:p>
    <w:p w14:paraId="66CCA89C" w14:textId="77777777" w:rsidR="00736CDD" w:rsidRPr="00736CDD" w:rsidRDefault="00736CDD" w:rsidP="00736CDD">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736CDD">
        <w:rPr>
          <w:rFonts w:ascii="Times New Roman" w:hAnsi="Times New Roman" w:cs="FrankRuehl" w:hint="cs"/>
          <w:sz w:val="24"/>
          <w:szCs w:val="26"/>
          <w:rtl/>
        </w:rPr>
        <w:t xml:space="preserve">ביהמ"ש גזר את דינו של הנאשם, שהורשע בעבירות נשק בשבעה אישומים שונים, והשית עליו במצטבר </w:t>
      </w:r>
      <w:r w:rsidRPr="00736CDD">
        <w:rPr>
          <w:rFonts w:ascii="Times New Roman" w:hAnsi="Times New Roman" w:cs="FrankRuehl"/>
          <w:sz w:val="24"/>
          <w:szCs w:val="26"/>
          <w:rtl/>
        </w:rPr>
        <w:t>57 חודשי מאסר בפועל</w:t>
      </w:r>
      <w:r w:rsidRPr="00736CDD">
        <w:rPr>
          <w:rFonts w:ascii="Times New Roman" w:hAnsi="Times New Roman" w:cs="FrankRuehl" w:hint="cs"/>
          <w:sz w:val="24"/>
          <w:szCs w:val="26"/>
          <w:rtl/>
        </w:rPr>
        <w:t>, 8</w:t>
      </w:r>
      <w:r w:rsidRPr="00736CDD">
        <w:rPr>
          <w:rFonts w:ascii="Times New Roman" w:hAnsi="Times New Roman" w:cs="FrankRuehl"/>
          <w:sz w:val="24"/>
          <w:szCs w:val="26"/>
          <w:rtl/>
        </w:rPr>
        <w:t xml:space="preserve"> חודשי מאסר על תנאי </w:t>
      </w:r>
      <w:r w:rsidRPr="00736CDD">
        <w:rPr>
          <w:rFonts w:ascii="Times New Roman" w:hAnsi="Times New Roman" w:cs="FrankRuehl" w:hint="cs"/>
          <w:sz w:val="24"/>
          <w:szCs w:val="26"/>
          <w:rtl/>
        </w:rPr>
        <w:t>ו</w:t>
      </w:r>
      <w:r w:rsidRPr="00736CDD">
        <w:rPr>
          <w:rFonts w:ascii="Times New Roman" w:hAnsi="Times New Roman" w:cs="FrankRuehl"/>
          <w:sz w:val="24"/>
          <w:szCs w:val="26"/>
          <w:rtl/>
        </w:rPr>
        <w:t>קנס בסך 70,000</w:t>
      </w:r>
      <w:r w:rsidRPr="00736CDD">
        <w:rPr>
          <w:rFonts w:ascii="Times New Roman" w:hAnsi="Times New Roman" w:cs="FrankRuehl" w:hint="cs"/>
          <w:sz w:val="24"/>
          <w:szCs w:val="26"/>
          <w:rtl/>
        </w:rPr>
        <w:t xml:space="preserve"> </w:t>
      </w:r>
      <w:r w:rsidRPr="00736CDD">
        <w:rPr>
          <w:rFonts w:ascii="Times New Roman" w:hAnsi="Times New Roman" w:cs="FrankRuehl"/>
          <w:sz w:val="24"/>
          <w:szCs w:val="26"/>
          <w:rtl/>
        </w:rPr>
        <w:t>₪</w:t>
      </w:r>
      <w:r w:rsidRPr="00736CDD">
        <w:rPr>
          <w:rFonts w:ascii="Times New Roman" w:hAnsi="Times New Roman" w:cs="FrankRuehl" w:hint="cs"/>
          <w:sz w:val="24"/>
          <w:szCs w:val="26"/>
          <w:rtl/>
        </w:rPr>
        <w:t>.</w:t>
      </w:r>
    </w:p>
    <w:p w14:paraId="546D547E" w14:textId="77777777" w:rsidR="00736CDD" w:rsidRDefault="00736CDD" w:rsidP="00736CDD">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14:paraId="014F4E3A" w14:textId="77777777" w:rsidR="00736CDD" w:rsidRDefault="00736CDD" w:rsidP="00736CDD">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A78C27D" w14:textId="77777777" w:rsidR="00842D66" w:rsidRPr="00736CDD" w:rsidRDefault="00842D66" w:rsidP="00736CDD">
      <w:pPr>
        <w:pBdr>
          <w:top w:val="single" w:sz="4" w:space="1" w:color="auto"/>
          <w:bottom w:val="single" w:sz="4" w:space="1" w:color="auto"/>
        </w:pBdr>
        <w:spacing w:after="120" w:line="320" w:lineRule="exact"/>
        <w:jc w:val="both"/>
        <w:rPr>
          <w:rFonts w:cs="FrankRuehl" w:hint="cs"/>
          <w:szCs w:val="26"/>
          <w:rtl/>
        </w:rPr>
      </w:pPr>
      <w:r w:rsidRPr="00736CDD">
        <w:rPr>
          <w:rFonts w:cs="FrankRuehl"/>
          <w:szCs w:val="26"/>
          <w:rtl/>
        </w:rPr>
        <w:t xml:space="preserve">הנאשם </w:t>
      </w:r>
      <w:r w:rsidRPr="00736CDD">
        <w:rPr>
          <w:rFonts w:cs="FrankRuehl" w:hint="cs"/>
          <w:szCs w:val="26"/>
          <w:rtl/>
        </w:rPr>
        <w:t>הורשע ע"פ הודאתו, בשבעה אישומים</w:t>
      </w:r>
      <w:r w:rsidRPr="00736CDD">
        <w:rPr>
          <w:rFonts w:cs="FrankRuehl"/>
          <w:szCs w:val="26"/>
          <w:rtl/>
        </w:rPr>
        <w:t xml:space="preserve"> </w:t>
      </w:r>
      <w:r w:rsidRPr="00736CDD">
        <w:rPr>
          <w:rFonts w:cs="FrankRuehl" w:hint="cs"/>
          <w:szCs w:val="26"/>
          <w:rtl/>
        </w:rPr>
        <w:t xml:space="preserve">הכוללים </w:t>
      </w:r>
      <w:r w:rsidRPr="00736CDD">
        <w:rPr>
          <w:rFonts w:cs="FrankRuehl"/>
          <w:szCs w:val="26"/>
          <w:rtl/>
        </w:rPr>
        <w:t xml:space="preserve">עבירות </w:t>
      </w:r>
      <w:r w:rsidRPr="00736CDD">
        <w:rPr>
          <w:rFonts w:cs="FrankRuehl" w:hint="cs"/>
          <w:szCs w:val="26"/>
          <w:rtl/>
        </w:rPr>
        <w:t>נשק מסוגים שונים.</w:t>
      </w:r>
    </w:p>
    <w:p w14:paraId="65CA10D2" w14:textId="77777777" w:rsidR="00736CDD" w:rsidRDefault="00736CDD" w:rsidP="00736CD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13F444AC" w14:textId="77777777" w:rsidR="00842D66" w:rsidRPr="00736CDD" w:rsidRDefault="00842D66" w:rsidP="00736CDD">
      <w:pPr>
        <w:pBdr>
          <w:top w:val="single" w:sz="4" w:space="1" w:color="auto"/>
          <w:bottom w:val="single" w:sz="4" w:space="1" w:color="auto"/>
        </w:pBdr>
        <w:spacing w:after="120" w:line="320" w:lineRule="exact"/>
        <w:jc w:val="both"/>
        <w:rPr>
          <w:rFonts w:cs="FrankRuehl" w:hint="cs"/>
          <w:szCs w:val="26"/>
          <w:rtl/>
        </w:rPr>
      </w:pPr>
      <w:r w:rsidRPr="00736CDD">
        <w:rPr>
          <w:rFonts w:cs="FrankRuehl"/>
          <w:szCs w:val="26"/>
          <w:rtl/>
        </w:rPr>
        <w:t>בית המשפט המחוזי</w:t>
      </w:r>
      <w:r w:rsidRPr="00736CDD">
        <w:rPr>
          <w:rFonts w:cs="FrankRuehl" w:hint="cs"/>
          <w:szCs w:val="26"/>
          <w:rtl/>
        </w:rPr>
        <w:t xml:space="preserve"> גזר את הדין ופסק:</w:t>
      </w:r>
    </w:p>
    <w:p w14:paraId="1CFB420B" w14:textId="77777777" w:rsidR="00842D66" w:rsidRPr="00736CDD" w:rsidRDefault="00842D66" w:rsidP="00736CDD">
      <w:pPr>
        <w:pBdr>
          <w:top w:val="single" w:sz="4" w:space="1" w:color="auto"/>
          <w:bottom w:val="single" w:sz="4" w:space="1" w:color="auto"/>
        </w:pBdr>
        <w:spacing w:after="120" w:line="320" w:lineRule="exact"/>
        <w:jc w:val="both"/>
        <w:rPr>
          <w:rFonts w:cs="FrankRuehl" w:hint="cs"/>
          <w:szCs w:val="26"/>
          <w:rtl/>
        </w:rPr>
      </w:pPr>
      <w:r w:rsidRPr="00736CDD">
        <w:rPr>
          <w:rFonts w:cs="FrankRuehl"/>
          <w:szCs w:val="26"/>
          <w:rtl/>
        </w:rPr>
        <w:t>זמינותם</w:t>
      </w:r>
      <w:r w:rsidRPr="00736CDD">
        <w:rPr>
          <w:rFonts w:cs="FrankRuehl" w:hint="cs"/>
          <w:szCs w:val="26"/>
          <w:rtl/>
        </w:rPr>
        <w:t xml:space="preserve"> </w:t>
      </w:r>
      <w:r w:rsidRPr="00736CDD">
        <w:rPr>
          <w:rFonts w:cs="FrankRuehl"/>
          <w:szCs w:val="26"/>
          <w:rtl/>
        </w:rPr>
        <w:t>של</w:t>
      </w:r>
      <w:r w:rsidRPr="00736CDD">
        <w:rPr>
          <w:rFonts w:cs="FrankRuehl" w:hint="cs"/>
          <w:szCs w:val="26"/>
          <w:rtl/>
        </w:rPr>
        <w:t xml:space="preserve"> </w:t>
      </w:r>
      <w:r w:rsidRPr="00736CDD">
        <w:rPr>
          <w:rFonts w:cs="FrankRuehl"/>
          <w:szCs w:val="26"/>
          <w:rtl/>
        </w:rPr>
        <w:t>כלי</w:t>
      </w:r>
      <w:r w:rsidRPr="00736CDD">
        <w:rPr>
          <w:rFonts w:cs="FrankRuehl" w:hint="cs"/>
          <w:szCs w:val="26"/>
          <w:rtl/>
        </w:rPr>
        <w:t xml:space="preserve"> </w:t>
      </w:r>
      <w:r w:rsidRPr="00736CDD">
        <w:rPr>
          <w:rFonts w:cs="FrankRuehl"/>
          <w:szCs w:val="26"/>
          <w:rtl/>
        </w:rPr>
        <w:t>הנשק</w:t>
      </w:r>
      <w:r w:rsidRPr="00736CDD">
        <w:rPr>
          <w:rFonts w:cs="FrankRuehl" w:hint="cs"/>
          <w:szCs w:val="26"/>
          <w:rtl/>
        </w:rPr>
        <w:t xml:space="preserve"> </w:t>
      </w:r>
      <w:r w:rsidRPr="00736CDD">
        <w:rPr>
          <w:rFonts w:cs="FrankRuehl"/>
          <w:szCs w:val="26"/>
          <w:rtl/>
        </w:rPr>
        <w:t>העוברים</w:t>
      </w:r>
      <w:r w:rsidRPr="00736CDD">
        <w:rPr>
          <w:rFonts w:cs="FrankRuehl" w:hint="cs"/>
          <w:szCs w:val="26"/>
          <w:rtl/>
        </w:rPr>
        <w:t xml:space="preserve"> </w:t>
      </w:r>
      <w:r w:rsidRPr="00736CDD">
        <w:rPr>
          <w:rFonts w:cs="FrankRuehl"/>
          <w:szCs w:val="26"/>
          <w:rtl/>
        </w:rPr>
        <w:t>מיד</w:t>
      </w:r>
      <w:r w:rsidRPr="00736CDD">
        <w:rPr>
          <w:rFonts w:cs="FrankRuehl" w:hint="cs"/>
          <w:szCs w:val="26"/>
          <w:rtl/>
        </w:rPr>
        <w:t xml:space="preserve"> </w:t>
      </w:r>
      <w:r w:rsidRPr="00736CDD">
        <w:rPr>
          <w:rFonts w:cs="FrankRuehl"/>
          <w:szCs w:val="26"/>
          <w:rtl/>
        </w:rPr>
        <w:t>ליד</w:t>
      </w:r>
      <w:r w:rsidRPr="00736CDD">
        <w:rPr>
          <w:rFonts w:cs="FrankRuehl" w:hint="cs"/>
          <w:szCs w:val="26"/>
          <w:rtl/>
        </w:rPr>
        <w:t xml:space="preserve"> </w:t>
      </w:r>
      <w:r w:rsidRPr="00736CDD">
        <w:rPr>
          <w:rFonts w:cs="FrankRuehl"/>
          <w:szCs w:val="26"/>
          <w:rtl/>
        </w:rPr>
        <w:t>תורמים</w:t>
      </w:r>
      <w:r w:rsidRPr="00736CDD">
        <w:rPr>
          <w:rFonts w:cs="FrankRuehl" w:hint="cs"/>
          <w:szCs w:val="26"/>
          <w:rtl/>
        </w:rPr>
        <w:t xml:space="preserve"> </w:t>
      </w:r>
      <w:r w:rsidRPr="00736CDD">
        <w:rPr>
          <w:rFonts w:cs="FrankRuehl"/>
          <w:szCs w:val="26"/>
          <w:rtl/>
        </w:rPr>
        <w:t>להגדלת</w:t>
      </w:r>
      <w:r w:rsidRPr="00736CDD">
        <w:rPr>
          <w:rFonts w:cs="FrankRuehl" w:hint="cs"/>
          <w:szCs w:val="26"/>
          <w:rtl/>
        </w:rPr>
        <w:t xml:space="preserve"> </w:t>
      </w:r>
      <w:r w:rsidRPr="00736CDD">
        <w:rPr>
          <w:rFonts w:cs="FrankRuehl"/>
          <w:szCs w:val="26"/>
          <w:rtl/>
        </w:rPr>
        <w:t>מעגל</w:t>
      </w:r>
      <w:r w:rsidRPr="00736CDD">
        <w:rPr>
          <w:rFonts w:cs="FrankRuehl" w:hint="cs"/>
          <w:szCs w:val="26"/>
          <w:rtl/>
        </w:rPr>
        <w:t xml:space="preserve"> </w:t>
      </w:r>
      <w:r w:rsidRPr="00736CDD">
        <w:rPr>
          <w:rFonts w:cs="FrankRuehl"/>
          <w:szCs w:val="26"/>
          <w:rtl/>
        </w:rPr>
        <w:t>האלימות</w:t>
      </w:r>
      <w:r w:rsidRPr="00736CDD">
        <w:rPr>
          <w:rFonts w:cs="FrankRuehl" w:hint="cs"/>
          <w:szCs w:val="26"/>
          <w:rtl/>
        </w:rPr>
        <w:t xml:space="preserve"> </w:t>
      </w:r>
      <w:r w:rsidRPr="00736CDD">
        <w:rPr>
          <w:rFonts w:cs="FrankRuehl"/>
          <w:szCs w:val="26"/>
          <w:rtl/>
        </w:rPr>
        <w:t>ולתוצאות</w:t>
      </w:r>
      <w:r w:rsidRPr="00736CDD">
        <w:rPr>
          <w:rFonts w:cs="FrankRuehl" w:hint="cs"/>
          <w:szCs w:val="26"/>
          <w:rtl/>
        </w:rPr>
        <w:t xml:space="preserve"> </w:t>
      </w:r>
      <w:r w:rsidRPr="00736CDD">
        <w:rPr>
          <w:rFonts w:cs="FrankRuehl"/>
          <w:szCs w:val="26"/>
          <w:rtl/>
        </w:rPr>
        <w:t>הקשות</w:t>
      </w:r>
      <w:r w:rsidRPr="00736CDD">
        <w:rPr>
          <w:rFonts w:cs="FrankRuehl" w:hint="cs"/>
          <w:szCs w:val="26"/>
          <w:rtl/>
        </w:rPr>
        <w:t xml:space="preserve"> </w:t>
      </w:r>
      <w:r w:rsidRPr="00736CDD">
        <w:rPr>
          <w:rFonts w:cs="FrankRuehl"/>
          <w:szCs w:val="26"/>
          <w:rtl/>
        </w:rPr>
        <w:t>הנובעות</w:t>
      </w:r>
      <w:r w:rsidRPr="00736CDD">
        <w:rPr>
          <w:rFonts w:cs="FrankRuehl" w:hint="cs"/>
          <w:szCs w:val="26"/>
          <w:rtl/>
        </w:rPr>
        <w:t xml:space="preserve"> </w:t>
      </w:r>
      <w:r w:rsidRPr="00736CDD">
        <w:rPr>
          <w:rFonts w:cs="FrankRuehl"/>
          <w:szCs w:val="26"/>
          <w:rtl/>
        </w:rPr>
        <w:t>מכך</w:t>
      </w:r>
      <w:r w:rsidRPr="00736CDD">
        <w:rPr>
          <w:rFonts w:cs="FrankRuehl" w:hint="cs"/>
          <w:szCs w:val="26"/>
          <w:rtl/>
        </w:rPr>
        <w:t>,</w:t>
      </w:r>
      <w:r w:rsidRPr="00736CDD">
        <w:rPr>
          <w:rFonts w:cs="FrankRuehl"/>
          <w:szCs w:val="26"/>
          <w:rtl/>
        </w:rPr>
        <w:t xml:space="preserve"> </w:t>
      </w:r>
      <w:r w:rsidRPr="00736CDD">
        <w:rPr>
          <w:rFonts w:cs="FrankRuehl" w:hint="cs"/>
          <w:szCs w:val="26"/>
          <w:rtl/>
        </w:rPr>
        <w:t>ונקבע</w:t>
      </w:r>
      <w:r w:rsidRPr="00736CDD">
        <w:rPr>
          <w:rFonts w:cs="FrankRuehl"/>
          <w:szCs w:val="26"/>
          <w:rtl/>
        </w:rPr>
        <w:t xml:space="preserve"> כי </w:t>
      </w:r>
      <w:r w:rsidRPr="00736CDD">
        <w:rPr>
          <w:rFonts w:cs="FrankRuehl" w:hint="cs"/>
          <w:szCs w:val="26"/>
          <w:rtl/>
        </w:rPr>
        <w:t>יש</w:t>
      </w:r>
      <w:r w:rsidRPr="00736CDD">
        <w:rPr>
          <w:rFonts w:cs="FrankRuehl"/>
          <w:szCs w:val="26"/>
          <w:rtl/>
        </w:rPr>
        <w:t xml:space="preserve"> להחמיר בענישתם של נאשמים שהורשעו בעבירות נשק בכלל ובעבירות סחר בנשק בפרט </w:t>
      </w:r>
      <w:r w:rsidRPr="00736CDD">
        <w:rPr>
          <w:rFonts w:cs="FrankRuehl" w:hint="cs"/>
          <w:szCs w:val="26"/>
          <w:rtl/>
        </w:rPr>
        <w:t>ו</w:t>
      </w:r>
      <w:r w:rsidRPr="00736CDD">
        <w:rPr>
          <w:rFonts w:cs="FrankRuehl"/>
          <w:szCs w:val="26"/>
          <w:rtl/>
        </w:rPr>
        <w:t>ליתן משקל עודף לאינטרס הציבורי על פני נתוניו האישיים של הנאשם</w:t>
      </w:r>
      <w:r w:rsidRPr="00736CDD">
        <w:rPr>
          <w:rFonts w:cs="FrankRuehl" w:hint="cs"/>
          <w:szCs w:val="26"/>
          <w:rtl/>
        </w:rPr>
        <w:t xml:space="preserve">. </w:t>
      </w:r>
      <w:r w:rsidRPr="00736CDD">
        <w:rPr>
          <w:rFonts w:cs="FrankRuehl"/>
          <w:szCs w:val="26"/>
          <w:rtl/>
        </w:rPr>
        <w:t xml:space="preserve">כל אחד מהאירועים המתוארים בכתב האישום עומד בפני עצמו, </w:t>
      </w:r>
      <w:r w:rsidRPr="00736CDD">
        <w:rPr>
          <w:rFonts w:cs="FrankRuehl" w:hint="cs"/>
          <w:szCs w:val="26"/>
          <w:rtl/>
        </w:rPr>
        <w:t xml:space="preserve">לפיכך נקבעו מתחמי ענישה ועונשים נפרדים לכל אחד מהאישומים, כך שהנאשם ירצה בגין כל העבירות 123 חודשי מאסר בפועל, ומאחר שחלקם ירוצו בחופף, סה"כ ירצה הנאשם </w:t>
      </w:r>
      <w:r w:rsidRPr="00736CDD">
        <w:rPr>
          <w:rFonts w:cs="FrankRuehl"/>
          <w:szCs w:val="26"/>
          <w:rtl/>
        </w:rPr>
        <w:t>57 חודשי מאסר בפועל ממעצרו</w:t>
      </w:r>
      <w:r w:rsidRPr="00736CDD">
        <w:rPr>
          <w:rFonts w:cs="FrankRuehl" w:hint="cs"/>
          <w:szCs w:val="26"/>
          <w:rtl/>
        </w:rPr>
        <w:t>, 8</w:t>
      </w:r>
      <w:r w:rsidRPr="00736CDD">
        <w:rPr>
          <w:rFonts w:cs="FrankRuehl"/>
          <w:szCs w:val="26"/>
          <w:rtl/>
        </w:rPr>
        <w:t xml:space="preserve"> חודשי מאסר על תנאי </w:t>
      </w:r>
      <w:r w:rsidRPr="00736CDD">
        <w:rPr>
          <w:rFonts w:cs="FrankRuehl" w:hint="cs"/>
          <w:szCs w:val="26"/>
          <w:rtl/>
        </w:rPr>
        <w:t>ו</w:t>
      </w:r>
      <w:r w:rsidRPr="00736CDD">
        <w:rPr>
          <w:rFonts w:cs="FrankRuehl"/>
          <w:szCs w:val="26"/>
          <w:rtl/>
        </w:rPr>
        <w:t>קנס בסך 70,000</w:t>
      </w:r>
      <w:r w:rsidRPr="00736CDD">
        <w:rPr>
          <w:rFonts w:cs="FrankRuehl" w:hint="cs"/>
          <w:szCs w:val="26"/>
          <w:rtl/>
        </w:rPr>
        <w:t xml:space="preserve"> </w:t>
      </w:r>
      <w:r w:rsidRPr="00736CDD">
        <w:rPr>
          <w:rFonts w:cs="FrankRuehl"/>
          <w:szCs w:val="26"/>
          <w:rtl/>
        </w:rPr>
        <w:t>₪</w:t>
      </w:r>
      <w:r w:rsidRPr="00736CDD">
        <w:rPr>
          <w:rFonts w:cs="FrankRuehl" w:hint="cs"/>
          <w:szCs w:val="26"/>
          <w:rtl/>
        </w:rPr>
        <w:t>.</w:t>
      </w:r>
    </w:p>
    <w:p w14:paraId="6E216561" w14:textId="77777777" w:rsidR="008559ED" w:rsidRDefault="008559ED">
      <w:pPr>
        <w:rPr>
          <w:rFonts w:ascii="Arial" w:hAnsi="Arial" w:cs="Arial" w:hint="cs"/>
          <w:rtl/>
        </w:rPr>
      </w:pPr>
      <w:bookmarkStart w:id="3" w:name="ABSTRACT_END"/>
      <w:bookmarkEnd w:id="3"/>
    </w:p>
    <w:p w14:paraId="123B1BB9" w14:textId="77777777" w:rsidR="00842D66" w:rsidRPr="00D84694" w:rsidRDefault="00842D66">
      <w:pPr>
        <w:rPr>
          <w:rFonts w:ascii="Arial" w:hAnsi="Arial" w:cs="Arial" w:hint="cs"/>
          <w:rtl/>
        </w:rPr>
      </w:pPr>
    </w:p>
    <w:p w14:paraId="00A347D3" w14:textId="77777777" w:rsidR="008559ED" w:rsidRDefault="008559ED" w:rsidP="00D84694">
      <w:pPr>
        <w:jc w:val="center"/>
        <w:rPr>
          <w:rFonts w:ascii="Arial" w:hAnsi="Arial" w:cs="Arial"/>
          <w:b/>
          <w:bCs/>
          <w:u w:val="single"/>
          <w:rtl/>
        </w:rPr>
      </w:pPr>
      <w:bookmarkStart w:id="4" w:name="PsakDin"/>
      <w:r w:rsidRPr="00D84694">
        <w:rPr>
          <w:rFonts w:ascii="Arial" w:hAnsi="Arial" w:cs="Arial"/>
          <w:b/>
          <w:bCs/>
          <w:u w:val="single"/>
          <w:rtl/>
        </w:rPr>
        <w:t xml:space="preserve">גזר דין </w:t>
      </w:r>
      <w:bookmarkEnd w:id="4"/>
      <w:r w:rsidRPr="00D84694">
        <w:rPr>
          <w:rFonts w:ascii="Arial" w:hAnsi="Arial" w:cs="Arial"/>
          <w:b/>
          <w:bCs/>
          <w:u w:val="single"/>
          <w:rtl/>
        </w:rPr>
        <w:t>– לנאשם 2</w:t>
      </w:r>
    </w:p>
    <w:p w14:paraId="1307254C" w14:textId="77777777" w:rsidR="008559ED" w:rsidRDefault="008559ED" w:rsidP="00D84694">
      <w:pPr>
        <w:jc w:val="center"/>
        <w:rPr>
          <w:rFonts w:ascii="Arial" w:hAnsi="Arial" w:cs="Arial"/>
          <w:b/>
          <w:bCs/>
          <w:u w:val="single"/>
          <w:rtl/>
        </w:rPr>
      </w:pPr>
    </w:p>
    <w:p w14:paraId="142E9E91" w14:textId="77777777" w:rsidR="008559ED" w:rsidRPr="00D84694" w:rsidRDefault="008559ED" w:rsidP="00D84694">
      <w:pPr>
        <w:jc w:val="center"/>
        <w:rPr>
          <w:rFonts w:ascii="Arial" w:hAnsi="Arial" w:cs="Arial"/>
          <w:b/>
          <w:bCs/>
          <w:u w:val="single"/>
        </w:rPr>
      </w:pPr>
    </w:p>
    <w:p w14:paraId="5B85EA5E" w14:textId="77777777" w:rsidR="008559ED" w:rsidRPr="00D84694" w:rsidRDefault="008559ED" w:rsidP="00D84694">
      <w:pPr>
        <w:jc w:val="both"/>
        <w:rPr>
          <w:rFonts w:ascii="Arial" w:hAnsi="Arial" w:cs="Arial"/>
          <w:b/>
          <w:bCs/>
          <w:u w:val="single"/>
          <w:rtl/>
        </w:rPr>
      </w:pPr>
      <w:r w:rsidRPr="00D84694">
        <w:rPr>
          <w:rFonts w:ascii="Arial" w:hAnsi="Arial" w:cs="Arial"/>
          <w:b/>
          <w:bCs/>
          <w:u w:val="single"/>
          <w:rtl/>
        </w:rPr>
        <w:t>כללי</w:t>
      </w:r>
    </w:p>
    <w:p w14:paraId="3B7CF77F"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הנאשם הודה והורשע ביום 3.4.14 במסגרת הסדר טיעון בעובדות כתב האישום המתוקן בשישית בעבירות של עסקה אחרת בנשק (2 אישומים), עבירה לפי </w:t>
      </w:r>
      <w:hyperlink r:id="rId14" w:history="1">
        <w:r w:rsidR="00DF0AC5" w:rsidRPr="00DF0AC5">
          <w:rPr>
            <w:rFonts w:ascii="Arial" w:hAnsi="Arial"/>
            <w:color w:val="0000FF"/>
            <w:sz w:val="24"/>
            <w:szCs w:val="24"/>
            <w:u w:val="single"/>
            <w:rtl/>
          </w:rPr>
          <w:t>סעיף 144(ב2)</w:t>
        </w:r>
      </w:hyperlink>
      <w:r w:rsidRPr="00D84694">
        <w:rPr>
          <w:rFonts w:ascii="Arial" w:hAnsi="Arial"/>
          <w:sz w:val="24"/>
          <w:szCs w:val="24"/>
          <w:rtl/>
        </w:rPr>
        <w:t xml:space="preserve"> ל</w:t>
      </w:r>
      <w:hyperlink r:id="rId15" w:history="1">
        <w:r w:rsidR="00D42166" w:rsidRPr="00D42166">
          <w:rPr>
            <w:rStyle w:val="Hyperlink"/>
            <w:rFonts w:ascii="Arial" w:hAnsi="Arial"/>
            <w:sz w:val="24"/>
            <w:szCs w:val="24"/>
            <w:rtl/>
          </w:rPr>
          <w:t>חוק העונשין</w:t>
        </w:r>
      </w:hyperlink>
      <w:r w:rsidRPr="00D84694">
        <w:rPr>
          <w:rFonts w:ascii="Arial" w:hAnsi="Arial"/>
          <w:sz w:val="24"/>
          <w:szCs w:val="24"/>
          <w:rtl/>
        </w:rPr>
        <w:t>,</w:t>
      </w:r>
      <w:r>
        <w:rPr>
          <w:rFonts w:ascii="Arial" w:hAnsi="Arial"/>
          <w:sz w:val="24"/>
          <w:szCs w:val="24"/>
          <w:rtl/>
        </w:rPr>
        <w:t xml:space="preserve"> התשל"ז-1977;</w:t>
      </w:r>
      <w:r w:rsidRPr="00D84694">
        <w:rPr>
          <w:rFonts w:ascii="Arial" w:hAnsi="Arial"/>
          <w:sz w:val="24"/>
          <w:szCs w:val="24"/>
          <w:rtl/>
        </w:rPr>
        <w:t xml:space="preserve"> סחר בנשק (6 עבירות</w:t>
      </w:r>
      <w:r>
        <w:rPr>
          <w:rFonts w:ascii="Arial" w:hAnsi="Arial"/>
          <w:sz w:val="24"/>
          <w:szCs w:val="24"/>
          <w:rtl/>
        </w:rPr>
        <w:t xml:space="preserve">), עבירה לפי </w:t>
      </w:r>
      <w:hyperlink r:id="rId16" w:history="1">
        <w:r w:rsidR="00DF0AC5" w:rsidRPr="00DF0AC5">
          <w:rPr>
            <w:rFonts w:ascii="Arial" w:hAnsi="Arial"/>
            <w:color w:val="0000FF"/>
            <w:sz w:val="24"/>
            <w:szCs w:val="24"/>
            <w:u w:val="single"/>
            <w:rtl/>
          </w:rPr>
          <w:t>סעיף 144(ב2)</w:t>
        </w:r>
      </w:hyperlink>
      <w:r>
        <w:rPr>
          <w:rFonts w:ascii="Arial" w:hAnsi="Arial"/>
          <w:sz w:val="24"/>
          <w:szCs w:val="24"/>
          <w:rtl/>
        </w:rPr>
        <w:t xml:space="preserve"> לחוק ו</w:t>
      </w:r>
      <w:r w:rsidRPr="00D84694">
        <w:rPr>
          <w:rFonts w:ascii="Arial" w:hAnsi="Arial"/>
          <w:sz w:val="24"/>
          <w:szCs w:val="24"/>
          <w:rtl/>
        </w:rPr>
        <w:t xml:space="preserve">ניסיון סחר בנשק, עבירה לפי </w:t>
      </w:r>
      <w:hyperlink r:id="rId17" w:history="1">
        <w:r w:rsidR="00DF0AC5" w:rsidRPr="00DF0AC5">
          <w:rPr>
            <w:rFonts w:ascii="Arial" w:hAnsi="Arial"/>
            <w:color w:val="0000FF"/>
            <w:sz w:val="24"/>
            <w:szCs w:val="24"/>
            <w:u w:val="single"/>
            <w:rtl/>
          </w:rPr>
          <w:t>סעיף 144(ב2)</w:t>
        </w:r>
      </w:hyperlink>
      <w:r w:rsidRPr="00D84694">
        <w:rPr>
          <w:rFonts w:ascii="Arial" w:hAnsi="Arial"/>
          <w:sz w:val="24"/>
          <w:szCs w:val="24"/>
          <w:rtl/>
        </w:rPr>
        <w:t xml:space="preserve"> לחוק ביחד עם </w:t>
      </w:r>
      <w:hyperlink r:id="rId18" w:history="1">
        <w:r w:rsidR="00DF0AC5" w:rsidRPr="00DF0AC5">
          <w:rPr>
            <w:rFonts w:ascii="Arial" w:hAnsi="Arial"/>
            <w:color w:val="0000FF"/>
            <w:sz w:val="24"/>
            <w:szCs w:val="24"/>
            <w:u w:val="single"/>
            <w:rtl/>
          </w:rPr>
          <w:t>סעיף 25</w:t>
        </w:r>
      </w:hyperlink>
      <w:r w:rsidRPr="00D84694">
        <w:rPr>
          <w:rFonts w:ascii="Arial" w:hAnsi="Arial"/>
          <w:sz w:val="24"/>
          <w:szCs w:val="24"/>
          <w:rtl/>
        </w:rPr>
        <w:t xml:space="preserve"> לחוק.</w:t>
      </w:r>
    </w:p>
    <w:p w14:paraId="442F8F1D" w14:textId="77777777" w:rsidR="008559ED" w:rsidRPr="00D84694" w:rsidRDefault="008559ED" w:rsidP="00D84694">
      <w:pPr>
        <w:jc w:val="both"/>
        <w:rPr>
          <w:rFonts w:ascii="Arial" w:hAnsi="Arial" w:cs="Arial"/>
          <w:b/>
          <w:bCs/>
          <w:u w:val="single"/>
          <w:rtl/>
        </w:rPr>
      </w:pPr>
      <w:r w:rsidRPr="00D84694">
        <w:rPr>
          <w:rFonts w:ascii="Arial" w:hAnsi="Arial" w:cs="Arial"/>
          <w:b/>
          <w:bCs/>
          <w:u w:val="single"/>
          <w:rtl/>
        </w:rPr>
        <w:t>עובדות כתב האישום</w:t>
      </w:r>
    </w:p>
    <w:p w14:paraId="6F922C6A"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על פי עובדות </w:t>
      </w:r>
      <w:r w:rsidRPr="00D84694">
        <w:rPr>
          <w:rFonts w:ascii="Arial" w:hAnsi="Arial"/>
          <w:sz w:val="24"/>
          <w:szCs w:val="24"/>
          <w:u w:val="single"/>
          <w:rtl/>
        </w:rPr>
        <w:t>האישום הראשון</w:t>
      </w:r>
      <w:r w:rsidRPr="00D84694">
        <w:rPr>
          <w:rFonts w:ascii="Arial" w:hAnsi="Arial"/>
          <w:sz w:val="24"/>
          <w:szCs w:val="24"/>
          <w:rtl/>
        </w:rPr>
        <w:t xml:space="preserve">, ביום </w:t>
      </w:r>
      <w:r w:rsidRPr="00D84694">
        <w:rPr>
          <w:rFonts w:ascii="Arial" w:hAnsi="Arial"/>
          <w:b/>
          <w:bCs/>
          <w:sz w:val="24"/>
          <w:szCs w:val="24"/>
          <w:rtl/>
        </w:rPr>
        <w:t>16.6.13</w:t>
      </w:r>
      <w:r w:rsidRPr="00D84694">
        <w:rPr>
          <w:rFonts w:ascii="Arial" w:hAnsi="Arial"/>
          <w:sz w:val="24"/>
          <w:szCs w:val="24"/>
          <w:rtl/>
        </w:rPr>
        <w:t xml:space="preserve"> בשעות הצהריים שוחח נאשם 1 עם הנאשם לשם השלמת עסקה בנשק, ובשעות אחר הצהריים פגש הנאשם בנאשמים 4 ו-5 בתחומי הרשות הפלסטינאית כשברשותו </w:t>
      </w:r>
      <w:r>
        <w:rPr>
          <w:rFonts w:ascii="Arial" w:hAnsi="Arial"/>
          <w:sz w:val="24"/>
          <w:szCs w:val="24"/>
          <w:rtl/>
        </w:rPr>
        <w:t>שני</w:t>
      </w:r>
      <w:r w:rsidRPr="00D84694">
        <w:rPr>
          <w:rFonts w:ascii="Arial" w:hAnsi="Arial"/>
          <w:sz w:val="24"/>
          <w:szCs w:val="24"/>
          <w:rtl/>
        </w:rPr>
        <w:t xml:space="preserve"> כלי נשק. נאשם 5 ערך בדיקת תקינות לאחד מכלי הנשק וביצע בו ירי, ולאחר מכן סיכם עם הנאשם כי ישלימו את העסקה למחרת. ואכן, למחרת הגיעו נאשמים 4 ו-5 לפגישה עם הנאשם ורכשו ממנו נשק מסוג שאינו ידוע למאשימה בסכום שאינו ידוע למאשימה. </w:t>
      </w:r>
    </w:p>
    <w:p w14:paraId="55BED964" w14:textId="77777777" w:rsidR="008559ED" w:rsidRPr="00D84694" w:rsidRDefault="008559ED" w:rsidP="00D84694">
      <w:pPr>
        <w:pStyle w:val="ListParagraph"/>
        <w:jc w:val="both"/>
        <w:rPr>
          <w:rFonts w:ascii="Arial" w:hAnsi="Arial"/>
          <w:sz w:val="24"/>
          <w:szCs w:val="24"/>
        </w:rPr>
      </w:pPr>
    </w:p>
    <w:p w14:paraId="15A6A6F9" w14:textId="77777777" w:rsidR="008559ED" w:rsidRPr="00D84694" w:rsidRDefault="008559ED" w:rsidP="00D84694">
      <w:pPr>
        <w:pStyle w:val="ListParagraph"/>
        <w:numPr>
          <w:ilvl w:val="0"/>
          <w:numId w:val="3"/>
        </w:numPr>
        <w:jc w:val="both"/>
        <w:rPr>
          <w:rFonts w:ascii="Arial" w:hAnsi="Arial"/>
          <w:sz w:val="24"/>
          <w:szCs w:val="24"/>
          <w:u w:val="single"/>
          <w:rtl/>
        </w:rPr>
      </w:pPr>
      <w:r w:rsidRPr="00D84694">
        <w:rPr>
          <w:rFonts w:ascii="Arial" w:hAnsi="Arial"/>
          <w:sz w:val="24"/>
          <w:szCs w:val="24"/>
          <w:rtl/>
        </w:rPr>
        <w:t xml:space="preserve">על פי עובדות </w:t>
      </w:r>
      <w:r w:rsidRPr="00D84694">
        <w:rPr>
          <w:rFonts w:ascii="Arial" w:hAnsi="Arial"/>
          <w:sz w:val="24"/>
          <w:szCs w:val="24"/>
          <w:u w:val="single"/>
          <w:rtl/>
        </w:rPr>
        <w:t>האישום השלישי</w:t>
      </w:r>
      <w:r w:rsidRPr="00D84694">
        <w:rPr>
          <w:rFonts w:ascii="Arial" w:hAnsi="Arial"/>
          <w:sz w:val="24"/>
          <w:szCs w:val="24"/>
          <w:rtl/>
        </w:rPr>
        <w:t xml:space="preserve">, הרלבנטיות לנאשם דנן, ביום </w:t>
      </w:r>
      <w:r w:rsidRPr="00D84694">
        <w:rPr>
          <w:rFonts w:ascii="Arial" w:hAnsi="Arial"/>
          <w:b/>
          <w:bCs/>
          <w:sz w:val="24"/>
          <w:szCs w:val="24"/>
          <w:rtl/>
        </w:rPr>
        <w:t>20.6.13</w:t>
      </w:r>
      <w:r w:rsidRPr="00D84694">
        <w:rPr>
          <w:rFonts w:ascii="Arial" w:hAnsi="Arial"/>
          <w:sz w:val="24"/>
          <w:szCs w:val="24"/>
          <w:rtl/>
        </w:rPr>
        <w:t xml:space="preserve"> בשעות אחר הצהריים התקשר נאשם 1 לנאשם וביקש כי ירכוש עבורו תחמושת. בהמשך, לאחר ששוחח נאשם 1 עם אחר, התקשר שוב לנאשם וסיכם עימו כי יקנה ממנו 50 כד</w:t>
      </w:r>
      <w:r>
        <w:rPr>
          <w:rFonts w:ascii="Arial" w:hAnsi="Arial"/>
          <w:sz w:val="24"/>
          <w:szCs w:val="24"/>
          <w:rtl/>
        </w:rPr>
        <w:t xml:space="preserve">ורים במחיר כולל של 800 ₪ ואקדח  תמורת </w:t>
      </w:r>
      <w:r w:rsidRPr="00D84694">
        <w:rPr>
          <w:rFonts w:ascii="Arial" w:hAnsi="Arial"/>
          <w:sz w:val="24"/>
          <w:szCs w:val="24"/>
          <w:rtl/>
        </w:rPr>
        <w:t>סך של 5</w:t>
      </w:r>
      <w:r>
        <w:rPr>
          <w:rFonts w:ascii="Arial" w:hAnsi="Arial"/>
          <w:sz w:val="24"/>
          <w:szCs w:val="24"/>
          <w:rtl/>
        </w:rPr>
        <w:t>,</w:t>
      </w:r>
      <w:r w:rsidRPr="00D84694">
        <w:rPr>
          <w:rFonts w:ascii="Arial" w:hAnsi="Arial"/>
          <w:sz w:val="24"/>
          <w:szCs w:val="24"/>
          <w:rtl/>
        </w:rPr>
        <w:t xml:space="preserve">200 ₪. בשעות הערב, עדכן הנאשם את נאשם 1 כי הוא בדרכו חזרה משכם עם הנשק וכי הביא עימו אף מחסניות בעלות של 350 ₪ כל אחת. השניים נפגשו בקלקיליה, והנאשם מכר לנאשם 1 אקדח, מחסנית (בעלות של 300 ₪) ותחמושת. </w:t>
      </w:r>
    </w:p>
    <w:p w14:paraId="35606989" w14:textId="77777777" w:rsidR="008559ED" w:rsidRPr="00D84694" w:rsidRDefault="008559ED" w:rsidP="00D84694">
      <w:pPr>
        <w:pStyle w:val="ListParagraph"/>
        <w:rPr>
          <w:rFonts w:ascii="Arial" w:hAnsi="Arial"/>
          <w:sz w:val="24"/>
          <w:szCs w:val="24"/>
          <w:u w:val="single"/>
        </w:rPr>
      </w:pPr>
    </w:p>
    <w:p w14:paraId="4EBD86C2"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lastRenderedPageBreak/>
        <w:t xml:space="preserve">על פי עובדות </w:t>
      </w:r>
      <w:r w:rsidRPr="00D84694">
        <w:rPr>
          <w:rFonts w:ascii="Arial" w:hAnsi="Arial"/>
          <w:sz w:val="24"/>
          <w:szCs w:val="24"/>
          <w:u w:val="single"/>
          <w:rtl/>
        </w:rPr>
        <w:t>האישום החמישי</w:t>
      </w:r>
      <w:r w:rsidRPr="00D84694">
        <w:rPr>
          <w:rFonts w:ascii="Arial" w:hAnsi="Arial"/>
          <w:sz w:val="24"/>
          <w:szCs w:val="24"/>
          <w:rtl/>
        </w:rPr>
        <w:t xml:space="preserve">, ביום </w:t>
      </w:r>
      <w:r w:rsidRPr="00D84694">
        <w:rPr>
          <w:rFonts w:ascii="Arial" w:hAnsi="Arial"/>
          <w:b/>
          <w:bCs/>
          <w:sz w:val="24"/>
          <w:szCs w:val="24"/>
          <w:rtl/>
        </w:rPr>
        <w:t xml:space="preserve">22.6.13 </w:t>
      </w:r>
      <w:r w:rsidRPr="00D84694">
        <w:rPr>
          <w:rFonts w:ascii="Arial" w:hAnsi="Arial"/>
          <w:sz w:val="24"/>
          <w:szCs w:val="24"/>
          <w:rtl/>
        </w:rPr>
        <w:t xml:space="preserve">בשעות הערב נסעו נאשמים 1 ו-3 לפגוש את נאשם 2, והלה מכר להם אקדח מסוג גלוק תמורת סכום שאינו ידוע למאשימה, ובהמשך מכרו אותו נאשמים 1 ו-3 לנאשם 11 תמורת 25,000 ₪.  </w:t>
      </w:r>
    </w:p>
    <w:p w14:paraId="57E7A015" w14:textId="77777777" w:rsidR="008559ED" w:rsidRPr="00D84694" w:rsidRDefault="008559ED" w:rsidP="00D84694">
      <w:pPr>
        <w:pStyle w:val="ListParagraph"/>
        <w:rPr>
          <w:rFonts w:ascii="Arial" w:hAnsi="Arial"/>
          <w:sz w:val="24"/>
          <w:szCs w:val="24"/>
        </w:rPr>
      </w:pPr>
    </w:p>
    <w:p w14:paraId="6BF53D23"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על פי עובדות </w:t>
      </w:r>
      <w:r w:rsidRPr="00D84694">
        <w:rPr>
          <w:rFonts w:ascii="Arial" w:hAnsi="Arial"/>
          <w:sz w:val="24"/>
          <w:szCs w:val="24"/>
          <w:u w:val="single"/>
          <w:rtl/>
        </w:rPr>
        <w:t>האישום השישי</w:t>
      </w:r>
      <w:r w:rsidRPr="00D84694">
        <w:rPr>
          <w:rFonts w:ascii="Arial" w:hAnsi="Arial"/>
          <w:sz w:val="24"/>
          <w:szCs w:val="24"/>
          <w:rtl/>
        </w:rPr>
        <w:t xml:space="preserve">, הרלבנטיות לנאשם דנן, ביום </w:t>
      </w:r>
      <w:r w:rsidRPr="00D84694">
        <w:rPr>
          <w:rFonts w:ascii="Arial" w:hAnsi="Arial"/>
          <w:b/>
          <w:bCs/>
          <w:sz w:val="24"/>
          <w:szCs w:val="24"/>
          <w:rtl/>
        </w:rPr>
        <w:t xml:space="preserve">22.6.13 </w:t>
      </w:r>
      <w:r w:rsidRPr="00D84694">
        <w:rPr>
          <w:rFonts w:ascii="Arial" w:hAnsi="Arial"/>
          <w:sz w:val="24"/>
          <w:szCs w:val="24"/>
          <w:rtl/>
        </w:rPr>
        <w:t xml:space="preserve">בשעות אחר הצהריים הזמין נאשם 1 מהנאשם 100 כדורים לנשק מסוג קלצ'ניקוב. למחרת שוחחו השניים פעם נוספת וסיכמו כי הנאשם יעביר לנאשם 1 את התחמושת בהקדם, ובהמשך אף ימכור לו אקדח מסוג שאינו ידוע למאשימה ומחסנית. ביום </w:t>
      </w:r>
      <w:r w:rsidRPr="00D84694">
        <w:rPr>
          <w:rFonts w:ascii="Arial" w:hAnsi="Arial"/>
          <w:b/>
          <w:bCs/>
          <w:sz w:val="24"/>
          <w:szCs w:val="24"/>
          <w:rtl/>
        </w:rPr>
        <w:t xml:space="preserve">24.6.13 </w:t>
      </w:r>
      <w:r w:rsidRPr="00D84694">
        <w:rPr>
          <w:rFonts w:ascii="Arial" w:hAnsi="Arial"/>
          <w:sz w:val="24"/>
          <w:szCs w:val="24"/>
          <w:rtl/>
        </w:rPr>
        <w:t>עדכן הנאשם את נאשם 1 כי מחירו של האקדח 5,000 ₪, מחירה של התחמושת 2</w:t>
      </w:r>
      <w:r>
        <w:rPr>
          <w:rFonts w:ascii="Arial" w:hAnsi="Arial"/>
          <w:sz w:val="24"/>
          <w:szCs w:val="24"/>
          <w:rtl/>
        </w:rPr>
        <w:t>,</w:t>
      </w:r>
      <w:r w:rsidRPr="00D84694">
        <w:rPr>
          <w:rFonts w:ascii="Arial" w:hAnsi="Arial"/>
          <w:sz w:val="24"/>
          <w:szCs w:val="24"/>
          <w:rtl/>
        </w:rPr>
        <w:t>000 ₪ ומחירה של מחסנית מפלסטיק 300 ₪, ומסר לנאשם 1 כי הכין עבורו למעלה מעשרה כדורים לנשק מסוג שאינו ידוע וכשישה כדורים ל16-</w:t>
      </w:r>
      <w:r w:rsidRPr="00D84694">
        <w:rPr>
          <w:rFonts w:ascii="Arial" w:hAnsi="Arial"/>
          <w:sz w:val="24"/>
          <w:szCs w:val="24"/>
        </w:rPr>
        <w:t>M</w:t>
      </w:r>
      <w:r w:rsidRPr="00D84694">
        <w:rPr>
          <w:rFonts w:ascii="Arial" w:hAnsi="Arial"/>
          <w:sz w:val="24"/>
          <w:szCs w:val="24"/>
          <w:rtl/>
        </w:rPr>
        <w:t xml:space="preserve">. השניים נפגשו בהמשך הערב והנאשם העביר לנאשם 1 את האקדח והתחמושת. בהמשך משהבחין נאשם 1 כי חסרים לו חמישה כדורים, אמר הנאשם לנאשם 1 שישלח אליו אדם אחר לג'לג'וליה על מנת שימסור לו את חמשת הכדורים החסרים. </w:t>
      </w:r>
    </w:p>
    <w:p w14:paraId="3A375D0E" w14:textId="77777777" w:rsidR="008559ED" w:rsidRPr="00D84694" w:rsidRDefault="008559ED" w:rsidP="00D84694">
      <w:pPr>
        <w:pStyle w:val="ListParagraph"/>
        <w:jc w:val="both"/>
        <w:rPr>
          <w:rFonts w:ascii="Arial" w:hAnsi="Arial"/>
          <w:sz w:val="24"/>
          <w:szCs w:val="24"/>
          <w:rtl/>
        </w:rPr>
      </w:pPr>
    </w:p>
    <w:p w14:paraId="78F9A6F1" w14:textId="77777777" w:rsidR="008559ED" w:rsidRPr="00D84694" w:rsidRDefault="008559ED" w:rsidP="009E19F6">
      <w:pPr>
        <w:pStyle w:val="ListParagraph"/>
        <w:numPr>
          <w:ilvl w:val="0"/>
          <w:numId w:val="3"/>
        </w:numPr>
        <w:jc w:val="both"/>
        <w:rPr>
          <w:rFonts w:ascii="Arial" w:hAnsi="Arial"/>
          <w:sz w:val="24"/>
          <w:szCs w:val="24"/>
        </w:rPr>
      </w:pPr>
      <w:r w:rsidRPr="00D84694">
        <w:rPr>
          <w:rFonts w:ascii="Arial" w:hAnsi="Arial"/>
          <w:sz w:val="24"/>
          <w:szCs w:val="24"/>
          <w:rtl/>
        </w:rPr>
        <w:t xml:space="preserve">על פי עובדות </w:t>
      </w:r>
      <w:r w:rsidRPr="00D84694">
        <w:rPr>
          <w:rFonts w:ascii="Arial" w:hAnsi="Arial"/>
          <w:sz w:val="24"/>
          <w:szCs w:val="24"/>
          <w:u w:val="single"/>
          <w:rtl/>
        </w:rPr>
        <w:t>האישום השביעי</w:t>
      </w:r>
      <w:r w:rsidRPr="00D84694">
        <w:rPr>
          <w:rFonts w:ascii="Arial" w:hAnsi="Arial"/>
          <w:sz w:val="24"/>
          <w:szCs w:val="24"/>
          <w:rtl/>
        </w:rPr>
        <w:t xml:space="preserve">, ביום </w:t>
      </w:r>
      <w:r w:rsidRPr="00D84694">
        <w:rPr>
          <w:rFonts w:ascii="Arial" w:hAnsi="Arial"/>
          <w:b/>
          <w:bCs/>
          <w:sz w:val="24"/>
          <w:szCs w:val="24"/>
          <w:rtl/>
        </w:rPr>
        <w:t xml:space="preserve">24.6.13 </w:t>
      </w:r>
      <w:r w:rsidRPr="00D84694">
        <w:rPr>
          <w:rFonts w:ascii="Arial" w:hAnsi="Arial"/>
          <w:sz w:val="24"/>
          <w:szCs w:val="24"/>
          <w:rtl/>
        </w:rPr>
        <w:t>בשעות הערב התקשר הנאשם לנאשם 1, עדכן אותו כי הוא מטפל בהשלמת החסרים כמתואר לעיל והציע לו לקנות אקדח במחיר 5,700 ₪. השניים סיכמו כי הנאשם יביא את האקדח לביתו שבקלקיליה ונאשם 1 יגיע לביתו לביצוע העסקה. נאשמים 1 ו-3 הגיעו לביתו של הנאשם אולם כיוון שהאקדח היה חלוד לא רכשו אותו.</w:t>
      </w:r>
    </w:p>
    <w:p w14:paraId="1C8668FC" w14:textId="77777777" w:rsidR="008559ED" w:rsidRDefault="008559ED" w:rsidP="00D84694">
      <w:pPr>
        <w:pStyle w:val="ListParagraph"/>
        <w:rPr>
          <w:rFonts w:ascii="Arial" w:hAnsi="Arial"/>
          <w:sz w:val="24"/>
          <w:szCs w:val="24"/>
          <w:rtl/>
        </w:rPr>
      </w:pPr>
    </w:p>
    <w:p w14:paraId="6B7641B8"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על פי עובדות </w:t>
      </w:r>
      <w:r w:rsidRPr="00D84694">
        <w:rPr>
          <w:rFonts w:ascii="Arial" w:hAnsi="Arial"/>
          <w:sz w:val="24"/>
          <w:szCs w:val="24"/>
          <w:u w:val="single"/>
          <w:rtl/>
        </w:rPr>
        <w:t>האישום השמיני</w:t>
      </w:r>
      <w:r w:rsidRPr="00D84694">
        <w:rPr>
          <w:rFonts w:ascii="Arial" w:hAnsi="Arial"/>
          <w:sz w:val="24"/>
          <w:szCs w:val="24"/>
          <w:rtl/>
        </w:rPr>
        <w:t xml:space="preserve">, ביום </w:t>
      </w:r>
      <w:r w:rsidRPr="00D84694">
        <w:rPr>
          <w:rFonts w:ascii="Arial" w:hAnsi="Arial"/>
          <w:b/>
          <w:bCs/>
          <w:sz w:val="24"/>
          <w:szCs w:val="24"/>
          <w:rtl/>
        </w:rPr>
        <w:t>25.6.13</w:t>
      </w:r>
      <w:r w:rsidRPr="00D84694">
        <w:rPr>
          <w:rFonts w:ascii="Arial" w:hAnsi="Arial"/>
          <w:sz w:val="24"/>
          <w:szCs w:val="24"/>
          <w:rtl/>
        </w:rPr>
        <w:t xml:space="preserve"> קיבל הנאשם מאחר נשק מסוג קלאצ'ניקוב, ובשעות הלילה נפגש עם נאשמים 1 ו-3 ומכר להם את הנשק ושתי מחסניות תמורת סכום שאינו ידוע במדויק למאשימה. למחרת ביצעו נאשמים 1 ו-5 'ניסוי כלים' בנשק וגילו כי הנשק תקול, וכי הולחם ונצבע. לפיכך נסעו בשעות הערב לקלקיליה שם פגשו בנאשם והחזירו לו הנשק על מנת שידאג לתיקונו. </w:t>
      </w:r>
    </w:p>
    <w:p w14:paraId="32C41632" w14:textId="77777777" w:rsidR="008559ED" w:rsidRPr="00D84694" w:rsidRDefault="008559ED" w:rsidP="00D84694">
      <w:pPr>
        <w:pStyle w:val="ListParagraph"/>
        <w:jc w:val="both"/>
        <w:rPr>
          <w:rFonts w:ascii="Arial" w:hAnsi="Arial"/>
          <w:sz w:val="24"/>
          <w:szCs w:val="24"/>
          <w:rtl/>
        </w:rPr>
      </w:pPr>
    </w:p>
    <w:p w14:paraId="27945ACD" w14:textId="77777777" w:rsidR="008559ED" w:rsidRPr="00D84694"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 xml:space="preserve">על פי עובדות </w:t>
      </w:r>
      <w:r w:rsidRPr="00D84694">
        <w:rPr>
          <w:rFonts w:ascii="Arial" w:hAnsi="Arial"/>
          <w:sz w:val="24"/>
          <w:szCs w:val="24"/>
          <w:u w:val="single"/>
          <w:rtl/>
        </w:rPr>
        <w:t>האישום האחד עשר</w:t>
      </w:r>
      <w:r w:rsidRPr="00D84694">
        <w:rPr>
          <w:rFonts w:ascii="Arial" w:hAnsi="Arial"/>
          <w:sz w:val="24"/>
          <w:szCs w:val="24"/>
          <w:rtl/>
        </w:rPr>
        <w:t xml:space="preserve">, ביום </w:t>
      </w:r>
      <w:r w:rsidRPr="00D84694">
        <w:rPr>
          <w:rFonts w:ascii="Arial" w:hAnsi="Arial"/>
          <w:b/>
          <w:bCs/>
          <w:sz w:val="24"/>
          <w:szCs w:val="24"/>
          <w:rtl/>
        </w:rPr>
        <w:t>7.7.13</w:t>
      </w:r>
      <w:r w:rsidRPr="00D84694">
        <w:rPr>
          <w:rFonts w:ascii="Arial" w:hAnsi="Arial"/>
          <w:sz w:val="24"/>
          <w:szCs w:val="24"/>
          <w:rtl/>
        </w:rPr>
        <w:t xml:space="preserve"> התקשר נאשם 1 לנאשם וסיכם עימו כי ירכוש ממנו אקדח מסוג שאינו ידוע למאשימה בסכום של 5,700 ₪. השניים סיכמו כי נאשם 1 יעביר לנאשם  את הכסף מבעוד מועד באמצעות בן דודו של הנאשם וכי נאשם 1 יקבל את האקדח למחרת. בהתאם לסיכום נפגש נאשם 1 עם בן הדוד והעביר לידיו את התמורה עבור האקדח, ובן הדוד העביר את הכסף לנאשם. למחרת נפגשו נאשמים 1 ו-3 עם הנאשם בסמוך לאורנית והלה מסר להם את האקדח. בשעות הערב מסר נאשם 1 לנאשם 13 את האקדח, לאחר שסיכם עימו על מכירתו בתמורה ל-8,000 ₪. בהמשך מכר אף נאשם 13 את האקדח לאחר.</w:t>
      </w:r>
    </w:p>
    <w:p w14:paraId="016C2DC3" w14:textId="77777777" w:rsidR="008559ED" w:rsidRPr="00D84694" w:rsidRDefault="008559ED" w:rsidP="00D84694">
      <w:pPr>
        <w:pStyle w:val="ListParagraph"/>
        <w:rPr>
          <w:rFonts w:ascii="Arial" w:hAnsi="Arial"/>
          <w:sz w:val="24"/>
          <w:szCs w:val="24"/>
        </w:rPr>
      </w:pPr>
    </w:p>
    <w:p w14:paraId="2E2449AA" w14:textId="77777777" w:rsidR="008559ED"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 xml:space="preserve">על פי עובדות </w:t>
      </w:r>
      <w:r w:rsidRPr="00D84694">
        <w:rPr>
          <w:rFonts w:ascii="Arial" w:hAnsi="Arial"/>
          <w:sz w:val="24"/>
          <w:szCs w:val="24"/>
          <w:u w:val="single"/>
          <w:rtl/>
        </w:rPr>
        <w:t>האישום השלושה עשר</w:t>
      </w:r>
      <w:r w:rsidRPr="00D84694">
        <w:rPr>
          <w:rFonts w:ascii="Arial" w:hAnsi="Arial"/>
          <w:sz w:val="24"/>
          <w:szCs w:val="24"/>
          <w:rtl/>
        </w:rPr>
        <w:t xml:space="preserve">, ביום </w:t>
      </w:r>
      <w:r w:rsidRPr="00D84694">
        <w:rPr>
          <w:rFonts w:ascii="Arial" w:hAnsi="Arial"/>
          <w:b/>
          <w:bCs/>
          <w:sz w:val="24"/>
          <w:szCs w:val="24"/>
          <w:rtl/>
        </w:rPr>
        <w:t>31.7.13</w:t>
      </w:r>
      <w:r w:rsidRPr="00D84694">
        <w:rPr>
          <w:rFonts w:ascii="Arial" w:hAnsi="Arial"/>
          <w:sz w:val="24"/>
          <w:szCs w:val="24"/>
          <w:rtl/>
        </w:rPr>
        <w:t xml:space="preserve"> מסר הנאשם לנאשם 1 כי ברשותו נשק מסוג שאינו ידוע. השניים נפגשו בשעות הערב והנאשם העביר את הנשק לנאשם 1 תמורת סכום שאינו ידוע. בסמוך לאחר מכן דיווח נאשם 1 לנאשם כי קיים מעצור בנ</w:t>
      </w:r>
      <w:r>
        <w:rPr>
          <w:rFonts w:ascii="Arial" w:hAnsi="Arial"/>
          <w:sz w:val="24"/>
          <w:szCs w:val="24"/>
          <w:rtl/>
        </w:rPr>
        <w:t xml:space="preserve">שק ודרש נשק תקין במקומו. באותו </w:t>
      </w:r>
      <w:r w:rsidRPr="00D84694">
        <w:rPr>
          <w:rFonts w:ascii="Arial" w:hAnsi="Arial"/>
          <w:sz w:val="24"/>
          <w:szCs w:val="24"/>
          <w:rtl/>
        </w:rPr>
        <w:t xml:space="preserve">לילה החזיר נאשם 1 לנאשם את הנשק, וביום </w:t>
      </w:r>
      <w:r w:rsidRPr="00D84694">
        <w:rPr>
          <w:rFonts w:ascii="Arial" w:hAnsi="Arial"/>
          <w:b/>
          <w:bCs/>
          <w:sz w:val="24"/>
          <w:szCs w:val="24"/>
          <w:rtl/>
        </w:rPr>
        <w:t xml:space="preserve">6.8.13 </w:t>
      </w:r>
      <w:r w:rsidRPr="00D84694">
        <w:rPr>
          <w:rFonts w:ascii="Arial" w:hAnsi="Arial"/>
          <w:sz w:val="24"/>
          <w:szCs w:val="24"/>
          <w:rtl/>
        </w:rPr>
        <w:t xml:space="preserve">החזיר הנאשם את הנשק לנאשם 1 כשהוא תקין, ומכר לו בנוסף 15 כדורים בתמורה ל-200 ₪. </w:t>
      </w:r>
    </w:p>
    <w:p w14:paraId="412ABE99" w14:textId="77777777" w:rsidR="008559ED" w:rsidRPr="00CA384E" w:rsidRDefault="008559ED" w:rsidP="00CA384E">
      <w:pPr>
        <w:pStyle w:val="ListParagraph"/>
        <w:jc w:val="both"/>
        <w:rPr>
          <w:rFonts w:ascii="Arial" w:hAnsi="Arial"/>
          <w:sz w:val="14"/>
          <w:szCs w:val="14"/>
          <w:rtl/>
        </w:rPr>
      </w:pPr>
    </w:p>
    <w:p w14:paraId="1FDECFA2" w14:textId="77777777" w:rsidR="008559ED" w:rsidRDefault="008559ED" w:rsidP="00D84694">
      <w:pPr>
        <w:jc w:val="both"/>
        <w:rPr>
          <w:rFonts w:ascii="Arial" w:hAnsi="Arial" w:cs="Arial"/>
          <w:u w:val="single"/>
          <w:rtl/>
        </w:rPr>
      </w:pPr>
      <w:r w:rsidRPr="00D84694">
        <w:rPr>
          <w:rFonts w:ascii="Arial" w:hAnsi="Arial" w:cs="Arial"/>
          <w:u w:val="single"/>
          <w:rtl/>
        </w:rPr>
        <w:t>טיעוני הצדדים</w:t>
      </w:r>
    </w:p>
    <w:p w14:paraId="41D04621" w14:textId="77777777" w:rsidR="008559ED" w:rsidRDefault="008559ED" w:rsidP="00D84694">
      <w:pPr>
        <w:jc w:val="both"/>
        <w:rPr>
          <w:rFonts w:ascii="Arial" w:hAnsi="Arial" w:cs="Arial"/>
          <w:sz w:val="14"/>
          <w:szCs w:val="14"/>
          <w:u w:val="single"/>
          <w:rtl/>
        </w:rPr>
      </w:pPr>
    </w:p>
    <w:p w14:paraId="6E1F3661" w14:textId="77777777" w:rsidR="008559ED" w:rsidRDefault="008559ED" w:rsidP="00D84694">
      <w:pPr>
        <w:jc w:val="both"/>
        <w:rPr>
          <w:rFonts w:ascii="Arial" w:hAnsi="Arial" w:cs="Arial"/>
          <w:sz w:val="14"/>
          <w:szCs w:val="14"/>
          <w:u w:val="single"/>
          <w:rtl/>
        </w:rPr>
      </w:pPr>
    </w:p>
    <w:p w14:paraId="3E7611A3"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במסגרת הסדר הטיעון שהושג בין הצדדים הוסכם כי המאשימה תגביל עצמה ותטען לעונש בן 60 חודשי מאסר לריצוי בפועל, ואילו ב"כ הנאשם יעתור באופן חופשי.</w:t>
      </w:r>
    </w:p>
    <w:p w14:paraId="528F715B" w14:textId="77777777" w:rsidR="008559ED" w:rsidRPr="00CA384E" w:rsidRDefault="008559ED" w:rsidP="00D84694">
      <w:pPr>
        <w:pStyle w:val="ListParagraph"/>
        <w:jc w:val="both"/>
        <w:rPr>
          <w:rFonts w:ascii="Arial" w:hAnsi="Arial"/>
          <w:sz w:val="18"/>
          <w:szCs w:val="18"/>
        </w:rPr>
      </w:pPr>
    </w:p>
    <w:p w14:paraId="63FC9369" w14:textId="77777777" w:rsidR="008559ED" w:rsidRPr="00D84694"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 xml:space="preserve">ב"כ המאשימה הגיש לעיוני גיליון הרשעות קודמות של הנאשם ממנו עולה כי לנאשם הרשעה מבית משפט צבאי שומרון משנת 2005 בגין עבירות ביטחוניות (חברות בהתאחדות בלתי מותרת; ביצוע שרות עבור התאחדות בלתי מותרת; ירי לעבר אדם; הנחת פצצה), בגינן הוטלו עליו 7 שנות מאסר בפועל. בעניינו של הנאשם ניתן צו אלוף בדבר הקלה בעונש ביום 21.11.07 במסגרת מחווה מדינית עליה החליטה הממשלה (יתרת תקופת המאסר הינה על תנאי למשך 5 שנים) ועל כן סיים הנאשם לרצות את עונשו ביום 3.12.07. </w:t>
      </w:r>
    </w:p>
    <w:p w14:paraId="6BB01DCD" w14:textId="77777777" w:rsidR="008559ED" w:rsidRPr="00CA384E" w:rsidRDefault="008559ED" w:rsidP="00D84694">
      <w:pPr>
        <w:pStyle w:val="ListParagraph"/>
        <w:rPr>
          <w:rFonts w:ascii="Arial" w:hAnsi="Arial"/>
          <w:sz w:val="16"/>
          <w:szCs w:val="16"/>
        </w:rPr>
      </w:pPr>
    </w:p>
    <w:p w14:paraId="5E742893" w14:textId="77777777" w:rsidR="008559ED" w:rsidRDefault="008559ED" w:rsidP="00D84694">
      <w:pPr>
        <w:pStyle w:val="ListParagraph"/>
        <w:jc w:val="both"/>
        <w:rPr>
          <w:rFonts w:ascii="Arial" w:hAnsi="Arial"/>
          <w:sz w:val="24"/>
          <w:szCs w:val="24"/>
          <w:rtl/>
        </w:rPr>
      </w:pPr>
    </w:p>
    <w:p w14:paraId="294566D8" w14:textId="77777777" w:rsidR="008559ED" w:rsidRPr="00D84694" w:rsidRDefault="008559ED" w:rsidP="009E19F6">
      <w:pPr>
        <w:pStyle w:val="ListParagraph"/>
        <w:jc w:val="both"/>
        <w:rPr>
          <w:rFonts w:ascii="Arial" w:hAnsi="Arial"/>
          <w:sz w:val="24"/>
          <w:szCs w:val="24"/>
          <w:rtl/>
        </w:rPr>
      </w:pPr>
      <w:r w:rsidRPr="00D84694">
        <w:rPr>
          <w:rFonts w:ascii="Arial" w:hAnsi="Arial"/>
          <w:sz w:val="24"/>
          <w:szCs w:val="24"/>
          <w:rtl/>
        </w:rPr>
        <w:t>עוד עמד ב"כ המאשימה על חו</w:t>
      </w:r>
      <w:r>
        <w:rPr>
          <w:rFonts w:ascii="Arial" w:hAnsi="Arial"/>
          <w:sz w:val="24"/>
          <w:szCs w:val="24"/>
          <w:rtl/>
        </w:rPr>
        <w:t>מרת מעשיו של הנאשם, הפוגעים ב</w:t>
      </w:r>
      <w:r w:rsidRPr="00D84694">
        <w:rPr>
          <w:rFonts w:ascii="Arial" w:hAnsi="Arial"/>
          <w:sz w:val="24"/>
          <w:szCs w:val="24"/>
          <w:rtl/>
        </w:rPr>
        <w:t xml:space="preserve">שלום הציבור ובביטחונו, ועל תפקידו המרכזי של הנאשם בפרשייה, במסגרתה הוגשו כתבי אישום כנגד 15 מעורבים, ואשר היה הספק העיקרי של הנשק, ואף פעל לתיקונם מקום שהיו תקולים, כאשר המניע למעשים הינו בצע כסף.  כן הדגיש את העובדה שכלי הנשק הוכנסו למדינת ישראל ולא נתפסו. </w:t>
      </w:r>
    </w:p>
    <w:p w14:paraId="66874555" w14:textId="77777777" w:rsidR="008559ED" w:rsidRPr="00D84694" w:rsidRDefault="008559ED" w:rsidP="00D84694">
      <w:pPr>
        <w:pStyle w:val="ListParagraph"/>
        <w:jc w:val="both"/>
        <w:rPr>
          <w:rFonts w:ascii="Arial" w:hAnsi="Arial"/>
          <w:sz w:val="24"/>
          <w:szCs w:val="24"/>
        </w:rPr>
      </w:pPr>
    </w:p>
    <w:p w14:paraId="6E7BB80D" w14:textId="77777777" w:rsidR="008559ED" w:rsidRDefault="008559ED" w:rsidP="00D84694">
      <w:pPr>
        <w:pStyle w:val="ListParagraph"/>
        <w:jc w:val="both"/>
        <w:rPr>
          <w:rFonts w:ascii="Arial" w:hAnsi="Arial"/>
          <w:sz w:val="24"/>
          <w:szCs w:val="24"/>
          <w:rtl/>
        </w:rPr>
      </w:pPr>
      <w:r w:rsidRPr="00D84694">
        <w:rPr>
          <w:rFonts w:ascii="Arial" w:hAnsi="Arial"/>
          <w:sz w:val="24"/>
          <w:szCs w:val="24"/>
          <w:rtl/>
        </w:rPr>
        <w:t>ב"כ המאשימה הפנה לפסיקה כדלקמן:</w:t>
      </w:r>
    </w:p>
    <w:p w14:paraId="1B50B353" w14:textId="77777777" w:rsidR="008559ED" w:rsidRPr="00D84694" w:rsidRDefault="008559ED" w:rsidP="00D84694">
      <w:pPr>
        <w:pStyle w:val="ListParagraph"/>
        <w:jc w:val="both"/>
        <w:rPr>
          <w:rFonts w:ascii="Arial" w:hAnsi="Arial"/>
          <w:sz w:val="24"/>
          <w:szCs w:val="24"/>
          <w:rtl/>
        </w:rPr>
      </w:pPr>
    </w:p>
    <w:p w14:paraId="01FC4083" w14:textId="77777777" w:rsidR="008559ED" w:rsidRDefault="00D42166" w:rsidP="00D84694">
      <w:pPr>
        <w:pStyle w:val="ListParagraph"/>
        <w:numPr>
          <w:ilvl w:val="0"/>
          <w:numId w:val="4"/>
        </w:numPr>
        <w:jc w:val="both"/>
        <w:rPr>
          <w:rFonts w:ascii="Arial" w:hAnsi="Arial"/>
          <w:sz w:val="24"/>
          <w:szCs w:val="24"/>
        </w:rPr>
      </w:pPr>
      <w:hyperlink r:id="rId19" w:history="1">
        <w:r w:rsidRPr="00D42166">
          <w:rPr>
            <w:rStyle w:val="Hyperlink"/>
            <w:rFonts w:ascii="Arial" w:hAnsi="Arial"/>
            <w:sz w:val="24"/>
            <w:szCs w:val="24"/>
            <w:rtl/>
          </w:rPr>
          <w:t>ע"פ 319/11</w:t>
        </w:r>
      </w:hyperlink>
      <w:r w:rsidR="008559ED" w:rsidRPr="00D84694">
        <w:rPr>
          <w:rFonts w:ascii="Arial" w:hAnsi="Arial"/>
          <w:sz w:val="24"/>
          <w:szCs w:val="24"/>
          <w:rtl/>
        </w:rPr>
        <w:t xml:space="preserve"> מדינת ישראל נגד ג'מאל ומוחמד יאסין </w:t>
      </w:r>
      <w:r w:rsidR="00736CDD" w:rsidRPr="00736CDD">
        <w:rPr>
          <w:rFonts w:ascii="Times New Roman" w:hAnsi="Times New Roman" w:cs="David"/>
          <w:szCs w:val="24"/>
          <w:rtl/>
        </w:rPr>
        <w:t xml:space="preserve">[פורסם בנבו] </w:t>
      </w:r>
      <w:r w:rsidR="008559ED" w:rsidRPr="00D84694">
        <w:rPr>
          <w:rFonts w:ascii="Arial" w:hAnsi="Arial"/>
          <w:sz w:val="24"/>
          <w:szCs w:val="24"/>
          <w:rtl/>
        </w:rPr>
        <w:t xml:space="preserve">– בגין מכירת נשק לסוכן בשתי הזדמנויות (ג'מאל) ושלוש הזדמנויות (מוחמד) נגזרו על המשיבים 38 ו-48 חודשי מאסר לריצוי בפועל. </w:t>
      </w:r>
    </w:p>
    <w:p w14:paraId="45438E66" w14:textId="77777777" w:rsidR="008559ED" w:rsidRPr="00D84694" w:rsidRDefault="008559ED" w:rsidP="009B6B71">
      <w:pPr>
        <w:pStyle w:val="ListParagraph"/>
        <w:ind w:left="1080"/>
        <w:jc w:val="both"/>
        <w:rPr>
          <w:rFonts w:ascii="Arial" w:hAnsi="Arial"/>
          <w:sz w:val="24"/>
          <w:szCs w:val="24"/>
          <w:rtl/>
        </w:rPr>
      </w:pPr>
    </w:p>
    <w:p w14:paraId="4BBAAA5C" w14:textId="77777777" w:rsidR="008559ED" w:rsidRDefault="00D42166" w:rsidP="00D84694">
      <w:pPr>
        <w:pStyle w:val="ListParagraph"/>
        <w:numPr>
          <w:ilvl w:val="0"/>
          <w:numId w:val="4"/>
        </w:numPr>
        <w:jc w:val="both"/>
        <w:rPr>
          <w:rFonts w:ascii="Arial" w:hAnsi="Arial"/>
          <w:sz w:val="24"/>
          <w:szCs w:val="24"/>
        </w:rPr>
      </w:pPr>
      <w:hyperlink r:id="rId20" w:history="1">
        <w:r w:rsidRPr="00D42166">
          <w:rPr>
            <w:rStyle w:val="Hyperlink"/>
            <w:rFonts w:ascii="Arial" w:hAnsi="Arial"/>
            <w:sz w:val="24"/>
            <w:szCs w:val="24"/>
            <w:rtl/>
          </w:rPr>
          <w:t>ע"פ 4450/11</w:t>
        </w:r>
      </w:hyperlink>
      <w:r w:rsidR="008559ED" w:rsidRPr="00D84694">
        <w:rPr>
          <w:rFonts w:ascii="Arial" w:hAnsi="Arial"/>
          <w:sz w:val="24"/>
          <w:szCs w:val="24"/>
          <w:rtl/>
        </w:rPr>
        <w:t xml:space="preserve">, 4841, 4871 חאלד עספור, אחמד עאסלה ובדיע הייבי נגד מדינת ישראל </w:t>
      </w:r>
      <w:r w:rsidR="00736CDD" w:rsidRPr="00736CDD">
        <w:rPr>
          <w:rFonts w:ascii="Times New Roman" w:hAnsi="Times New Roman" w:cs="David"/>
          <w:szCs w:val="24"/>
          <w:rtl/>
        </w:rPr>
        <w:t xml:space="preserve">[פורסם בנבו] </w:t>
      </w:r>
      <w:r w:rsidR="008559ED" w:rsidRPr="00D84694">
        <w:rPr>
          <w:rFonts w:ascii="Arial" w:hAnsi="Arial"/>
          <w:sz w:val="24"/>
          <w:szCs w:val="24"/>
          <w:rtl/>
        </w:rPr>
        <w:t xml:space="preserve">– על אחמד, צעיר ובעל משפחה שהורשע בעבירה אחת של קשירת קשר לפשע ועבירה אחת של סחר בנשק הוטלו 30 חודשי מאסר בפועל. על חאלד, צעיר אך בעל עבר, שהורשע בשלוש עבירות של קשירת קשר לפשע, שתי עבירות של סיוע לסחר בנשק, עבירה אחת של סחר בנשק ועבירה אחת של קבלת נכסים שהושגו בעוון הוטלו על ידי בית המשפט המחוזי 50 חודשי מאסר בפועל ועל בדיע, צעיר ללא עבר שהורשע בשלוש עבירות של קשירת קשר לפשע, ארבע עבירות של סחר בנשק, עבירה אחת של סיוע לסחר בנשק, שתי עבירות של קבלת נכסים שהושגו בעוון ושלוש עבירות של נשיאה והובלת נשק שלא כדין נגזרו על ידי בית המשפט המחוזי 90 חודשי מאסר בפועל, ובית המשפט העליון מצא להקל בעונשו והעמידו על 70 חודשי מאסר בפועל. </w:t>
      </w:r>
    </w:p>
    <w:p w14:paraId="53266AF4" w14:textId="77777777" w:rsidR="008559ED" w:rsidRPr="00D84694" w:rsidRDefault="008559ED" w:rsidP="009B6B71">
      <w:pPr>
        <w:pStyle w:val="ListParagraph"/>
        <w:ind w:left="1080"/>
        <w:jc w:val="both"/>
        <w:rPr>
          <w:rFonts w:ascii="Arial" w:hAnsi="Arial"/>
          <w:sz w:val="24"/>
          <w:szCs w:val="24"/>
        </w:rPr>
      </w:pPr>
    </w:p>
    <w:p w14:paraId="03E20330" w14:textId="77777777" w:rsidR="008559ED" w:rsidRPr="00D84694" w:rsidRDefault="00D42166" w:rsidP="00D84694">
      <w:pPr>
        <w:pStyle w:val="ListParagraph"/>
        <w:numPr>
          <w:ilvl w:val="0"/>
          <w:numId w:val="4"/>
        </w:numPr>
        <w:jc w:val="both"/>
        <w:rPr>
          <w:rFonts w:ascii="Arial" w:hAnsi="Arial"/>
          <w:sz w:val="24"/>
          <w:szCs w:val="24"/>
        </w:rPr>
      </w:pPr>
      <w:hyperlink r:id="rId21" w:history="1">
        <w:r w:rsidRPr="00D42166">
          <w:rPr>
            <w:rStyle w:val="Hyperlink"/>
            <w:rFonts w:ascii="Arial" w:hAnsi="Arial"/>
            <w:sz w:val="24"/>
            <w:szCs w:val="24"/>
            <w:rtl/>
          </w:rPr>
          <w:t>ע"פ 2606/13</w:t>
        </w:r>
      </w:hyperlink>
      <w:r w:rsidR="008559ED" w:rsidRPr="00D84694">
        <w:rPr>
          <w:rFonts w:ascii="Arial" w:hAnsi="Arial"/>
          <w:sz w:val="24"/>
          <w:szCs w:val="24"/>
          <w:rtl/>
        </w:rPr>
        <w:t xml:space="preserve"> מוחמד חוסני נגד מדינת ישראל </w:t>
      </w:r>
      <w:r w:rsidR="00736CDD" w:rsidRPr="00736CDD">
        <w:rPr>
          <w:rFonts w:ascii="Times New Roman" w:hAnsi="Times New Roman" w:cs="David"/>
          <w:szCs w:val="24"/>
          <w:rtl/>
        </w:rPr>
        <w:t xml:space="preserve">[פורסם בנבו] </w:t>
      </w:r>
      <w:r w:rsidR="008559ED" w:rsidRPr="00D84694">
        <w:rPr>
          <w:rFonts w:ascii="Arial" w:hAnsi="Arial"/>
          <w:sz w:val="24"/>
          <w:szCs w:val="24"/>
          <w:rtl/>
        </w:rPr>
        <w:t xml:space="preserve">– בגין עבירת החזקת נשק, שתי עבירות של סחר בנשק ועבירה של סיוע לסחר בנשק הושתו על המערער, צעיר ללא עבר פלילי שבעניינו תסקיר חיובי, 45 חודשי מאסר לריצוי בפועל. </w:t>
      </w:r>
    </w:p>
    <w:p w14:paraId="10A0F52C" w14:textId="77777777" w:rsidR="008559ED" w:rsidRPr="009B6B71" w:rsidRDefault="008559ED" w:rsidP="00D84694">
      <w:pPr>
        <w:pStyle w:val="ListParagraph"/>
        <w:ind w:left="1080"/>
        <w:jc w:val="both"/>
        <w:rPr>
          <w:rFonts w:ascii="Arial" w:hAnsi="Arial"/>
          <w:sz w:val="24"/>
          <w:szCs w:val="24"/>
        </w:rPr>
      </w:pPr>
    </w:p>
    <w:p w14:paraId="09EA5D53" w14:textId="77777777" w:rsidR="008559ED" w:rsidRPr="00D84694" w:rsidRDefault="008559ED" w:rsidP="009B6B71">
      <w:pPr>
        <w:pStyle w:val="ListParagraph"/>
        <w:jc w:val="both"/>
        <w:rPr>
          <w:rFonts w:ascii="Arial" w:hAnsi="Arial"/>
          <w:sz w:val="24"/>
          <w:szCs w:val="24"/>
          <w:rtl/>
        </w:rPr>
      </w:pPr>
      <w:r w:rsidRPr="00D84694">
        <w:rPr>
          <w:rFonts w:ascii="Arial" w:hAnsi="Arial"/>
          <w:sz w:val="24"/>
          <w:szCs w:val="24"/>
          <w:rtl/>
        </w:rPr>
        <w:t>כן סקר את העונשים שנגזרו על מעורבים אחרים בפרשה, שחלקם היה לטענתו נקודתי ומצומצם יותר מחלקו של הנאשם, ובהתאם לכך ולמיקומו ברף העליון במדרג הענישה האמור, לנוכח חלקו המשמעותי בביצוע העבירות, עתר ב"כ המאשימה למצות הדין עם הנאשם ולהטיל עליו כאמור עונש של 60 חודשי מאסר בפועל מיום מעצרו, מאסר מותנה וקנס.</w:t>
      </w:r>
    </w:p>
    <w:p w14:paraId="7F0ADF70" w14:textId="77777777" w:rsidR="008559ED" w:rsidRPr="00D84694" w:rsidRDefault="008559ED" w:rsidP="00D84694">
      <w:pPr>
        <w:pStyle w:val="ListParagraph"/>
        <w:jc w:val="both"/>
        <w:rPr>
          <w:rFonts w:ascii="Arial" w:hAnsi="Arial"/>
          <w:sz w:val="24"/>
          <w:szCs w:val="24"/>
          <w:rtl/>
        </w:rPr>
      </w:pPr>
    </w:p>
    <w:p w14:paraId="5F2AC4EB"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ב"כ הנאשם הדגיש את הודאת הנאשם במיוחס לו, וציין כי רף הענישה אליו עותרת המאשימה בע</w:t>
      </w:r>
      <w:r>
        <w:rPr>
          <w:rFonts w:ascii="Arial" w:hAnsi="Arial"/>
          <w:sz w:val="24"/>
          <w:szCs w:val="24"/>
          <w:rtl/>
        </w:rPr>
        <w:t>נ</w:t>
      </w:r>
      <w:r w:rsidRPr="00D84694">
        <w:rPr>
          <w:rFonts w:ascii="Arial" w:hAnsi="Arial"/>
          <w:sz w:val="24"/>
          <w:szCs w:val="24"/>
          <w:rtl/>
        </w:rPr>
        <w:t xml:space="preserve">יינו של הנאשם אינו עולה בקנה אחד עם הרף בעניינו של נאשם 1 (65 חודשים), שעניינו חמור מעניינו של הנאשם דנן, ועם רמת הענישה שהוצגה בהסדרי הטיעון ביחס לשאר המעורבים בפרשה. </w:t>
      </w:r>
    </w:p>
    <w:p w14:paraId="06D167AE" w14:textId="77777777" w:rsidR="008559ED" w:rsidRPr="00D84694" w:rsidRDefault="008559ED" w:rsidP="00D84694">
      <w:pPr>
        <w:pStyle w:val="ListParagraph"/>
        <w:jc w:val="both"/>
        <w:rPr>
          <w:rFonts w:ascii="Arial" w:hAnsi="Arial"/>
          <w:sz w:val="24"/>
          <w:szCs w:val="24"/>
        </w:rPr>
      </w:pPr>
    </w:p>
    <w:p w14:paraId="2A833ECD" w14:textId="77777777" w:rsidR="008559ED" w:rsidRPr="00D84694" w:rsidRDefault="008559ED" w:rsidP="00D84694">
      <w:pPr>
        <w:pStyle w:val="ListParagraph"/>
        <w:jc w:val="both"/>
        <w:rPr>
          <w:rFonts w:ascii="Arial" w:hAnsi="Arial"/>
          <w:sz w:val="24"/>
          <w:szCs w:val="24"/>
          <w:rtl/>
        </w:rPr>
      </w:pPr>
      <w:r w:rsidRPr="00D84694">
        <w:rPr>
          <w:rFonts w:ascii="Arial" w:hAnsi="Arial"/>
          <w:sz w:val="24"/>
          <w:szCs w:val="24"/>
          <w:rtl/>
        </w:rPr>
        <w:t>אשר לעברו הפלילי של הנאשם טען בא כוחו, כי העבירות בוצעו עת היה קטין והושפע לביצוע המעשים.</w:t>
      </w:r>
    </w:p>
    <w:p w14:paraId="080D07FB" w14:textId="77777777" w:rsidR="008559ED" w:rsidRDefault="008559ED" w:rsidP="00D84694">
      <w:pPr>
        <w:pStyle w:val="ListParagraph"/>
        <w:jc w:val="both"/>
        <w:rPr>
          <w:rFonts w:ascii="Arial" w:hAnsi="Arial"/>
          <w:sz w:val="24"/>
          <w:szCs w:val="24"/>
          <w:rtl/>
        </w:rPr>
      </w:pPr>
    </w:p>
    <w:p w14:paraId="76F7E2ED" w14:textId="77777777" w:rsidR="008559ED" w:rsidRPr="00D84694" w:rsidRDefault="008559ED" w:rsidP="009B6B71">
      <w:pPr>
        <w:pStyle w:val="ListParagraph"/>
        <w:numPr>
          <w:ilvl w:val="0"/>
          <w:numId w:val="3"/>
        </w:numPr>
        <w:jc w:val="both"/>
        <w:rPr>
          <w:rFonts w:ascii="Arial" w:hAnsi="Arial"/>
          <w:sz w:val="24"/>
          <w:szCs w:val="24"/>
          <w:rtl/>
        </w:rPr>
      </w:pPr>
      <w:r w:rsidRPr="00D84694">
        <w:rPr>
          <w:rFonts w:ascii="Arial" w:hAnsi="Arial"/>
          <w:sz w:val="24"/>
          <w:szCs w:val="24"/>
          <w:rtl/>
        </w:rPr>
        <w:t>הנאשם טען כי אינו "סוחר נשק גדול" וניכר כי אינו מפנים את חומרת מעשיו.</w:t>
      </w:r>
    </w:p>
    <w:p w14:paraId="1EC98786" w14:textId="77777777" w:rsidR="008559ED" w:rsidRDefault="008559ED" w:rsidP="00D84694">
      <w:pPr>
        <w:jc w:val="both"/>
        <w:rPr>
          <w:rFonts w:ascii="Arial" w:hAnsi="Arial" w:cs="Arial"/>
          <w:b/>
          <w:bCs/>
          <w:u w:val="single"/>
          <w:rtl/>
        </w:rPr>
      </w:pPr>
    </w:p>
    <w:p w14:paraId="3460E909" w14:textId="77777777" w:rsidR="008559ED" w:rsidRPr="00D84694" w:rsidRDefault="008559ED" w:rsidP="00D84694">
      <w:pPr>
        <w:jc w:val="both"/>
        <w:rPr>
          <w:rFonts w:ascii="Arial" w:hAnsi="Arial" w:cs="Arial"/>
          <w:b/>
          <w:bCs/>
          <w:u w:val="single"/>
          <w:rtl/>
        </w:rPr>
      </w:pPr>
      <w:r w:rsidRPr="00D84694">
        <w:rPr>
          <w:rFonts w:ascii="Arial" w:hAnsi="Arial" w:cs="Arial"/>
          <w:b/>
          <w:bCs/>
          <w:u w:val="single"/>
          <w:rtl/>
        </w:rPr>
        <w:t>דיון והכרעה</w:t>
      </w:r>
    </w:p>
    <w:p w14:paraId="04D8D172" w14:textId="77777777" w:rsidR="008559ED" w:rsidRDefault="008559ED" w:rsidP="00D84694">
      <w:pPr>
        <w:jc w:val="both"/>
        <w:rPr>
          <w:rFonts w:ascii="Arial" w:hAnsi="Arial" w:cs="Arial"/>
          <w:u w:val="single"/>
          <w:rtl/>
        </w:rPr>
      </w:pPr>
      <w:r w:rsidRPr="00D84694">
        <w:rPr>
          <w:rFonts w:ascii="Arial" w:hAnsi="Arial" w:cs="Arial"/>
          <w:u w:val="single"/>
          <w:rtl/>
        </w:rPr>
        <w:t>מתחם העונש ההולם – ריבוי עבירות</w:t>
      </w:r>
    </w:p>
    <w:p w14:paraId="0CE7A75B" w14:textId="77777777" w:rsidR="008559ED" w:rsidRPr="00D84694" w:rsidRDefault="008559ED" w:rsidP="00D84694">
      <w:pPr>
        <w:jc w:val="both"/>
        <w:rPr>
          <w:rFonts w:ascii="Arial" w:hAnsi="Arial" w:cs="Arial"/>
          <w:rtl/>
        </w:rPr>
      </w:pPr>
    </w:p>
    <w:p w14:paraId="2E0C1697" w14:textId="77777777" w:rsidR="008559ED" w:rsidRPr="00D84694" w:rsidRDefault="008559ED" w:rsidP="00D84694">
      <w:pPr>
        <w:pStyle w:val="ListParagraph"/>
        <w:numPr>
          <w:ilvl w:val="0"/>
          <w:numId w:val="5"/>
        </w:numPr>
        <w:jc w:val="both"/>
        <w:rPr>
          <w:rFonts w:ascii="Arial" w:hAnsi="Arial"/>
          <w:sz w:val="24"/>
          <w:szCs w:val="24"/>
          <w:rtl/>
        </w:rPr>
      </w:pPr>
      <w:r w:rsidRPr="00D84694">
        <w:rPr>
          <w:rFonts w:ascii="Arial" w:hAnsi="Arial"/>
          <w:sz w:val="24"/>
          <w:szCs w:val="24"/>
          <w:rtl/>
        </w:rPr>
        <w:t xml:space="preserve">לאור תיקון 113 לחוק, שעניינו הבניית שיקול הדעת בענישה, הוטל על בית המשפט </w:t>
      </w:r>
      <w:hyperlink r:id="rId22" w:history="1">
        <w:r w:rsidR="00DF0AC5" w:rsidRPr="00DF0AC5">
          <w:rPr>
            <w:rFonts w:ascii="Arial" w:hAnsi="Arial"/>
            <w:color w:val="0000FF"/>
            <w:sz w:val="24"/>
            <w:szCs w:val="24"/>
            <w:u w:val="single"/>
            <w:rtl/>
          </w:rPr>
          <w:t>בסעיף 40ג</w:t>
        </w:r>
      </w:hyperlink>
      <w:r w:rsidRPr="00D84694">
        <w:rPr>
          <w:rFonts w:ascii="Arial" w:hAnsi="Arial"/>
          <w:sz w:val="24"/>
          <w:szCs w:val="24"/>
          <w:rtl/>
        </w:rPr>
        <w:t xml:space="preserve"> לחוק, לקבוע "מתחם עונש הולם </w:t>
      </w:r>
      <w:r w:rsidRPr="00D84694">
        <w:rPr>
          <w:rFonts w:ascii="Arial" w:hAnsi="Arial"/>
          <w:b/>
          <w:bCs/>
          <w:sz w:val="24"/>
          <w:szCs w:val="24"/>
          <w:rtl/>
        </w:rPr>
        <w:t>למעשה העבירה</w:t>
      </w:r>
      <w:r w:rsidRPr="00D84694">
        <w:rPr>
          <w:rFonts w:ascii="Arial" w:hAnsi="Arial"/>
          <w:sz w:val="24"/>
          <w:szCs w:val="24"/>
          <w:rtl/>
        </w:rPr>
        <w:t xml:space="preserve"> שביצע הנאשם..." (ההדגשה אינה במקור).  </w:t>
      </w:r>
    </w:p>
    <w:p w14:paraId="20CB721A" w14:textId="77777777" w:rsidR="008559ED" w:rsidRPr="00D84694" w:rsidRDefault="008559ED" w:rsidP="00D84694">
      <w:pPr>
        <w:pStyle w:val="ListParagraph"/>
        <w:jc w:val="both"/>
        <w:rPr>
          <w:rFonts w:ascii="Arial" w:hAnsi="Arial"/>
          <w:sz w:val="24"/>
          <w:szCs w:val="24"/>
        </w:rPr>
      </w:pPr>
    </w:p>
    <w:p w14:paraId="37E521B8" w14:textId="77777777" w:rsidR="008559ED" w:rsidRPr="00D84694" w:rsidRDefault="00DF0AC5" w:rsidP="00D84694">
      <w:pPr>
        <w:pStyle w:val="ListParagraph"/>
        <w:numPr>
          <w:ilvl w:val="0"/>
          <w:numId w:val="5"/>
        </w:numPr>
        <w:jc w:val="both"/>
        <w:rPr>
          <w:rFonts w:ascii="Arial" w:hAnsi="Arial"/>
          <w:sz w:val="24"/>
          <w:szCs w:val="24"/>
        </w:rPr>
      </w:pPr>
      <w:hyperlink r:id="rId23" w:history="1">
        <w:r w:rsidRPr="00DF0AC5">
          <w:rPr>
            <w:rFonts w:ascii="Arial" w:hAnsi="Arial"/>
            <w:color w:val="0000FF"/>
            <w:sz w:val="24"/>
            <w:szCs w:val="24"/>
            <w:u w:val="single"/>
            <w:rtl/>
          </w:rPr>
          <w:t>סעיף 40יג.</w:t>
        </w:r>
      </w:hyperlink>
      <w:r w:rsidR="008559ED" w:rsidRPr="00D84694">
        <w:rPr>
          <w:rFonts w:ascii="Arial" w:hAnsi="Arial"/>
          <w:sz w:val="24"/>
          <w:szCs w:val="24"/>
          <w:rtl/>
        </w:rPr>
        <w:t xml:space="preserve"> לחוק אפשר לבית המשפט לקבוע האם מקרה של ריבוי עבירות עולה כדי "מעשה עבירה אחד", או אז יקבע מתחם ענישה לאירוע בכללותו (ס"ק א), או שמא מדובר בכמה עבירות המהוות מספר אירועים שונים, או אז עליו לקבוע מתחם עונש הולם לכל אירוע בנפרד, ולגזור עונש נפרד לכל אירוע או עונש כולל לכל האירועים; גזר בית המשפט עונש נפרד לכל אירוע - יקבע את מידת החפיפה בין העונשים או הצטברותם (ס"ק ב).</w:t>
      </w:r>
    </w:p>
    <w:p w14:paraId="6C4B5440" w14:textId="77777777" w:rsidR="008559ED" w:rsidRPr="00D84694" w:rsidRDefault="008559ED" w:rsidP="00D84694">
      <w:pPr>
        <w:pStyle w:val="ListParagraph"/>
        <w:jc w:val="both"/>
        <w:rPr>
          <w:rFonts w:ascii="Arial" w:hAnsi="Arial"/>
          <w:sz w:val="24"/>
          <w:szCs w:val="24"/>
        </w:rPr>
      </w:pPr>
    </w:p>
    <w:p w14:paraId="20EC153C" w14:textId="77777777" w:rsidR="008559ED" w:rsidRPr="00D84694" w:rsidRDefault="008559ED" w:rsidP="00D84694">
      <w:pPr>
        <w:pStyle w:val="ListParagraph"/>
        <w:numPr>
          <w:ilvl w:val="0"/>
          <w:numId w:val="5"/>
        </w:numPr>
        <w:jc w:val="both"/>
        <w:rPr>
          <w:rFonts w:ascii="Arial" w:hAnsi="Arial"/>
          <w:sz w:val="24"/>
          <w:szCs w:val="24"/>
          <w:rtl/>
        </w:rPr>
      </w:pPr>
      <w:r w:rsidRPr="00D84694">
        <w:rPr>
          <w:rFonts w:ascii="Arial" w:hAnsi="Arial"/>
          <w:sz w:val="24"/>
          <w:szCs w:val="24"/>
          <w:rtl/>
        </w:rPr>
        <w:t>במקרה דנן קיימים אמנם קווי דמיון בין פרטי האישום השונים, אולם ניתן לראות כל אחד מהאירועים המתוארים בכתב האישום כאירוע העומד בפני עצמו, במסגרתו נמכרו כלי נשק שונים, היו מעורבים גורמים שונים והועברו סכומי כסף שונים. כמו כן, יכול היה לחדול הנאשם ממעשיו בכל רגע נתון אך בחר שלא לעשות כן, מטעמי בצע כסף.</w:t>
      </w:r>
    </w:p>
    <w:p w14:paraId="1BF76D8D" w14:textId="77777777" w:rsidR="008559ED" w:rsidRPr="00D84694" w:rsidRDefault="008559ED" w:rsidP="00D84694">
      <w:pPr>
        <w:pStyle w:val="ListParagraph"/>
        <w:rPr>
          <w:rFonts w:ascii="Arial" w:hAnsi="Arial"/>
          <w:sz w:val="24"/>
          <w:szCs w:val="24"/>
        </w:rPr>
      </w:pPr>
    </w:p>
    <w:p w14:paraId="7E326A06" w14:textId="77777777" w:rsidR="008559ED" w:rsidRPr="00D84694" w:rsidRDefault="008559ED" w:rsidP="009B6B71">
      <w:pPr>
        <w:pStyle w:val="ListParagraph"/>
        <w:jc w:val="both"/>
        <w:rPr>
          <w:rFonts w:ascii="Arial" w:hAnsi="Arial"/>
          <w:sz w:val="24"/>
          <w:szCs w:val="24"/>
          <w:rtl/>
        </w:rPr>
      </w:pPr>
      <w:r w:rsidRPr="00D84694">
        <w:rPr>
          <w:rFonts w:ascii="Arial" w:hAnsi="Arial"/>
          <w:sz w:val="24"/>
          <w:szCs w:val="24"/>
          <w:rtl/>
        </w:rPr>
        <w:t xml:space="preserve">על כן בבואי לגזור את דינו של הנאשם, סברתי כי יש לבחון כל מקרה לגופו, ותדירותן של העבירות והזיקה ביניהן תבוא לידי ביטוי בגזירת העונש ובקביעת היחס בין חומרת מכלול המעשים לבין תקופת המאסר שתוטל על הנאשם (ס"ק ג). </w:t>
      </w:r>
    </w:p>
    <w:p w14:paraId="6F1A6409" w14:textId="77777777" w:rsidR="008559ED" w:rsidRDefault="008559ED" w:rsidP="00D84694">
      <w:pPr>
        <w:jc w:val="both"/>
        <w:rPr>
          <w:rFonts w:ascii="Arial" w:hAnsi="Arial" w:cs="Arial"/>
          <w:u w:val="single"/>
          <w:rtl/>
        </w:rPr>
      </w:pPr>
    </w:p>
    <w:p w14:paraId="627C90D9" w14:textId="77777777" w:rsidR="008559ED" w:rsidRDefault="008559ED" w:rsidP="00D84694">
      <w:pPr>
        <w:jc w:val="both"/>
        <w:rPr>
          <w:rFonts w:ascii="Arial" w:hAnsi="Arial" w:cs="Arial"/>
          <w:u w:val="single"/>
          <w:rtl/>
        </w:rPr>
      </w:pPr>
      <w:r w:rsidRPr="00D84694">
        <w:rPr>
          <w:rFonts w:ascii="Arial" w:hAnsi="Arial" w:cs="Arial"/>
          <w:u w:val="single"/>
          <w:rtl/>
        </w:rPr>
        <w:t>קביעת מתחם העונש ההולם</w:t>
      </w:r>
    </w:p>
    <w:p w14:paraId="5FCDBE1B" w14:textId="77777777" w:rsidR="008559ED" w:rsidRPr="00D84694" w:rsidRDefault="008559ED" w:rsidP="00D84694">
      <w:pPr>
        <w:jc w:val="both"/>
        <w:rPr>
          <w:rFonts w:ascii="Arial" w:hAnsi="Arial" w:cs="Arial"/>
          <w:u w:val="single"/>
          <w:rtl/>
        </w:rPr>
      </w:pPr>
    </w:p>
    <w:p w14:paraId="7302F383"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בהתאם </w:t>
      </w:r>
      <w:hyperlink r:id="rId24" w:history="1">
        <w:r w:rsidR="00DF0AC5" w:rsidRPr="00DF0AC5">
          <w:rPr>
            <w:rFonts w:ascii="Arial" w:hAnsi="Arial"/>
            <w:color w:val="0000FF"/>
            <w:sz w:val="24"/>
            <w:szCs w:val="24"/>
            <w:u w:val="single"/>
            <w:rtl/>
          </w:rPr>
          <w:t>לסעיף 40ג</w:t>
        </w:r>
      </w:hyperlink>
      <w:r w:rsidRPr="00D84694">
        <w:rPr>
          <w:rFonts w:ascii="Arial" w:hAnsi="Arial"/>
          <w:sz w:val="24"/>
          <w:szCs w:val="24"/>
          <w:rtl/>
        </w:rPr>
        <w:t xml:space="preserve"> ל</w:t>
      </w:r>
      <w:hyperlink r:id="rId25" w:history="1">
        <w:r w:rsidR="00D42166" w:rsidRPr="00D42166">
          <w:rPr>
            <w:rStyle w:val="Hyperlink"/>
            <w:rFonts w:ascii="Arial" w:hAnsi="Arial"/>
            <w:sz w:val="24"/>
            <w:szCs w:val="24"/>
            <w:rtl/>
          </w:rPr>
          <w:t>חוק העונשין</w:t>
        </w:r>
      </w:hyperlink>
      <w:r w:rsidRPr="00D84694">
        <w:rPr>
          <w:rFonts w:ascii="Arial" w:hAnsi="Arial"/>
          <w:sz w:val="24"/>
          <w:szCs w:val="24"/>
          <w:rtl/>
        </w:rPr>
        <w:t>, על בית המשפט לקבוע מתחם עונש הולם למעשה העבירה שביצע הנאשם בהתאם לעקרון ההלימה, ולשם כך יתחשב בערך החברתי שנפגע מביצוע העבירה, במידת הפגיעה בו, במדיניות הענישה הנהוגה ובנסיבות הקשורות בביצוע העבירה.</w:t>
      </w:r>
    </w:p>
    <w:p w14:paraId="5344E365" w14:textId="77777777" w:rsidR="008559ED" w:rsidRDefault="008559ED" w:rsidP="00D84694">
      <w:pPr>
        <w:pStyle w:val="ListParagraph"/>
        <w:ind w:left="525"/>
        <w:jc w:val="both"/>
        <w:rPr>
          <w:rFonts w:ascii="Arial" w:hAnsi="Arial"/>
          <w:sz w:val="24"/>
          <w:szCs w:val="24"/>
          <w:rtl/>
        </w:rPr>
      </w:pPr>
    </w:p>
    <w:p w14:paraId="14D48ECF" w14:textId="77777777" w:rsidR="008559ED" w:rsidRDefault="008559ED" w:rsidP="00D84694">
      <w:pPr>
        <w:pStyle w:val="ListParagraph"/>
        <w:ind w:left="525"/>
        <w:jc w:val="both"/>
        <w:rPr>
          <w:rFonts w:ascii="Arial" w:hAnsi="Arial"/>
          <w:sz w:val="24"/>
          <w:szCs w:val="24"/>
          <w:rtl/>
        </w:rPr>
      </w:pPr>
    </w:p>
    <w:p w14:paraId="39774B01" w14:textId="77777777" w:rsidR="008559ED" w:rsidRDefault="008559ED" w:rsidP="00D84694">
      <w:pPr>
        <w:pStyle w:val="ListParagraph"/>
        <w:ind w:left="525"/>
        <w:jc w:val="both"/>
        <w:rPr>
          <w:rFonts w:ascii="Arial" w:hAnsi="Arial"/>
          <w:sz w:val="24"/>
          <w:szCs w:val="24"/>
          <w:rtl/>
        </w:rPr>
      </w:pPr>
    </w:p>
    <w:p w14:paraId="30853ADC"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הנאשם </w:t>
      </w:r>
      <w:r>
        <w:rPr>
          <w:rFonts w:ascii="Arial" w:hAnsi="Arial"/>
          <w:sz w:val="24"/>
          <w:szCs w:val="24"/>
          <w:rtl/>
        </w:rPr>
        <w:t xml:space="preserve">היה </w:t>
      </w:r>
      <w:r w:rsidRPr="00D84694">
        <w:rPr>
          <w:rFonts w:ascii="Arial" w:hAnsi="Arial"/>
          <w:sz w:val="24"/>
          <w:szCs w:val="24"/>
          <w:rtl/>
        </w:rPr>
        <w:t>מוכן ומזומן בכל עת לספק כלי נשק ותחמושת לבקשת המעורבים האחרים בפרשה, עשה כן על בסיס כמעט יומי על פני תקופה ממושכת עד למעצרו, ואף דאג לתיקון והכשרת כלי נשק שהיו תקולים. לעתים אף הציע מיוזמתו כלי נשק למכירה. במהלך עסקיו "הרגיל" מכר הנאשם אקדחים, תת מקלע מסוג קלצ'ניקוב, כלי נשק נוספים שאינם ידועים וכן תחמושת רבה (כדורים ומחסניות) לסוגי נשק שונים.</w:t>
      </w:r>
    </w:p>
    <w:p w14:paraId="022FC711" w14:textId="77777777" w:rsidR="008559ED" w:rsidRPr="00D84694" w:rsidRDefault="008559ED" w:rsidP="00D84694">
      <w:pPr>
        <w:pStyle w:val="ListParagraph"/>
        <w:rPr>
          <w:rFonts w:ascii="Arial" w:hAnsi="Arial"/>
          <w:sz w:val="24"/>
          <w:szCs w:val="24"/>
        </w:rPr>
      </w:pPr>
    </w:p>
    <w:p w14:paraId="7DF4930A" w14:textId="77777777" w:rsidR="008559ED" w:rsidRPr="00D84694" w:rsidRDefault="008559ED" w:rsidP="00D84694">
      <w:pPr>
        <w:pStyle w:val="ListParagraph"/>
        <w:jc w:val="both"/>
        <w:rPr>
          <w:rFonts w:ascii="Arial" w:hAnsi="Arial"/>
          <w:sz w:val="24"/>
          <w:szCs w:val="24"/>
          <w:rtl/>
        </w:rPr>
      </w:pPr>
      <w:r w:rsidRPr="00D84694">
        <w:rPr>
          <w:rFonts w:ascii="Arial" w:hAnsi="Arial"/>
          <w:sz w:val="24"/>
          <w:szCs w:val="24"/>
          <w:rtl/>
        </w:rPr>
        <w:t xml:space="preserve">חומרה יתרה יש לראות בכך שכלי הנשק והתחמושת הועברו משטחי הרשות הפלסטינאית לתחומי הקו הירוק, ובהמשך נמכרו לאחרים ולא נתפסו עד היום. </w:t>
      </w:r>
    </w:p>
    <w:p w14:paraId="2AB9EBDC" w14:textId="77777777" w:rsidR="008559ED" w:rsidRPr="00D84694" w:rsidRDefault="008559ED" w:rsidP="00D84694">
      <w:pPr>
        <w:pStyle w:val="ListParagraph"/>
        <w:jc w:val="both"/>
        <w:rPr>
          <w:rFonts w:ascii="Arial" w:hAnsi="Arial"/>
          <w:sz w:val="24"/>
          <w:szCs w:val="24"/>
          <w:rtl/>
        </w:rPr>
      </w:pPr>
    </w:p>
    <w:p w14:paraId="399A1FD4" w14:textId="77777777" w:rsidR="008559ED" w:rsidRPr="00D84694" w:rsidRDefault="008559ED" w:rsidP="009B6B71">
      <w:pPr>
        <w:pStyle w:val="ListParagraph"/>
        <w:numPr>
          <w:ilvl w:val="0"/>
          <w:numId w:val="3"/>
        </w:numPr>
        <w:jc w:val="both"/>
        <w:rPr>
          <w:rFonts w:ascii="Arial" w:hAnsi="Arial"/>
          <w:sz w:val="24"/>
          <w:szCs w:val="24"/>
        </w:rPr>
      </w:pPr>
      <w:r w:rsidRPr="00D84694">
        <w:rPr>
          <w:rFonts w:ascii="Arial" w:hAnsi="Arial"/>
          <w:sz w:val="24"/>
          <w:szCs w:val="24"/>
          <w:rtl/>
        </w:rPr>
        <w:t>הערך החברתי הנפגע ממעשיו של הנאשם הינו שלום הציבור ובטחונו. עבירות בנשק נעשות לרוב על מנת לאפשר</w:t>
      </w:r>
      <w:r w:rsidR="00DD06F0">
        <w:rPr>
          <w:rFonts w:ascii="Arial" w:hAnsi="Arial" w:hint="cs"/>
          <w:sz w:val="24"/>
          <w:szCs w:val="24"/>
          <w:rtl/>
        </w:rPr>
        <w:t xml:space="preserve"> </w:t>
      </w:r>
      <w:r w:rsidRPr="00D84694">
        <w:rPr>
          <w:rFonts w:ascii="Arial" w:hAnsi="Arial"/>
          <w:sz w:val="24"/>
          <w:szCs w:val="24"/>
          <w:rtl/>
        </w:rPr>
        <w:t>ביצוען</w:t>
      </w:r>
      <w:r w:rsidR="00DD06F0">
        <w:rPr>
          <w:rFonts w:ascii="Arial" w:hAnsi="Arial" w:hint="cs"/>
          <w:sz w:val="24"/>
          <w:szCs w:val="24"/>
          <w:rtl/>
        </w:rPr>
        <w:t xml:space="preserve"> </w:t>
      </w:r>
      <w:r w:rsidRPr="00D84694">
        <w:rPr>
          <w:rFonts w:ascii="Arial" w:hAnsi="Arial"/>
          <w:sz w:val="24"/>
          <w:szCs w:val="24"/>
          <w:rtl/>
        </w:rPr>
        <w:t>של</w:t>
      </w:r>
      <w:r w:rsidR="00DD06F0">
        <w:rPr>
          <w:rFonts w:ascii="Arial" w:hAnsi="Arial" w:hint="cs"/>
          <w:sz w:val="24"/>
          <w:szCs w:val="24"/>
          <w:rtl/>
        </w:rPr>
        <w:t xml:space="preserve"> </w:t>
      </w:r>
      <w:r w:rsidRPr="00D84694">
        <w:rPr>
          <w:rFonts w:ascii="Arial" w:hAnsi="Arial"/>
          <w:sz w:val="24"/>
          <w:szCs w:val="24"/>
          <w:rtl/>
        </w:rPr>
        <w:t>עבירות</w:t>
      </w:r>
      <w:r w:rsidR="00DD06F0">
        <w:rPr>
          <w:rFonts w:ascii="Arial" w:hAnsi="Arial" w:hint="cs"/>
          <w:sz w:val="24"/>
          <w:szCs w:val="24"/>
          <w:rtl/>
        </w:rPr>
        <w:t xml:space="preserve"> </w:t>
      </w:r>
      <w:r w:rsidRPr="00D84694">
        <w:rPr>
          <w:rFonts w:ascii="Arial" w:hAnsi="Arial"/>
          <w:sz w:val="24"/>
          <w:szCs w:val="24"/>
          <w:rtl/>
        </w:rPr>
        <w:t>אחרות, הכרוכות</w:t>
      </w:r>
      <w:r w:rsidR="00DD06F0">
        <w:rPr>
          <w:rFonts w:ascii="Arial" w:hAnsi="Arial" w:hint="cs"/>
          <w:sz w:val="24"/>
          <w:szCs w:val="24"/>
          <w:rtl/>
        </w:rPr>
        <w:t xml:space="preserve"> </w:t>
      </w:r>
      <w:r>
        <w:rPr>
          <w:rFonts w:ascii="Arial" w:hAnsi="Arial"/>
          <w:sz w:val="24"/>
          <w:szCs w:val="24"/>
          <w:rtl/>
        </w:rPr>
        <w:t>ב</w:t>
      </w:r>
      <w:r w:rsidRPr="00D84694">
        <w:rPr>
          <w:rFonts w:ascii="Arial" w:hAnsi="Arial"/>
          <w:sz w:val="24"/>
          <w:szCs w:val="24"/>
          <w:rtl/>
        </w:rPr>
        <w:t>אלימות. זמינותם</w:t>
      </w:r>
      <w:r w:rsidR="00DD06F0">
        <w:rPr>
          <w:rFonts w:ascii="Arial" w:hAnsi="Arial" w:hint="cs"/>
          <w:sz w:val="24"/>
          <w:szCs w:val="24"/>
          <w:rtl/>
        </w:rPr>
        <w:t xml:space="preserve"> </w:t>
      </w:r>
      <w:r w:rsidRPr="00D84694">
        <w:rPr>
          <w:rFonts w:ascii="Arial" w:hAnsi="Arial"/>
          <w:sz w:val="24"/>
          <w:szCs w:val="24"/>
          <w:rtl/>
        </w:rPr>
        <w:t>של</w:t>
      </w:r>
      <w:r w:rsidR="00DD06F0">
        <w:rPr>
          <w:rFonts w:ascii="Arial" w:hAnsi="Arial" w:hint="cs"/>
          <w:sz w:val="24"/>
          <w:szCs w:val="24"/>
          <w:rtl/>
        </w:rPr>
        <w:t xml:space="preserve"> </w:t>
      </w:r>
      <w:r w:rsidRPr="00D84694">
        <w:rPr>
          <w:rFonts w:ascii="Arial" w:hAnsi="Arial"/>
          <w:sz w:val="24"/>
          <w:szCs w:val="24"/>
          <w:rtl/>
        </w:rPr>
        <w:t>כלי</w:t>
      </w:r>
      <w:r w:rsidR="00DD06F0">
        <w:rPr>
          <w:rFonts w:ascii="Arial" w:hAnsi="Arial" w:hint="cs"/>
          <w:sz w:val="24"/>
          <w:szCs w:val="24"/>
          <w:rtl/>
        </w:rPr>
        <w:t xml:space="preserve"> </w:t>
      </w:r>
      <w:r w:rsidRPr="00D84694">
        <w:rPr>
          <w:rFonts w:ascii="Arial" w:hAnsi="Arial"/>
          <w:sz w:val="24"/>
          <w:szCs w:val="24"/>
          <w:rtl/>
        </w:rPr>
        <w:t>הנשק</w:t>
      </w:r>
      <w:r w:rsidR="00DD06F0">
        <w:rPr>
          <w:rFonts w:ascii="Arial" w:hAnsi="Arial" w:hint="cs"/>
          <w:sz w:val="24"/>
          <w:szCs w:val="24"/>
          <w:rtl/>
        </w:rPr>
        <w:t xml:space="preserve"> </w:t>
      </w:r>
      <w:r w:rsidRPr="00D84694">
        <w:rPr>
          <w:rFonts w:ascii="Arial" w:hAnsi="Arial"/>
          <w:sz w:val="24"/>
          <w:szCs w:val="24"/>
          <w:rtl/>
        </w:rPr>
        <w:t>העוברים</w:t>
      </w:r>
      <w:r w:rsidR="00DD06F0">
        <w:rPr>
          <w:rFonts w:ascii="Arial" w:hAnsi="Arial" w:hint="cs"/>
          <w:sz w:val="24"/>
          <w:szCs w:val="24"/>
          <w:rtl/>
        </w:rPr>
        <w:t xml:space="preserve"> </w:t>
      </w:r>
      <w:r w:rsidRPr="00D84694">
        <w:rPr>
          <w:rFonts w:ascii="Arial" w:hAnsi="Arial"/>
          <w:sz w:val="24"/>
          <w:szCs w:val="24"/>
          <w:rtl/>
        </w:rPr>
        <w:t>מיד</w:t>
      </w:r>
      <w:r w:rsidR="00DD06F0">
        <w:rPr>
          <w:rFonts w:ascii="Arial" w:hAnsi="Arial" w:hint="cs"/>
          <w:sz w:val="24"/>
          <w:szCs w:val="24"/>
          <w:rtl/>
        </w:rPr>
        <w:t xml:space="preserve"> </w:t>
      </w:r>
      <w:r w:rsidRPr="00D84694">
        <w:rPr>
          <w:rFonts w:ascii="Arial" w:hAnsi="Arial"/>
          <w:sz w:val="24"/>
          <w:szCs w:val="24"/>
          <w:rtl/>
        </w:rPr>
        <w:t>ליד, אם</w:t>
      </w:r>
      <w:r w:rsidR="00DD06F0">
        <w:rPr>
          <w:rFonts w:ascii="Arial" w:hAnsi="Arial" w:hint="cs"/>
          <w:sz w:val="24"/>
          <w:szCs w:val="24"/>
          <w:rtl/>
        </w:rPr>
        <w:t xml:space="preserve"> </w:t>
      </w:r>
      <w:r w:rsidRPr="00D84694">
        <w:rPr>
          <w:rFonts w:ascii="Arial" w:hAnsi="Arial"/>
          <w:sz w:val="24"/>
          <w:szCs w:val="24"/>
          <w:rtl/>
        </w:rPr>
        <w:t>לידיים</w:t>
      </w:r>
      <w:r w:rsidR="00DD06F0">
        <w:rPr>
          <w:rFonts w:ascii="Arial" w:hAnsi="Arial" w:hint="cs"/>
          <w:sz w:val="24"/>
          <w:szCs w:val="24"/>
          <w:rtl/>
        </w:rPr>
        <w:t xml:space="preserve"> </w:t>
      </w:r>
      <w:r w:rsidRPr="00D84694">
        <w:rPr>
          <w:rFonts w:ascii="Arial" w:hAnsi="Arial"/>
          <w:sz w:val="24"/>
          <w:szCs w:val="24"/>
          <w:rtl/>
        </w:rPr>
        <w:t>עוינות ואם לידיים פליליות</w:t>
      </w:r>
      <w:r w:rsidR="00DD06F0">
        <w:rPr>
          <w:rFonts w:ascii="Arial" w:hAnsi="Arial" w:hint="cs"/>
          <w:sz w:val="24"/>
          <w:szCs w:val="24"/>
          <w:rtl/>
        </w:rPr>
        <w:t xml:space="preserve"> </w:t>
      </w:r>
      <w:r w:rsidRPr="00D84694">
        <w:rPr>
          <w:rFonts w:ascii="Arial" w:hAnsi="Arial"/>
          <w:sz w:val="24"/>
          <w:szCs w:val="24"/>
          <w:rtl/>
        </w:rPr>
        <w:t>למיניהן, תורמים</w:t>
      </w:r>
      <w:r w:rsidR="00DD06F0">
        <w:rPr>
          <w:rFonts w:ascii="Arial" w:hAnsi="Arial" w:hint="cs"/>
          <w:sz w:val="24"/>
          <w:szCs w:val="24"/>
          <w:rtl/>
        </w:rPr>
        <w:t xml:space="preserve"> </w:t>
      </w:r>
      <w:r w:rsidRPr="00D84694">
        <w:rPr>
          <w:rFonts w:ascii="Arial" w:hAnsi="Arial"/>
          <w:sz w:val="24"/>
          <w:szCs w:val="24"/>
          <w:rtl/>
        </w:rPr>
        <w:t>להגדלתו</w:t>
      </w:r>
      <w:r w:rsidR="00DD06F0">
        <w:rPr>
          <w:rFonts w:ascii="Arial" w:hAnsi="Arial" w:hint="cs"/>
          <w:sz w:val="24"/>
          <w:szCs w:val="24"/>
          <w:rtl/>
        </w:rPr>
        <w:t xml:space="preserve"> </w:t>
      </w:r>
      <w:r w:rsidRPr="00D84694">
        <w:rPr>
          <w:rFonts w:ascii="Arial" w:hAnsi="Arial"/>
          <w:sz w:val="24"/>
          <w:szCs w:val="24"/>
          <w:rtl/>
        </w:rPr>
        <w:t>של</w:t>
      </w:r>
      <w:r w:rsidR="00DD06F0">
        <w:rPr>
          <w:rFonts w:ascii="Arial" w:hAnsi="Arial" w:hint="cs"/>
          <w:sz w:val="24"/>
          <w:szCs w:val="24"/>
          <w:rtl/>
        </w:rPr>
        <w:t xml:space="preserve"> </w:t>
      </w:r>
      <w:r w:rsidRPr="00D84694">
        <w:rPr>
          <w:rFonts w:ascii="Arial" w:hAnsi="Arial"/>
          <w:sz w:val="24"/>
          <w:szCs w:val="24"/>
          <w:rtl/>
        </w:rPr>
        <w:t>מעגל</w:t>
      </w:r>
      <w:r w:rsidR="00DD06F0">
        <w:rPr>
          <w:rFonts w:ascii="Arial" w:hAnsi="Arial" w:hint="cs"/>
          <w:sz w:val="24"/>
          <w:szCs w:val="24"/>
          <w:rtl/>
        </w:rPr>
        <w:t xml:space="preserve"> </w:t>
      </w:r>
      <w:r w:rsidRPr="00D84694">
        <w:rPr>
          <w:rFonts w:ascii="Arial" w:hAnsi="Arial"/>
          <w:sz w:val="24"/>
          <w:szCs w:val="24"/>
          <w:rtl/>
        </w:rPr>
        <w:t>האלימות</w:t>
      </w:r>
      <w:r w:rsidR="00DD06F0">
        <w:rPr>
          <w:rFonts w:ascii="Arial" w:hAnsi="Arial" w:hint="cs"/>
          <w:sz w:val="24"/>
          <w:szCs w:val="24"/>
          <w:rtl/>
        </w:rPr>
        <w:t xml:space="preserve"> </w:t>
      </w:r>
      <w:r w:rsidRPr="00D84694">
        <w:rPr>
          <w:rFonts w:ascii="Arial" w:hAnsi="Arial"/>
          <w:sz w:val="24"/>
          <w:szCs w:val="24"/>
          <w:rtl/>
        </w:rPr>
        <w:t>ולתוצאות</w:t>
      </w:r>
      <w:r w:rsidR="00DD06F0">
        <w:rPr>
          <w:rFonts w:ascii="Arial" w:hAnsi="Arial" w:hint="cs"/>
          <w:sz w:val="24"/>
          <w:szCs w:val="24"/>
          <w:rtl/>
        </w:rPr>
        <w:t xml:space="preserve"> </w:t>
      </w:r>
      <w:r w:rsidRPr="00D84694">
        <w:rPr>
          <w:rFonts w:ascii="Arial" w:hAnsi="Arial"/>
          <w:sz w:val="24"/>
          <w:szCs w:val="24"/>
          <w:rtl/>
        </w:rPr>
        <w:t>הקשות</w:t>
      </w:r>
      <w:r w:rsidR="00DD06F0">
        <w:rPr>
          <w:rFonts w:ascii="Arial" w:hAnsi="Arial" w:hint="cs"/>
          <w:sz w:val="24"/>
          <w:szCs w:val="24"/>
          <w:rtl/>
        </w:rPr>
        <w:t xml:space="preserve"> </w:t>
      </w:r>
      <w:r w:rsidRPr="00D84694">
        <w:rPr>
          <w:rFonts w:ascii="Arial" w:hAnsi="Arial"/>
          <w:sz w:val="24"/>
          <w:szCs w:val="24"/>
          <w:rtl/>
        </w:rPr>
        <w:t>הנובעות</w:t>
      </w:r>
      <w:r w:rsidR="00DD06F0">
        <w:rPr>
          <w:rFonts w:ascii="Arial" w:hAnsi="Arial" w:hint="cs"/>
          <w:sz w:val="24"/>
          <w:szCs w:val="24"/>
          <w:rtl/>
        </w:rPr>
        <w:t xml:space="preserve"> </w:t>
      </w:r>
      <w:r w:rsidRPr="00D84694">
        <w:rPr>
          <w:rFonts w:ascii="Arial" w:hAnsi="Arial"/>
          <w:sz w:val="24"/>
          <w:szCs w:val="24"/>
          <w:rtl/>
        </w:rPr>
        <w:t xml:space="preserve">מכך.  </w:t>
      </w:r>
    </w:p>
    <w:p w14:paraId="68C3D7BD" w14:textId="77777777" w:rsidR="008559ED" w:rsidRPr="00D84694" w:rsidRDefault="008559ED" w:rsidP="00D84694">
      <w:pPr>
        <w:pStyle w:val="ListParagraph"/>
        <w:rPr>
          <w:rFonts w:ascii="Arial" w:hAnsi="Arial"/>
          <w:sz w:val="24"/>
          <w:szCs w:val="24"/>
        </w:rPr>
      </w:pPr>
    </w:p>
    <w:p w14:paraId="3C3851B1"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כפי שנקבע ב</w:t>
      </w:r>
      <w:hyperlink r:id="rId26" w:history="1">
        <w:r w:rsidR="00D42166" w:rsidRPr="00D42166">
          <w:rPr>
            <w:rStyle w:val="Hyperlink"/>
            <w:rFonts w:ascii="Arial" w:hAnsi="Arial"/>
            <w:sz w:val="24"/>
            <w:szCs w:val="24"/>
            <w:rtl/>
          </w:rPr>
          <w:t>ע"פ 761/07</w:t>
        </w:r>
      </w:hyperlink>
      <w:r w:rsidRPr="00D84694">
        <w:rPr>
          <w:rFonts w:ascii="Arial" w:hAnsi="Arial"/>
          <w:sz w:val="24"/>
          <w:szCs w:val="24"/>
          <w:rtl/>
        </w:rPr>
        <w:t xml:space="preserve"> אדרי נ' מדינת ישראל</w:t>
      </w:r>
      <w:r w:rsidR="00736CDD">
        <w:rPr>
          <w:rFonts w:ascii="Arial" w:hAnsi="Arial" w:hint="cs"/>
          <w:sz w:val="24"/>
          <w:szCs w:val="24"/>
          <w:rtl/>
        </w:rPr>
        <w:t xml:space="preserve"> </w:t>
      </w:r>
      <w:r w:rsidR="00736CDD" w:rsidRPr="00736CDD">
        <w:rPr>
          <w:rFonts w:ascii="Times New Roman" w:hAnsi="Times New Roman" w:cs="David"/>
          <w:szCs w:val="24"/>
          <w:rtl/>
        </w:rPr>
        <w:t xml:space="preserve">[פורסם בנבו] </w:t>
      </w:r>
      <w:r w:rsidRPr="00D84694">
        <w:rPr>
          <w:rFonts w:ascii="Arial" w:hAnsi="Arial"/>
          <w:sz w:val="24"/>
          <w:szCs w:val="24"/>
          <w:rtl/>
        </w:rPr>
        <w:t xml:space="preserve">: </w:t>
      </w:r>
    </w:p>
    <w:p w14:paraId="57A2B995" w14:textId="77777777" w:rsidR="008559ED" w:rsidRPr="00CA384E" w:rsidRDefault="008559ED" w:rsidP="009B6B71">
      <w:pPr>
        <w:pStyle w:val="ListParagraph"/>
        <w:ind w:left="1440"/>
        <w:jc w:val="both"/>
        <w:rPr>
          <w:rFonts w:ascii="Arial" w:hAnsi="Arial"/>
          <w:sz w:val="24"/>
          <w:szCs w:val="24"/>
          <w:rtl/>
        </w:rPr>
      </w:pPr>
      <w:r w:rsidRPr="00D84694">
        <w:rPr>
          <w:rFonts w:ascii="Arial" w:hAnsi="Arial"/>
          <w:sz w:val="24"/>
          <w:szCs w:val="24"/>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w:t>
      </w:r>
      <w:r w:rsidR="00DD06F0">
        <w:rPr>
          <w:rFonts w:ascii="Arial" w:hAnsi="Arial" w:hint="cs"/>
          <w:sz w:val="24"/>
          <w:szCs w:val="24"/>
          <w:rtl/>
        </w:rPr>
        <w:t xml:space="preserve"> </w:t>
      </w:r>
      <w:r w:rsidRPr="00CA384E">
        <w:rPr>
          <w:rFonts w:ascii="Arial" w:hAnsi="Arial"/>
          <w:sz w:val="24"/>
          <w:szCs w:val="24"/>
          <w:rtl/>
        </w:rPr>
        <w:t xml:space="preserve">הפשע. כדי להלחם בכל אלה צריך העונש לבטא את סלידתה של החברה ודעתה הנחרצת שלא להשלים עם עבריינות בכלל, ומסוג זה בפרט" (וראו גם </w:t>
      </w:r>
      <w:hyperlink r:id="rId27" w:history="1">
        <w:r w:rsidR="00D42166" w:rsidRPr="00D42166">
          <w:rPr>
            <w:rStyle w:val="Hyperlink"/>
            <w:rFonts w:ascii="Arial" w:hAnsi="Arial"/>
            <w:sz w:val="24"/>
            <w:szCs w:val="24"/>
            <w:rtl/>
          </w:rPr>
          <w:t>ע"פ 8246/05</w:t>
        </w:r>
      </w:hyperlink>
      <w:r w:rsidRPr="00CA384E">
        <w:rPr>
          <w:rFonts w:ascii="Arial" w:hAnsi="Arial"/>
          <w:sz w:val="24"/>
          <w:szCs w:val="24"/>
          <w:rtl/>
        </w:rPr>
        <w:t xml:space="preserve"> דערי נ' מדינת ישראל</w:t>
      </w:r>
      <w:r w:rsidR="00736CDD">
        <w:rPr>
          <w:rFonts w:ascii="Arial" w:hAnsi="Arial" w:hint="cs"/>
          <w:sz w:val="24"/>
          <w:szCs w:val="24"/>
          <w:rtl/>
        </w:rPr>
        <w:t xml:space="preserve"> </w:t>
      </w:r>
      <w:r w:rsidR="00736CDD" w:rsidRPr="00736CDD">
        <w:rPr>
          <w:rFonts w:ascii="Times New Roman" w:hAnsi="Times New Roman" w:cs="David"/>
          <w:szCs w:val="24"/>
          <w:rtl/>
        </w:rPr>
        <w:t xml:space="preserve">[פורסם בנבו] </w:t>
      </w:r>
      <w:r w:rsidRPr="00CA384E">
        <w:rPr>
          <w:rFonts w:ascii="Arial" w:hAnsi="Arial"/>
          <w:sz w:val="24"/>
          <w:szCs w:val="24"/>
          <w:rtl/>
        </w:rPr>
        <w:t xml:space="preserve">; </w:t>
      </w:r>
      <w:hyperlink r:id="rId28" w:history="1">
        <w:r w:rsidR="00D42166" w:rsidRPr="00D42166">
          <w:rPr>
            <w:rStyle w:val="Hyperlink"/>
            <w:rFonts w:ascii="Arial" w:hAnsi="Arial"/>
            <w:sz w:val="24"/>
            <w:szCs w:val="24"/>
            <w:rtl/>
          </w:rPr>
          <w:t>ע"פ 9373/10</w:t>
        </w:r>
      </w:hyperlink>
      <w:r w:rsidRPr="00CA384E">
        <w:rPr>
          <w:rFonts w:ascii="Arial" w:hAnsi="Arial"/>
          <w:sz w:val="24"/>
          <w:szCs w:val="24"/>
          <w:rtl/>
        </w:rPr>
        <w:t xml:space="preserve"> ותד נ' מדינת ישראל</w:t>
      </w:r>
      <w:r w:rsidR="00736CDD">
        <w:rPr>
          <w:rFonts w:ascii="Arial" w:hAnsi="Arial" w:hint="cs"/>
          <w:sz w:val="24"/>
          <w:szCs w:val="24"/>
          <w:rtl/>
        </w:rPr>
        <w:t xml:space="preserve"> </w:t>
      </w:r>
      <w:r w:rsidR="00736CDD" w:rsidRPr="00736CDD">
        <w:rPr>
          <w:rFonts w:ascii="Times New Roman" w:hAnsi="Times New Roman" w:cs="David"/>
          <w:szCs w:val="24"/>
          <w:rtl/>
        </w:rPr>
        <w:t xml:space="preserve">[פורסם בנבו] </w:t>
      </w:r>
      <w:r w:rsidRPr="00CA384E">
        <w:rPr>
          <w:rFonts w:ascii="Arial" w:hAnsi="Arial"/>
          <w:sz w:val="24"/>
          <w:szCs w:val="24"/>
          <w:rtl/>
        </w:rPr>
        <w:t xml:space="preserve">). </w:t>
      </w:r>
    </w:p>
    <w:p w14:paraId="18B67182" w14:textId="77777777" w:rsidR="008559ED" w:rsidRPr="00D84694" w:rsidRDefault="008559ED" w:rsidP="00D84694">
      <w:pPr>
        <w:pStyle w:val="ListParagraph"/>
        <w:jc w:val="both"/>
        <w:rPr>
          <w:rFonts w:ascii="Arial" w:hAnsi="Arial"/>
          <w:sz w:val="24"/>
          <w:szCs w:val="24"/>
          <w:rtl/>
        </w:rPr>
      </w:pPr>
    </w:p>
    <w:p w14:paraId="2A2D3CAE" w14:textId="77777777" w:rsidR="008559ED" w:rsidRPr="00D84694" w:rsidRDefault="008559ED" w:rsidP="00736CDD">
      <w:pPr>
        <w:pStyle w:val="ListParagraph"/>
        <w:numPr>
          <w:ilvl w:val="0"/>
          <w:numId w:val="3"/>
        </w:numPr>
        <w:jc w:val="both"/>
        <w:rPr>
          <w:rFonts w:ascii="Arial" w:hAnsi="Arial"/>
          <w:sz w:val="24"/>
          <w:szCs w:val="24"/>
          <w:rtl/>
        </w:rPr>
      </w:pPr>
      <w:r w:rsidRPr="00D84694">
        <w:rPr>
          <w:rFonts w:ascii="Arial" w:hAnsi="Arial"/>
          <w:sz w:val="24"/>
          <w:szCs w:val="24"/>
          <w:rtl/>
        </w:rPr>
        <w:t>ב</w:t>
      </w:r>
      <w:hyperlink r:id="rId29" w:history="1">
        <w:r w:rsidR="00D42166" w:rsidRPr="00D42166">
          <w:rPr>
            <w:rStyle w:val="Hyperlink"/>
            <w:rFonts w:ascii="Arial" w:hAnsi="Arial"/>
            <w:sz w:val="24"/>
            <w:szCs w:val="24"/>
            <w:rtl/>
          </w:rPr>
          <w:t>ע"פ 2251/11</w:t>
        </w:r>
      </w:hyperlink>
      <w:r w:rsidRPr="00D84694">
        <w:rPr>
          <w:rFonts w:ascii="Arial" w:hAnsi="Arial"/>
          <w:sz w:val="24"/>
          <w:szCs w:val="24"/>
          <w:rtl/>
        </w:rPr>
        <w:t xml:space="preserve"> נפאע נגד מדינת ישראל </w:t>
      </w:r>
      <w:r w:rsidR="00736CDD" w:rsidRPr="00736CDD">
        <w:rPr>
          <w:rFonts w:ascii="Times New Roman" w:hAnsi="Times New Roman" w:cs="David"/>
          <w:szCs w:val="24"/>
          <w:rtl/>
        </w:rPr>
        <w:t xml:space="preserve">[פורסם בנבו] </w:t>
      </w:r>
      <w:r w:rsidRPr="00D84694">
        <w:rPr>
          <w:rFonts w:ascii="Arial" w:hAnsi="Arial"/>
          <w:sz w:val="24"/>
          <w:szCs w:val="24"/>
          <w:rtl/>
        </w:rPr>
        <w:t>קבע בית המשפט העליון כי הגיעה העת להחמיר בענישתם של נאשמים שהורשעו בעבירות נשק בכלל ובעבירות סחר בנשק בפרט, נוכח היקפו וממדדיו של הסחר הבלתי חוקי בנשק ובשל הצורך לתרום לבלימת תופעה מדאיגה זו בענישה מרתיעה ויעילה. עוד נקבע, כי לנוכח חומרתן של עבירות אלה "יש ליתן משקל עודף לאינטרס הציבורי על פני נתוניו האישיים של הנאשם" (</w:t>
      </w:r>
      <w:hyperlink r:id="rId30" w:history="1">
        <w:r w:rsidR="00D42166" w:rsidRPr="00D42166">
          <w:rPr>
            <w:rStyle w:val="Hyperlink"/>
            <w:rFonts w:ascii="Arial" w:hAnsi="Arial"/>
            <w:sz w:val="24"/>
            <w:szCs w:val="24"/>
            <w:rtl/>
          </w:rPr>
          <w:t>ע"פ 8012/04</w:t>
        </w:r>
      </w:hyperlink>
      <w:r w:rsidRPr="00D84694">
        <w:rPr>
          <w:rFonts w:ascii="Arial" w:hAnsi="Arial"/>
          <w:sz w:val="24"/>
          <w:szCs w:val="24"/>
          <w:rtl/>
        </w:rPr>
        <w:t xml:space="preserve"> מתאני נ' מדינת ישראל</w:t>
      </w:r>
      <w:r w:rsidR="00736CDD">
        <w:rPr>
          <w:rFonts w:ascii="Arial" w:hAnsi="Arial" w:hint="cs"/>
          <w:sz w:val="24"/>
          <w:szCs w:val="24"/>
          <w:rtl/>
        </w:rPr>
        <w:t xml:space="preserve"> </w:t>
      </w:r>
      <w:r w:rsidR="00736CDD" w:rsidRPr="00736CDD">
        <w:rPr>
          <w:rFonts w:ascii="Times New Roman" w:hAnsi="Times New Roman" w:cs="David"/>
          <w:szCs w:val="24"/>
          <w:rtl/>
        </w:rPr>
        <w:t>[פורסם בנבו]</w:t>
      </w:r>
      <w:r w:rsidRPr="00D84694">
        <w:rPr>
          <w:rFonts w:ascii="Arial" w:hAnsi="Arial"/>
          <w:sz w:val="24"/>
          <w:szCs w:val="24"/>
          <w:rtl/>
        </w:rPr>
        <w:t>).</w:t>
      </w:r>
    </w:p>
    <w:p w14:paraId="247D9862" w14:textId="77777777" w:rsidR="008559ED" w:rsidRPr="00D84694" w:rsidRDefault="008559ED" w:rsidP="00D84694">
      <w:pPr>
        <w:pStyle w:val="ListParagraph"/>
        <w:jc w:val="both"/>
        <w:rPr>
          <w:rFonts w:ascii="Arial" w:hAnsi="Arial"/>
          <w:sz w:val="24"/>
          <w:szCs w:val="24"/>
        </w:rPr>
      </w:pPr>
    </w:p>
    <w:p w14:paraId="014BB1C9" w14:textId="77777777" w:rsidR="008559ED" w:rsidRPr="00D84694"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בחינת רמת הענישה הנוהגת ביחס למעשה עבירה המורכב מאירוע אחד של קשירת קשר וסחר בנשק או עסקה בנשק מלמדת כי זו נעה בין 20 ל-30 חודשי מאסר לריצוי בפועל.</w:t>
      </w:r>
    </w:p>
    <w:p w14:paraId="4FF018C0" w14:textId="77777777" w:rsidR="008559ED" w:rsidRPr="00D84694" w:rsidRDefault="008559ED" w:rsidP="00D84694">
      <w:pPr>
        <w:pStyle w:val="ListParagraph"/>
        <w:rPr>
          <w:rFonts w:ascii="Arial" w:hAnsi="Arial"/>
          <w:sz w:val="24"/>
          <w:szCs w:val="24"/>
        </w:rPr>
      </w:pPr>
    </w:p>
    <w:p w14:paraId="48F26873" w14:textId="77777777" w:rsidR="008559ED" w:rsidRPr="00D84694" w:rsidRDefault="008559ED" w:rsidP="008D10D7">
      <w:pPr>
        <w:pStyle w:val="ListParagraph"/>
        <w:numPr>
          <w:ilvl w:val="0"/>
          <w:numId w:val="3"/>
        </w:numPr>
        <w:jc w:val="both"/>
        <w:rPr>
          <w:rFonts w:ascii="Arial" w:hAnsi="Arial"/>
          <w:sz w:val="24"/>
          <w:szCs w:val="24"/>
          <w:rtl/>
        </w:rPr>
      </w:pPr>
      <w:r w:rsidRPr="00D84694">
        <w:rPr>
          <w:rFonts w:ascii="Arial" w:hAnsi="Arial"/>
          <w:sz w:val="24"/>
          <w:szCs w:val="24"/>
          <w:rtl/>
        </w:rPr>
        <w:t>עם זאת, אין להתעלם מכך ש</w:t>
      </w:r>
      <w:r>
        <w:rPr>
          <w:rFonts w:ascii="Arial" w:hAnsi="Arial"/>
          <w:sz w:val="24"/>
          <w:szCs w:val="24"/>
          <w:rtl/>
        </w:rPr>
        <w:t>ב</w:t>
      </w:r>
      <w:r w:rsidRPr="00D84694">
        <w:rPr>
          <w:rFonts w:ascii="Arial" w:hAnsi="Arial"/>
          <w:sz w:val="24"/>
          <w:szCs w:val="24"/>
          <w:rtl/>
        </w:rPr>
        <w:t xml:space="preserve">תיק זה נדונו 14 נאשמים נוספים והוצגו בעניינם הסדרי טיעון אשר יש בהם להשפיע על מתחם הענישה ההולם, וזאת משיקולי אחידות </w:t>
      </w:r>
      <w:r>
        <w:rPr>
          <w:rFonts w:ascii="Arial" w:hAnsi="Arial"/>
          <w:sz w:val="24"/>
          <w:szCs w:val="24"/>
          <w:rtl/>
        </w:rPr>
        <w:t>ה</w:t>
      </w:r>
      <w:r w:rsidRPr="00D84694">
        <w:rPr>
          <w:rFonts w:ascii="Arial" w:hAnsi="Arial"/>
          <w:sz w:val="24"/>
          <w:szCs w:val="24"/>
          <w:rtl/>
        </w:rPr>
        <w:t xml:space="preserve">ענישה. במסגרת הנסיבות שאינן קשורות בביצוע העבירה יש לקחת בחשבון אף את עקרון אחידות הענישה. </w:t>
      </w:r>
    </w:p>
    <w:p w14:paraId="169DDBE5" w14:textId="77777777" w:rsidR="008559ED" w:rsidRPr="00D84694" w:rsidRDefault="008559ED" w:rsidP="00D84694">
      <w:pPr>
        <w:pStyle w:val="ListParagraph"/>
        <w:rPr>
          <w:rFonts w:ascii="Arial" w:hAnsi="Arial"/>
          <w:sz w:val="24"/>
          <w:szCs w:val="24"/>
        </w:rPr>
      </w:pPr>
    </w:p>
    <w:p w14:paraId="4109AB0C" w14:textId="77777777" w:rsidR="008559ED" w:rsidRDefault="008559ED" w:rsidP="00D84694">
      <w:pPr>
        <w:pStyle w:val="ListParagraph"/>
        <w:jc w:val="both"/>
        <w:rPr>
          <w:rFonts w:ascii="Arial" w:hAnsi="Arial"/>
          <w:sz w:val="24"/>
          <w:szCs w:val="24"/>
          <w:rtl/>
        </w:rPr>
      </w:pPr>
      <w:r w:rsidRPr="00D84694">
        <w:rPr>
          <w:rFonts w:ascii="Arial" w:hAnsi="Arial"/>
          <w:sz w:val="24"/>
          <w:szCs w:val="24"/>
          <w:rtl/>
        </w:rPr>
        <w:t>להלן סקירה קצרה של גזרי הדין שנתנו על ידי במסגרת פרשייה זו:</w:t>
      </w:r>
    </w:p>
    <w:p w14:paraId="2AF3B072" w14:textId="77777777" w:rsidR="008559ED" w:rsidRPr="00D84694" w:rsidRDefault="008559ED" w:rsidP="00D84694">
      <w:pPr>
        <w:pStyle w:val="ListParagraph"/>
        <w:jc w:val="both"/>
        <w:rPr>
          <w:rFonts w:ascii="Arial" w:hAnsi="Arial"/>
          <w:sz w:val="24"/>
          <w:szCs w:val="24"/>
          <w:rtl/>
        </w:rPr>
      </w:pPr>
    </w:p>
    <w:p w14:paraId="61C4CB05" w14:textId="77777777" w:rsidR="008559ED" w:rsidRPr="00D84694" w:rsidRDefault="008559ED" w:rsidP="00D84694">
      <w:pPr>
        <w:pStyle w:val="ListParagraph"/>
        <w:numPr>
          <w:ilvl w:val="0"/>
          <w:numId w:val="6"/>
        </w:numPr>
        <w:jc w:val="both"/>
        <w:rPr>
          <w:rFonts w:ascii="Arial" w:hAnsi="Arial"/>
          <w:sz w:val="24"/>
          <w:szCs w:val="24"/>
          <w:rtl/>
        </w:rPr>
      </w:pPr>
      <w:r w:rsidRPr="00D84694">
        <w:rPr>
          <w:rFonts w:ascii="Arial" w:hAnsi="Arial"/>
          <w:sz w:val="24"/>
          <w:szCs w:val="24"/>
          <w:rtl/>
        </w:rPr>
        <w:t>נאשם 1 – הורשע ב-5 עבירות של עסקה אחרת בנשק, 11 עבירות של סחר בנשק, קשירת קשר לעסקה אחרת בנשק, קשירת קשר לסחר בנשק, שתי עבירות של ירי באזור מגורים וניסיון לסחר בנשק.</w:t>
      </w:r>
    </w:p>
    <w:p w14:paraId="55AD7534"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3 – התביעה הגבילה עצמה בטיעוניה במסגרת הסדר טיעון ל-42 חודשי מאסר בפועל בגין עבירה של קשירת קשר לעסקה בנשק, קשירת קשר לסחר בנשק, ארבע עבירות של סחר בנשק, ירי באזור מגורים, ניסיון לסחר בנשק.</w:t>
      </w:r>
    </w:p>
    <w:p w14:paraId="7A76256D"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4 – נעדר עבר פלילי, הורשע בשתי עבירות של עסקה אחרת בנשק ובשתי עבירות של קשירת קשר לפשע (סחר ועסקה אחרת בנשק), נדון ל-18 חודשי מאסר בפועל וקנס בסך 10,000 ₪ .</w:t>
      </w:r>
    </w:p>
    <w:p w14:paraId="2186C920"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5 – רישום ללא הרשעה, הורשע באישום אחד של עסקה אחרת בנשק וירי באזור מגורים, נדון ל-9.5 חודשי מאסר בפועל וקנס בסך 10,000 ₪.</w:t>
      </w:r>
    </w:p>
    <w:p w14:paraId="4ADE9449"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6 – בעל עבר בעבירות העסקת תושב זר, תקיפה וגניבה, הורשע באישום אחד של עסקה אחרת בנשק וקשירת קשר לעסקה בנשק, נדון ל-8 חודשי מאסר בפועל וקנס בסך 10,000 ₪.</w:t>
      </w:r>
    </w:p>
    <w:p w14:paraId="57EB8F2E" w14:textId="77777777" w:rsidR="008559ED" w:rsidRPr="00D84694" w:rsidRDefault="008559ED" w:rsidP="00D84694">
      <w:pPr>
        <w:pStyle w:val="ListParagraph"/>
        <w:numPr>
          <w:ilvl w:val="0"/>
          <w:numId w:val="6"/>
        </w:numPr>
        <w:jc w:val="both"/>
        <w:rPr>
          <w:rFonts w:ascii="Arial" w:hAnsi="Arial"/>
          <w:sz w:val="24"/>
          <w:szCs w:val="24"/>
          <w:rtl/>
        </w:rPr>
      </w:pPr>
      <w:r w:rsidRPr="00D84694">
        <w:rPr>
          <w:rFonts w:ascii="Arial" w:hAnsi="Arial"/>
          <w:sz w:val="24"/>
          <w:szCs w:val="24"/>
          <w:rtl/>
        </w:rPr>
        <w:t>נאשם 7 – נעדר עבר פלילי, הורשע באישום אחד של קשירת קשר לסחר בנשק וסחר בנשק, נדון ל-11 חודשי מאסר בפועל וקנס בסך 10,000 ₪.</w:t>
      </w:r>
    </w:p>
    <w:p w14:paraId="02E0CFAD"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8 – נעדר עבר פלילי, הורשע בעבירה אחת של עסקה אחרת בנשק ונדון ל-5 חודשי מאסר בפועל וקנס בסך 10,000 ₪.</w:t>
      </w:r>
    </w:p>
    <w:p w14:paraId="058BCBE9"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9 – נעדר עבר פלילי, הורשע בעבירה של סחר בנשק, עבירה של עסקה אחרת בנשק ובעבירה של קשירת קשר לעסקה אחרת בנשק ונדון ל-8 חודשי מאסר בפועל וקנס בסך 8000 ₪ .</w:t>
      </w:r>
    </w:p>
    <w:p w14:paraId="5F1A55A1"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 xml:space="preserve">נאשם 10 – הרשעה קודמת משנת 2010 בעבירת חבלה כשעבריין מזוין וחבלה חמורה, הורשע בביצוע שתי עבירות של סחר בנשק ונדון ל-7 חודשי מאסר בפועל ולקנס בסך 10,000 ₪. </w:t>
      </w:r>
    </w:p>
    <w:p w14:paraId="1053E3DD"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11 – נעדר עבר פלילי, הורשע בעבירת רכישת נשק וירי באזור מגורים, נדון ל-6 חודשי מאסר בפועל, ולקנס בסך 8000 ₪.</w:t>
      </w:r>
    </w:p>
    <w:p w14:paraId="7D594C6E"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12 – נעדר עבר פלילי, הורשע בעבירה של עסקה אחרת בנשק, נדון ל-3 חודשי מאסר בפועל ויום, ולקנס בסך 3000 ₪.</w:t>
      </w:r>
    </w:p>
    <w:p w14:paraId="65D60C2C"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13 – נעדר עבר פלילי, הורשע בביצוע שתי עבירות של סחר בנשק, נדון ל-7 חודשי מאסר בפועל ולקנס בסך 8000 ₪.</w:t>
      </w:r>
    </w:p>
    <w:p w14:paraId="5F9DE9B2"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14 – נעדר עבר פלילי, הורשע בביצוע עבירת קשירת קשר, נדון ל-4 חודשי מאסר בפועל ולקנס בסך 1500 ₪.</w:t>
      </w:r>
    </w:p>
    <w:p w14:paraId="481B3937" w14:textId="77777777" w:rsidR="008559ED" w:rsidRPr="00D84694" w:rsidRDefault="008559ED" w:rsidP="00D84694">
      <w:pPr>
        <w:pStyle w:val="ListParagraph"/>
        <w:numPr>
          <w:ilvl w:val="0"/>
          <w:numId w:val="6"/>
        </w:numPr>
        <w:jc w:val="both"/>
        <w:rPr>
          <w:rFonts w:ascii="Arial" w:hAnsi="Arial"/>
          <w:sz w:val="24"/>
          <w:szCs w:val="24"/>
        </w:rPr>
      </w:pPr>
      <w:r w:rsidRPr="00D84694">
        <w:rPr>
          <w:rFonts w:ascii="Arial" w:hAnsi="Arial"/>
          <w:sz w:val="24"/>
          <w:szCs w:val="24"/>
          <w:rtl/>
        </w:rPr>
        <w:t>נאשם 15 – נעדר עבר פלילי, הורשע בעבירת קשירת קשר לסחר בנשק ונדון ל-3 חודשי עבודות שירות ולקנס בסך 1500 ₪.</w:t>
      </w:r>
    </w:p>
    <w:p w14:paraId="576ECDDE" w14:textId="77777777" w:rsidR="008559ED" w:rsidRPr="00D84694" w:rsidRDefault="008559ED" w:rsidP="00D84694">
      <w:pPr>
        <w:pStyle w:val="ListParagraph"/>
        <w:rPr>
          <w:rFonts w:ascii="Arial" w:hAnsi="Arial"/>
          <w:sz w:val="24"/>
          <w:szCs w:val="24"/>
        </w:rPr>
      </w:pPr>
    </w:p>
    <w:p w14:paraId="50DCA426" w14:textId="77777777" w:rsidR="008559ED" w:rsidRPr="00D84694" w:rsidRDefault="008559ED" w:rsidP="008D10D7">
      <w:pPr>
        <w:pStyle w:val="ListParagraph"/>
        <w:numPr>
          <w:ilvl w:val="0"/>
          <w:numId w:val="3"/>
        </w:numPr>
        <w:jc w:val="both"/>
        <w:rPr>
          <w:rFonts w:ascii="Arial" w:hAnsi="Arial"/>
          <w:sz w:val="24"/>
          <w:szCs w:val="24"/>
          <w:rtl/>
        </w:rPr>
      </w:pPr>
      <w:r w:rsidRPr="00D84694">
        <w:rPr>
          <w:rFonts w:ascii="Arial" w:hAnsi="Arial"/>
          <w:sz w:val="24"/>
          <w:szCs w:val="24"/>
          <w:rtl/>
        </w:rPr>
        <w:t>לאחר ששקלתי את הערכים המוגנים ואת חלקו המרכזי של הנאשם בביצוע העבירות כמי שסיפק את כלי הנשק מתוך שטח הרשות הפלסטינאית מחד ואת רמת הענישה שננקטה בתיק זה במסג</w:t>
      </w:r>
      <w:r>
        <w:rPr>
          <w:rFonts w:ascii="Arial" w:hAnsi="Arial"/>
          <w:sz w:val="24"/>
          <w:szCs w:val="24"/>
          <w:rtl/>
        </w:rPr>
        <w:t xml:space="preserve">רת הסדרי הטיעון בשים לב לעקרון </w:t>
      </w:r>
      <w:r w:rsidRPr="00D84694">
        <w:rPr>
          <w:rFonts w:ascii="Arial" w:hAnsi="Arial"/>
          <w:sz w:val="24"/>
          <w:szCs w:val="24"/>
          <w:rtl/>
        </w:rPr>
        <w:t xml:space="preserve">אחידות </w:t>
      </w:r>
      <w:r>
        <w:rPr>
          <w:rFonts w:ascii="Arial" w:hAnsi="Arial"/>
          <w:sz w:val="24"/>
          <w:szCs w:val="24"/>
          <w:rtl/>
        </w:rPr>
        <w:t>ה</w:t>
      </w:r>
      <w:r w:rsidRPr="00D84694">
        <w:rPr>
          <w:rFonts w:ascii="Arial" w:hAnsi="Arial"/>
          <w:sz w:val="24"/>
          <w:szCs w:val="24"/>
          <w:rtl/>
        </w:rPr>
        <w:t>ענישה מאידך, באתי לכלל מסקנה כי מתחם העונש הראוי במקרה דנן הינו כדלקמן:</w:t>
      </w:r>
    </w:p>
    <w:p w14:paraId="3B92323A" w14:textId="77777777" w:rsidR="008559ED" w:rsidRPr="00D84694" w:rsidRDefault="008559ED" w:rsidP="00D84694">
      <w:pPr>
        <w:pStyle w:val="ListParagraph"/>
        <w:rPr>
          <w:rFonts w:ascii="Arial" w:hAnsi="Arial"/>
          <w:sz w:val="24"/>
          <w:szCs w:val="24"/>
        </w:rPr>
      </w:pPr>
    </w:p>
    <w:p w14:paraId="729DAE8A" w14:textId="77777777" w:rsidR="008559ED" w:rsidRPr="00D84694" w:rsidRDefault="008559ED" w:rsidP="00D84694">
      <w:pPr>
        <w:pStyle w:val="ListParagraph"/>
        <w:numPr>
          <w:ilvl w:val="0"/>
          <w:numId w:val="7"/>
        </w:numPr>
        <w:jc w:val="both"/>
        <w:rPr>
          <w:rFonts w:ascii="Arial" w:hAnsi="Arial"/>
          <w:sz w:val="24"/>
          <w:szCs w:val="24"/>
          <w:rtl/>
        </w:rPr>
      </w:pPr>
      <w:r w:rsidRPr="00D84694">
        <w:rPr>
          <w:rFonts w:ascii="Arial" w:hAnsi="Arial"/>
          <w:sz w:val="24"/>
          <w:szCs w:val="24"/>
          <w:rtl/>
        </w:rPr>
        <w:t>באישום הראשון – בו נמכר נשק מסוג שאינו ידוע בסכום שאינו ידוע – ינוע המתחם בין 12 ל- 20 חודשי מאסר לריצוי בפועל.</w:t>
      </w:r>
    </w:p>
    <w:p w14:paraId="263DCB50"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השלישי – בו נמכרו אקדח, מחסנית ותחמושת (כדורים) – ינוע המתחם בין 15 ל-24 חודשי מאסר לריצוי בפועל.</w:t>
      </w:r>
    </w:p>
    <w:p w14:paraId="2BAD742F"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החמישי – במסגרתו מכר הנאשם אקדח גלוק בסכום שאינו ידוע – ינוע המתחם בין 12 ל-20 חודשי מאסר לריצוי בפועל.</w:t>
      </w:r>
    </w:p>
    <w:p w14:paraId="384F0ACA"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השישי – במסגרתו מכר הנאשם אקדח בסך של 5,000 ₪, 100 כדורים לקלצ'ניקוב בסך של 2</w:t>
      </w:r>
      <w:r>
        <w:rPr>
          <w:rFonts w:ascii="Arial" w:hAnsi="Arial"/>
          <w:sz w:val="24"/>
          <w:szCs w:val="24"/>
          <w:rtl/>
        </w:rPr>
        <w:t>,</w:t>
      </w:r>
      <w:r w:rsidRPr="00D84694">
        <w:rPr>
          <w:rFonts w:ascii="Arial" w:hAnsi="Arial"/>
          <w:sz w:val="24"/>
          <w:szCs w:val="24"/>
          <w:rtl/>
        </w:rPr>
        <w:t>000 ₪ ושלוש מחסניות – ינוע המתחם בין 15 ל-24 חודשי מאסר לריצוי בפועל.</w:t>
      </w:r>
    </w:p>
    <w:p w14:paraId="4B5DA772"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השמיני – במסגרתו מכר הנאשם רובה קלאצ'ניקוב תמורת סכום שאינו ידוע, אשר נמצא כתקול והוחזר לו, ינוע המתחם בין 12 ל-20 חודשי מאסר לריצוי בפועל.</w:t>
      </w:r>
    </w:p>
    <w:p w14:paraId="62EDA5DD"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האחד עשר – במסגרתו מכר הנאשם אקדח תמורת 5,700 ₪ - ינוע המתחם בין 12 ל-20 חודשי מאסר לריצוי בפועל.</w:t>
      </w:r>
    </w:p>
    <w:p w14:paraId="52010D3D" w14:textId="77777777" w:rsidR="008559ED" w:rsidRPr="00D84694" w:rsidRDefault="008559ED" w:rsidP="00D84694">
      <w:pPr>
        <w:pStyle w:val="ListParagraph"/>
        <w:numPr>
          <w:ilvl w:val="0"/>
          <w:numId w:val="7"/>
        </w:numPr>
        <w:jc w:val="both"/>
        <w:rPr>
          <w:rFonts w:ascii="Arial" w:hAnsi="Arial"/>
          <w:sz w:val="24"/>
          <w:szCs w:val="24"/>
        </w:rPr>
      </w:pPr>
      <w:r w:rsidRPr="00D84694">
        <w:rPr>
          <w:rFonts w:ascii="Arial" w:hAnsi="Arial"/>
          <w:sz w:val="24"/>
          <w:szCs w:val="24"/>
          <w:rtl/>
        </w:rPr>
        <w:t>באישום השלושה עשר – במסגרתו מכר הנאשם נשק מסוג שאינו ידוע, ולאחר שנמצא תקול תיקן אותו והשיבו לקונה כשהוא במצב תקין – בתוספת של 15 כדורים בתמורה ל-200 ₪, ינוע המתחם בין 15 ל-24 חודשי מאסר לריצוי בפועל.</w:t>
      </w:r>
    </w:p>
    <w:p w14:paraId="0D65C3F7" w14:textId="77777777" w:rsidR="008559ED" w:rsidRPr="00D84694" w:rsidRDefault="008559ED" w:rsidP="00D84694">
      <w:pPr>
        <w:pStyle w:val="ListParagraph"/>
        <w:rPr>
          <w:rFonts w:ascii="Arial" w:hAnsi="Arial"/>
          <w:sz w:val="24"/>
          <w:szCs w:val="24"/>
        </w:rPr>
      </w:pPr>
    </w:p>
    <w:p w14:paraId="141B964D" w14:textId="77777777" w:rsidR="008559ED" w:rsidRDefault="008559ED" w:rsidP="00D84694">
      <w:pPr>
        <w:jc w:val="both"/>
        <w:rPr>
          <w:rFonts w:ascii="Arial" w:hAnsi="Arial" w:cs="Arial" w:hint="cs"/>
          <w:b/>
          <w:bCs/>
          <w:u w:val="single"/>
          <w:rtl/>
        </w:rPr>
      </w:pPr>
      <w:r w:rsidRPr="00D84694">
        <w:rPr>
          <w:rFonts w:ascii="Arial" w:hAnsi="Arial" w:cs="Arial"/>
          <w:b/>
          <w:bCs/>
          <w:u w:val="single"/>
          <w:rtl/>
        </w:rPr>
        <w:t>נסיבות שאינן קשורות בביצוע העבירה</w:t>
      </w:r>
    </w:p>
    <w:p w14:paraId="0161CAF6" w14:textId="77777777" w:rsidR="00DD06F0" w:rsidRPr="00D84694" w:rsidRDefault="00DD06F0" w:rsidP="00D84694">
      <w:pPr>
        <w:jc w:val="both"/>
        <w:rPr>
          <w:rFonts w:ascii="Arial" w:hAnsi="Arial" w:cs="Arial" w:hint="cs"/>
          <w:b/>
          <w:bCs/>
          <w:u w:val="single"/>
          <w:rtl/>
        </w:rPr>
      </w:pPr>
    </w:p>
    <w:p w14:paraId="1FB401AE"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 xml:space="preserve">בהתאם </w:t>
      </w:r>
      <w:hyperlink r:id="rId31" w:history="1">
        <w:r w:rsidR="00DF0AC5" w:rsidRPr="00DF0AC5">
          <w:rPr>
            <w:rFonts w:ascii="Arial" w:hAnsi="Arial"/>
            <w:color w:val="0000FF"/>
            <w:sz w:val="24"/>
            <w:szCs w:val="24"/>
            <w:u w:val="single"/>
            <w:rtl/>
          </w:rPr>
          <w:t>לסעיף 40ג(ב)</w:t>
        </w:r>
      </w:hyperlink>
      <w:r w:rsidRPr="00D84694">
        <w:rPr>
          <w:rFonts w:ascii="Arial" w:hAnsi="Arial"/>
          <w:sz w:val="24"/>
          <w:szCs w:val="24"/>
          <w:rtl/>
        </w:rPr>
        <w:t xml:space="preserve"> ל</w:t>
      </w:r>
      <w:hyperlink r:id="rId32" w:history="1">
        <w:r w:rsidR="00D42166" w:rsidRPr="00D42166">
          <w:rPr>
            <w:rStyle w:val="Hyperlink"/>
            <w:rFonts w:ascii="Arial" w:hAnsi="Arial"/>
            <w:sz w:val="24"/>
            <w:szCs w:val="24"/>
            <w:rtl/>
          </w:rPr>
          <w:t>חוק העונשין</w:t>
        </w:r>
      </w:hyperlink>
      <w:r w:rsidRPr="00D84694">
        <w:rPr>
          <w:rFonts w:ascii="Arial" w:hAnsi="Arial"/>
          <w:sz w:val="24"/>
          <w:szCs w:val="24"/>
          <w:rtl/>
        </w:rPr>
        <w:t>, לאחר קביעת מתחם העונש ההולם ייגזר העונש המתאים לנאשם, בהתחשב בנסיבות שאינן קשורות בביצוע העבירה, ואולם רשאי בית המשפט לחרוג ממתחם העונש ההולם בשל שיקולי שיקום מחד – או הגנה על שלום הציבור – מאידך.</w:t>
      </w:r>
    </w:p>
    <w:p w14:paraId="57B14089" w14:textId="77777777" w:rsidR="008559ED" w:rsidRPr="00D84694" w:rsidRDefault="008559ED" w:rsidP="00D84694">
      <w:pPr>
        <w:pStyle w:val="ListParagraph"/>
        <w:jc w:val="both"/>
        <w:rPr>
          <w:rFonts w:ascii="Arial" w:hAnsi="Arial"/>
          <w:sz w:val="24"/>
          <w:szCs w:val="24"/>
        </w:rPr>
      </w:pPr>
    </w:p>
    <w:p w14:paraId="4605A252" w14:textId="77777777" w:rsidR="008559ED" w:rsidRPr="00D84694"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לנאשם הרשעה קודמת בעבירות בטחון חמורות, הוא אף לא ריצה את מלוא עונשו וזכה להקלה חריגה בעונש, אולם לא ניתן להתעלם מכך שהרשעה זו הינה בגין מעשים שבוצעו בשנת 2004 ומאז לא נרשמו לחובתו מקרים נוספים.</w:t>
      </w:r>
    </w:p>
    <w:p w14:paraId="6130FE27" w14:textId="77777777" w:rsidR="008559ED" w:rsidRPr="00D84694" w:rsidRDefault="008559ED" w:rsidP="00D84694">
      <w:pPr>
        <w:pStyle w:val="ListParagraph"/>
        <w:jc w:val="both"/>
        <w:rPr>
          <w:rFonts w:ascii="Arial" w:hAnsi="Arial"/>
          <w:sz w:val="24"/>
          <w:szCs w:val="24"/>
        </w:rPr>
      </w:pPr>
    </w:p>
    <w:p w14:paraId="2F92FA42" w14:textId="77777777" w:rsidR="008559ED" w:rsidRPr="00D84694" w:rsidRDefault="008559ED" w:rsidP="00D84694">
      <w:pPr>
        <w:pStyle w:val="ListParagraph"/>
        <w:numPr>
          <w:ilvl w:val="0"/>
          <w:numId w:val="3"/>
        </w:numPr>
        <w:jc w:val="both"/>
        <w:rPr>
          <w:rFonts w:ascii="Arial" w:hAnsi="Arial"/>
          <w:sz w:val="24"/>
          <w:szCs w:val="24"/>
        </w:rPr>
      </w:pPr>
      <w:r w:rsidRPr="00D84694">
        <w:rPr>
          <w:rFonts w:ascii="Arial" w:hAnsi="Arial"/>
          <w:sz w:val="24"/>
          <w:szCs w:val="24"/>
          <w:rtl/>
        </w:rPr>
        <w:t xml:space="preserve">כן יש לזקוף לזכותו של הנאשם את הודאתו במיוחס לו, אף שלא התרשמתי מחרטה כנה כאמור. </w:t>
      </w:r>
    </w:p>
    <w:p w14:paraId="34977285" w14:textId="77777777" w:rsidR="008559ED" w:rsidRDefault="008559ED" w:rsidP="00D84694">
      <w:pPr>
        <w:pStyle w:val="ListParagraph"/>
        <w:rPr>
          <w:rFonts w:ascii="Arial" w:hAnsi="Arial"/>
          <w:sz w:val="24"/>
          <w:szCs w:val="24"/>
          <w:rtl/>
        </w:rPr>
      </w:pPr>
    </w:p>
    <w:p w14:paraId="3111292A" w14:textId="77777777" w:rsidR="008559ED" w:rsidRPr="00D84694" w:rsidRDefault="008559ED" w:rsidP="00D84694">
      <w:pPr>
        <w:pStyle w:val="ListParagraph"/>
        <w:rPr>
          <w:rFonts w:ascii="Arial" w:hAnsi="Arial"/>
          <w:sz w:val="24"/>
          <w:szCs w:val="24"/>
        </w:rPr>
      </w:pPr>
    </w:p>
    <w:p w14:paraId="7A6509B8" w14:textId="77777777" w:rsidR="008559ED" w:rsidRDefault="008559ED" w:rsidP="00D84694">
      <w:pPr>
        <w:jc w:val="both"/>
        <w:rPr>
          <w:rFonts w:ascii="Arial" w:hAnsi="Arial" w:cs="Arial"/>
          <w:b/>
          <w:bCs/>
          <w:u w:val="single"/>
          <w:rtl/>
        </w:rPr>
      </w:pPr>
      <w:r w:rsidRPr="00D84694">
        <w:rPr>
          <w:rFonts w:ascii="Arial" w:hAnsi="Arial" w:cs="Arial"/>
          <w:b/>
          <w:bCs/>
          <w:u w:val="single"/>
          <w:rtl/>
        </w:rPr>
        <w:t>סוף דבר</w:t>
      </w:r>
    </w:p>
    <w:p w14:paraId="1132D367" w14:textId="77777777" w:rsidR="008559ED" w:rsidRPr="00D84694" w:rsidRDefault="008559ED" w:rsidP="00D84694">
      <w:pPr>
        <w:jc w:val="both"/>
        <w:rPr>
          <w:rFonts w:ascii="Arial" w:hAnsi="Arial" w:cs="Arial"/>
          <w:b/>
          <w:bCs/>
          <w:u w:val="single"/>
          <w:rtl/>
        </w:rPr>
      </w:pPr>
    </w:p>
    <w:p w14:paraId="65E4DE1F" w14:textId="77777777" w:rsidR="008559ED" w:rsidRPr="00D84694" w:rsidRDefault="008559ED" w:rsidP="00D84694">
      <w:pPr>
        <w:pStyle w:val="ListParagraph"/>
        <w:numPr>
          <w:ilvl w:val="0"/>
          <w:numId w:val="3"/>
        </w:numPr>
        <w:jc w:val="both"/>
        <w:rPr>
          <w:rFonts w:ascii="Arial" w:hAnsi="Arial"/>
          <w:sz w:val="24"/>
          <w:szCs w:val="24"/>
          <w:rtl/>
        </w:rPr>
      </w:pPr>
      <w:r w:rsidRPr="00D84694">
        <w:rPr>
          <w:rFonts w:ascii="Arial" w:hAnsi="Arial"/>
          <w:sz w:val="24"/>
          <w:szCs w:val="24"/>
          <w:rtl/>
        </w:rPr>
        <w:t>לנוכח האמור, הנני גוזרת על הנאשם את העונשים הבאים:</w:t>
      </w:r>
    </w:p>
    <w:p w14:paraId="182A44F3" w14:textId="77777777" w:rsidR="008559ED" w:rsidRPr="00D84694" w:rsidRDefault="008559ED" w:rsidP="00D84694">
      <w:pPr>
        <w:pStyle w:val="ListParagraph"/>
        <w:numPr>
          <w:ilvl w:val="0"/>
          <w:numId w:val="8"/>
        </w:numPr>
        <w:jc w:val="both"/>
        <w:rPr>
          <w:rFonts w:ascii="Arial" w:hAnsi="Arial"/>
          <w:sz w:val="24"/>
          <w:szCs w:val="24"/>
          <w:rtl/>
        </w:rPr>
      </w:pPr>
      <w:r w:rsidRPr="00D84694">
        <w:rPr>
          <w:rFonts w:ascii="Arial" w:hAnsi="Arial"/>
          <w:sz w:val="24"/>
          <w:szCs w:val="24"/>
          <w:rtl/>
        </w:rPr>
        <w:t xml:space="preserve">15 חודשי מאסר בגין האירוע המתואר באישום הראשון. </w:t>
      </w:r>
    </w:p>
    <w:p w14:paraId="28A3D128"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20 חודשי מאסר בגין האירוע המתואר באישום השלישי.</w:t>
      </w:r>
    </w:p>
    <w:p w14:paraId="2F9BABD2"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15 חודשי מאסר בגין האירוע המתואר באישום החמישי.</w:t>
      </w:r>
    </w:p>
    <w:p w14:paraId="021B6B4A"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20 חודשי מאסר בגין האירוע המתואר באישום השישי.</w:t>
      </w:r>
    </w:p>
    <w:p w14:paraId="70EF9ABF"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 xml:space="preserve">18 חודשי מאסר בגין האירוע המתואר באישום השמיני. </w:t>
      </w:r>
    </w:p>
    <w:p w14:paraId="33107951"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15 חודשי מאסר בגין האירוע המתואר באישום האחד עשר.</w:t>
      </w:r>
    </w:p>
    <w:p w14:paraId="1A0AE06F" w14:textId="77777777" w:rsidR="008559ED" w:rsidRPr="00D84694"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20 חודשי מאסר בגין האירוע המתואר באישום השלושה עשר.</w:t>
      </w:r>
    </w:p>
    <w:p w14:paraId="2E50CB28" w14:textId="77777777" w:rsidR="008559ED" w:rsidRPr="00CA384E" w:rsidRDefault="008559ED" w:rsidP="00455133">
      <w:pPr>
        <w:jc w:val="both"/>
        <w:rPr>
          <w:rFonts w:ascii="Arial" w:hAnsi="Arial" w:cs="Arial"/>
          <w:rtl/>
        </w:rPr>
      </w:pPr>
      <w:r w:rsidRPr="00CA384E">
        <w:rPr>
          <w:rFonts w:ascii="Arial" w:hAnsi="Arial" w:cs="Arial"/>
          <w:rtl/>
        </w:rPr>
        <w:t xml:space="preserve">בשים לב להסדר הטיעון שנרקם בין הצדדים ירוצו העונשים </w:t>
      </w:r>
      <w:r>
        <w:rPr>
          <w:rFonts w:ascii="Arial" w:hAnsi="Arial" w:cs="Arial"/>
          <w:rtl/>
        </w:rPr>
        <w:t>ב</w:t>
      </w:r>
      <w:r w:rsidRPr="00CA384E">
        <w:rPr>
          <w:rFonts w:ascii="Arial" w:hAnsi="Arial" w:cs="Arial"/>
          <w:rtl/>
        </w:rPr>
        <w:t>חלקם ב</w:t>
      </w:r>
      <w:r>
        <w:rPr>
          <w:rFonts w:ascii="Arial" w:hAnsi="Arial" w:cs="Arial"/>
          <w:rtl/>
        </w:rPr>
        <w:t xml:space="preserve">אופן </w:t>
      </w:r>
      <w:r w:rsidRPr="00CA384E">
        <w:rPr>
          <w:rFonts w:ascii="Arial" w:hAnsi="Arial" w:cs="Arial"/>
          <w:rtl/>
        </w:rPr>
        <w:t>חופף כך שבסופו של יום ירצה הנאשם  57 חודשי מאסר בפועל שמניינם החל מיום מעצרו 15.10.13.</w:t>
      </w:r>
    </w:p>
    <w:p w14:paraId="6C8E8649" w14:textId="77777777" w:rsidR="008559ED" w:rsidRPr="00CA384E" w:rsidRDefault="008559ED" w:rsidP="00D84694">
      <w:pPr>
        <w:jc w:val="both"/>
        <w:rPr>
          <w:rFonts w:ascii="Arial" w:hAnsi="Arial"/>
          <w:rtl/>
        </w:rPr>
      </w:pPr>
    </w:p>
    <w:p w14:paraId="32C286AC" w14:textId="77777777" w:rsidR="008559ED" w:rsidRDefault="008559ED" w:rsidP="00D84694">
      <w:pPr>
        <w:pStyle w:val="ListParagraph"/>
        <w:numPr>
          <w:ilvl w:val="0"/>
          <w:numId w:val="8"/>
        </w:numPr>
        <w:jc w:val="both"/>
        <w:rPr>
          <w:rFonts w:ascii="Arial" w:hAnsi="Arial"/>
          <w:sz w:val="24"/>
          <w:szCs w:val="24"/>
        </w:rPr>
      </w:pPr>
      <w:r w:rsidRPr="00D84694">
        <w:rPr>
          <w:rFonts w:ascii="Arial" w:hAnsi="Arial"/>
          <w:sz w:val="24"/>
          <w:szCs w:val="24"/>
          <w:rtl/>
        </w:rPr>
        <w:t xml:space="preserve">כן אני מטילה על הנאשם 8 חודשי מאסר על תנאי והתנאי הוא שתוך שנתיים מיום שחרורו ממאסר לא יעבור כל עבירה על </w:t>
      </w:r>
      <w:hyperlink r:id="rId33" w:history="1">
        <w:r w:rsidR="00DF0AC5" w:rsidRPr="00DF0AC5">
          <w:rPr>
            <w:rFonts w:ascii="Arial" w:hAnsi="Arial"/>
            <w:color w:val="0000FF"/>
            <w:sz w:val="24"/>
            <w:szCs w:val="24"/>
            <w:u w:val="single"/>
            <w:rtl/>
          </w:rPr>
          <w:t>סעיף 144</w:t>
        </w:r>
      </w:hyperlink>
      <w:r w:rsidRPr="00D84694">
        <w:rPr>
          <w:rFonts w:ascii="Arial" w:hAnsi="Arial"/>
          <w:sz w:val="24"/>
          <w:szCs w:val="24"/>
          <w:rtl/>
        </w:rPr>
        <w:t xml:space="preserve"> ל</w:t>
      </w:r>
      <w:hyperlink r:id="rId34" w:history="1">
        <w:r w:rsidR="00D42166" w:rsidRPr="00D42166">
          <w:rPr>
            <w:rStyle w:val="Hyperlink"/>
            <w:rFonts w:ascii="Arial" w:hAnsi="Arial"/>
            <w:sz w:val="24"/>
            <w:szCs w:val="24"/>
            <w:rtl/>
          </w:rPr>
          <w:t>חוק העונשין</w:t>
        </w:r>
      </w:hyperlink>
      <w:r w:rsidRPr="00D84694">
        <w:rPr>
          <w:rFonts w:ascii="Arial" w:hAnsi="Arial"/>
          <w:sz w:val="24"/>
          <w:szCs w:val="24"/>
          <w:rtl/>
        </w:rPr>
        <w:t xml:space="preserve">. </w:t>
      </w:r>
    </w:p>
    <w:p w14:paraId="6BB53A8A" w14:textId="77777777" w:rsidR="008559ED" w:rsidRPr="00D84694" w:rsidRDefault="008559ED" w:rsidP="008D10D7">
      <w:pPr>
        <w:pStyle w:val="ListParagraph"/>
        <w:jc w:val="both"/>
        <w:rPr>
          <w:rFonts w:ascii="Arial" w:hAnsi="Arial"/>
          <w:sz w:val="24"/>
          <w:szCs w:val="24"/>
        </w:rPr>
      </w:pPr>
    </w:p>
    <w:p w14:paraId="2293B9F8" w14:textId="77777777" w:rsidR="008559ED" w:rsidRPr="00D84694" w:rsidRDefault="008559ED" w:rsidP="00567D47">
      <w:pPr>
        <w:pStyle w:val="ListParagraph"/>
        <w:numPr>
          <w:ilvl w:val="0"/>
          <w:numId w:val="8"/>
        </w:numPr>
        <w:jc w:val="both"/>
        <w:rPr>
          <w:rFonts w:ascii="Arial" w:hAnsi="Arial"/>
          <w:sz w:val="24"/>
          <w:szCs w:val="24"/>
        </w:rPr>
      </w:pPr>
      <w:r w:rsidRPr="00D84694">
        <w:rPr>
          <w:rFonts w:ascii="Arial" w:hAnsi="Arial"/>
          <w:sz w:val="24"/>
          <w:szCs w:val="24"/>
          <w:rtl/>
        </w:rPr>
        <w:t xml:space="preserve">קנס בסך 70,000₪ אשר ישולם ב-10 תשלומים שווים ורצופים החל מיום </w:t>
      </w:r>
      <w:r>
        <w:rPr>
          <w:rFonts w:ascii="Arial" w:hAnsi="Arial"/>
          <w:sz w:val="24"/>
          <w:szCs w:val="24"/>
          <w:rtl/>
        </w:rPr>
        <w:t xml:space="preserve">10.8.14 </w:t>
      </w:r>
      <w:r w:rsidRPr="00D84694">
        <w:rPr>
          <w:rFonts w:ascii="Arial" w:hAnsi="Arial"/>
          <w:sz w:val="24"/>
          <w:szCs w:val="24"/>
          <w:rtl/>
        </w:rPr>
        <w:t xml:space="preserve">ובכל </w:t>
      </w:r>
      <w:r>
        <w:rPr>
          <w:rFonts w:ascii="Arial" w:hAnsi="Arial"/>
          <w:sz w:val="24"/>
          <w:szCs w:val="24"/>
          <w:rtl/>
        </w:rPr>
        <w:t>10</w:t>
      </w:r>
      <w:r w:rsidRPr="00D84694">
        <w:rPr>
          <w:rFonts w:ascii="Arial" w:hAnsi="Arial"/>
          <w:sz w:val="24"/>
          <w:szCs w:val="24"/>
          <w:rtl/>
        </w:rPr>
        <w:t xml:space="preserve"> בחודש שלאחריו. </w:t>
      </w:r>
    </w:p>
    <w:p w14:paraId="1852200F" w14:textId="77777777" w:rsidR="008559ED" w:rsidRPr="008D10D7" w:rsidRDefault="008559ED" w:rsidP="00D84694">
      <w:pPr>
        <w:ind w:left="360"/>
        <w:jc w:val="both"/>
        <w:rPr>
          <w:rFonts w:ascii="Arial" w:hAnsi="Arial" w:cs="Arial"/>
          <w:b/>
          <w:bCs/>
        </w:rPr>
      </w:pPr>
    </w:p>
    <w:p w14:paraId="21A4A56F" w14:textId="77777777" w:rsidR="008559ED" w:rsidRPr="008D10D7" w:rsidRDefault="008559ED" w:rsidP="00D84694">
      <w:pPr>
        <w:ind w:left="360"/>
        <w:jc w:val="both"/>
        <w:rPr>
          <w:rFonts w:ascii="Arial" w:hAnsi="Arial" w:cs="Arial"/>
          <w:b/>
          <w:bCs/>
          <w:rtl/>
        </w:rPr>
      </w:pPr>
      <w:r w:rsidRPr="008D10D7">
        <w:rPr>
          <w:rFonts w:ascii="Arial" w:hAnsi="Arial" w:cs="Arial"/>
          <w:b/>
          <w:bCs/>
          <w:rtl/>
        </w:rPr>
        <w:t xml:space="preserve">זכות ערעור לבית המשפט העליון תוך 45 יום מהיום. </w:t>
      </w:r>
    </w:p>
    <w:p w14:paraId="446B5FD3" w14:textId="77777777" w:rsidR="008559ED" w:rsidRPr="00D84694" w:rsidRDefault="008559ED" w:rsidP="00D84694">
      <w:pPr>
        <w:ind w:left="360"/>
        <w:jc w:val="both"/>
        <w:rPr>
          <w:rFonts w:ascii="Arial" w:hAnsi="Arial" w:cs="Arial"/>
          <w:rtl/>
        </w:rPr>
      </w:pPr>
    </w:p>
    <w:p w14:paraId="66480CF3" w14:textId="77777777" w:rsidR="008559ED" w:rsidRPr="00D84694" w:rsidRDefault="008559ED">
      <w:pPr>
        <w:rPr>
          <w:rFonts w:ascii="Arial" w:hAnsi="Arial" w:cs="Arial"/>
          <w:rtl/>
        </w:rPr>
      </w:pPr>
    </w:p>
    <w:p w14:paraId="7525A44F" w14:textId="77777777" w:rsidR="00DF0AC5" w:rsidRPr="00DF0AC5" w:rsidRDefault="00D42166" w:rsidP="00DF0AC5">
      <w:pPr>
        <w:rPr>
          <w:rFonts w:ascii="Arial" w:hAnsi="Arial" w:cs="Arial" w:hint="cs"/>
          <w:rtl/>
        </w:rPr>
      </w:pPr>
      <w:bookmarkStart w:id="5" w:name="_GoBack"/>
      <w:bookmarkEnd w:id="5"/>
      <w:r>
        <w:rPr>
          <w:rFonts w:ascii="Arial" w:hAnsi="Arial" w:cs="Arial"/>
          <w:rtl/>
        </w:rPr>
        <w:t>ניתן היום,  ט"ז תמוז תשע"ד, 14 יול</w:t>
      </w:r>
      <w:bookmarkStart w:id="6" w:name="LawTable"/>
      <w:bookmarkStart w:id="7" w:name="LawTable_End"/>
      <w:bookmarkEnd w:id="6"/>
      <w:bookmarkEnd w:id="7"/>
      <w:r w:rsidR="00DF0AC5">
        <w:rPr>
          <w:rFonts w:ascii="Arial" w:hAnsi="Arial" w:cs="Arial" w:hint="cs"/>
          <w:rtl/>
        </w:rPr>
        <w:t>י</w:t>
      </w:r>
    </w:p>
    <w:p w14:paraId="401D6954" w14:textId="77777777" w:rsidR="00D42166" w:rsidRPr="00D42166" w:rsidRDefault="00D42166">
      <w:pPr>
        <w:rPr>
          <w:rFonts w:ascii="Arial" w:hAnsi="Arial" w:cs="Arial"/>
          <w:color w:val="FFFFFF"/>
          <w:sz w:val="2"/>
          <w:szCs w:val="2"/>
          <w:rtl/>
        </w:rPr>
      </w:pPr>
      <w:r w:rsidRPr="00DF0AC5">
        <w:rPr>
          <w:rFonts w:ascii="Arial" w:hAnsi="Arial" w:cs="Arial"/>
          <w:rtl/>
        </w:rPr>
        <w:t>י</w:t>
      </w:r>
      <w:r w:rsidRPr="00D42166">
        <w:rPr>
          <w:rFonts w:ascii="Arial" w:hAnsi="Arial" w:cs="Arial"/>
          <w:color w:val="FFFFFF"/>
          <w:sz w:val="2"/>
          <w:szCs w:val="2"/>
          <w:rtl/>
        </w:rPr>
        <w:t>5129371</w:t>
      </w:r>
    </w:p>
    <w:p w14:paraId="435E9475" w14:textId="77777777" w:rsidR="00D42166" w:rsidRPr="00D42166" w:rsidRDefault="00D42166">
      <w:pPr>
        <w:rPr>
          <w:rFonts w:ascii="Arial" w:hAnsi="Arial" w:cs="Arial"/>
          <w:color w:val="FFFFFF"/>
          <w:sz w:val="2"/>
          <w:szCs w:val="2"/>
          <w:rtl/>
        </w:rPr>
      </w:pPr>
      <w:r w:rsidRPr="00D42166">
        <w:rPr>
          <w:rFonts w:ascii="Arial" w:hAnsi="Arial" w:cs="Arial"/>
          <w:color w:val="FFFFFF"/>
          <w:sz w:val="2"/>
          <w:szCs w:val="2"/>
          <w:rtl/>
        </w:rPr>
        <w:t>54678313</w:t>
      </w:r>
    </w:p>
    <w:p w14:paraId="1E721749" w14:textId="77777777" w:rsidR="008559ED" w:rsidRPr="00D84694" w:rsidRDefault="00D42166">
      <w:pPr>
        <w:rPr>
          <w:rFonts w:ascii="Arial" w:hAnsi="Arial" w:cs="Arial"/>
          <w:rtl/>
        </w:rPr>
      </w:pPr>
      <w:r w:rsidRPr="00D42166">
        <w:rPr>
          <w:rFonts w:ascii="Arial" w:hAnsi="Arial" w:cs="Arial"/>
          <w:rtl/>
        </w:rPr>
        <w:t xml:space="preserve"> </w:t>
      </w:r>
      <w:r>
        <w:rPr>
          <w:rFonts w:ascii="Arial" w:hAnsi="Arial" w:cs="Arial"/>
          <w:rtl/>
        </w:rPr>
        <w:t xml:space="preserve">2014, במעמד הצדדים. </w:t>
      </w:r>
    </w:p>
    <w:p w14:paraId="19F409A3" w14:textId="77777777" w:rsidR="008559ED" w:rsidRPr="00D84694" w:rsidRDefault="008559ED" w:rsidP="00087463">
      <w:pPr>
        <w:jc w:val="center"/>
      </w:pPr>
      <w:r w:rsidRPr="00D84694">
        <w:rPr>
          <w:rFonts w:ascii="Arial" w:hAnsi="Arial" w:cs="Arial"/>
          <w:rtl/>
        </w:rPr>
        <w:tab/>
      </w:r>
      <w:r w:rsidRPr="00D84694">
        <w:rPr>
          <w:rFonts w:ascii="Arial" w:hAnsi="Arial" w:cs="Arial"/>
          <w:rtl/>
        </w:rPr>
        <w:tab/>
      </w:r>
      <w:r w:rsidRPr="00D84694">
        <w:rPr>
          <w:rFonts w:ascii="Arial" w:hAnsi="Arial" w:cs="Arial"/>
          <w:rtl/>
        </w:rPr>
        <w:tab/>
      </w:r>
      <w:r w:rsidRPr="00D84694">
        <w:rPr>
          <w:rFonts w:ascii="Arial" w:hAnsi="Arial" w:cs="Arial"/>
          <w:rtl/>
        </w:rPr>
        <w:tab/>
      </w:r>
      <w:r w:rsidRPr="00D84694">
        <w:rPr>
          <w:rFonts w:ascii="Arial" w:hAnsi="Arial" w:cs="Arial"/>
          <w:rtl/>
        </w:rPr>
        <w:tab/>
      </w:r>
    </w:p>
    <w:p w14:paraId="42227BF2" w14:textId="77777777" w:rsidR="008559ED" w:rsidRPr="00D84694" w:rsidRDefault="008559ED" w:rsidP="003E0C9F">
      <w:pPr>
        <w:jc w:val="center"/>
        <w:rPr>
          <w:rFonts w:ascii="Arial" w:hAnsi="Arial" w:cs="Arial"/>
          <w:rtl/>
        </w:rPr>
      </w:pPr>
    </w:p>
    <w:p w14:paraId="3FF9C290" w14:textId="77777777" w:rsidR="008559ED" w:rsidRPr="00D84694" w:rsidRDefault="008559ED">
      <w:pPr>
        <w:rPr>
          <w:rFonts w:ascii="Arial" w:hAnsi="Arial" w:cs="Arial"/>
          <w:rtl/>
        </w:rPr>
      </w:pPr>
    </w:p>
    <w:p w14:paraId="6BA9EB5F" w14:textId="77777777" w:rsidR="00D42166" w:rsidRPr="00D42166" w:rsidRDefault="00D42166" w:rsidP="00D42166">
      <w:pPr>
        <w:pStyle w:val="a3"/>
        <w:keepNext/>
        <w:rPr>
          <w:rFonts w:ascii="David" w:hAnsi="David"/>
          <w:color w:val="000000"/>
          <w:sz w:val="22"/>
          <w:szCs w:val="22"/>
          <w:rtl/>
        </w:rPr>
      </w:pPr>
    </w:p>
    <w:p w14:paraId="70B78C47" w14:textId="77777777" w:rsidR="00D42166" w:rsidRPr="00D42166" w:rsidRDefault="00D42166" w:rsidP="00D42166">
      <w:pPr>
        <w:pStyle w:val="a3"/>
        <w:keepNext/>
        <w:rPr>
          <w:rFonts w:ascii="David" w:hAnsi="David"/>
          <w:color w:val="000000"/>
          <w:sz w:val="22"/>
          <w:szCs w:val="22"/>
          <w:rtl/>
        </w:rPr>
      </w:pPr>
      <w:r w:rsidRPr="00D42166">
        <w:rPr>
          <w:rFonts w:ascii="David" w:hAnsi="David"/>
          <w:color w:val="000000"/>
          <w:sz w:val="22"/>
          <w:szCs w:val="22"/>
          <w:rtl/>
        </w:rPr>
        <w:t>מיכל ברנט 54678313</w:t>
      </w:r>
    </w:p>
    <w:p w14:paraId="4C8D67DE" w14:textId="77777777" w:rsidR="00D42166" w:rsidRDefault="00D42166" w:rsidP="00D42166">
      <w:pPr>
        <w:pStyle w:val="a3"/>
        <w:rPr>
          <w:rFonts w:ascii="Arial" w:hAnsi="Arial" w:cs="Arial"/>
          <w:color w:val="000000"/>
          <w:rtl/>
        </w:rPr>
      </w:pPr>
      <w:r w:rsidRPr="00D42166">
        <w:rPr>
          <w:rFonts w:ascii="Arial" w:hAnsi="Arial" w:cs="Arial"/>
          <w:color w:val="000000"/>
          <w:rtl/>
        </w:rPr>
        <w:t>נוסח מסמך זה כפוף לשינויי ניסוח ועריכה</w:t>
      </w:r>
    </w:p>
    <w:p w14:paraId="67D69506" w14:textId="77777777" w:rsidR="00D42166" w:rsidRDefault="00D42166" w:rsidP="00D42166">
      <w:pPr>
        <w:pStyle w:val="a3"/>
        <w:rPr>
          <w:rFonts w:ascii="Arial" w:hAnsi="Arial" w:cs="Arial"/>
          <w:rtl/>
        </w:rPr>
      </w:pPr>
    </w:p>
    <w:p w14:paraId="2E1FFE2B" w14:textId="77777777" w:rsidR="00D42166" w:rsidRDefault="00D42166" w:rsidP="00D42166">
      <w:pPr>
        <w:pStyle w:val="a3"/>
        <w:jc w:val="center"/>
        <w:rPr>
          <w:rFonts w:ascii="Arial" w:hAnsi="Arial"/>
          <w:color w:val="0000FF"/>
          <w:u w:val="single"/>
          <w:rtl/>
        </w:rPr>
      </w:pPr>
      <w:hyperlink r:id="rId35" w:history="1">
        <w:r>
          <w:rPr>
            <w:rStyle w:val="Hyperlink"/>
            <w:rtl/>
          </w:rPr>
          <w:t>בעניין עריכה ושינויים במסמכי פסיקה, חקיקה ועוד באתר נבו – הקש כאן</w:t>
        </w:r>
      </w:hyperlink>
    </w:p>
    <w:p w14:paraId="1C667C2F" w14:textId="77777777" w:rsidR="008559ED" w:rsidRPr="00D42166" w:rsidRDefault="008559ED" w:rsidP="00D42166">
      <w:pPr>
        <w:pStyle w:val="a3"/>
        <w:jc w:val="center"/>
        <w:rPr>
          <w:rFonts w:ascii="Arial" w:hAnsi="Arial"/>
          <w:color w:val="0000FF"/>
          <w:u w:val="single"/>
          <w:rtl/>
        </w:rPr>
      </w:pPr>
    </w:p>
    <w:sectPr w:rsidR="008559ED" w:rsidRPr="00D42166" w:rsidSect="00D42166">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FF0E7" w14:textId="77777777" w:rsidR="00E211FB" w:rsidRDefault="00E211FB">
      <w:r>
        <w:separator/>
      </w:r>
    </w:p>
  </w:endnote>
  <w:endnote w:type="continuationSeparator" w:id="0">
    <w:p w14:paraId="2A41C0ED" w14:textId="77777777" w:rsidR="00E211FB" w:rsidRDefault="00E2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C1BDD" w14:textId="77777777" w:rsidR="00D42166" w:rsidRDefault="00D42166" w:rsidP="00D421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14D5B359" w14:textId="77777777" w:rsidR="008559ED" w:rsidRPr="00D42166" w:rsidRDefault="00D42166" w:rsidP="00D42166">
    <w:pPr>
      <w:pStyle w:val="a4"/>
      <w:pBdr>
        <w:top w:val="single" w:sz="4" w:space="1" w:color="auto"/>
        <w:between w:val="single" w:sz="4" w:space="0" w:color="auto"/>
      </w:pBdr>
      <w:spacing w:after="60"/>
      <w:jc w:val="center"/>
      <w:rPr>
        <w:rFonts w:ascii="FrankRuehl" w:hAnsi="FrankRuehl" w:cs="FrankRuehl"/>
        <w:color w:val="000000"/>
      </w:rPr>
    </w:pPr>
    <w:r w:rsidRPr="00D421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51DC" w14:textId="77777777" w:rsidR="00D42166" w:rsidRDefault="00D42166" w:rsidP="00D421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6CDD">
      <w:rPr>
        <w:rFonts w:ascii="FrankRuehl" w:hAnsi="FrankRuehl" w:cs="FrankRuehl"/>
        <w:noProof/>
        <w:rtl/>
      </w:rPr>
      <w:t>11</w:t>
    </w:r>
    <w:r>
      <w:rPr>
        <w:rFonts w:ascii="FrankRuehl" w:hAnsi="FrankRuehl" w:cs="FrankRuehl"/>
        <w:rtl/>
      </w:rPr>
      <w:fldChar w:fldCharType="end"/>
    </w:r>
  </w:p>
  <w:p w14:paraId="7A9869B1" w14:textId="77777777" w:rsidR="008559ED" w:rsidRPr="00D42166" w:rsidRDefault="00D42166" w:rsidP="00D42166">
    <w:pPr>
      <w:pStyle w:val="a4"/>
      <w:pBdr>
        <w:top w:val="single" w:sz="4" w:space="1" w:color="auto"/>
        <w:between w:val="single" w:sz="4" w:space="0" w:color="auto"/>
      </w:pBdr>
      <w:spacing w:after="60"/>
      <w:jc w:val="center"/>
      <w:rPr>
        <w:rFonts w:ascii="FrankRuehl" w:hAnsi="FrankRuehl" w:cs="FrankRuehl"/>
        <w:color w:val="000000"/>
      </w:rPr>
    </w:pPr>
    <w:r w:rsidRPr="00D42166">
      <w:rPr>
        <w:rFonts w:ascii="FrankRuehl" w:hAnsi="FrankRuehl" w:cs="FrankRuehl"/>
        <w:color w:val="000000"/>
      </w:rPr>
      <w:pict w14:anchorId="6CBA3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6793" w14:textId="77777777" w:rsidR="00E211FB" w:rsidRDefault="00E211FB">
      <w:r>
        <w:separator/>
      </w:r>
    </w:p>
  </w:footnote>
  <w:footnote w:type="continuationSeparator" w:id="0">
    <w:p w14:paraId="33E89D3D" w14:textId="77777777" w:rsidR="00E211FB" w:rsidRDefault="00E21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D88B2" w14:textId="77777777" w:rsidR="00D42166" w:rsidRPr="00D42166" w:rsidRDefault="00D42166" w:rsidP="00D421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54150-10-13</w:t>
    </w:r>
    <w:r>
      <w:rPr>
        <w:rFonts w:ascii="David" w:hAnsi="David"/>
        <w:color w:val="000000"/>
        <w:sz w:val="22"/>
        <w:szCs w:val="22"/>
        <w:rtl/>
      </w:rPr>
      <w:tab/>
      <w:t xml:space="preserve"> מדינת ישראל נ' אחמד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B7B50" w14:textId="77777777" w:rsidR="00D42166" w:rsidRPr="00D42166" w:rsidRDefault="00D42166" w:rsidP="00D421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54150-10-13</w:t>
    </w:r>
    <w:r>
      <w:rPr>
        <w:rFonts w:ascii="David" w:hAnsi="David"/>
        <w:color w:val="000000"/>
        <w:sz w:val="22"/>
        <w:szCs w:val="22"/>
        <w:rtl/>
      </w:rPr>
      <w:tab/>
      <w:t xml:space="preserve"> מדינת ישראל נ' אחמד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117"/>
    <w:multiLevelType w:val="hybridMultilevel"/>
    <w:tmpl w:val="8E1A17A0"/>
    <w:lvl w:ilvl="0" w:tplc="A9689CDE">
      <w:start w:val="1"/>
      <w:numFmt w:val="hebrew1"/>
      <w:lvlText w:val="%1."/>
      <w:lvlJc w:val="left"/>
      <w:pPr>
        <w:ind w:left="1080" w:hanging="360"/>
      </w:pPr>
      <w:rPr>
        <w:rFonts w:cs="Times New Roman"/>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0AA04850"/>
    <w:multiLevelType w:val="hybridMultilevel"/>
    <w:tmpl w:val="95F2136A"/>
    <w:lvl w:ilvl="0" w:tplc="3454D60E">
      <w:start w:val="1"/>
      <w:numFmt w:val="hebrew1"/>
      <w:lvlText w:val="%1."/>
      <w:lvlJc w:val="left"/>
      <w:pPr>
        <w:ind w:left="720" w:hanging="360"/>
      </w:pPr>
      <w:rPr>
        <w:rFonts w:cs="Arial"/>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BF13427"/>
    <w:multiLevelType w:val="hybridMultilevel"/>
    <w:tmpl w:val="15E454E8"/>
    <w:lvl w:ilvl="0" w:tplc="AD288B64">
      <w:start w:val="1"/>
      <w:numFmt w:val="hebrew1"/>
      <w:lvlText w:val="%1."/>
      <w:lvlJc w:val="left"/>
      <w:pPr>
        <w:ind w:left="1080" w:hanging="360"/>
      </w:pPr>
      <w:rPr>
        <w:rFonts w:cs="Times New Roman"/>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22293B29"/>
    <w:multiLevelType w:val="hybridMultilevel"/>
    <w:tmpl w:val="1F6026AE"/>
    <w:lvl w:ilvl="0" w:tplc="C42C52AC">
      <w:start w:val="1"/>
      <w:numFmt w:val="hebrew1"/>
      <w:lvlText w:val="%1."/>
      <w:lvlJc w:val="left"/>
      <w:pPr>
        <w:ind w:left="1080" w:hanging="360"/>
      </w:pPr>
      <w:rPr>
        <w:rFonts w:cs="Times New Roman"/>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 w15:restartNumberingAfterBreak="0">
    <w:nsid w:val="24225672"/>
    <w:multiLevelType w:val="hybridMultilevel"/>
    <w:tmpl w:val="21540678"/>
    <w:lvl w:ilvl="0" w:tplc="1AE29672">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D08A5"/>
    <w:multiLevelType w:val="hybridMultilevel"/>
    <w:tmpl w:val="121ACD54"/>
    <w:lvl w:ilvl="0" w:tplc="0409000F">
      <w:start w:val="2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36341A05"/>
    <w:multiLevelType w:val="hybridMultilevel"/>
    <w:tmpl w:val="071E5C6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D16453E"/>
    <w:multiLevelType w:val="hybridMultilevel"/>
    <w:tmpl w:val="B0D0BF88"/>
    <w:lvl w:ilvl="0" w:tplc="1786CC50">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95945"/>
    <w:multiLevelType w:val="hybridMultilevel"/>
    <w:tmpl w:val="ADEE0A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E8A7F41"/>
    <w:multiLevelType w:val="hybridMultilevel"/>
    <w:tmpl w:val="88467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70847277">
    <w:abstractNumId w:val="10"/>
  </w:num>
  <w:num w:numId="2" w16cid:durableId="1768109652">
    <w:abstractNumId w:val="2"/>
  </w:num>
  <w:num w:numId="3" w16cid:durableId="98113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7371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1689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602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5963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5932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7619946">
    <w:abstractNumId w:val="6"/>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9267621">
    <w:abstractNumId w:val="5"/>
  </w:num>
  <w:num w:numId="11" w16cid:durableId="294530223">
    <w:abstractNumId w:val="8"/>
  </w:num>
  <w:num w:numId="12" w16cid:durableId="8719490">
    <w:abstractNumId w:val="0"/>
  </w:num>
  <w:num w:numId="13" w16cid:durableId="2105759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428589"/>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ExemptionExistInCase&amp;quot; type=&amp;quot;xs:boolean&amp;quot; minOccurs=&amp;quot;0&amp;quot; /&amp;gt;_x005f_x000d__x005f_x000a_                &amp;lt;xs:element name=&amp;quot;IsDebitTransferedInCase&amp;quot; type=&amp;quot;xs:boolean&amp;quot; minOccurs=&amp;quot;0&amp;quot; /&amp;gt;_x005f_x000d__x005f_x000a_                &amp;lt;xs:element name=&amp;quot;IsUnconvertedCase&amp;quot; type=&amp;quot;xs:boolean&amp;quot; minOccurs=&amp;quot;0&amp;quot; /&amp;gt;_x005f_x000d__x005f_x000a_                &amp;lt;xs:element name=&amp;quot;ActiveInCaseSuspendedLawyers&amp;quot; type=&amp;quot;xs:string&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1428589&amp;lt;/CaseID&amp;gt;_x005f_x000d__x005f_x000a_        &amp;lt;CaseMonth&amp;gt;10&amp;lt;/CaseMonth&amp;gt;_x005f_x000d__x005f_x000a_        &amp;lt;CaseYear&amp;gt;2013&amp;lt;/CaseYear&amp;gt;_x005f_x000d__x005f_x000a_        &amp;lt;CaseNumber&amp;gt;54150&amp;lt;/CaseNumber&amp;gt;_x005f_x000d__x005f_x000a_        &amp;lt;NumeratorGroupID&amp;gt;1&amp;lt;/NumeratorGroupID&amp;gt;_x005f_x000d__x005f_x000a_        &amp;lt;CaseName&amp;gt;îãéðú éùøàì ð&amp;#39; òéñà(òöéø) åàç&amp;#39;&amp;lt;/CaseName&amp;gt;_x005f_x000d__x005f_x000a_        &amp;lt;CourtID&amp;gt;896&amp;lt;/CourtID&amp;gt;_x005f_x000d__x005f_x000a_        &amp;lt;CaseTypeID&amp;gt;10048&amp;lt;/CaseTypeID&amp;gt;_x005f_x000d__x005f_x000a_        &amp;lt;CaseJudgeName&amp;gt;îéëì áøðè&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54150-10-13&amp;lt;/CaseDisplayIdentifier&amp;gt;_x005f_x000d__x005f_x000a_        &amp;lt;CaseTypeDesc&amp;gt;ú&amp;quot;ô&amp;lt;/CaseTypeDesc&amp;gt;_x005f_x000d__x005f_x000a_        &amp;lt;CourtDesc&amp;gt;äîçåæé îøëæ &amp;lt;/CourtDesc&amp;gt;_x005f_x000d__x005f_x000a_        &amp;lt;CaseStageDesc&amp;gt;úé÷ àì÷èøåðé&amp;lt;/CaseStageDesc&amp;gt;_x005f_x000d__x005f_x000a_        &amp;lt;CaseNextDeterminingTask&amp;gt;150&amp;lt;/CaseNextDeterminingTask&amp;gt;_x005f_x000d__x005f_x000a_        &amp;lt;CaseOpenDate&amp;gt;2013-10-25T08:25:00+03:00&amp;lt;/CaseOpenDate&amp;gt;_x005f_x000d__x005f_x000a_        &amp;lt;PleaTypeID&amp;gt;8&amp;lt;/PleaTypeID&amp;gt;_x005f_x000d__x005f_x000a_        &amp;lt;CourtLevelID&amp;gt;2&amp;lt;/CourtLevelID&amp;gt;_x005f_x000d__x005f_x000a_        &amp;lt;CaseJudgeFirstName&amp;gt;îéëì&amp;lt;/CaseJudgeFirstName&amp;gt;_x005f_x000d__x005f_x000a_        &amp;lt;CaseJudgeLastName&amp;gt;áøðè&amp;lt;/CaseJudgeLastName&amp;gt;_x005f_x000d__x005f_x000a_        &amp;lt;JudicalPersonID&amp;gt;055486252@GOV.IL&amp;lt;/JudicalPersonID&amp;gt;_x005f_x000d__x005f_x000a_        &amp;lt;IsJudicalPanel&amp;gt;false&amp;lt;/IsJudicalPanel&amp;gt;_x005f_x000d__x005f_x000a_        &amp;lt;CourtDisplayName&amp;gt;áéú äîùôè äîçåæé îøëæ-ìåã&amp;lt;/CourtDisplayName&amp;gt;_x005f_x000d__x005f_x000a_        &amp;lt;IsAllStartDataCollected&amp;gt;true&amp;lt;/IsAllStartDataCollected&amp;gt;_x005f_x000d__x005f_x000a_        &amp;lt;IsMainCase&amp;gt;false&amp;lt;/IsMainCase&amp;gt;_x005f_x000d__x005f_x000a_        &amp;lt;CaseDesc&amp;gt;îîù÷. àìä&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FeePaid&amp;gt;false&amp;lt;/IsFeePaid&amp;gt;_x005f_x000d__x005f_x000a_        &amp;lt;IsExistPrisoner&amp;gt;false&amp;lt;/IsExistPrisoner&amp;gt;_x005f_x000d__x005f_x000a_        &amp;lt;IsExistDetainee&amp;gt;true&amp;lt;/IsExistDetainee&amp;gt;_x005f_x000d__x005f_x000a_        &amp;lt;IsDebitExist&amp;gt;true&amp;lt;/IsDebitExist&amp;gt;_x005f_x000d__x005f_x000a_        &amp;lt;DebitExsitDate&amp;gt;2014-07-14T03:00:00+03:00&amp;lt;/DebitExsitDate&amp;gt;_x005f_x000d__x005f_x000a_        &amp;lt;IsExistSeizure&amp;gt;false&amp;lt;/IsExistSeizure&amp;gt;_x005f_x000d__x005f_x000a_        &amp;lt;IsExemptionExistInCase&amp;gt;false&amp;lt;/IsExemptionExistInCase&amp;gt;_x005f_x000d__x005f_x000a_        &amp;lt;IsDebitTransferedInCase&amp;gt;true&amp;lt;/IsDebitTransferedInCas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1428589&amp;lt;/CaseID&amp;gt;_x005f_x000d__x005f_x000a_        &amp;lt;CaseMonth&amp;gt;10&amp;lt;/CaseMonth&amp;gt;_x005f_x000d__x005f_x000a_        &amp;lt;CaseYear&amp;gt;2013&amp;lt;/CaseYear&amp;gt;_x005f_x000d__x005f_x000a_        &amp;lt;CaseNumber&amp;gt;54150&amp;lt;/CaseNumber&amp;gt;_x005f_x000d__x005f_x000a_        &amp;lt;NumeratorGroupID&amp;gt;1&amp;lt;/NumeratorGroupID&amp;gt;_x005f_x000d__x005f_x000a_        &amp;lt;CaseName&amp;gt;îãéðú éùøàì ð&amp;#39; òéñà(òöéø) åàç&amp;#39;&amp;lt;/CaseName&amp;gt;_x005f_x000d__x005f_x000a_        &amp;lt;CourtID&amp;gt;896&amp;lt;/CourtID&amp;gt;_x005f_x000d__x005f_x000a_        &amp;lt;CaseTypeID&amp;gt;10048&amp;lt;/CaseTypeID&amp;gt;_x005f_x000d__x005f_x000a_        &amp;lt;CaseJudgeName&amp;gt;îéëì áøðè&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54150-10-13&amp;lt;/CaseDisplayIdentifier&amp;gt;_x005f_x000d__x005f_x000a_        &amp;lt;CaseTypeDesc&amp;gt;ú&amp;quot;ô&amp;lt;/CaseTypeDesc&amp;gt;_x005f_x000d__x005f_x000a_        &amp;lt;CourtDesc&amp;gt;äîçåæé îøëæ &amp;lt;/CourtDesc&amp;gt;_x005f_x000d__x005f_x000a_        &amp;lt;CaseStageDesc&amp;gt;úé÷ àì÷èøåðé&amp;lt;/CaseStageDesc&amp;gt;_x005f_x000d__x005f_x000a_        &amp;lt;CaseNextDeterminingTask&amp;gt;150&amp;lt;/CaseNextDeterminingTask&amp;gt;_x005f_x000d__x005f_x000a_        &amp;lt;CaseOpenDate&amp;gt;2013-10-25T08:25:00+03:00&amp;lt;/CaseOpenDate&amp;gt;_x005f_x000d__x005f_x000a_        &amp;lt;PleaTypeID&amp;gt;8&amp;lt;/PleaTypeID&amp;gt;_x005f_x000d__x005f_x000a_        &amp;lt;CourtLevelID&amp;gt;2&amp;lt;/CourtLevelID&amp;gt;_x005f_x000d__x005f_x000a_        &amp;lt;CaseJudgeFirstName&amp;gt;îéëì&amp;lt;/CaseJudgeFirstName&amp;gt;_x005f_x000d__x005f_x000a_        &amp;lt;CaseJudgeLastName&amp;gt;áøðè&amp;lt;/CaseJudgeLastName&amp;gt;_x005f_x000d__x005f_x000a_        &amp;lt;JudicalPersonID&amp;gt;055486252@GOV.IL&amp;lt;/JudicalPersonID&amp;gt;_x005f_x000d__x005f_x000a_        &amp;lt;IsJudicalPanel&amp;gt;false&amp;lt;/IsJudicalPanel&amp;gt;_x005f_x000d__x005f_x000a_        &amp;lt;CourtDisplayName&amp;gt;áéú äîùôè äîçåæé îøëæ-ìåã&amp;lt;/CourtDisplayName&amp;gt;_x005f_x000d__x005f_x000a_        &amp;lt;IsAllStartDataCollected&amp;gt;true&amp;lt;/IsAllStartDataCollected&amp;gt;_x005f_x000d__x005f_x000a_        &amp;lt;IsMainCase&amp;gt;false&amp;lt;/IsMainCase&amp;gt;_x005f_x000d__x005f_x000a_        &amp;lt;CaseDesc&amp;gt;îîù÷. àìä&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896"/>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element name=&amp;quot;dt_Attachments&amp;quot;&amp;gt;_x005f_x000d__x005f_x000a_            &amp;lt;xs:complexType&amp;gt;_x005f_x000d__x005f_x000a_              &amp;lt;xs:sequence&amp;gt;_x005f_x000d__x005f_x000a_                &amp;lt;xs:element name=&amp;quot;DocumentID&amp;quot; type=&amp;quot;xs:int&amp;quot; minOccurs=&amp;quot;0&amp;quot; /&amp;gt;_x005f_x000d__x005f_x000a_                &amp;lt;xs:element name=&amp;quot;DocumentStatusChangeDate&amp;quot; type=&amp;quot;xs:dateTime&amp;quot; minOccurs=&amp;quot;0&amp;quot; /&amp;gt;_x005f_x000d__x005f_x000a_                &amp;lt;xs:element name=&amp;quot;DocumentDesc&amp;quot; type=&amp;quot;xs:string&amp;quot; minOccurs=&amp;quot;0&amp;quot; /&amp;gt;_x005f_x000d__x005f_x000a_                &amp;lt;xs:element name=&amp;quot;DocumentMainID&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91018897&amp;lt;/DecisionID&amp;gt;_x005f_x000d__x005f_x000a_        &amp;lt;DecisionName&amp;gt;âæø ãéï  îúàøéê  02/07/14  ùðéúðä ò&amp;quot;é  îéëì áøðè&amp;lt;/DecisionName&amp;gt;_x005f_x000d__x005f_x000a_        &amp;lt;DecisionStatusID&amp;gt;1&amp;lt;/DecisionStatusID&amp;gt;_x005f_x000d__x005f_x000a_        &amp;lt;DecisionStatusChangeDate&amp;gt;2014-07-14T06:14:21.373+03:00&amp;lt;/DecisionStatusChangeDate&amp;gt;_x005f_x000d__x005f_x000a_        &amp;lt;DecisionSignatureDate&amp;gt;2014-07-02T10:47:44.563+03:00&amp;lt;/DecisionSignatureDate&amp;gt;_x005f_x000d__x005f_x000a_        &amp;lt;DecisionSignatureUserID&amp;gt;055486252@GOV.IL&amp;lt;/DecisionSignatureUserID&amp;gt;_x005f_x000d__x005f_x000a_        &amp;lt;DecisionCreateDate&amp;gt;2014-07-02T10:53:13.873+03:00&amp;lt;/DecisionCreateDate&amp;gt;_x005f_x000d__x005f_x000a_        &amp;lt;DecisionChangeDate&amp;gt;2014-07-14T06:14:23.39+03:00&amp;lt;/DecisionChangeDate&amp;gt;_x005f_x000d__x005f_x000a_        &amp;lt;DecisionChangeUserID&amp;gt;055486252@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83991712&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55486252@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55486252@GOV.IL&amp;lt;/DecisionCreationUserID&amp;gt;_x005f_x000d__x005f_x000a_        &amp;lt;DecisionDisplayName&amp;gt;âæø ãéï  îúàøéê  02/07/14  ùðéúðä ò&amp;quot;é  îéëì áøðè&amp;lt;/DecisionDisplayName&amp;gt;_x005f_x000d__x005f_x000a_        &amp;lt;IsScanned&amp;gt;false&amp;lt;/IsScanned&amp;gt;_x005f_x000d__x005f_x000a_        &amp;lt;DecisionSignatureUserName&amp;gt;îéëì áøðè&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91018897&amp;lt;/DecisionID&amp;gt;_x005f_x000d__x005f_x000a_        &amp;lt;CaseID&amp;gt;71428589&amp;lt;/CaseID&amp;gt;_x005f_x000d__x005f_x000a_        &amp;lt;IsOriginal&amp;gt;true&amp;lt;/IsOriginal&amp;gt;_x005f_x000d__x005f_x000a_        &amp;lt;IsDeleted&amp;gt;false&amp;lt;/IsDeleted&amp;gt;_x005f_x000d__x005f_x000a_        &amp;lt;CaseName&amp;gt;îãéðú éùøàì ð&amp;#39; òéñà(òöéø) åàç&amp;#39;&amp;lt;/CaseName&amp;gt;_x005f_x000d__x005f_x000a_        &amp;lt;CaseDisplayIdentifier&amp;gt;54150-10-13 ú&amp;quot;ô&amp;lt;/CaseDisplayIdentifier&amp;gt;_x005f_x000d__x005f_x000a_      &amp;lt;/dt_DecisionCase&amp;gt;_x005f_x000d__x005f_x000a_    &amp;lt;/DecisionDS&amp;gt;_x005f_x000d__x005f_x000a_  &amp;lt;/diffgr:diffgram&amp;gt;_x005f_x000d__x005f_x000a_&amp;lt;/DecisionDS&amp;gt;"/>
    <w:docVar w:name="DecisionID" w:val="91018897"/>
    <w:docVar w:name="MyInfo" w:val="This document was extracted from Nevo's site"/>
    <w:docVar w:name="WordClientAssemblyName" w:val="NGCS.Decision.ClientWordBL"/>
    <w:docVar w:name="WordClientClassName" w:val="NGCS.Decision.ClientWordBL.DecisionClient"/>
  </w:docVars>
  <w:rsids>
    <w:rsidRoot w:val="00507694"/>
    <w:rsid w:val="00031F8A"/>
    <w:rsid w:val="00037DBB"/>
    <w:rsid w:val="00054FC4"/>
    <w:rsid w:val="0006726A"/>
    <w:rsid w:val="00087463"/>
    <w:rsid w:val="00100577"/>
    <w:rsid w:val="001248C2"/>
    <w:rsid w:val="00186650"/>
    <w:rsid w:val="001A2827"/>
    <w:rsid w:val="001D74CE"/>
    <w:rsid w:val="00212125"/>
    <w:rsid w:val="002D6C61"/>
    <w:rsid w:val="00367565"/>
    <w:rsid w:val="003835C7"/>
    <w:rsid w:val="003D79B5"/>
    <w:rsid w:val="003E0C9F"/>
    <w:rsid w:val="004215DC"/>
    <w:rsid w:val="00455133"/>
    <w:rsid w:val="00462C6D"/>
    <w:rsid w:val="00507694"/>
    <w:rsid w:val="00567D47"/>
    <w:rsid w:val="005C5622"/>
    <w:rsid w:val="005C7B0B"/>
    <w:rsid w:val="005D7391"/>
    <w:rsid w:val="005E23B6"/>
    <w:rsid w:val="006231FA"/>
    <w:rsid w:val="006615E1"/>
    <w:rsid w:val="00683ABD"/>
    <w:rsid w:val="00684E84"/>
    <w:rsid w:val="0070191D"/>
    <w:rsid w:val="00736CDD"/>
    <w:rsid w:val="00757983"/>
    <w:rsid w:val="007B419A"/>
    <w:rsid w:val="007D46DD"/>
    <w:rsid w:val="00821F29"/>
    <w:rsid w:val="00824EF7"/>
    <w:rsid w:val="00832D73"/>
    <w:rsid w:val="00842D66"/>
    <w:rsid w:val="00853B14"/>
    <w:rsid w:val="008559ED"/>
    <w:rsid w:val="0085627D"/>
    <w:rsid w:val="008D10D7"/>
    <w:rsid w:val="009B6B71"/>
    <w:rsid w:val="009E19F6"/>
    <w:rsid w:val="009E35A7"/>
    <w:rsid w:val="009E49A1"/>
    <w:rsid w:val="009F504D"/>
    <w:rsid w:val="00A504C4"/>
    <w:rsid w:val="00A6488F"/>
    <w:rsid w:val="00B05847"/>
    <w:rsid w:val="00B22E0A"/>
    <w:rsid w:val="00BD67E7"/>
    <w:rsid w:val="00BE0015"/>
    <w:rsid w:val="00C02463"/>
    <w:rsid w:val="00C55E62"/>
    <w:rsid w:val="00C572E8"/>
    <w:rsid w:val="00CA384E"/>
    <w:rsid w:val="00CC19F1"/>
    <w:rsid w:val="00CF05ED"/>
    <w:rsid w:val="00D202F4"/>
    <w:rsid w:val="00D3203D"/>
    <w:rsid w:val="00D42166"/>
    <w:rsid w:val="00D84694"/>
    <w:rsid w:val="00D94DFE"/>
    <w:rsid w:val="00DA2511"/>
    <w:rsid w:val="00DB5333"/>
    <w:rsid w:val="00DD06F0"/>
    <w:rsid w:val="00DF0AC5"/>
    <w:rsid w:val="00E211FB"/>
    <w:rsid w:val="00E70F9C"/>
    <w:rsid w:val="00E97B51"/>
    <w:rsid w:val="00F75AFC"/>
    <w:rsid w:val="00FB0F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62514F1"/>
  <w15:chartTrackingRefBased/>
  <w15:docId w15:val="{F6897C0B-A927-4F8C-9C7C-773DB46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paragraph" w:customStyle="1" w:styleId="ListParagraph">
    <w:name w:val="List Paragraph"/>
    <w:basedOn w:val="a"/>
    <w:rsid w:val="00D84694"/>
    <w:pPr>
      <w:spacing w:after="200" w:line="276" w:lineRule="auto"/>
      <w:ind w:left="720"/>
    </w:pPr>
    <w:rPr>
      <w:rFonts w:ascii="Calibri" w:hAnsi="Calibri" w:cs="Arial"/>
      <w:sz w:val="22"/>
      <w:szCs w:val="22"/>
    </w:rPr>
  </w:style>
  <w:style w:type="character" w:styleId="Hyperlink">
    <w:name w:val="Hyperlink"/>
    <w:basedOn w:val="a0"/>
    <w:rsid w:val="00D42166"/>
    <w:rPr>
      <w:color w:val="0000FF"/>
      <w:u w:val="single"/>
    </w:rPr>
  </w:style>
  <w:style w:type="paragraph" w:styleId="aa">
    <w:name w:val="List Paragraph"/>
    <w:basedOn w:val="a"/>
    <w:qFormat/>
    <w:rsid w:val="00842D66"/>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724364" TargetMode="External"/><Relationship Id="rId39" Type="http://schemas.openxmlformats.org/officeDocument/2006/relationships/footer" Target="footer2.xml"/><Relationship Id="rId21" Type="http://schemas.openxmlformats.org/officeDocument/2006/relationships/hyperlink" Target="http://www.nevo.co.il/case/6882160"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0" Type="http://schemas.openxmlformats.org/officeDocument/2006/relationships/hyperlink" Target="http://www.nevo.co.il/case/5703734" TargetMode="External"/><Relationship Id="rId29" Type="http://schemas.openxmlformats.org/officeDocument/2006/relationships/hyperlink" Target="http://www.nevo.co.il/case/582132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c"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case/6151556" TargetMode="External"/><Relationship Id="rId36" Type="http://schemas.openxmlformats.org/officeDocument/2006/relationships/header" Target="header1.xml"/><Relationship Id="rId10" Type="http://schemas.openxmlformats.org/officeDocument/2006/relationships/hyperlink" Target="http://www.nevo.co.il/law/70301/40c.b" TargetMode="External"/><Relationship Id="rId19" Type="http://schemas.openxmlformats.org/officeDocument/2006/relationships/hyperlink" Target="http://www.nevo.co.il/case/5699080" TargetMode="External"/><Relationship Id="rId31" Type="http://schemas.openxmlformats.org/officeDocument/2006/relationships/hyperlink" Target="http://www.nevo.co.il/law/70301/40c.b"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6124633" TargetMode="External"/><Relationship Id="rId30" Type="http://schemas.openxmlformats.org/officeDocument/2006/relationships/hyperlink" Target="http://www.nevo.co.il/case/611859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2935</Words>
  <Characters>14679</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17579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http://www.nevo.co.il/law/70301/40c.b</vt:lpwstr>
      </vt:variant>
      <vt:variant>
        <vt:lpwstr/>
      </vt:variant>
      <vt:variant>
        <vt:i4>3604596</vt:i4>
      </vt:variant>
      <vt:variant>
        <vt:i4>69</vt:i4>
      </vt:variant>
      <vt:variant>
        <vt:i4>0</vt:i4>
      </vt:variant>
      <vt:variant>
        <vt:i4>5</vt:i4>
      </vt:variant>
      <vt:variant>
        <vt:lpwstr>http://www.nevo.co.il/case/6118595</vt:lpwstr>
      </vt:variant>
      <vt:variant>
        <vt:lpwstr/>
      </vt:variant>
      <vt:variant>
        <vt:i4>3342463</vt:i4>
      </vt:variant>
      <vt:variant>
        <vt:i4>66</vt:i4>
      </vt:variant>
      <vt:variant>
        <vt:i4>0</vt:i4>
      </vt:variant>
      <vt:variant>
        <vt:i4>5</vt:i4>
      </vt:variant>
      <vt:variant>
        <vt:lpwstr>http://www.nevo.co.il/case/5821327</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3211378</vt:i4>
      </vt:variant>
      <vt:variant>
        <vt:i4>60</vt:i4>
      </vt:variant>
      <vt:variant>
        <vt:i4>0</vt:i4>
      </vt:variant>
      <vt:variant>
        <vt:i4>5</vt:i4>
      </vt:variant>
      <vt:variant>
        <vt:lpwstr>http://www.nevo.co.il/case/6124633</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4128888</vt:i4>
      </vt:variant>
      <vt:variant>
        <vt:i4>42</vt:i4>
      </vt:variant>
      <vt:variant>
        <vt:i4>0</vt:i4>
      </vt:variant>
      <vt:variant>
        <vt:i4>5</vt:i4>
      </vt:variant>
      <vt:variant>
        <vt:lpwstr>http://www.nevo.co.il/case/6882160</vt:lpwstr>
      </vt:variant>
      <vt:variant>
        <vt:lpwstr/>
      </vt:variant>
      <vt:variant>
        <vt:i4>3539059</vt:i4>
      </vt:variant>
      <vt:variant>
        <vt:i4>39</vt:i4>
      </vt:variant>
      <vt:variant>
        <vt:i4>0</vt:i4>
      </vt:variant>
      <vt:variant>
        <vt:i4>5</vt:i4>
      </vt:variant>
      <vt:variant>
        <vt:lpwstr>http://www.nevo.co.il/case/5703734</vt:lpwstr>
      </vt:variant>
      <vt:variant>
        <vt:lpwstr/>
      </vt:variant>
      <vt:variant>
        <vt:i4>3932275</vt:i4>
      </vt:variant>
      <vt:variant>
        <vt:i4>36</vt:i4>
      </vt:variant>
      <vt:variant>
        <vt:i4>0</vt:i4>
      </vt:variant>
      <vt:variant>
        <vt:i4>5</vt:i4>
      </vt:variant>
      <vt:variant>
        <vt:lpwstr>http://www.nevo.co.il/case/5699080</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54150</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עיסא;נידאל נזאל;פורס ריאן;ורד בדיר;פאדי עיסא;אחמד בדיר;בילאל ריאן;מועין בדיר;מוחמד בדיר;מוחמד דסוקי;חביב אשקר;מוחמד סרסור;ואחיד עיסא;חמזי אבו ג'אבר</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20140714</vt:lpwstr>
  </property>
  <property fmtid="{D5CDD505-2E9C-101B-9397-08002B2CF9AE}" pid="13" name="TYPE_N_DATE">
    <vt:lpwstr>39020140714</vt:lpwstr>
  </property>
  <property fmtid="{D5CDD505-2E9C-101B-9397-08002B2CF9AE}" pid="14" name="CASESLISTTMP1">
    <vt:lpwstr>5699080;5703734;6882160;5724364;6124633;6151556;5821327;6118595</vt:lpwstr>
  </property>
  <property fmtid="{D5CDD505-2E9C-101B-9397-08002B2CF9AE}" pid="15" name="WORDNUMPAGES">
    <vt:lpwstr>11</vt:lpwstr>
  </property>
  <property fmtid="{D5CDD505-2E9C-101B-9397-08002B2CF9AE}" pid="16" name="TYPE_ABS_DATE">
    <vt:lpwstr>390120140714</vt:lpwstr>
  </property>
  <property fmtid="{D5CDD505-2E9C-101B-9397-08002B2CF9AE}" pid="17" name="ISABSTRACT">
    <vt:lpwstr>Y</vt:lpwstr>
  </property>
  <property fmtid="{D5CDD505-2E9C-101B-9397-08002B2CF9AE}" pid="18" name="LAWYER">
    <vt:lpwstr>לירון שטרית;ניל סיימון</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70301/144.b2:4;025:2;040c:3;40jc:2;040c.b:2;144:2</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20140715</vt:lpwstr>
  </property>
</Properties>
</file>