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03"/>
        <w:gridCol w:w="2518"/>
      </w:tblGrid>
      <w:tr w:rsidR="00B0314B" w:rsidRPr="003F3834" w14:paraId="0BD763D9" w14:textId="77777777">
        <w:trPr>
          <w:trHeight w:hRule="exact" w:val="418"/>
          <w:jc w:val="center"/>
        </w:trPr>
        <w:tc>
          <w:tcPr>
            <w:tcW w:w="8721" w:type="dxa"/>
            <w:gridSpan w:val="2"/>
          </w:tcPr>
          <w:p w14:paraId="76F40E59" w14:textId="77777777" w:rsidR="00B0314B" w:rsidRPr="003F3834" w:rsidRDefault="003F3834">
            <w:pPr>
              <w:pStyle w:val="a3"/>
              <w:jc w:val="center"/>
              <w:rPr>
                <w:rFonts w:ascii="Tahoma" w:hAnsi="Tahoma" w:cs="Tahoma"/>
                <w:color w:val="000080"/>
                <w:rtl/>
              </w:rPr>
            </w:pPr>
            <w:r w:rsidRPr="003F3834">
              <w:rPr>
                <w:rFonts w:ascii="Tahoma" w:hAnsi="Tahoma" w:cs="Tahoma"/>
                <w:b/>
                <w:bCs/>
                <w:color w:val="000080"/>
                <w:rtl/>
              </w:rPr>
              <w:t>בית המשפט המחוזי בחיפה</w:t>
            </w:r>
          </w:p>
        </w:tc>
      </w:tr>
      <w:tr w:rsidR="00B0314B" w:rsidRPr="003F3834" w14:paraId="4DE8920F" w14:textId="77777777">
        <w:trPr>
          <w:trHeight w:val="337"/>
          <w:jc w:val="center"/>
        </w:trPr>
        <w:tc>
          <w:tcPr>
            <w:tcW w:w="6203" w:type="dxa"/>
          </w:tcPr>
          <w:p w14:paraId="611E2484" w14:textId="77777777" w:rsidR="00B0314B" w:rsidRPr="003F3834" w:rsidRDefault="003F3834">
            <w:pPr>
              <w:rPr>
                <w:b/>
                <w:bCs/>
                <w:sz w:val="26"/>
                <w:szCs w:val="26"/>
                <w:rtl/>
              </w:rPr>
            </w:pPr>
            <w:r w:rsidRPr="003F3834">
              <w:rPr>
                <w:b/>
                <w:bCs/>
                <w:sz w:val="26"/>
                <w:szCs w:val="26"/>
                <w:rtl/>
              </w:rPr>
              <w:t>ת"פ</w:t>
            </w:r>
            <w:r w:rsidRPr="003F3834">
              <w:rPr>
                <w:rFonts w:hint="cs"/>
                <w:b/>
                <w:bCs/>
                <w:sz w:val="26"/>
                <w:szCs w:val="26"/>
                <w:rtl/>
              </w:rPr>
              <w:t xml:space="preserve"> </w:t>
            </w:r>
            <w:r w:rsidRPr="003F3834">
              <w:rPr>
                <w:b/>
                <w:bCs/>
                <w:sz w:val="26"/>
                <w:szCs w:val="26"/>
                <w:rtl/>
              </w:rPr>
              <w:t>60307-10-13</w:t>
            </w:r>
            <w:r w:rsidRPr="003F3834">
              <w:rPr>
                <w:rFonts w:hint="cs"/>
                <w:b/>
                <w:bCs/>
                <w:sz w:val="26"/>
                <w:szCs w:val="26"/>
                <w:rtl/>
              </w:rPr>
              <w:t xml:space="preserve"> </w:t>
            </w:r>
            <w:r w:rsidRPr="003F3834">
              <w:rPr>
                <w:b/>
                <w:bCs/>
                <w:sz w:val="26"/>
                <w:szCs w:val="26"/>
                <w:rtl/>
              </w:rPr>
              <w:t>מדינת ישראל נ' אבו עאבד</w:t>
            </w:r>
          </w:p>
          <w:p w14:paraId="5C6BCDFE" w14:textId="77777777" w:rsidR="00B0314B" w:rsidRPr="003F3834" w:rsidRDefault="003F3834">
            <w:pPr>
              <w:rPr>
                <w:b/>
                <w:bCs/>
                <w:sz w:val="26"/>
                <w:szCs w:val="26"/>
                <w:rtl/>
              </w:rPr>
            </w:pPr>
            <w:r w:rsidRPr="003F3834">
              <w:rPr>
                <w:b/>
                <w:bCs/>
                <w:sz w:val="26"/>
                <w:szCs w:val="26"/>
                <w:rtl/>
              </w:rPr>
              <w:t>ת"פ</w:t>
            </w:r>
            <w:r w:rsidRPr="003F3834">
              <w:rPr>
                <w:rFonts w:hint="cs"/>
                <w:b/>
                <w:bCs/>
                <w:sz w:val="26"/>
                <w:szCs w:val="26"/>
                <w:rtl/>
              </w:rPr>
              <w:t xml:space="preserve"> </w:t>
            </w:r>
            <w:r w:rsidRPr="003F3834">
              <w:rPr>
                <w:b/>
                <w:bCs/>
                <w:sz w:val="26"/>
                <w:szCs w:val="26"/>
                <w:rtl/>
              </w:rPr>
              <w:t>29410-11-13</w:t>
            </w:r>
            <w:r w:rsidRPr="003F3834">
              <w:rPr>
                <w:rFonts w:hint="cs"/>
                <w:b/>
                <w:bCs/>
                <w:sz w:val="26"/>
                <w:szCs w:val="26"/>
                <w:rtl/>
              </w:rPr>
              <w:t xml:space="preserve"> </w:t>
            </w:r>
            <w:r w:rsidRPr="003F3834">
              <w:rPr>
                <w:b/>
                <w:bCs/>
                <w:sz w:val="26"/>
                <w:szCs w:val="26"/>
                <w:rtl/>
              </w:rPr>
              <w:t>מדינת ישראל נ' אבו עאבד(עציר)</w:t>
            </w:r>
          </w:p>
          <w:p w14:paraId="2ECA74A6" w14:textId="77777777" w:rsidR="00B0314B" w:rsidRPr="003F3834" w:rsidRDefault="00B0314B">
            <w:pPr>
              <w:pStyle w:val="a3"/>
              <w:rPr>
                <w:b/>
                <w:bCs/>
                <w:sz w:val="26"/>
                <w:szCs w:val="26"/>
                <w:rtl/>
              </w:rPr>
            </w:pPr>
          </w:p>
        </w:tc>
        <w:tc>
          <w:tcPr>
            <w:tcW w:w="2518" w:type="dxa"/>
          </w:tcPr>
          <w:p w14:paraId="27E9C2F2" w14:textId="77777777" w:rsidR="00B0314B" w:rsidRPr="003F3834" w:rsidRDefault="00B0314B">
            <w:pPr>
              <w:pStyle w:val="a3"/>
              <w:jc w:val="right"/>
              <w:rPr>
                <w:b/>
                <w:bCs/>
                <w:sz w:val="26"/>
                <w:szCs w:val="26"/>
                <w:rtl/>
              </w:rPr>
            </w:pPr>
          </w:p>
        </w:tc>
      </w:tr>
    </w:tbl>
    <w:p w14:paraId="6E38229D" w14:textId="77777777" w:rsidR="00B0314B" w:rsidRPr="003F3834" w:rsidRDefault="003F3834">
      <w:pPr>
        <w:pStyle w:val="a3"/>
        <w:rPr>
          <w:rtl/>
        </w:rPr>
      </w:pPr>
      <w:r w:rsidRPr="003F3834">
        <w:rPr>
          <w:rFonts w:hint="cs"/>
          <w:rtl/>
        </w:rPr>
        <w:t xml:space="preserve"> </w:t>
      </w:r>
    </w:p>
    <w:p w14:paraId="7A94C0B7" w14:textId="77777777" w:rsidR="00B0314B" w:rsidRPr="003F3834" w:rsidRDefault="00B0314B">
      <w:pPr>
        <w:rPr>
          <w:rtl/>
        </w:rPr>
      </w:pPr>
    </w:p>
    <w:tbl>
      <w:tblPr>
        <w:bidiVisual/>
        <w:tblW w:w="8820" w:type="dxa"/>
        <w:jc w:val="center"/>
        <w:tblLook w:val="01E0" w:firstRow="1" w:lastRow="1" w:firstColumn="1" w:lastColumn="1" w:noHBand="0" w:noVBand="0"/>
      </w:tblPr>
      <w:tblGrid>
        <w:gridCol w:w="743"/>
        <w:gridCol w:w="2506"/>
        <w:gridCol w:w="5571"/>
      </w:tblGrid>
      <w:tr w:rsidR="00B0314B" w:rsidRPr="003F3834" w14:paraId="4D855873" w14:textId="77777777">
        <w:trPr>
          <w:jc w:val="center"/>
        </w:trPr>
        <w:tc>
          <w:tcPr>
            <w:tcW w:w="743" w:type="dxa"/>
          </w:tcPr>
          <w:p w14:paraId="37B22B09" w14:textId="77777777" w:rsidR="00B0314B" w:rsidRPr="003F3834" w:rsidRDefault="003F3834">
            <w:pPr>
              <w:jc w:val="both"/>
              <w:rPr>
                <w:rFonts w:ascii="Arial" w:hAnsi="Arial"/>
                <w:b/>
                <w:bCs/>
                <w:noProof/>
              </w:rPr>
            </w:pPr>
            <w:bookmarkStart w:id="0" w:name="_GoBack"/>
            <w:bookmarkEnd w:id="0"/>
            <w:r w:rsidRPr="003F3834">
              <w:rPr>
                <w:rFonts w:ascii="Arial" w:hAnsi="Arial" w:hint="cs"/>
                <w:b/>
                <w:bCs/>
                <w:rtl/>
              </w:rPr>
              <w:t xml:space="preserve">בפני </w:t>
            </w:r>
          </w:p>
        </w:tc>
        <w:tc>
          <w:tcPr>
            <w:tcW w:w="8077" w:type="dxa"/>
            <w:gridSpan w:val="2"/>
          </w:tcPr>
          <w:p w14:paraId="4929CA2A" w14:textId="77777777" w:rsidR="00B0314B" w:rsidRPr="003F3834" w:rsidRDefault="003F3834">
            <w:pPr>
              <w:rPr>
                <w:noProof/>
                <w:rtl/>
              </w:rPr>
            </w:pPr>
            <w:r w:rsidRPr="003F3834">
              <w:rPr>
                <w:rFonts w:ascii="Arial" w:hAnsi="Arial" w:hint="cs"/>
                <w:b/>
                <w:bCs/>
                <w:rtl/>
              </w:rPr>
              <w:t xml:space="preserve">כב' השופט רון שפירא, סגן </w:t>
            </w:r>
            <w:r w:rsidRPr="003F3834">
              <w:rPr>
                <w:rFonts w:hint="cs"/>
                <w:b/>
                <w:bCs/>
                <w:rtl/>
              </w:rPr>
              <w:t>נשיא</w:t>
            </w:r>
          </w:p>
          <w:p w14:paraId="633D9B8D" w14:textId="77777777" w:rsidR="00B0314B" w:rsidRPr="003F3834" w:rsidRDefault="00B0314B">
            <w:pPr>
              <w:rPr>
                <w:rFonts w:ascii="Arial" w:hAnsi="Arial"/>
                <w:noProof/>
                <w:sz w:val="28"/>
                <w:szCs w:val="28"/>
                <w:highlight w:val="yellow"/>
              </w:rPr>
            </w:pPr>
          </w:p>
        </w:tc>
      </w:tr>
      <w:tr w:rsidR="00B0314B" w:rsidRPr="003F3834" w14:paraId="401054D8" w14:textId="77777777">
        <w:trPr>
          <w:jc w:val="center"/>
        </w:trPr>
        <w:tc>
          <w:tcPr>
            <w:tcW w:w="3249" w:type="dxa"/>
            <w:gridSpan w:val="2"/>
          </w:tcPr>
          <w:p w14:paraId="0F9F00A8" w14:textId="77777777" w:rsidR="00B0314B" w:rsidRPr="003F3834" w:rsidRDefault="003F3834">
            <w:pPr>
              <w:rPr>
                <w:rFonts w:ascii="Arial" w:hAnsi="Arial"/>
                <w:b/>
                <w:bCs/>
                <w:sz w:val="26"/>
                <w:szCs w:val="26"/>
                <w:rtl/>
              </w:rPr>
            </w:pPr>
            <w:bookmarkStart w:id="1" w:name="FirstAppellant"/>
            <w:bookmarkStart w:id="2" w:name="LastJudge"/>
            <w:bookmarkEnd w:id="2"/>
            <w:r w:rsidRPr="003F3834">
              <w:rPr>
                <w:rFonts w:ascii="Arial" w:hAnsi="Arial" w:hint="cs"/>
                <w:b/>
                <w:bCs/>
                <w:sz w:val="26"/>
                <w:szCs w:val="26"/>
                <w:rtl/>
              </w:rPr>
              <w:t>המאשימה</w:t>
            </w:r>
          </w:p>
        </w:tc>
        <w:tc>
          <w:tcPr>
            <w:tcW w:w="5571" w:type="dxa"/>
          </w:tcPr>
          <w:p w14:paraId="61E8EE71" w14:textId="77777777" w:rsidR="00B0314B" w:rsidRPr="003F3834" w:rsidRDefault="003F3834">
            <w:pPr>
              <w:rPr>
                <w:b/>
                <w:bCs/>
                <w:sz w:val="26"/>
                <w:szCs w:val="26"/>
              </w:rPr>
            </w:pPr>
            <w:r w:rsidRPr="003F3834">
              <w:rPr>
                <w:rFonts w:ascii="Arial" w:hAnsi="Arial" w:hint="cs"/>
                <w:b/>
                <w:bCs/>
                <w:sz w:val="26"/>
                <w:szCs w:val="26"/>
                <w:rtl/>
              </w:rPr>
              <w:t>מדינת ישראל</w:t>
            </w:r>
          </w:p>
        </w:tc>
      </w:tr>
      <w:bookmarkEnd w:id="1"/>
      <w:tr w:rsidR="00B0314B" w:rsidRPr="003F3834" w14:paraId="3B7BE1F4" w14:textId="77777777">
        <w:trPr>
          <w:jc w:val="center"/>
        </w:trPr>
        <w:tc>
          <w:tcPr>
            <w:tcW w:w="8820" w:type="dxa"/>
            <w:gridSpan w:val="3"/>
          </w:tcPr>
          <w:p w14:paraId="4D93BC9B" w14:textId="77777777" w:rsidR="00B0314B" w:rsidRPr="003F3834" w:rsidRDefault="00B0314B">
            <w:pPr>
              <w:rPr>
                <w:rFonts w:ascii="Arial" w:hAnsi="Arial"/>
                <w:b/>
                <w:bCs/>
                <w:sz w:val="26"/>
                <w:szCs w:val="26"/>
                <w:rtl/>
              </w:rPr>
            </w:pPr>
          </w:p>
          <w:p w14:paraId="37B773DB" w14:textId="77777777" w:rsidR="00B0314B" w:rsidRPr="003F3834" w:rsidRDefault="003F3834">
            <w:pPr>
              <w:jc w:val="center"/>
              <w:rPr>
                <w:rFonts w:ascii="Arial" w:hAnsi="Arial"/>
                <w:b/>
                <w:bCs/>
                <w:sz w:val="26"/>
                <w:szCs w:val="26"/>
                <w:rtl/>
              </w:rPr>
            </w:pPr>
            <w:r w:rsidRPr="003F3834">
              <w:rPr>
                <w:rFonts w:ascii="Arial" w:hAnsi="Arial" w:hint="cs"/>
                <w:b/>
                <w:bCs/>
                <w:sz w:val="26"/>
                <w:szCs w:val="26"/>
                <w:rtl/>
              </w:rPr>
              <w:t>נגד</w:t>
            </w:r>
          </w:p>
          <w:p w14:paraId="13E46178" w14:textId="77777777" w:rsidR="00B0314B" w:rsidRPr="003F3834" w:rsidRDefault="00B0314B">
            <w:pPr>
              <w:rPr>
                <w:rFonts w:ascii="Arial" w:hAnsi="Arial"/>
                <w:b/>
                <w:bCs/>
                <w:sz w:val="26"/>
                <w:szCs w:val="26"/>
              </w:rPr>
            </w:pPr>
          </w:p>
        </w:tc>
      </w:tr>
      <w:tr w:rsidR="00B0314B" w:rsidRPr="003F3834" w14:paraId="48E9B494" w14:textId="77777777">
        <w:trPr>
          <w:jc w:val="center"/>
        </w:trPr>
        <w:tc>
          <w:tcPr>
            <w:tcW w:w="3249" w:type="dxa"/>
            <w:gridSpan w:val="2"/>
          </w:tcPr>
          <w:p w14:paraId="1A9831AC" w14:textId="77777777" w:rsidR="00B0314B" w:rsidRPr="003F3834" w:rsidRDefault="003F3834">
            <w:pPr>
              <w:rPr>
                <w:rFonts w:ascii="Arial" w:hAnsi="Arial"/>
                <w:b/>
                <w:bCs/>
                <w:sz w:val="26"/>
                <w:szCs w:val="26"/>
              </w:rPr>
            </w:pPr>
            <w:r w:rsidRPr="003F3834">
              <w:rPr>
                <w:rFonts w:ascii="Arial" w:hAnsi="Arial" w:hint="cs"/>
                <w:b/>
                <w:bCs/>
                <w:sz w:val="26"/>
                <w:szCs w:val="26"/>
                <w:rtl/>
              </w:rPr>
              <w:t>הנאשמים</w:t>
            </w:r>
          </w:p>
        </w:tc>
        <w:tc>
          <w:tcPr>
            <w:tcW w:w="5571" w:type="dxa"/>
          </w:tcPr>
          <w:p w14:paraId="5BB659C4" w14:textId="77777777" w:rsidR="00B0314B" w:rsidRPr="003F3834" w:rsidRDefault="003F3834">
            <w:pPr>
              <w:rPr>
                <w:rFonts w:ascii="Arial" w:hAnsi="Arial"/>
                <w:b/>
                <w:bCs/>
                <w:sz w:val="26"/>
                <w:szCs w:val="26"/>
                <w:rtl/>
              </w:rPr>
            </w:pPr>
            <w:r w:rsidRPr="003F3834">
              <w:rPr>
                <w:rFonts w:ascii="Arial" w:hAnsi="Arial" w:hint="cs"/>
                <w:b/>
                <w:bCs/>
                <w:sz w:val="26"/>
                <w:szCs w:val="26"/>
                <w:rtl/>
              </w:rPr>
              <w:t>1. מהראן אבו עאבד, ת"ז 036599140</w:t>
            </w:r>
          </w:p>
          <w:p w14:paraId="7D9E9C93" w14:textId="77777777" w:rsidR="00B0314B" w:rsidRPr="003F3834" w:rsidRDefault="003F3834">
            <w:pPr>
              <w:rPr>
                <w:b/>
                <w:bCs/>
                <w:sz w:val="26"/>
                <w:szCs w:val="26"/>
              </w:rPr>
            </w:pPr>
            <w:r w:rsidRPr="003F3834">
              <w:rPr>
                <w:rFonts w:hint="cs"/>
                <w:b/>
                <w:bCs/>
                <w:sz w:val="26"/>
                <w:szCs w:val="26"/>
                <w:rtl/>
              </w:rPr>
              <w:t xml:space="preserve">2. רג'א אבו עאבד, ת"ז </w:t>
            </w:r>
            <w:r w:rsidRPr="003F3834">
              <w:rPr>
                <w:rFonts w:ascii="Arial" w:hAnsi="Arial" w:hint="cs"/>
                <w:b/>
                <w:bCs/>
                <w:sz w:val="26"/>
                <w:szCs w:val="26"/>
                <w:rtl/>
              </w:rPr>
              <w:t>058188376</w:t>
            </w:r>
          </w:p>
        </w:tc>
      </w:tr>
    </w:tbl>
    <w:p w14:paraId="48C1714D" w14:textId="77777777" w:rsidR="00313AF0" w:rsidRDefault="00313AF0">
      <w:pPr>
        <w:rPr>
          <w:rtl/>
        </w:rPr>
      </w:pPr>
      <w:bookmarkStart w:id="3" w:name="LawTable"/>
      <w:bookmarkEnd w:id="3"/>
    </w:p>
    <w:p w14:paraId="40246127" w14:textId="77777777" w:rsidR="00313AF0" w:rsidRPr="00313AF0" w:rsidRDefault="00313AF0" w:rsidP="00313AF0">
      <w:pPr>
        <w:spacing w:after="120" w:line="240" w:lineRule="exact"/>
        <w:ind w:left="283" w:hanging="283"/>
        <w:jc w:val="both"/>
        <w:rPr>
          <w:rFonts w:ascii="FrankRuehl" w:hAnsi="FrankRuehl" w:cs="FrankRuehl"/>
          <w:rtl/>
        </w:rPr>
      </w:pPr>
      <w:r w:rsidRPr="00313AF0">
        <w:rPr>
          <w:rFonts w:ascii="FrankRuehl" w:hAnsi="FrankRuehl" w:cs="FrankRuehl"/>
          <w:rtl/>
        </w:rPr>
        <w:t xml:space="preserve">חקיקה שאוזכרה: </w:t>
      </w:r>
    </w:p>
    <w:p w14:paraId="4EAFE843" w14:textId="77777777" w:rsidR="00313AF0" w:rsidRPr="00313AF0" w:rsidRDefault="00313AF0" w:rsidP="00313AF0">
      <w:pPr>
        <w:spacing w:after="120" w:line="240" w:lineRule="exact"/>
        <w:ind w:left="283" w:hanging="283"/>
        <w:jc w:val="both"/>
        <w:rPr>
          <w:rFonts w:ascii="FrankRuehl" w:hAnsi="FrankRuehl" w:cs="FrankRuehl"/>
          <w:rtl/>
        </w:rPr>
      </w:pPr>
      <w:hyperlink r:id="rId6" w:history="1">
        <w:r w:rsidRPr="00313AF0">
          <w:rPr>
            <w:rFonts w:ascii="FrankRuehl" w:hAnsi="FrankRuehl" w:cs="FrankRuehl"/>
            <w:color w:val="0000FF"/>
            <w:u w:val="single"/>
            <w:rtl/>
          </w:rPr>
          <w:t>חוק העונשין, תשל"ז-1977</w:t>
        </w:r>
      </w:hyperlink>
      <w:r w:rsidRPr="00313AF0">
        <w:rPr>
          <w:rFonts w:ascii="FrankRuehl" w:hAnsi="FrankRuehl" w:cs="FrankRuehl"/>
          <w:rtl/>
        </w:rPr>
        <w:t xml:space="preserve">: סע'  </w:t>
      </w:r>
      <w:hyperlink r:id="rId7" w:history="1">
        <w:r w:rsidRPr="00313AF0">
          <w:rPr>
            <w:rFonts w:ascii="FrankRuehl" w:hAnsi="FrankRuehl" w:cs="FrankRuehl"/>
            <w:color w:val="0000FF"/>
            <w:u w:val="single"/>
            <w:rtl/>
          </w:rPr>
          <w:t>29</w:t>
        </w:r>
      </w:hyperlink>
      <w:r w:rsidRPr="00313AF0">
        <w:rPr>
          <w:rFonts w:ascii="FrankRuehl" w:hAnsi="FrankRuehl" w:cs="FrankRuehl"/>
          <w:rtl/>
        </w:rPr>
        <w:t xml:space="preserve">, </w:t>
      </w:r>
      <w:hyperlink r:id="rId8" w:history="1">
        <w:r w:rsidRPr="00313AF0">
          <w:rPr>
            <w:rFonts w:ascii="FrankRuehl" w:hAnsi="FrankRuehl" w:cs="FrankRuehl"/>
            <w:color w:val="0000FF"/>
            <w:u w:val="single"/>
            <w:rtl/>
          </w:rPr>
          <w:t>34י'</w:t>
        </w:r>
      </w:hyperlink>
      <w:r w:rsidRPr="00313AF0">
        <w:rPr>
          <w:rFonts w:ascii="FrankRuehl" w:hAnsi="FrankRuehl" w:cs="FrankRuehl"/>
          <w:rtl/>
        </w:rPr>
        <w:t xml:space="preserve">, </w:t>
      </w:r>
      <w:hyperlink r:id="rId9" w:history="1">
        <w:r w:rsidRPr="00313AF0">
          <w:rPr>
            <w:rFonts w:ascii="FrankRuehl" w:hAnsi="FrankRuehl" w:cs="FrankRuehl"/>
            <w:color w:val="0000FF"/>
            <w:u w:val="single"/>
            <w:rtl/>
          </w:rPr>
          <w:t>144(א)</w:t>
        </w:r>
      </w:hyperlink>
      <w:r w:rsidRPr="00313AF0">
        <w:rPr>
          <w:rFonts w:ascii="FrankRuehl" w:hAnsi="FrankRuehl" w:cs="FrankRuehl"/>
          <w:rtl/>
        </w:rPr>
        <w:t xml:space="preserve">, </w:t>
      </w:r>
      <w:hyperlink r:id="rId10" w:history="1">
        <w:r w:rsidRPr="00313AF0">
          <w:rPr>
            <w:rFonts w:ascii="FrankRuehl" w:hAnsi="FrankRuehl" w:cs="FrankRuehl"/>
            <w:color w:val="0000FF"/>
            <w:u w:val="single"/>
            <w:rtl/>
          </w:rPr>
          <w:t>144(ב)</w:t>
        </w:r>
      </w:hyperlink>
      <w:r w:rsidRPr="00313AF0">
        <w:rPr>
          <w:rFonts w:ascii="FrankRuehl" w:hAnsi="FrankRuehl" w:cs="FrankRuehl"/>
          <w:rtl/>
        </w:rPr>
        <w:t xml:space="preserve">, </w:t>
      </w:r>
      <w:hyperlink r:id="rId11" w:history="1">
        <w:r w:rsidRPr="00313AF0">
          <w:rPr>
            <w:rFonts w:ascii="FrankRuehl" w:hAnsi="FrankRuehl" w:cs="FrankRuehl"/>
            <w:color w:val="0000FF"/>
            <w:u w:val="single"/>
            <w:rtl/>
          </w:rPr>
          <w:t>300א'</w:t>
        </w:r>
      </w:hyperlink>
      <w:r w:rsidRPr="00313AF0">
        <w:rPr>
          <w:rFonts w:ascii="FrankRuehl" w:hAnsi="FrankRuehl" w:cs="FrankRuehl"/>
          <w:rtl/>
        </w:rPr>
        <w:t xml:space="preserve">, </w:t>
      </w:r>
      <w:hyperlink r:id="rId12" w:history="1">
        <w:r w:rsidRPr="00313AF0">
          <w:rPr>
            <w:rFonts w:ascii="FrankRuehl" w:hAnsi="FrankRuehl" w:cs="FrankRuehl"/>
            <w:color w:val="0000FF"/>
            <w:u w:val="single"/>
            <w:rtl/>
          </w:rPr>
          <w:t>300א'(ב)</w:t>
        </w:r>
      </w:hyperlink>
      <w:r w:rsidRPr="00313AF0">
        <w:rPr>
          <w:rFonts w:ascii="FrankRuehl" w:hAnsi="FrankRuehl" w:cs="FrankRuehl"/>
          <w:rtl/>
        </w:rPr>
        <w:t xml:space="preserve">, </w:t>
      </w:r>
      <w:hyperlink r:id="rId13" w:history="1">
        <w:r w:rsidRPr="00313AF0">
          <w:rPr>
            <w:rFonts w:ascii="FrankRuehl" w:hAnsi="FrankRuehl" w:cs="FrankRuehl"/>
            <w:color w:val="0000FF"/>
            <w:u w:val="single"/>
            <w:rtl/>
          </w:rPr>
          <w:t>333</w:t>
        </w:r>
      </w:hyperlink>
      <w:r w:rsidRPr="00313AF0">
        <w:rPr>
          <w:rFonts w:ascii="FrankRuehl" w:hAnsi="FrankRuehl" w:cs="FrankRuehl"/>
          <w:rtl/>
        </w:rPr>
        <w:t xml:space="preserve">, </w:t>
      </w:r>
      <w:hyperlink r:id="rId14" w:history="1">
        <w:r w:rsidRPr="00313AF0">
          <w:rPr>
            <w:rFonts w:ascii="FrankRuehl" w:hAnsi="FrankRuehl" w:cs="FrankRuehl"/>
            <w:color w:val="0000FF"/>
            <w:u w:val="single"/>
            <w:rtl/>
          </w:rPr>
          <w:t>335(א)(1)</w:t>
        </w:r>
      </w:hyperlink>
      <w:r w:rsidRPr="00313AF0">
        <w:rPr>
          <w:rFonts w:ascii="FrankRuehl" w:hAnsi="FrankRuehl" w:cs="FrankRuehl"/>
          <w:rtl/>
        </w:rPr>
        <w:t xml:space="preserve">, </w:t>
      </w:r>
      <w:hyperlink r:id="rId15" w:history="1">
        <w:r w:rsidRPr="00313AF0">
          <w:rPr>
            <w:rFonts w:ascii="FrankRuehl" w:hAnsi="FrankRuehl" w:cs="FrankRuehl"/>
            <w:color w:val="0000FF"/>
            <w:u w:val="single"/>
            <w:rtl/>
          </w:rPr>
          <w:t>(2)</w:t>
        </w:r>
      </w:hyperlink>
      <w:r w:rsidRPr="00313AF0">
        <w:rPr>
          <w:rFonts w:ascii="FrankRuehl" w:hAnsi="FrankRuehl" w:cs="FrankRuehl"/>
          <w:rtl/>
        </w:rPr>
        <w:t xml:space="preserve">, </w:t>
      </w:r>
      <w:hyperlink r:id="rId16" w:history="1">
        <w:r w:rsidRPr="00313AF0">
          <w:rPr>
            <w:rFonts w:ascii="FrankRuehl" w:hAnsi="FrankRuehl" w:cs="FrankRuehl"/>
            <w:color w:val="0000FF"/>
            <w:u w:val="single"/>
            <w:rtl/>
          </w:rPr>
          <w:t>340א'</w:t>
        </w:r>
      </w:hyperlink>
      <w:r w:rsidRPr="00313AF0">
        <w:rPr>
          <w:rFonts w:ascii="FrankRuehl" w:hAnsi="FrankRuehl" w:cs="FrankRuehl"/>
          <w:rtl/>
        </w:rPr>
        <w:t xml:space="preserve">, </w:t>
      </w:r>
      <w:hyperlink r:id="rId17" w:history="1">
        <w:r w:rsidRPr="00313AF0">
          <w:rPr>
            <w:rFonts w:ascii="FrankRuehl" w:hAnsi="FrankRuehl" w:cs="FrankRuehl"/>
            <w:color w:val="0000FF"/>
            <w:u w:val="single"/>
            <w:rtl/>
          </w:rPr>
          <w:t>34י1</w:t>
        </w:r>
      </w:hyperlink>
      <w:r w:rsidRPr="00313AF0">
        <w:rPr>
          <w:rFonts w:ascii="FrankRuehl" w:hAnsi="FrankRuehl" w:cs="FrankRuehl"/>
          <w:rtl/>
        </w:rPr>
        <w:t xml:space="preserve">, </w:t>
      </w:r>
      <w:hyperlink r:id="rId18" w:history="1">
        <w:r w:rsidRPr="00313AF0">
          <w:rPr>
            <w:rFonts w:ascii="FrankRuehl" w:hAnsi="FrankRuehl" w:cs="FrankRuehl"/>
            <w:color w:val="0000FF"/>
            <w:u w:val="single"/>
            <w:rtl/>
          </w:rPr>
          <w:t>34יא</w:t>
        </w:r>
      </w:hyperlink>
    </w:p>
    <w:p w14:paraId="4D6E3D0A" w14:textId="77777777" w:rsidR="00313AF0" w:rsidRPr="00313AF0" w:rsidRDefault="00313AF0" w:rsidP="00313AF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314B" w:rsidRPr="003F3834" w14:paraId="40284464" w14:textId="77777777">
        <w:trPr>
          <w:trHeight w:val="355"/>
          <w:jc w:val="center"/>
        </w:trPr>
        <w:tc>
          <w:tcPr>
            <w:tcW w:w="8820" w:type="dxa"/>
            <w:tcBorders>
              <w:top w:val="nil"/>
              <w:left w:val="nil"/>
              <w:bottom w:val="nil"/>
              <w:right w:val="nil"/>
            </w:tcBorders>
          </w:tcPr>
          <w:p w14:paraId="1928754A" w14:textId="77777777" w:rsidR="00B0314B" w:rsidRPr="003F3834" w:rsidRDefault="003F3834" w:rsidP="003F3834">
            <w:pPr>
              <w:jc w:val="center"/>
              <w:rPr>
                <w:rFonts w:ascii="Arial" w:hAnsi="Arial"/>
                <w:bCs/>
                <w:sz w:val="28"/>
                <w:szCs w:val="28"/>
                <w:rtl/>
              </w:rPr>
            </w:pPr>
            <w:bookmarkStart w:id="4" w:name="LawTable_End"/>
            <w:bookmarkStart w:id="5" w:name="PsakDin" w:colFirst="0" w:colLast="0"/>
            <w:bookmarkEnd w:id="4"/>
            <w:r w:rsidRPr="003F3834">
              <w:rPr>
                <w:rFonts w:ascii="Arial" w:hAnsi="Arial"/>
                <w:b/>
                <w:bCs/>
                <w:sz w:val="28"/>
                <w:szCs w:val="28"/>
                <w:rtl/>
              </w:rPr>
              <w:t>גזר דין</w:t>
            </w:r>
          </w:p>
        </w:tc>
      </w:tr>
      <w:bookmarkEnd w:id="5"/>
    </w:tbl>
    <w:p w14:paraId="63D4861F" w14:textId="77777777" w:rsidR="00B0314B" w:rsidRDefault="00B0314B">
      <w:pPr>
        <w:rPr>
          <w:rFonts w:ascii="Arial" w:hAnsi="Arial"/>
          <w:rtl/>
        </w:rPr>
      </w:pPr>
    </w:p>
    <w:p w14:paraId="6B2A2C46" w14:textId="77777777" w:rsidR="00B0314B" w:rsidRDefault="003F3834">
      <w:pPr>
        <w:spacing w:line="360" w:lineRule="auto"/>
        <w:jc w:val="both"/>
        <w:rPr>
          <w:b/>
          <w:bCs/>
          <w:u w:val="single"/>
          <w:rtl/>
        </w:rPr>
      </w:pPr>
      <w:r>
        <w:rPr>
          <w:b/>
          <w:bCs/>
          <w:u w:val="single"/>
          <w:rtl/>
        </w:rPr>
        <w:t>העבירות בהן הורשע</w:t>
      </w:r>
      <w:r>
        <w:rPr>
          <w:rFonts w:hint="cs"/>
          <w:b/>
          <w:bCs/>
          <w:u w:val="single"/>
          <w:rtl/>
        </w:rPr>
        <w:t>ו</w:t>
      </w:r>
      <w:r>
        <w:rPr>
          <w:b/>
          <w:bCs/>
          <w:u w:val="single"/>
          <w:rtl/>
        </w:rPr>
        <w:t xml:space="preserve"> הנאש</w:t>
      </w:r>
      <w:r>
        <w:rPr>
          <w:rFonts w:hint="cs"/>
          <w:b/>
          <w:bCs/>
          <w:u w:val="single"/>
          <w:rtl/>
        </w:rPr>
        <w:t>מי</w:t>
      </w:r>
      <w:r>
        <w:rPr>
          <w:b/>
          <w:bCs/>
          <w:u w:val="single"/>
          <w:rtl/>
        </w:rPr>
        <w:t>ם</w:t>
      </w:r>
    </w:p>
    <w:p w14:paraId="4BF1718A" w14:textId="77777777" w:rsidR="00B0314B" w:rsidRDefault="003F3834">
      <w:pPr>
        <w:spacing w:line="360" w:lineRule="auto"/>
        <w:jc w:val="both"/>
        <w:rPr>
          <w:rtl/>
        </w:rPr>
      </w:pPr>
      <w:bookmarkStart w:id="6" w:name="ABSTRACT_START"/>
      <w:bookmarkEnd w:id="6"/>
      <w:r>
        <w:rPr>
          <w:rFonts w:hint="cs"/>
          <w:rtl/>
        </w:rPr>
        <w:t xml:space="preserve">הנאשמים, שני אחים המתגוררים בפרדיס, הורשעו על פי הודאתם במסגרת של הסדר טיעון, בביצוע עבירות בנשק, עבירות לפי </w:t>
      </w:r>
      <w:hyperlink r:id="rId19" w:history="1">
        <w:r w:rsidR="00313AF0" w:rsidRPr="00313AF0">
          <w:rPr>
            <w:color w:val="0000FF"/>
            <w:u w:val="single"/>
            <w:rtl/>
          </w:rPr>
          <w:t>סעיף 144(א)</w:t>
        </w:r>
      </w:hyperlink>
      <w:r>
        <w:rPr>
          <w:rFonts w:hint="cs"/>
          <w:rtl/>
        </w:rPr>
        <w:t xml:space="preserve"> רישא + סיפא וכן </w:t>
      </w:r>
      <w:hyperlink r:id="rId20" w:history="1">
        <w:r w:rsidR="00313AF0" w:rsidRPr="00313AF0">
          <w:rPr>
            <w:color w:val="0000FF"/>
            <w:u w:val="single"/>
            <w:rtl/>
          </w:rPr>
          <w:t>סעיף 144(ב)</w:t>
        </w:r>
      </w:hyperlink>
      <w:r>
        <w:rPr>
          <w:rFonts w:hint="cs"/>
          <w:rtl/>
        </w:rPr>
        <w:t xml:space="preserve"> רישא + סיפא + </w:t>
      </w:r>
      <w:hyperlink r:id="rId21" w:history="1">
        <w:r w:rsidR="00313AF0" w:rsidRPr="00313AF0">
          <w:rPr>
            <w:color w:val="0000FF"/>
            <w:u w:val="single"/>
            <w:rtl/>
          </w:rPr>
          <w:t>סעיף 29</w:t>
        </w:r>
      </w:hyperlink>
      <w:r>
        <w:rPr>
          <w:rFonts w:hint="cs"/>
          <w:rtl/>
        </w:rPr>
        <w:t xml:space="preserve"> ל</w:t>
      </w:r>
      <w:hyperlink r:id="rId22" w:history="1">
        <w:r w:rsidRPr="003F3834">
          <w:rPr>
            <w:color w:val="0000FF"/>
            <w:u w:val="single"/>
            <w:rtl/>
          </w:rPr>
          <w:t>חוק העונשין</w:t>
        </w:r>
      </w:hyperlink>
      <w:r>
        <w:rPr>
          <w:rFonts w:hint="cs"/>
          <w:rtl/>
        </w:rPr>
        <w:t xml:space="preserve">, התשל"ז </w:t>
      </w:r>
      <w:r>
        <w:rPr>
          <w:rtl/>
        </w:rPr>
        <w:t>–</w:t>
      </w:r>
      <w:r>
        <w:rPr>
          <w:rFonts w:hint="cs"/>
          <w:rtl/>
        </w:rPr>
        <w:t xml:space="preserve"> 1977; עבירה של ירי באזור מגורים, לפי </w:t>
      </w:r>
      <w:hyperlink r:id="rId23" w:history="1">
        <w:r w:rsidR="00313AF0" w:rsidRPr="00313AF0">
          <w:rPr>
            <w:color w:val="0000FF"/>
            <w:u w:val="single"/>
            <w:rtl/>
          </w:rPr>
          <w:t>סעיף 340א'</w:t>
        </w:r>
      </w:hyperlink>
      <w:r>
        <w:rPr>
          <w:rFonts w:hint="cs"/>
          <w:rtl/>
        </w:rPr>
        <w:t xml:space="preserve"> + </w:t>
      </w:r>
      <w:hyperlink r:id="rId24" w:history="1">
        <w:r w:rsidR="00313AF0" w:rsidRPr="00313AF0">
          <w:rPr>
            <w:color w:val="0000FF"/>
            <w:u w:val="single"/>
            <w:rtl/>
          </w:rPr>
          <w:t>סעיף 29</w:t>
        </w:r>
      </w:hyperlink>
      <w:r>
        <w:rPr>
          <w:rFonts w:hint="cs"/>
          <w:rtl/>
        </w:rPr>
        <w:t xml:space="preserve"> לחוק העונשין; וכן חבלה חמורה בנסיבות מחמירות, עבירה לפי </w:t>
      </w:r>
      <w:hyperlink r:id="rId25" w:history="1">
        <w:r w:rsidR="00313AF0" w:rsidRPr="00313AF0">
          <w:rPr>
            <w:color w:val="0000FF"/>
            <w:u w:val="single"/>
            <w:rtl/>
          </w:rPr>
          <w:t>סעיף 333</w:t>
        </w:r>
      </w:hyperlink>
      <w:r>
        <w:rPr>
          <w:rFonts w:hint="cs"/>
          <w:rtl/>
        </w:rPr>
        <w:t xml:space="preserve"> + </w:t>
      </w:r>
      <w:hyperlink r:id="rId26" w:history="1">
        <w:r w:rsidR="00313AF0" w:rsidRPr="00313AF0">
          <w:rPr>
            <w:color w:val="0000FF"/>
            <w:u w:val="single"/>
            <w:rtl/>
          </w:rPr>
          <w:t>סעיף 335(א)(1)</w:t>
        </w:r>
      </w:hyperlink>
      <w:r>
        <w:rPr>
          <w:rFonts w:hint="cs"/>
          <w:rtl/>
        </w:rPr>
        <w:t xml:space="preserve"> + </w:t>
      </w:r>
      <w:hyperlink r:id="rId27" w:history="1">
        <w:r w:rsidR="00313AF0" w:rsidRPr="00313AF0">
          <w:rPr>
            <w:color w:val="0000FF"/>
            <w:u w:val="single"/>
            <w:rtl/>
          </w:rPr>
          <w:t>(2)</w:t>
        </w:r>
      </w:hyperlink>
      <w:r>
        <w:rPr>
          <w:rFonts w:hint="cs"/>
          <w:rtl/>
        </w:rPr>
        <w:t xml:space="preserve"> + </w:t>
      </w:r>
      <w:hyperlink r:id="rId28" w:history="1">
        <w:r w:rsidR="00313AF0" w:rsidRPr="00313AF0">
          <w:rPr>
            <w:color w:val="0000FF"/>
            <w:u w:val="single"/>
            <w:rtl/>
          </w:rPr>
          <w:t>סעיף 29</w:t>
        </w:r>
      </w:hyperlink>
      <w:r>
        <w:rPr>
          <w:rFonts w:hint="cs"/>
          <w:rtl/>
        </w:rPr>
        <w:t xml:space="preserve"> לחוק העונשין, וזאת בהתייחס לתשעה נפגעי עבירה</w:t>
      </w:r>
      <w:bookmarkStart w:id="7" w:name="ABSTRACT_END"/>
      <w:bookmarkEnd w:id="7"/>
      <w:r>
        <w:rPr>
          <w:rFonts w:hint="cs"/>
          <w:rtl/>
        </w:rPr>
        <w:t>.</w:t>
      </w:r>
    </w:p>
    <w:p w14:paraId="089D9B92" w14:textId="77777777" w:rsidR="00B0314B" w:rsidRDefault="00B0314B">
      <w:pPr>
        <w:spacing w:line="360" w:lineRule="auto"/>
        <w:jc w:val="both"/>
        <w:rPr>
          <w:rtl/>
        </w:rPr>
      </w:pPr>
    </w:p>
    <w:p w14:paraId="2165DAC0" w14:textId="77777777" w:rsidR="00B0314B" w:rsidRDefault="003F3834">
      <w:pPr>
        <w:spacing w:line="360" w:lineRule="auto"/>
        <w:jc w:val="both"/>
        <w:rPr>
          <w:rtl/>
        </w:rPr>
      </w:pPr>
      <w:r>
        <w:rPr>
          <w:rFonts w:hint="cs"/>
          <w:rtl/>
        </w:rPr>
        <w:t>בתמצית יצוין כי ביום האירוע, 30.8.13, הגיעו סמוך לבתי משפחות הנאשמים, מספר רב של אנשים ממשפחת המתלוננים, המתגוררים בסמיכות למשפחת הנאשמים. אנשי משפחת המתלוננים היו מצוידים בנשק קר. בתו של הנאשם 2 הזעיקה אותו והוא הגיע ביחד עם הנאשם 1. הנאשמים הגיעו למקום כשהם מצוידים בנשק וירו לעבר המתלוננים המתקהלים באזור. כתוצאה מהירי, נפגעו תשעה אנשים ממשפחת המתלוננים, הכל כפי שתואר בכתב האישום.</w:t>
      </w:r>
    </w:p>
    <w:p w14:paraId="5B85BFC1" w14:textId="77777777" w:rsidR="00B0314B" w:rsidRDefault="00B0314B">
      <w:pPr>
        <w:spacing w:line="360" w:lineRule="auto"/>
        <w:jc w:val="both"/>
        <w:rPr>
          <w:rtl/>
        </w:rPr>
      </w:pPr>
    </w:p>
    <w:p w14:paraId="351A3E4F" w14:textId="77777777" w:rsidR="00B0314B" w:rsidRDefault="003F3834">
      <w:pPr>
        <w:spacing w:line="360" w:lineRule="auto"/>
        <w:jc w:val="both"/>
        <w:rPr>
          <w:rtl/>
        </w:rPr>
      </w:pPr>
      <w:r>
        <w:rPr>
          <w:rFonts w:hint="cs"/>
          <w:rtl/>
        </w:rPr>
        <w:t>כאמור, הנאשמים הודו לאחר תיקון כתב אישום במסגרת של הסדר טיעון, והורשעו.</w:t>
      </w:r>
    </w:p>
    <w:p w14:paraId="4AD52574" w14:textId="77777777" w:rsidR="00B0314B" w:rsidRDefault="00B0314B">
      <w:pPr>
        <w:spacing w:line="360" w:lineRule="auto"/>
        <w:jc w:val="both"/>
        <w:rPr>
          <w:rtl/>
        </w:rPr>
      </w:pPr>
    </w:p>
    <w:p w14:paraId="6E0ABB4A" w14:textId="77777777" w:rsidR="00B0314B" w:rsidRDefault="003F3834">
      <w:pPr>
        <w:spacing w:line="360" w:lineRule="auto"/>
        <w:jc w:val="both"/>
        <w:rPr>
          <w:b/>
          <w:bCs/>
          <w:u w:val="single"/>
          <w:rtl/>
        </w:rPr>
      </w:pPr>
      <w:r>
        <w:rPr>
          <w:rFonts w:hint="cs"/>
          <w:b/>
          <w:bCs/>
          <w:u w:val="single"/>
          <w:rtl/>
        </w:rPr>
        <w:t>תסקירי שירות המבחן ו</w:t>
      </w:r>
      <w:r>
        <w:rPr>
          <w:b/>
          <w:bCs/>
          <w:u w:val="single"/>
          <w:rtl/>
        </w:rPr>
        <w:t>הטיעון לעונש</w:t>
      </w:r>
    </w:p>
    <w:p w14:paraId="2CBFF228" w14:textId="77777777" w:rsidR="00B0314B" w:rsidRDefault="003F3834">
      <w:pPr>
        <w:spacing w:line="360" w:lineRule="auto"/>
        <w:jc w:val="both"/>
        <w:rPr>
          <w:rtl/>
        </w:rPr>
      </w:pPr>
      <w:r>
        <w:rPr>
          <w:rFonts w:hint="cs"/>
          <w:rtl/>
        </w:rPr>
        <w:t>לאחר שהודו הנאשמים, הורה בית המשפט כי יוגש תסקיר בעניינם. יצוין כי שני הנאשמים חסרי עבר פלילי, שניהם אנשים עובדים אשר ניהלו אורח חיים אישי ומשפחתי סדיר, עד כמה שידוע.</w:t>
      </w:r>
    </w:p>
    <w:p w14:paraId="5AB9AE23" w14:textId="77777777" w:rsidR="00B0314B" w:rsidRDefault="00B0314B">
      <w:pPr>
        <w:spacing w:line="360" w:lineRule="auto"/>
        <w:jc w:val="both"/>
        <w:rPr>
          <w:rtl/>
        </w:rPr>
      </w:pPr>
    </w:p>
    <w:p w14:paraId="205A6B1B" w14:textId="77777777" w:rsidR="00B0314B" w:rsidRDefault="003F3834">
      <w:pPr>
        <w:spacing w:line="360" w:lineRule="auto"/>
        <w:jc w:val="both"/>
        <w:rPr>
          <w:rtl/>
        </w:rPr>
      </w:pPr>
      <w:r>
        <w:rPr>
          <w:rFonts w:hint="cs"/>
          <w:rtl/>
        </w:rPr>
        <w:t xml:space="preserve">בכל הנוגע לנאשם 1, מהראן אבו עאבד </w:t>
      </w:r>
      <w:r>
        <w:rPr>
          <w:rtl/>
        </w:rPr>
        <w:t>–</w:t>
      </w:r>
      <w:r>
        <w:rPr>
          <w:rFonts w:hint="cs"/>
          <w:rtl/>
        </w:rPr>
        <w:t xml:space="preserve"> שירות המבחן ציין את השתלשלות האירוע, כאשר הנאשם הגיע לביתו לאחר ששמע כי משפחת המתלוננים מתקיפה את מתחם משפחתו. שירות המבחן ציין כי הוא מתרשם, שהנאשם מבין את חומרת מעשיו ואת השלכותיהם. עם זאת סבר שירות המבחן, כי </w:t>
      </w:r>
      <w:r>
        <w:rPr>
          <w:rFonts w:hint="cs"/>
          <w:rtl/>
        </w:rPr>
        <w:lastRenderedPageBreak/>
        <w:t>הנאשם נוטה להשליך את האשמה להידרדרות המצב על המתלוננים, במובן זה שאחריותו והכרתו באחריות זו אינן מלאות. בנסיבות אלו, ומאחר ולא ידוע כי גובש הסכם סולחה ומערכת היחסים בין המשפחות, לדברי שירות המבחן, טרם שוקמה, סבר שירות המבחן כי קיים מוקד סיכון בנטייתו של הנאשם 1 להסתבכות בעבירות מסוג זה, ולכן המליץ לגזור עליו ענישה הרתעתית, אשר תציב לו גבולות ברורים ומוחשיים.</w:t>
      </w:r>
    </w:p>
    <w:p w14:paraId="47CB9DFC" w14:textId="77777777" w:rsidR="00B0314B" w:rsidRDefault="00B0314B">
      <w:pPr>
        <w:spacing w:line="360" w:lineRule="auto"/>
        <w:jc w:val="both"/>
        <w:rPr>
          <w:rtl/>
        </w:rPr>
      </w:pPr>
    </w:p>
    <w:p w14:paraId="6978A8B5" w14:textId="77777777" w:rsidR="00B0314B" w:rsidRDefault="003F3834">
      <w:pPr>
        <w:spacing w:line="360" w:lineRule="auto"/>
        <w:jc w:val="both"/>
        <w:rPr>
          <w:rtl/>
        </w:rPr>
      </w:pPr>
      <w:r>
        <w:rPr>
          <w:rFonts w:hint="cs"/>
          <w:rtl/>
        </w:rPr>
        <w:t xml:space="preserve">בכל הנוגע לנאשם 2, רג'א אבו עאבד </w:t>
      </w:r>
      <w:r>
        <w:rPr>
          <w:rtl/>
        </w:rPr>
        <w:t>–</w:t>
      </w:r>
      <w:r>
        <w:rPr>
          <w:rFonts w:hint="cs"/>
          <w:rtl/>
        </w:rPr>
        <w:t xml:space="preserve"> נאשם זה אדם בוגר, יותר מהנאשם 1, בן כ-50. הנאשם מנהל ביחד עם משפחתו מאפיה, ומנהל אורח חיים נורמטיבי. שירות המבחן התרשם כי הנאשם לקח אחריות חלקית על ביצוע מעשיו וטען כי אלימות אינה מאפיינת את דרכיו. עוד טען כי מעשיו היו בתגובה לסיכון שנשקף למשפחתו. שירות המבחן ציין כי אין לנאשם עבר פלילי. עם זאת סבר שירות המבחן, כי יש להציב לנאשם גבולות ברורים ובנסיבות אלו המליץ שירות המבחן לשקול להורות לגורמי שב"ס לשלבו גם בהליך טיפולי מתאים, וזאת בצד עונש של מאסר מותנה ופיצוי למתלוננים.</w:t>
      </w:r>
    </w:p>
    <w:p w14:paraId="54ED11A0" w14:textId="77777777" w:rsidR="00B0314B" w:rsidRDefault="00B0314B">
      <w:pPr>
        <w:spacing w:line="360" w:lineRule="auto"/>
        <w:jc w:val="both"/>
        <w:rPr>
          <w:rtl/>
        </w:rPr>
      </w:pPr>
    </w:p>
    <w:p w14:paraId="25CA1A37" w14:textId="77777777" w:rsidR="00B0314B" w:rsidRDefault="003F3834">
      <w:pPr>
        <w:spacing w:line="360" w:lineRule="auto"/>
        <w:jc w:val="both"/>
        <w:rPr>
          <w:rtl/>
        </w:rPr>
      </w:pPr>
      <w:r>
        <w:rPr>
          <w:rFonts w:hint="cs"/>
          <w:rtl/>
        </w:rPr>
        <w:t>המאשימה הגישה טיעון כתוב לעניין העונש, ובא כוחה גם השלים טיעון בעל פה. לא אפרט את כל הטיעון לעונש. המאשימה מציינת את חומרת העבירה של חבלה חמורה בנסיבות מחמירות, בה הורשעו הנאשמים. מדובר בביצוע עבירה אשר העונש המירבי בגינה הוא 14 שנות מאסר, וזאת כנגד תשעה נפגעים. בנוסף הורשעו הנאשמים בעבירת נשק, אשר העונש בגינה הוא 10 שנות מאסר. בנסיבות אלו סבורה המאשימה, כי מתחם העונש ההולם נע בין 8 ל-12 שנים. בהתחשב במכלול הנתונים, לרבות נזקי נפגעי העבירה, עותרת המאשימה לגזור על הנאשמים עונשי מאסר אשר יהיו במסגרת המתחם הנ"ל, כאשר לגבי הנאשם 1 עותרת המאשימה לעונש אשר במרכז מתחם הענישה, ובכל הנוגע לנאשם 2, עונש המצוי ברף העליון של מתחם הענישה.</w:t>
      </w:r>
    </w:p>
    <w:p w14:paraId="555C89D2" w14:textId="77777777" w:rsidR="00B0314B" w:rsidRDefault="00B0314B">
      <w:pPr>
        <w:spacing w:line="360" w:lineRule="auto"/>
        <w:jc w:val="both"/>
        <w:rPr>
          <w:rtl/>
        </w:rPr>
      </w:pPr>
    </w:p>
    <w:p w14:paraId="5A200EF6" w14:textId="77777777" w:rsidR="00B0314B" w:rsidRDefault="003F3834">
      <w:pPr>
        <w:spacing w:line="360" w:lineRule="auto"/>
        <w:jc w:val="both"/>
        <w:rPr>
          <w:rtl/>
        </w:rPr>
      </w:pPr>
      <w:r>
        <w:rPr>
          <w:rFonts w:hint="cs"/>
          <w:rtl/>
        </w:rPr>
        <w:t>ב"כ הנאשמים מבקשים שלא למצות עם הנאשמים את הדין. טיעוניהם פורטו בהרחבה בפרוטוקול, ולא אחזור עליהם. בתמצית יצוין, כי ב"כ הנאשמים עותרים להביא בחשבון את נסיבותיו המיוחדות של המקרה, כאשר הנאשמים הגיעו לביתם אשר היה תחת התקפה של משפחת המתלוננים. בנסיבות אלה טוענים ב"כ הנאשמים, כי למעשה, התנהגותם של הנאשמים הייתה קרובה במהותה לתנאי הסייג של הגנה עצמית. אמנם סייג זה לא מתקיים ולא ניתן לפטור מאחריות פלילית מטעמים של הגנה עצמית, ואולם הסנגורים טוענים כי יש להביא את הדבר בחשבון להקלה בעונש. מעבר לנתוני המקרה, מציינים הסנגורים כי מדובר באנשים נורמטיביים העובדים לפרנסתם, וללא עבר פלילי.</w:t>
      </w:r>
    </w:p>
    <w:p w14:paraId="1AEACCC2" w14:textId="77777777" w:rsidR="00B0314B" w:rsidRDefault="00B0314B">
      <w:pPr>
        <w:spacing w:line="360" w:lineRule="auto"/>
        <w:jc w:val="both"/>
        <w:rPr>
          <w:rtl/>
        </w:rPr>
      </w:pPr>
    </w:p>
    <w:p w14:paraId="3CBDFCB4" w14:textId="77777777" w:rsidR="00B0314B" w:rsidRDefault="003F3834">
      <w:pPr>
        <w:spacing w:line="360" w:lineRule="auto"/>
        <w:jc w:val="both"/>
        <w:rPr>
          <w:rtl/>
        </w:rPr>
      </w:pPr>
      <w:r>
        <w:rPr>
          <w:rFonts w:hint="cs"/>
          <w:rtl/>
        </w:rPr>
        <w:t>שני הנאשמים טענו והסבירו את המציאות בה פעלו, כאשר משפחותיהם הותקפו. הנאשם 1 ציין את עבודתו הסדירה ואת הנזקים שנגרמו לרכושו ולביתו כתוצאה מהאירוע, וביקש להקל בעונשו. כך גם הנאשם 2, אשר דיבר על עבודתו הסדירה ועל הנזק הנגרם למשפחתו כתוצאה ממעצרו. גם הוא עתר לגזור עליו עונש אשר לא יכלול מאסר בפועל, וזאת מעבר לתקופת מעצרו.</w:t>
      </w:r>
    </w:p>
    <w:p w14:paraId="5F945124" w14:textId="77777777" w:rsidR="00B0314B" w:rsidRDefault="00B0314B">
      <w:pPr>
        <w:spacing w:line="360" w:lineRule="auto"/>
        <w:jc w:val="both"/>
        <w:rPr>
          <w:rtl/>
        </w:rPr>
      </w:pPr>
    </w:p>
    <w:p w14:paraId="57F9C46B" w14:textId="77777777" w:rsidR="00B0314B" w:rsidRDefault="00B0314B">
      <w:pPr>
        <w:spacing w:line="360" w:lineRule="auto"/>
        <w:jc w:val="both"/>
        <w:rPr>
          <w:b/>
          <w:bCs/>
          <w:u w:val="single"/>
          <w:rtl/>
        </w:rPr>
      </w:pPr>
    </w:p>
    <w:p w14:paraId="23F11DC1" w14:textId="77777777" w:rsidR="00B0314B" w:rsidRDefault="003F3834">
      <w:pPr>
        <w:spacing w:line="360" w:lineRule="auto"/>
        <w:jc w:val="both"/>
        <w:rPr>
          <w:b/>
          <w:bCs/>
          <w:u w:val="single"/>
          <w:rtl/>
        </w:rPr>
      </w:pPr>
      <w:r>
        <w:rPr>
          <w:b/>
          <w:bCs/>
          <w:u w:val="single"/>
          <w:rtl/>
        </w:rPr>
        <w:t>שיקולי בית המשפט לעניין הענישה</w:t>
      </w:r>
    </w:p>
    <w:p w14:paraId="740F49A1" w14:textId="77777777" w:rsidR="00B0314B" w:rsidRDefault="00B0314B">
      <w:pPr>
        <w:spacing w:line="360" w:lineRule="auto"/>
        <w:jc w:val="both"/>
        <w:rPr>
          <w:rtl/>
        </w:rPr>
      </w:pPr>
    </w:p>
    <w:p w14:paraId="0988A180" w14:textId="77777777" w:rsidR="00B0314B" w:rsidRDefault="003F3834">
      <w:pPr>
        <w:spacing w:line="360" w:lineRule="auto"/>
        <w:jc w:val="both"/>
        <w:rPr>
          <w:rtl/>
        </w:rPr>
      </w:pPr>
      <w:r>
        <w:rPr>
          <w:rtl/>
        </w:rPr>
        <w:lastRenderedPageBreak/>
        <w:t>בהתאם לתיקון 113 ולמתווה שנקבע ב</w:t>
      </w:r>
      <w:hyperlink r:id="rId29" w:history="1">
        <w:r w:rsidRPr="003F3834">
          <w:rPr>
            <w:color w:val="0000FF"/>
            <w:u w:val="single"/>
            <w:rtl/>
          </w:rPr>
          <w:t>ע"פ 8641/12</w:t>
        </w:r>
      </w:hyperlink>
      <w:r>
        <w:rPr>
          <w:rtl/>
        </w:rPr>
        <w:t xml:space="preserve"> </w:t>
      </w:r>
      <w:r>
        <w:rPr>
          <w:b/>
          <w:bCs/>
          <w:rtl/>
        </w:rPr>
        <w:t>סעד נ' מדינת ישראל</w:t>
      </w:r>
      <w:r>
        <w:rPr>
          <w:rFonts w:hint="cs"/>
          <w:rtl/>
        </w:rPr>
        <w:t xml:space="preserve"> </w:t>
      </w:r>
      <w:r>
        <w:rPr>
          <w:rtl/>
        </w:rPr>
        <w:t xml:space="preserve"> </w:t>
      </w:r>
      <w:r>
        <w:rPr>
          <w:rFonts w:hint="cs"/>
          <w:rtl/>
        </w:rPr>
        <w:t>(</w:t>
      </w:r>
      <w:r>
        <w:rPr>
          <w:rtl/>
        </w:rPr>
        <w:t>פורסם בנבו, 05.08.13), לצורך השגת מטרות הענישה על בית המשפט להפעיל מבחן תלת-שלבי: בשלב הראשון, על בית המשפט לקבוע האם הנאשם הורשע בכמה עבירות, והאם אותן עבירות מהוות אירוע אחד או מספר אירועים המצריכים קביעת מתחם ענישה הולם לכל אירוע בנפרד. בשלב השני, על בית המשפט לקבוע את מתחם העונש בהתאם לעקרון ההלימה. מתחם העונש ההולם מגלם הכרעה ערכית המשקללת את הערך החברתי שנפגע מביצוע העבירה, את מידת הפגיעה בו, את מדיניות הענישה הנהוגה ביחס לעבירה ואת נסיבות ביצועה, לרבות מידת אשמו של הנאשם. השלב השלישי עניינו בגזירת עונשו של הנאשם ב</w:t>
      </w:r>
      <w:r>
        <w:rPr>
          <w:rFonts w:hint="cs"/>
          <w:rtl/>
        </w:rPr>
        <w:t>יחס</w:t>
      </w:r>
      <w:r>
        <w:rPr>
          <w:rtl/>
        </w:rPr>
        <w:t xml:space="preserve"> </w:t>
      </w:r>
      <w:r>
        <w:rPr>
          <w:rFonts w:hint="cs"/>
          <w:rtl/>
        </w:rPr>
        <w:t>ל</w:t>
      </w:r>
      <w:r>
        <w:rPr>
          <w:rtl/>
        </w:rPr>
        <w:t xml:space="preserve">מתחם ולצורך כך יתחשב בית המשפט בנסיבותיו האישיות של הנאשם שאינן קשורות בביצוע העבירה. [ראה: </w:t>
      </w:r>
      <w:hyperlink r:id="rId30" w:history="1">
        <w:r w:rsidRPr="003F3834">
          <w:rPr>
            <w:color w:val="0000FF"/>
            <w:u w:val="single"/>
            <w:rtl/>
          </w:rPr>
          <w:t>ע"פ 1127/13</w:t>
        </w:r>
      </w:hyperlink>
      <w:r>
        <w:rPr>
          <w:rtl/>
        </w:rPr>
        <w:t xml:space="preserve"> </w:t>
      </w:r>
      <w:r>
        <w:rPr>
          <w:b/>
          <w:bCs/>
          <w:rtl/>
        </w:rPr>
        <w:t>גברזגיי נ' מדינת ישראל</w:t>
      </w:r>
      <w:r>
        <w:rPr>
          <w:rFonts w:hint="cs"/>
          <w:rtl/>
        </w:rPr>
        <w:t xml:space="preserve"> (</w:t>
      </w:r>
      <w:r>
        <w:rPr>
          <w:rtl/>
        </w:rPr>
        <w:t>פורסם בנבו, (15.01.14)].</w:t>
      </w:r>
    </w:p>
    <w:p w14:paraId="59A8504A" w14:textId="77777777" w:rsidR="00B0314B" w:rsidRDefault="00B0314B">
      <w:pPr>
        <w:spacing w:line="360" w:lineRule="auto"/>
        <w:jc w:val="both"/>
        <w:rPr>
          <w:rtl/>
        </w:rPr>
      </w:pPr>
    </w:p>
    <w:p w14:paraId="291D07D7" w14:textId="77777777" w:rsidR="00B0314B" w:rsidRDefault="003F3834">
      <w:pPr>
        <w:spacing w:line="360" w:lineRule="auto"/>
        <w:jc w:val="both"/>
        <w:rPr>
          <w:rtl/>
        </w:rPr>
      </w:pPr>
      <w:r>
        <w:rPr>
          <w:rtl/>
        </w:rPr>
        <w:t xml:space="preserve">הנאשמים הורשעו באירוע אחד, בו הם ירו לעבר התקהלות אנשים קרוב לביתם, ופצעו תשעה אנשים. במקרה זה אין חולק על כך שמדובר באירוע אחד. </w:t>
      </w:r>
    </w:p>
    <w:p w14:paraId="59C29E97" w14:textId="77777777" w:rsidR="00B0314B" w:rsidRDefault="00B0314B">
      <w:pPr>
        <w:spacing w:line="360" w:lineRule="auto"/>
        <w:jc w:val="both"/>
        <w:rPr>
          <w:b/>
          <w:bCs/>
          <w:rtl/>
        </w:rPr>
      </w:pPr>
    </w:p>
    <w:p w14:paraId="1A4AFEBE" w14:textId="77777777" w:rsidR="00B0314B" w:rsidRDefault="003F3834">
      <w:pPr>
        <w:spacing w:line="360" w:lineRule="auto"/>
        <w:jc w:val="both"/>
        <w:rPr>
          <w:b/>
          <w:bCs/>
          <w:u w:val="single"/>
          <w:rtl/>
        </w:rPr>
      </w:pPr>
      <w:r>
        <w:rPr>
          <w:b/>
          <w:bCs/>
          <w:u w:val="single"/>
          <w:rtl/>
        </w:rPr>
        <w:t>קביעת מתחם העונש ההולם:</w:t>
      </w:r>
    </w:p>
    <w:p w14:paraId="4A1B8A7A" w14:textId="77777777" w:rsidR="00B0314B" w:rsidRDefault="00B0314B">
      <w:pPr>
        <w:spacing w:line="360" w:lineRule="auto"/>
        <w:jc w:val="both"/>
        <w:rPr>
          <w:rtl/>
        </w:rPr>
      </w:pPr>
    </w:p>
    <w:p w14:paraId="1D9C40CA" w14:textId="77777777" w:rsidR="00B0314B" w:rsidRDefault="003F3834">
      <w:pPr>
        <w:spacing w:line="360" w:lineRule="auto"/>
        <w:jc w:val="both"/>
        <w:rPr>
          <w:rtl/>
        </w:rPr>
      </w:pPr>
      <w:r>
        <w:rPr>
          <w:rtl/>
        </w:rPr>
        <w:t>בקביעת מתחם הענישה בהתאם לתיקון 113 ל</w:t>
      </w:r>
      <w:hyperlink r:id="rId31" w:history="1">
        <w:r w:rsidRPr="003F3834">
          <w:rPr>
            <w:color w:val="0000FF"/>
            <w:u w:val="single"/>
            <w:rtl/>
          </w:rPr>
          <w:t>חוק העונשין</w:t>
        </w:r>
      </w:hyperlink>
      <w:r>
        <w:rPr>
          <w:rtl/>
        </w:rPr>
        <w:t xml:space="preserve">, יש לקחת בחשבון מספר שיקולים: הערך החברתי שנפגע, מידת הפגיעה בו, נסיבות הקשורות בביצוע העבירה ומדיניות הענישה הנוהגת. </w:t>
      </w:r>
    </w:p>
    <w:p w14:paraId="0E6E5064" w14:textId="77777777" w:rsidR="00B0314B" w:rsidRDefault="00B0314B">
      <w:pPr>
        <w:spacing w:line="360" w:lineRule="auto"/>
        <w:jc w:val="both"/>
        <w:rPr>
          <w:rtl/>
        </w:rPr>
      </w:pPr>
    </w:p>
    <w:p w14:paraId="390EB8FC" w14:textId="77777777" w:rsidR="00B0314B" w:rsidRDefault="003F3834">
      <w:pPr>
        <w:spacing w:line="360" w:lineRule="auto"/>
        <w:jc w:val="both"/>
        <w:rPr>
          <w:rtl/>
        </w:rPr>
      </w:pPr>
      <w:r>
        <w:rPr>
          <w:rtl/>
        </w:rPr>
        <w:t xml:space="preserve">במקרה דנן </w:t>
      </w:r>
      <w:r>
        <w:rPr>
          <w:u w:val="single"/>
          <w:rtl/>
        </w:rPr>
        <w:t>הערך החברתי שנפגע</w:t>
      </w:r>
      <w:r>
        <w:rPr>
          <w:rtl/>
        </w:rPr>
        <w:t xml:space="preserve"> הוא שלמות הגוף ותחושת הביטחון של הציבור. הנאשמים ירו לעבר קבוצה של אנשים שהתקהלו סביב ביתם, וגרמו לפציעתם של 9</w:t>
      </w:r>
      <w:r>
        <w:rPr>
          <w:rFonts w:hint="cs"/>
          <w:rtl/>
        </w:rPr>
        <w:t xml:space="preserve"> </w:t>
      </w:r>
      <w:r>
        <w:rPr>
          <w:rtl/>
        </w:rPr>
        <w:t>אנשים. ברור מאליו שב</w:t>
      </w:r>
      <w:r>
        <w:rPr>
          <w:rFonts w:hint="cs"/>
          <w:rtl/>
        </w:rPr>
        <w:t>מצב הדברים והשתלשלות האירוע</w:t>
      </w:r>
      <w:r>
        <w:rPr>
          <w:rtl/>
        </w:rPr>
        <w:t xml:space="preserve"> התוצאה הייתה יכולה להיות חמורה יותר</w:t>
      </w:r>
      <w:r>
        <w:rPr>
          <w:rFonts w:hint="cs"/>
          <w:rtl/>
        </w:rPr>
        <w:t>.</w:t>
      </w:r>
      <w:r>
        <w:rPr>
          <w:rtl/>
        </w:rPr>
        <w:t xml:space="preserve"> וניתן לקבוע כי מידת הפגיעה בגוף היא </w:t>
      </w:r>
      <w:r>
        <w:rPr>
          <w:rFonts w:hint="cs"/>
          <w:rtl/>
        </w:rPr>
        <w:t>במדרג החומרה הגבוה</w:t>
      </w:r>
      <w:r>
        <w:rPr>
          <w:rtl/>
        </w:rPr>
        <w:t xml:space="preserve">. </w:t>
      </w:r>
    </w:p>
    <w:p w14:paraId="04DB7F48" w14:textId="77777777" w:rsidR="00B0314B" w:rsidRDefault="00B0314B">
      <w:pPr>
        <w:spacing w:line="360" w:lineRule="auto"/>
        <w:jc w:val="both"/>
        <w:rPr>
          <w:highlight w:val="yellow"/>
          <w:rtl/>
        </w:rPr>
      </w:pPr>
    </w:p>
    <w:p w14:paraId="73AE9790" w14:textId="77777777" w:rsidR="00B0314B" w:rsidRDefault="003F3834">
      <w:pPr>
        <w:spacing w:line="360" w:lineRule="auto"/>
        <w:jc w:val="both"/>
        <w:rPr>
          <w:rtl/>
        </w:rPr>
      </w:pPr>
      <w:r>
        <w:rPr>
          <w:rtl/>
        </w:rPr>
        <w:t xml:space="preserve">יחד עם זאת, </w:t>
      </w:r>
      <w:r>
        <w:rPr>
          <w:u w:val="single"/>
          <w:rtl/>
        </w:rPr>
        <w:t>נסיבות ביצוע העבירה</w:t>
      </w:r>
      <w:r>
        <w:rPr>
          <w:rtl/>
        </w:rPr>
        <w:t xml:space="preserve"> הן חריגות. הנאשמים הוזעקו למקום מגוריהם בעקבות התקהלות המתלוננים ואנשים נוספים סביב ביתם</w:t>
      </w:r>
      <w:r>
        <w:rPr>
          <w:rFonts w:hint="cs"/>
          <w:rtl/>
        </w:rPr>
        <w:t xml:space="preserve">. המתלוננים היו מצוידים בנשק קר ואיימו לפגוע במשפחות הנאשמים. </w:t>
      </w:r>
      <w:r>
        <w:rPr>
          <w:rtl/>
        </w:rPr>
        <w:t>אין מחלוקת כי גם הנאשמים וגם בני ביתם חשו מאיומים</w:t>
      </w:r>
      <w:r>
        <w:rPr>
          <w:rFonts w:hint="cs"/>
          <w:rtl/>
        </w:rPr>
        <w:t xml:space="preserve"> כאשר מתחם מגורי משפחתם הותקף, למעשה, ע"י משפחת המתלוננים</w:t>
      </w:r>
      <w:r>
        <w:rPr>
          <w:rtl/>
        </w:rPr>
        <w:t xml:space="preserve">. על אף </w:t>
      </w:r>
      <w:r>
        <w:rPr>
          <w:rFonts w:hint="cs"/>
          <w:rtl/>
        </w:rPr>
        <w:t xml:space="preserve">שבשים לב למעשי הנאשמים </w:t>
      </w:r>
      <w:r>
        <w:rPr>
          <w:rtl/>
        </w:rPr>
        <w:t>אין מדובר במקרה</w:t>
      </w:r>
      <w:r>
        <w:rPr>
          <w:rFonts w:hint="cs"/>
          <w:rtl/>
        </w:rPr>
        <w:t xml:space="preserve"> העונה על התנאים בחוק לקיומה של</w:t>
      </w:r>
      <w:r>
        <w:rPr>
          <w:rtl/>
        </w:rPr>
        <w:t xml:space="preserve"> הגנה עצמית, אין להתעלם מכך שמעשיהם של הנאשמים נבעו מתוך רצון להגן על עצמם ועל בני ביתם. </w:t>
      </w:r>
    </w:p>
    <w:p w14:paraId="0BF9682D" w14:textId="77777777" w:rsidR="00B0314B" w:rsidRDefault="00B0314B">
      <w:pPr>
        <w:spacing w:line="360" w:lineRule="auto"/>
        <w:jc w:val="both"/>
        <w:rPr>
          <w:rtl/>
        </w:rPr>
      </w:pPr>
    </w:p>
    <w:p w14:paraId="7A1E395F" w14:textId="77777777" w:rsidR="00B0314B" w:rsidRDefault="003F3834">
      <w:pPr>
        <w:spacing w:line="360" w:lineRule="auto"/>
        <w:jc w:val="both"/>
        <w:rPr>
          <w:rtl/>
        </w:rPr>
      </w:pPr>
      <w:r>
        <w:rPr>
          <w:rtl/>
        </w:rPr>
        <w:t>אין חולק על כך כי הנאשמים נטלו את החוק</w:t>
      </w:r>
      <w:r>
        <w:rPr>
          <w:rFonts w:hint="cs"/>
          <w:rtl/>
        </w:rPr>
        <w:t xml:space="preserve"> לידיהם</w:t>
      </w:r>
      <w:r>
        <w:rPr>
          <w:rtl/>
        </w:rPr>
        <w:t xml:space="preserve">, ובמקום להזעיק משטרה או לפעול בכל דרך חוקית אחרת, הם בחרו לירות </w:t>
      </w:r>
      <w:r>
        <w:rPr>
          <w:rFonts w:hint="cs"/>
          <w:rtl/>
        </w:rPr>
        <w:t>אל עבר ה</w:t>
      </w:r>
      <w:r>
        <w:rPr>
          <w:rtl/>
        </w:rPr>
        <w:t xml:space="preserve">מתלוננים. אולם ברור הוא כי לא קדם למעשה תכנון כלשהו, והוא לא בוצע במטרה לפגוע במתלוננים, אלא ככל הנראה להפחידם ולהרחיקם. </w:t>
      </w:r>
    </w:p>
    <w:p w14:paraId="748BE619" w14:textId="77777777" w:rsidR="00B0314B" w:rsidRDefault="00B0314B">
      <w:pPr>
        <w:spacing w:line="360" w:lineRule="auto"/>
        <w:jc w:val="both"/>
        <w:rPr>
          <w:highlight w:val="yellow"/>
          <w:rtl/>
        </w:rPr>
      </w:pPr>
    </w:p>
    <w:p w14:paraId="36073F33" w14:textId="77777777" w:rsidR="00B0314B" w:rsidRDefault="003F3834">
      <w:pPr>
        <w:spacing w:line="360" w:lineRule="auto"/>
        <w:jc w:val="both"/>
        <w:rPr>
          <w:rtl/>
        </w:rPr>
      </w:pPr>
      <w:r>
        <w:rPr>
          <w:rtl/>
        </w:rPr>
        <w:t xml:space="preserve">יחד עם זאת אין להתעלם מכך שתשעה אנשים נפצעו כתוצאה מהמעשה, בדרגות שונות, כאשר רובם נאלצו להתאשפז, וחלקם אף נאלץ לעבור ניתוחים שונים. </w:t>
      </w:r>
    </w:p>
    <w:p w14:paraId="4F105394" w14:textId="77777777" w:rsidR="00B0314B" w:rsidRDefault="00B0314B">
      <w:pPr>
        <w:spacing w:line="360" w:lineRule="auto"/>
        <w:jc w:val="both"/>
        <w:rPr>
          <w:rtl/>
        </w:rPr>
      </w:pPr>
    </w:p>
    <w:p w14:paraId="40633C9E" w14:textId="77777777" w:rsidR="00B0314B" w:rsidRDefault="003F3834">
      <w:pPr>
        <w:spacing w:line="360" w:lineRule="auto"/>
        <w:jc w:val="both"/>
        <w:rPr>
          <w:rtl/>
        </w:rPr>
      </w:pPr>
      <w:r>
        <w:rPr>
          <w:u w:val="single"/>
          <w:rtl/>
        </w:rPr>
        <w:t>לעניין מדיניות הענישה ורמת הענישה הנוהגת במקרים כאלו</w:t>
      </w:r>
      <w:r>
        <w:rPr>
          <w:rtl/>
        </w:rPr>
        <w:t>, מגמת הפסיקה היא להחמיר בעבירות נשק ויריות באזור מגורים, זאת לנוכח התפשטות התופעה והפוטנציאל הרב לפגיעה בחיי אדם הטמון בה.</w:t>
      </w:r>
      <w:r>
        <w:rPr>
          <w:rFonts w:hint="cs"/>
          <w:rtl/>
        </w:rPr>
        <w:t xml:space="preserve"> פסיקת בתי המשפט שדנה באירועים של עבירות בנשק, לא כל שכן שימוש אלים בנשק, קבעה מתחמי ענישה מחמירים, ברוח הטיעון לו עותרת המאשימה. </w:t>
      </w:r>
    </w:p>
    <w:p w14:paraId="3A1949CC" w14:textId="77777777" w:rsidR="00B0314B" w:rsidRDefault="00B0314B">
      <w:pPr>
        <w:spacing w:line="360" w:lineRule="auto"/>
        <w:jc w:val="both"/>
        <w:rPr>
          <w:rtl/>
        </w:rPr>
      </w:pPr>
    </w:p>
    <w:p w14:paraId="7730ED20" w14:textId="77777777" w:rsidR="00B0314B" w:rsidRDefault="003F3834">
      <w:pPr>
        <w:spacing w:line="360" w:lineRule="auto"/>
        <w:jc w:val="both"/>
        <w:rPr>
          <w:rtl/>
        </w:rPr>
      </w:pPr>
      <w:r>
        <w:rPr>
          <w:rtl/>
        </w:rPr>
        <w:t xml:space="preserve">עם זאת, </w:t>
      </w:r>
      <w:r>
        <w:rPr>
          <w:rFonts w:hint="cs"/>
          <w:rtl/>
        </w:rPr>
        <w:t>בבואי לקבוע את מתחם העונש ההולם במקרה שבפני, לא ניתן</w:t>
      </w:r>
      <w:r>
        <w:rPr>
          <w:rtl/>
        </w:rPr>
        <w:t xml:space="preserve"> להתעלם </w:t>
      </w:r>
      <w:r>
        <w:rPr>
          <w:rFonts w:hint="cs"/>
          <w:rtl/>
        </w:rPr>
        <w:t>מה</w:t>
      </w:r>
      <w:r>
        <w:rPr>
          <w:rtl/>
        </w:rPr>
        <w:t xml:space="preserve">נסיבות </w:t>
      </w:r>
      <w:r>
        <w:rPr>
          <w:rFonts w:hint="cs"/>
          <w:rtl/>
        </w:rPr>
        <w:t>ה</w:t>
      </w:r>
      <w:r>
        <w:rPr>
          <w:rtl/>
        </w:rPr>
        <w:t>חריגות ו</w:t>
      </w:r>
      <w:r>
        <w:rPr>
          <w:rFonts w:hint="cs"/>
          <w:rtl/>
        </w:rPr>
        <w:t>ה</w:t>
      </w:r>
      <w:r>
        <w:rPr>
          <w:rtl/>
        </w:rPr>
        <w:t>מיוחדות</w:t>
      </w:r>
      <w:r>
        <w:rPr>
          <w:rFonts w:hint="cs"/>
          <w:rtl/>
        </w:rPr>
        <w:t xml:space="preserve"> של אירוע בו נוקטים נאשמים במעשה בלתי מידתי ואולם כתגובה לסיכון שנשקף לבני משפחתם, סיכון אשר לפחות בתחושתם הסובייקטיבית היה סיכון של ממש. </w:t>
      </w:r>
    </w:p>
    <w:p w14:paraId="2B05D28C" w14:textId="77777777" w:rsidR="00B0314B" w:rsidRDefault="00B0314B">
      <w:pPr>
        <w:spacing w:line="360" w:lineRule="auto"/>
        <w:jc w:val="both"/>
        <w:rPr>
          <w:rtl/>
        </w:rPr>
      </w:pPr>
    </w:p>
    <w:p w14:paraId="196B0A52" w14:textId="77777777" w:rsidR="00B0314B" w:rsidRDefault="003F3834">
      <w:pPr>
        <w:spacing w:line="360" w:lineRule="auto"/>
        <w:jc w:val="both"/>
        <w:rPr>
          <w:rtl/>
        </w:rPr>
      </w:pPr>
      <w:r>
        <w:rPr>
          <w:rFonts w:hint="cs"/>
          <w:rtl/>
        </w:rPr>
        <w:t xml:space="preserve">לעניין זה סבור אני כי ניתן ללמוד מהוראות </w:t>
      </w:r>
      <w:hyperlink r:id="rId32" w:history="1">
        <w:r w:rsidR="00313AF0" w:rsidRPr="00313AF0">
          <w:rPr>
            <w:color w:val="0000FF"/>
            <w:u w:val="single"/>
            <w:rtl/>
          </w:rPr>
          <w:t>סעיפים 34י'</w:t>
        </w:r>
      </w:hyperlink>
      <w:r>
        <w:rPr>
          <w:rFonts w:hint="cs"/>
          <w:rtl/>
        </w:rPr>
        <w:t xml:space="preserve"> ו- </w:t>
      </w:r>
      <w:hyperlink r:id="rId33" w:history="1">
        <w:r w:rsidR="00313AF0" w:rsidRPr="00313AF0">
          <w:rPr>
            <w:rStyle w:val="Hyperlink"/>
            <w:rtl/>
          </w:rPr>
          <w:t>34י1</w:t>
        </w:r>
      </w:hyperlink>
      <w:r>
        <w:rPr>
          <w:rFonts w:hint="cs"/>
          <w:rtl/>
        </w:rPr>
        <w:t xml:space="preserve"> ל</w:t>
      </w:r>
      <w:hyperlink r:id="rId34" w:history="1">
        <w:r w:rsidRPr="003F3834">
          <w:rPr>
            <w:color w:val="0000FF"/>
            <w:u w:val="single"/>
            <w:rtl/>
          </w:rPr>
          <w:t>חוק העונשין</w:t>
        </w:r>
      </w:hyperlink>
      <w:r>
        <w:rPr>
          <w:rFonts w:hint="cs"/>
          <w:rtl/>
        </w:rPr>
        <w:t xml:space="preserve"> (כפי שתוקן בשנת 2008), סעיפים שעניינם בהגנה עצמית, וכן </w:t>
      </w:r>
      <w:hyperlink r:id="rId35" w:history="1">
        <w:r w:rsidR="00313AF0" w:rsidRPr="00313AF0">
          <w:rPr>
            <w:rStyle w:val="Hyperlink"/>
            <w:rFonts w:hint="eastAsia"/>
            <w:rtl/>
          </w:rPr>
          <w:t>סעיף</w:t>
        </w:r>
        <w:r w:rsidR="00313AF0" w:rsidRPr="00313AF0">
          <w:rPr>
            <w:rStyle w:val="Hyperlink"/>
            <w:rtl/>
          </w:rPr>
          <w:t xml:space="preserve"> 34יא</w:t>
        </w:r>
      </w:hyperlink>
      <w:r>
        <w:rPr>
          <w:rFonts w:hint="cs"/>
          <w:rtl/>
        </w:rPr>
        <w:t xml:space="preserve"> לחוק העונשין שעניינו בהגנת הכורח. סעיפים אלו עוסקים במעשים שבוצעו כדי להדוף סכנה מידית. אמנם הנאשמים אינם עומדים בתנאי הסעיפים הנ"ל מאחר ותגובתם חרגה מדרישת המידתיות המהווה חלק מהוראות סעיפים אלו וכאשר ניתן היה גם לנקוט בדרך אחרת (כגון הזעקת משטרה). עם זאת לא ניתן להתעלם גם לעניין הענישה מנסיבות אירוע שבמהלכו חשו הנאשמים, ולא בכדי, שהם מבצעים מעשה </w:t>
      </w:r>
      <w:r>
        <w:rPr>
          <w:rStyle w:val="default"/>
          <w:rFonts w:hint="cs"/>
          <w:rtl/>
        </w:rPr>
        <w:t>ש"</w:t>
      </w:r>
      <w:r>
        <w:rPr>
          <w:rStyle w:val="default"/>
          <w:b/>
          <w:bCs/>
          <w:rtl/>
        </w:rPr>
        <w:t>דרוש באופן מיידי כדי להדוף תקיפה שלא כדין שנשקפה ממנה סכנה מוחשית של פגיעה בחייו, בחירותו, בגופו או ברכושו, שלו או של זולתו</w:t>
      </w:r>
      <w:r>
        <w:rPr>
          <w:rFonts w:hint="cs"/>
          <w:rtl/>
        </w:rPr>
        <w:t>"</w:t>
      </w:r>
      <w:r>
        <w:rPr>
          <w:rStyle w:val="default"/>
          <w:rFonts w:hint="cs"/>
          <w:rtl/>
        </w:rPr>
        <w:t xml:space="preserve"> (כמשמעו </w:t>
      </w:r>
      <w:hyperlink r:id="rId36" w:history="1">
        <w:r w:rsidR="00313AF0" w:rsidRPr="00313AF0">
          <w:rPr>
            <w:rStyle w:val="Hyperlink"/>
            <w:rFonts w:cs="Times New Roman" w:hint="eastAsia"/>
            <w:sz w:val="26"/>
            <w:szCs w:val="26"/>
            <w:rtl/>
          </w:rPr>
          <w:t>בסעיף</w:t>
        </w:r>
        <w:r w:rsidR="00313AF0" w:rsidRPr="00313AF0">
          <w:rPr>
            <w:rStyle w:val="Hyperlink"/>
            <w:rFonts w:cs="Times New Roman"/>
            <w:sz w:val="26"/>
            <w:szCs w:val="26"/>
            <w:rtl/>
          </w:rPr>
          <w:t xml:space="preserve"> 34י</w:t>
        </w:r>
      </w:hyperlink>
      <w:r>
        <w:rPr>
          <w:rStyle w:val="default"/>
          <w:rFonts w:hint="cs"/>
          <w:rtl/>
        </w:rPr>
        <w:t xml:space="preserve"> ל</w:t>
      </w:r>
      <w:hyperlink r:id="rId37" w:history="1">
        <w:r w:rsidRPr="003F3834">
          <w:rPr>
            <w:rStyle w:val="default"/>
            <w:color w:val="0000FF"/>
            <w:u w:val="single"/>
            <w:rtl/>
          </w:rPr>
          <w:t>חוק העונשין</w:t>
        </w:r>
      </w:hyperlink>
      <w:r>
        <w:rPr>
          <w:rStyle w:val="default"/>
          <w:rFonts w:hint="cs"/>
          <w:rtl/>
        </w:rPr>
        <w:t>)</w:t>
      </w:r>
      <w:r>
        <w:rPr>
          <w:rFonts w:hint="cs"/>
          <w:rtl/>
        </w:rPr>
        <w:t xml:space="preserve">. </w:t>
      </w:r>
    </w:p>
    <w:p w14:paraId="3A77ADE0" w14:textId="77777777" w:rsidR="00B0314B" w:rsidRDefault="00B0314B">
      <w:pPr>
        <w:spacing w:line="360" w:lineRule="auto"/>
        <w:jc w:val="both"/>
        <w:rPr>
          <w:rtl/>
        </w:rPr>
      </w:pPr>
    </w:p>
    <w:p w14:paraId="1C564C29" w14:textId="77777777" w:rsidR="00B0314B" w:rsidRDefault="003F3834">
      <w:pPr>
        <w:spacing w:line="360" w:lineRule="auto"/>
        <w:jc w:val="both"/>
        <w:rPr>
          <w:rtl/>
        </w:rPr>
      </w:pPr>
      <w:r>
        <w:rPr>
          <w:rFonts w:hint="cs"/>
          <w:rtl/>
        </w:rPr>
        <w:t xml:space="preserve">על הוראות אלו יש גם להוסיף את הוראות </w:t>
      </w:r>
      <w:hyperlink r:id="rId38" w:history="1">
        <w:r w:rsidR="00313AF0" w:rsidRPr="00313AF0">
          <w:rPr>
            <w:rStyle w:val="Hyperlink"/>
            <w:rFonts w:hint="eastAsia"/>
            <w:rtl/>
          </w:rPr>
          <w:t>סעיף</w:t>
        </w:r>
        <w:r w:rsidR="00313AF0" w:rsidRPr="00313AF0">
          <w:rPr>
            <w:rStyle w:val="Hyperlink"/>
            <w:rtl/>
          </w:rPr>
          <w:t xml:space="preserve"> 300א'</w:t>
        </w:r>
      </w:hyperlink>
      <w:r>
        <w:rPr>
          <w:rFonts w:hint="cs"/>
          <w:rtl/>
        </w:rPr>
        <w:t xml:space="preserve"> ל</w:t>
      </w:r>
      <w:hyperlink r:id="rId39" w:history="1">
        <w:r w:rsidRPr="003F3834">
          <w:rPr>
            <w:color w:val="0000FF"/>
            <w:u w:val="single"/>
            <w:rtl/>
          </w:rPr>
          <w:t>חוק העונשין</w:t>
        </w:r>
      </w:hyperlink>
      <w:r>
        <w:rPr>
          <w:rFonts w:hint="cs"/>
          <w:rtl/>
        </w:rPr>
        <w:t xml:space="preserve"> שעניינו בענישה מופחתת בעבירת רצח. </w:t>
      </w:r>
      <w:hyperlink r:id="rId40" w:history="1">
        <w:r w:rsidR="00313AF0" w:rsidRPr="00313AF0">
          <w:rPr>
            <w:rStyle w:val="Hyperlink"/>
            <w:rtl/>
          </w:rPr>
          <w:t>סעיף 300א'(ב)</w:t>
        </w:r>
      </w:hyperlink>
      <w:r>
        <w:rPr>
          <w:rFonts w:hint="cs"/>
          <w:rtl/>
        </w:rPr>
        <w:t xml:space="preserve"> מכיר באפשרות לגזירת ענישה מופחתת במקרה של רצח כאשר המעשה בו הורשע הנאשם בוצע </w:t>
      </w:r>
      <w:r>
        <w:rPr>
          <w:rtl/>
        </w:rPr>
        <w:tab/>
      </w:r>
      <w:r>
        <w:rPr>
          <w:rFonts w:hint="cs"/>
          <w:rtl/>
        </w:rPr>
        <w:t>"</w:t>
      </w:r>
      <w:r>
        <w:rPr>
          <w:b/>
          <w:bCs/>
          <w:rtl/>
        </w:rPr>
        <w:t>במצב שבו מעשהו של הנאשם חרג במידה מועטה, בנסיבות הענין, מתחום הסבירות הנדרשת לפי סעיף 34טז לשם תחולת הסייג של הגנה עצמית, צורך או כורח, לפי סעיפים 34י, 34יא, 34יב</w:t>
      </w:r>
      <w:r>
        <w:rPr>
          <w:rFonts w:hint="cs"/>
          <w:rtl/>
        </w:rPr>
        <w:t>". סבור אני כי אם בחר המחוקק להתיר ענישה מופחתת בעבירת רצח בנסיבות החורגות חריגה מועטה מנסיבות המהוות הגנה עצמית או הגנת הצורך, הרי שיש להשליך מכאן גם על מתחם הענישה ההולם מקום בו בוצע מעשה החורג במידה מועטה מאותן נסיבות, הגם שלא נגרמו עבירות בנפש.</w:t>
      </w:r>
      <w:r>
        <w:rPr>
          <w:rFonts w:hint="cs"/>
          <w:b/>
          <w:bCs/>
          <w:rtl/>
        </w:rPr>
        <w:t xml:space="preserve"> </w:t>
      </w:r>
    </w:p>
    <w:p w14:paraId="35B475F2" w14:textId="77777777" w:rsidR="00B0314B" w:rsidRDefault="00B0314B">
      <w:pPr>
        <w:spacing w:line="360" w:lineRule="auto"/>
        <w:jc w:val="both"/>
        <w:rPr>
          <w:highlight w:val="yellow"/>
          <w:rtl/>
        </w:rPr>
      </w:pPr>
    </w:p>
    <w:p w14:paraId="671D8F77" w14:textId="77777777" w:rsidR="00B0314B" w:rsidRDefault="003F3834">
      <w:pPr>
        <w:spacing w:line="360" w:lineRule="auto"/>
        <w:jc w:val="both"/>
        <w:rPr>
          <w:rtl/>
        </w:rPr>
      </w:pPr>
      <w:r>
        <w:rPr>
          <w:rFonts w:hint="cs"/>
          <w:rtl/>
        </w:rPr>
        <w:t xml:space="preserve">למקרה בעל נסיבות שונות ואולם עם מאפיינים דומים נדרשתי בעבר כאשר דנתי </w:t>
      </w:r>
      <w:r>
        <w:rPr>
          <w:rtl/>
        </w:rPr>
        <w:t xml:space="preserve">בתיק </w:t>
      </w:r>
      <w:hyperlink r:id="rId41" w:history="1">
        <w:r w:rsidRPr="003F3834">
          <w:rPr>
            <w:color w:val="0000FF"/>
            <w:u w:val="single"/>
            <w:rtl/>
          </w:rPr>
          <w:t>תפ"ח (חיפה) 2021/05</w:t>
        </w:r>
      </w:hyperlink>
      <w:r>
        <w:rPr>
          <w:rtl/>
        </w:rPr>
        <w:t xml:space="preserve"> </w:t>
      </w:r>
      <w:r>
        <w:rPr>
          <w:b/>
          <w:bCs/>
          <w:rtl/>
        </w:rPr>
        <w:t>מדינת ישראל נ' עיסאם בן מוחמד זחאלקה</w:t>
      </w:r>
      <w:r>
        <w:rPr>
          <w:rtl/>
        </w:rPr>
        <w:t xml:space="preserve"> (פורסם בנבו, 27.2.2007)</w:t>
      </w:r>
      <w:r>
        <w:rPr>
          <w:rFonts w:hint="cs"/>
          <w:rtl/>
        </w:rPr>
        <w:t>. שם</w:t>
      </w:r>
      <w:r>
        <w:rPr>
          <w:rtl/>
        </w:rPr>
        <w:t xml:space="preserve"> נדון עניינו של נאשם שירה למוות בשודד </w:t>
      </w:r>
      <w:r>
        <w:rPr>
          <w:rFonts w:hint="cs"/>
          <w:rtl/>
        </w:rPr>
        <w:t>ש</w:t>
      </w:r>
      <w:r>
        <w:rPr>
          <w:rtl/>
        </w:rPr>
        <w:t xml:space="preserve">פרץ לחנותו. מדובר </w:t>
      </w:r>
      <w:r>
        <w:rPr>
          <w:rFonts w:hint="cs"/>
          <w:rtl/>
        </w:rPr>
        <w:t>באירוע</w:t>
      </w:r>
      <w:r>
        <w:rPr>
          <w:rtl/>
        </w:rPr>
        <w:t xml:space="preserve"> שונה, אך הנסיבות הן חריגות, בדומה לעניינו. </w:t>
      </w:r>
      <w:r>
        <w:rPr>
          <w:rFonts w:hint="cs"/>
          <w:rtl/>
        </w:rPr>
        <w:t>שם כתבתי:</w:t>
      </w:r>
    </w:p>
    <w:p w14:paraId="7415BE2A" w14:textId="77777777" w:rsidR="00B0314B" w:rsidRDefault="00B0314B">
      <w:pPr>
        <w:spacing w:line="360" w:lineRule="auto"/>
        <w:jc w:val="both"/>
        <w:rPr>
          <w:rtl/>
        </w:rPr>
      </w:pPr>
    </w:p>
    <w:p w14:paraId="012D4DB8" w14:textId="77777777" w:rsidR="00B0314B" w:rsidRDefault="003F3834">
      <w:pPr>
        <w:spacing w:line="360" w:lineRule="auto"/>
        <w:ind w:left="1134" w:right="1134"/>
        <w:jc w:val="both"/>
        <w:rPr>
          <w:b/>
          <w:bCs/>
          <w:rtl/>
        </w:rPr>
      </w:pPr>
      <w:r>
        <w:rPr>
          <w:rFonts w:hint="cs"/>
          <w:b/>
          <w:bCs/>
          <w:rtl/>
        </w:rPr>
        <w:t>"</w:t>
      </w:r>
      <w:r>
        <w:rPr>
          <w:b/>
          <w:bCs/>
          <w:rtl/>
        </w:rPr>
        <w:t>אל מול כל נתוניו החיוביים של הנאשם יש להביא בחשבון גם את הצורך להגן על חיי אדם, כל אדם באשר הוא. אמנם, המנוח במקרה זה הוא שודד אשר נכנס לחנות כשהוא חמוש באקדח וביצע שוד. אין מדובר באדם שבנסיבות הענין ראוי להגנה. שודד הנכנס לבצע שוד כאשר הוא חמוש, צריך לצפות ירי נגדי ולתגובת הנשדד שתסכן את חייו. ואולם אל מול הסיכון שלוקח על עצמו השודד קמה גם לנשדד חובה לנקוט באמצעי הגנה שבמידת האפשר לא יקפחו חיים. הגם ששודד אינו ראוי להגנה קמה החובה שלא לפגוע בחיי אדם, כאשר הדבר אינו הכרחי להגנת הנשדד. יפים לעניין זה הדברים שנאמרו בספר שמות, פרק כב' פסוקים א-ב:</w:t>
      </w:r>
    </w:p>
    <w:p w14:paraId="420B3415" w14:textId="77777777" w:rsidR="00B0314B" w:rsidRDefault="00B0314B">
      <w:pPr>
        <w:spacing w:line="360" w:lineRule="auto"/>
        <w:jc w:val="both"/>
        <w:rPr>
          <w:b/>
          <w:bCs/>
          <w:rtl/>
        </w:rPr>
      </w:pPr>
    </w:p>
    <w:p w14:paraId="42D9D1DC" w14:textId="77777777" w:rsidR="00B0314B" w:rsidRDefault="003F3834">
      <w:pPr>
        <w:spacing w:line="360" w:lineRule="auto"/>
        <w:ind w:left="1701" w:right="1701"/>
        <w:jc w:val="both"/>
        <w:rPr>
          <w:b/>
          <w:bCs/>
          <w:rtl/>
        </w:rPr>
      </w:pPr>
      <w:r>
        <w:rPr>
          <w:b/>
          <w:bCs/>
          <w:rtl/>
        </w:rPr>
        <w:t xml:space="preserve">"אם-במחתרת ימצא הגנב והוכה ומת ואין לו דמים. אם-זרחה השמש עליו דמים לו שלם ישלם אם אין לו ונמכר בגניבתו" </w:t>
      </w:r>
    </w:p>
    <w:p w14:paraId="3954CE1F" w14:textId="77777777" w:rsidR="00B0314B" w:rsidRDefault="00B0314B">
      <w:pPr>
        <w:spacing w:line="360" w:lineRule="auto"/>
        <w:ind w:left="1134" w:right="1134"/>
        <w:jc w:val="both"/>
        <w:rPr>
          <w:b/>
          <w:bCs/>
          <w:rtl/>
        </w:rPr>
      </w:pPr>
    </w:p>
    <w:p w14:paraId="05745601" w14:textId="77777777" w:rsidR="00B0314B" w:rsidRDefault="003F3834">
      <w:pPr>
        <w:spacing w:line="360" w:lineRule="auto"/>
        <w:ind w:left="1134" w:right="1134"/>
        <w:jc w:val="both"/>
        <w:rPr>
          <w:b/>
          <w:bCs/>
          <w:rtl/>
        </w:rPr>
      </w:pPr>
      <w:r>
        <w:rPr>
          <w:b/>
          <w:bCs/>
          <w:rtl/>
        </w:rPr>
        <w:t xml:space="preserve">ניתן ללמוד מהאמור כי שם ראו את הגנב הבא בסתר, בחשכת </w:t>
      </w:r>
      <w:r>
        <w:rPr>
          <w:rFonts w:hint="cs"/>
          <w:b/>
          <w:bCs/>
          <w:rtl/>
        </w:rPr>
        <w:br/>
      </w:r>
      <w:r>
        <w:rPr>
          <w:b/>
          <w:bCs/>
          <w:rtl/>
        </w:rPr>
        <w:t xml:space="preserve">הלילה, כמי שדמו מותר כי שודד לילה מוחזק כמי שמוכן לפגוע </w:t>
      </w:r>
      <w:r>
        <w:rPr>
          <w:rFonts w:hint="cs"/>
          <w:b/>
          <w:bCs/>
          <w:rtl/>
        </w:rPr>
        <w:br/>
      </w:r>
      <w:r>
        <w:rPr>
          <w:b/>
          <w:bCs/>
          <w:rtl/>
        </w:rPr>
        <w:t xml:space="preserve">בנפש. ככזה, חל עליו הכלל שהבא להורגך השכם והרגו. </w:t>
      </w:r>
      <w:r>
        <w:rPr>
          <w:rFonts w:hint="cs"/>
          <w:b/>
          <w:bCs/>
          <w:rtl/>
        </w:rPr>
        <w:br/>
      </w:r>
      <w:r>
        <w:rPr>
          <w:b/>
          <w:bCs/>
          <w:rtl/>
        </w:rPr>
        <w:t xml:space="preserve">ואולם, אם נתפס הגנב בשעות יום,כאשר יכל בעל הבית להזעיק </w:t>
      </w:r>
      <w:r>
        <w:rPr>
          <w:rFonts w:hint="cs"/>
          <w:b/>
          <w:bCs/>
          <w:rtl/>
        </w:rPr>
        <w:br/>
      </w:r>
      <w:r>
        <w:rPr>
          <w:b/>
          <w:bCs/>
          <w:rtl/>
        </w:rPr>
        <w:t xml:space="preserve">עזרה, כי אז עליו להמנע מהמתתו ואם יהרגו יחטא ההורג, </w:t>
      </w:r>
      <w:r>
        <w:rPr>
          <w:rFonts w:hint="cs"/>
          <w:b/>
          <w:bCs/>
          <w:rtl/>
        </w:rPr>
        <w:br/>
      </w:r>
      <w:r>
        <w:rPr>
          <w:b/>
          <w:bCs/>
          <w:rtl/>
        </w:rPr>
        <w:t xml:space="preserve">בעל הבית שהגנב התכוון לפגוע בו וברכושו, בשפיכות דמים. ראה לעניין זה דיון נרחב ומקיף בגליון "פרשת השבוע" מספר 276, פרשת משפטים תשס"ז (מתפרסם ע"י המחלקה למשפט עברי במשרד המשפטים ומכללת שערי משפט, מופיע באתר האינטרנט של משרד המשפטים </w:t>
      </w:r>
      <w:hyperlink r:id="rId42" w:history="1">
        <w:r>
          <w:rPr>
            <w:rStyle w:val="Hyperlink"/>
            <w:b/>
            <w:bCs/>
          </w:rPr>
          <w:t>http://www.justice.gov.il/MOJHeb/MishpatIvri/Parashot/gilyonot.htm</w:t>
        </w:r>
      </w:hyperlink>
      <w:r>
        <w:rPr>
          <w:b/>
          <w:bCs/>
          <w:rtl/>
        </w:rPr>
        <w:t>).</w:t>
      </w:r>
      <w:r>
        <w:rPr>
          <w:rFonts w:hint="cs"/>
          <w:b/>
          <w:bCs/>
          <w:rtl/>
        </w:rPr>
        <w:t>"</w:t>
      </w:r>
    </w:p>
    <w:p w14:paraId="5B141690" w14:textId="77777777" w:rsidR="00B0314B" w:rsidRDefault="00B0314B">
      <w:pPr>
        <w:spacing w:line="360" w:lineRule="auto"/>
        <w:jc w:val="both"/>
        <w:rPr>
          <w:b/>
          <w:bCs/>
          <w:rtl/>
        </w:rPr>
      </w:pPr>
    </w:p>
    <w:p w14:paraId="2CB286FA" w14:textId="77777777" w:rsidR="00B0314B" w:rsidRDefault="003F3834">
      <w:pPr>
        <w:spacing w:line="360" w:lineRule="auto"/>
        <w:jc w:val="both"/>
        <w:rPr>
          <w:rtl/>
        </w:rPr>
      </w:pPr>
      <w:r>
        <w:rPr>
          <w:rFonts w:hint="cs"/>
          <w:rtl/>
        </w:rPr>
        <w:t xml:space="preserve">יצוין כי במועד מאוחר יותר, לאחר שניתן פסק דין זה, אישרה הכנסת את </w:t>
      </w:r>
      <w:r>
        <w:rPr>
          <w:rtl/>
        </w:rPr>
        <w:t xml:space="preserve">הצעת </w:t>
      </w:r>
      <w:hyperlink r:id="rId43" w:history="1">
        <w:r w:rsidRPr="003F3834">
          <w:rPr>
            <w:color w:val="0000FF"/>
            <w:u w:val="single"/>
            <w:rtl/>
          </w:rPr>
          <w:t>חוק העונשין</w:t>
        </w:r>
      </w:hyperlink>
      <w:r>
        <w:rPr>
          <w:rtl/>
        </w:rPr>
        <w:t xml:space="preserve"> (תיקון - הגנה עצמית מפני פורץ), התשס"ז - 2007, הצעה הדומה במהותה להצעה קודמת לתיקון חוק העונשין, הצעת חוק הגנה מפני פורץ (תיקוני חקיקה), התש"ס - 2000. </w:t>
      </w:r>
      <w:r>
        <w:rPr>
          <w:rFonts w:hint="cs"/>
          <w:rtl/>
        </w:rPr>
        <w:t xml:space="preserve">במסגרת התיקון שאושר הוספה להוראות </w:t>
      </w:r>
      <w:hyperlink r:id="rId44" w:history="1">
        <w:r w:rsidRPr="003F3834">
          <w:rPr>
            <w:color w:val="0000FF"/>
            <w:u w:val="single"/>
            <w:rtl/>
          </w:rPr>
          <w:t>חוק העונשין</w:t>
        </w:r>
      </w:hyperlink>
      <w:r>
        <w:rPr>
          <w:rFonts w:hint="cs"/>
          <w:rtl/>
        </w:rPr>
        <w:t xml:space="preserve"> הוראת </w:t>
      </w:r>
      <w:hyperlink r:id="rId45" w:history="1">
        <w:r w:rsidR="00313AF0" w:rsidRPr="00313AF0">
          <w:rPr>
            <w:rStyle w:val="Hyperlink"/>
            <w:rFonts w:hint="eastAsia"/>
            <w:rtl/>
          </w:rPr>
          <w:t>סעיף</w:t>
        </w:r>
        <w:r w:rsidR="00313AF0" w:rsidRPr="00313AF0">
          <w:rPr>
            <w:rStyle w:val="Hyperlink"/>
            <w:rtl/>
          </w:rPr>
          <w:t xml:space="preserve"> 34י'1.</w:t>
        </w:r>
      </w:hyperlink>
      <w:r>
        <w:rPr>
          <w:rFonts w:hint="cs"/>
          <w:rtl/>
        </w:rPr>
        <w:t xml:space="preserve"> תיקון זה לחוק הצביע על הבעייתיות של איזון בין הרתעת התוקף לבית מתן הכשר לאמצעים בהם נוקט המותקף לשם הגנה על ביתו ורכושו. </w:t>
      </w:r>
    </w:p>
    <w:p w14:paraId="57F0F78A" w14:textId="77777777" w:rsidR="00B0314B" w:rsidRDefault="00B0314B">
      <w:pPr>
        <w:spacing w:line="360" w:lineRule="auto"/>
        <w:jc w:val="both"/>
        <w:rPr>
          <w:b/>
          <w:bCs/>
          <w:rtl/>
        </w:rPr>
      </w:pPr>
    </w:p>
    <w:p w14:paraId="5255575A" w14:textId="77777777" w:rsidR="00B0314B" w:rsidRDefault="003F3834">
      <w:pPr>
        <w:spacing w:line="360" w:lineRule="auto"/>
        <w:jc w:val="both"/>
        <w:rPr>
          <w:rtl/>
        </w:rPr>
      </w:pPr>
      <w:r>
        <w:rPr>
          <w:rtl/>
        </w:rPr>
        <w:t>מקרה נוסף</w:t>
      </w:r>
      <w:r>
        <w:rPr>
          <w:rFonts w:hint="cs"/>
          <w:rtl/>
        </w:rPr>
        <w:t xml:space="preserve"> לדוגמה</w:t>
      </w:r>
      <w:r>
        <w:rPr>
          <w:rtl/>
        </w:rPr>
        <w:t xml:space="preserve">, שנסיבותיו דומות למקרה שלפנינו, </w:t>
      </w:r>
      <w:r>
        <w:rPr>
          <w:rFonts w:hint="cs"/>
          <w:rtl/>
        </w:rPr>
        <w:t xml:space="preserve">עניינו בשני </w:t>
      </w:r>
      <w:r>
        <w:rPr>
          <w:rtl/>
        </w:rPr>
        <w:t xml:space="preserve">נאשמים </w:t>
      </w:r>
      <w:r>
        <w:rPr>
          <w:rFonts w:hint="cs"/>
          <w:rtl/>
        </w:rPr>
        <w:t xml:space="preserve">שירו </w:t>
      </w:r>
      <w:r>
        <w:rPr>
          <w:rtl/>
        </w:rPr>
        <w:t>ברעולי פנים המצוידים בכלי נשק שנכנסו לבית קפה בו הם שהו. במקרה זה דובר על שני צעירים</w:t>
      </w:r>
      <w:r>
        <w:rPr>
          <w:rFonts w:hint="cs"/>
          <w:rtl/>
        </w:rPr>
        <w:t>,</w:t>
      </w:r>
      <w:r>
        <w:rPr>
          <w:rtl/>
        </w:rPr>
        <w:t xml:space="preserve"> האחד עם עבר פלילי קל והשני עם עבר פלילי בינוני. על הראשון הוטלו עבודות שירות, ועל השני הוטלו שלושה חודשי מאסר בפועל [ראו </w:t>
      </w:r>
      <w:hyperlink r:id="rId46" w:history="1">
        <w:r w:rsidRPr="003F3834">
          <w:rPr>
            <w:color w:val="0000FF"/>
            <w:u w:val="single"/>
            <w:rtl/>
          </w:rPr>
          <w:t>ת"פ (מח' מרכז) 11059-05-12</w:t>
        </w:r>
      </w:hyperlink>
      <w:r>
        <w:rPr>
          <w:rtl/>
        </w:rPr>
        <w:t xml:space="preserve"> </w:t>
      </w:r>
      <w:r>
        <w:rPr>
          <w:b/>
          <w:bCs/>
          <w:rtl/>
        </w:rPr>
        <w:t>מדינת ישראל נ' אבו מוסא</w:t>
      </w:r>
      <w:r>
        <w:rPr>
          <w:rtl/>
        </w:rPr>
        <w:t xml:space="preserve"> (פורס</w:t>
      </w:r>
      <w:r>
        <w:rPr>
          <w:rFonts w:hint="cs"/>
          <w:rtl/>
        </w:rPr>
        <w:t>ם</w:t>
      </w:r>
      <w:r>
        <w:rPr>
          <w:rtl/>
        </w:rPr>
        <w:t xml:space="preserve"> בנבו, 19.5.13)</w:t>
      </w:r>
      <w:r>
        <w:rPr>
          <w:rFonts w:hint="cs"/>
          <w:rtl/>
        </w:rPr>
        <w:t>]</w:t>
      </w:r>
      <w:r>
        <w:rPr>
          <w:rtl/>
        </w:rPr>
        <w:t>.</w:t>
      </w:r>
    </w:p>
    <w:p w14:paraId="2F04F8F4" w14:textId="77777777" w:rsidR="00B0314B" w:rsidRDefault="00B0314B">
      <w:pPr>
        <w:spacing w:line="360" w:lineRule="auto"/>
        <w:jc w:val="both"/>
        <w:rPr>
          <w:rtl/>
        </w:rPr>
      </w:pPr>
    </w:p>
    <w:p w14:paraId="6CCF79A3" w14:textId="77777777" w:rsidR="00B0314B" w:rsidRDefault="003F3834">
      <w:pPr>
        <w:spacing w:line="360" w:lineRule="auto"/>
        <w:jc w:val="both"/>
        <w:rPr>
          <w:rtl/>
        </w:rPr>
      </w:pPr>
      <w:r>
        <w:rPr>
          <w:rFonts w:hint="cs"/>
          <w:rtl/>
        </w:rPr>
        <w:t xml:space="preserve">אוסיף עוד לעניין זה כי הפסיקה הדנה במתחמי ענישה עוסקת, רובה ככולה, בעונשי מאסר. </w:t>
      </w:r>
      <w:hyperlink r:id="rId47" w:history="1">
        <w:r w:rsidRPr="003F3834">
          <w:rPr>
            <w:color w:val="0000FF"/>
            <w:u w:val="single"/>
            <w:rtl/>
          </w:rPr>
          <w:t>חוק העונשין</w:t>
        </w:r>
      </w:hyperlink>
      <w:r>
        <w:rPr>
          <w:rFonts w:hint="cs"/>
          <w:rtl/>
        </w:rPr>
        <w:t xml:space="preserve"> גם קובע אמצעי ענישה נוספים ובהם גם קנסות כספיים. קנס כספי הוא </w:t>
      </w:r>
      <w:r>
        <w:rPr>
          <w:rtl/>
        </w:rPr>
        <w:t xml:space="preserve">אמצעי יעיל להרתעה. כאשר מדובר באדם נורמטיבי, סבור אני כי ניתן להשיג את תכלית הענישה, גם ללא גזירה של עונש מאסר בפועל ממושך, כאשר הענישה המוחשית תבוא בדמותו של קנס משמעותי ביחד עם מאסר מותנה מרתיע. ענישה כספית תכאיב למבצע העבירה ותבהיר לו היטב את הפסול שבמעשיו. קנס בסכום גבוה ביחד עם מאסר מותנה מרתיע יפחית את הסיכוי להישנות העבירה. עם זאת לא יהיה בכך כדי להפיל אדם נורמטיבי לתוך סביבה עבריינית מובהקת ולא יגרום לו לחזק נטיות קרימינליות ואנטי-חברתיות תוך תהליך של "פריזוניזציה" - תהליך של התבוללות והטמעות בחברה עבריינית, כפי שעלול לקרות אם ייגזר עונש של מאסר ממושך. ראו לעניין זה: </w:t>
      </w:r>
    </w:p>
    <w:p w14:paraId="6E7A499D" w14:textId="77777777" w:rsidR="00B0314B" w:rsidRDefault="003F3834">
      <w:pPr>
        <w:spacing w:line="360" w:lineRule="auto"/>
        <w:jc w:val="both"/>
        <w:rPr>
          <w:rtl/>
        </w:rPr>
      </w:pPr>
      <w:r>
        <w:rPr>
          <w:rFonts w:hint="cs"/>
          <w:rtl/>
        </w:rPr>
        <w:t>בועז סנג'רו</w:t>
      </w:r>
      <w:r>
        <w:rPr>
          <w:rtl/>
        </w:rPr>
        <w:t xml:space="preserve"> </w:t>
      </w:r>
      <w:r>
        <w:rPr>
          <w:rFonts w:hint="cs"/>
          <w:rtl/>
        </w:rPr>
        <w:t>"</w:t>
      </w:r>
      <w:r>
        <w:rPr>
          <w:rtl/>
        </w:rPr>
        <w:t xml:space="preserve">מי מעונין במאסרים מרובים וממושכים יותר? על הצעת </w:t>
      </w:r>
      <w:hyperlink r:id="rId48" w:history="1">
        <w:r w:rsidRPr="003F3834">
          <w:rPr>
            <w:color w:val="0000FF"/>
            <w:u w:val="single"/>
            <w:rtl/>
          </w:rPr>
          <w:t>חוק העונשין</w:t>
        </w:r>
      </w:hyperlink>
      <w:r>
        <w:rPr>
          <w:rtl/>
        </w:rPr>
        <w:t xml:space="preserve"> (תיקון: הבניית שיקול הדעת השיפוטי בענישה</w:t>
      </w:r>
      <w:r>
        <w:rPr>
          <w:rFonts w:hint="cs"/>
          <w:rtl/>
        </w:rPr>
        <w:t>)"</w:t>
      </w:r>
      <w:r>
        <w:rPr>
          <w:rtl/>
        </w:rPr>
        <w:t xml:space="preserve"> </w:t>
      </w:r>
      <w:r>
        <w:rPr>
          <w:b/>
          <w:bCs/>
          <w:rtl/>
        </w:rPr>
        <w:t>עלי משפט</w:t>
      </w:r>
      <w:r>
        <w:rPr>
          <w:rtl/>
        </w:rPr>
        <w:t xml:space="preserve"> 247, 257 - 260 (התשס"ו)</w:t>
      </w:r>
      <w:r>
        <w:rPr>
          <w:rFonts w:hint="cs"/>
          <w:rtl/>
        </w:rPr>
        <w:t>.</w:t>
      </w:r>
    </w:p>
    <w:p w14:paraId="6466FF59" w14:textId="77777777" w:rsidR="00B0314B" w:rsidRDefault="00B0314B">
      <w:pPr>
        <w:spacing w:line="360" w:lineRule="auto"/>
        <w:jc w:val="both"/>
        <w:rPr>
          <w:rtl/>
        </w:rPr>
      </w:pPr>
    </w:p>
    <w:p w14:paraId="5E5EE826" w14:textId="77777777" w:rsidR="00B0314B" w:rsidRDefault="003F3834">
      <w:pPr>
        <w:spacing w:line="360" w:lineRule="auto"/>
        <w:jc w:val="both"/>
        <w:rPr>
          <w:rtl/>
        </w:rPr>
      </w:pPr>
      <w:r>
        <w:rPr>
          <w:rFonts w:hint="cs"/>
          <w:rtl/>
        </w:rPr>
        <w:t xml:space="preserve">במקרה זה שבפני, החורג </w:t>
      </w:r>
      <w:r>
        <w:rPr>
          <w:rFonts w:hint="cs"/>
          <w:b/>
          <w:bCs/>
          <w:rtl/>
        </w:rPr>
        <w:t>"</w:t>
      </w:r>
      <w:r>
        <w:rPr>
          <w:b/>
          <w:bCs/>
          <w:rtl/>
        </w:rPr>
        <w:t>במידה מועטה, בנסיבות הענין, מתחום הסבירות הנדרשת לפי סעיף 34טז לשם תחולת הסייג של הגנה עצמית, צורך או כורח, לפי סעיפים 34י, 34יא, 34יב</w:t>
      </w:r>
      <w:r>
        <w:rPr>
          <w:rFonts w:hint="cs"/>
          <w:rtl/>
        </w:rPr>
        <w:t xml:space="preserve">" (כמשמעו </w:t>
      </w:r>
      <w:hyperlink r:id="rId49" w:history="1">
        <w:r w:rsidR="00313AF0" w:rsidRPr="00313AF0">
          <w:rPr>
            <w:rStyle w:val="Hyperlink"/>
            <w:rFonts w:hint="eastAsia"/>
            <w:rtl/>
          </w:rPr>
          <w:t>בסעיף</w:t>
        </w:r>
        <w:r w:rsidR="00313AF0" w:rsidRPr="00313AF0">
          <w:rPr>
            <w:rStyle w:val="Hyperlink"/>
            <w:rtl/>
          </w:rPr>
          <w:t xml:space="preserve"> 300א'(ב)</w:t>
        </w:r>
      </w:hyperlink>
      <w:r>
        <w:rPr>
          <w:rFonts w:hint="cs"/>
          <w:rtl/>
        </w:rPr>
        <w:t xml:space="preserve"> ל</w:t>
      </w:r>
      <w:hyperlink r:id="rId50" w:history="1">
        <w:r w:rsidRPr="003F3834">
          <w:rPr>
            <w:color w:val="0000FF"/>
            <w:u w:val="single"/>
            <w:rtl/>
          </w:rPr>
          <w:t>חוק העונשין</w:t>
        </w:r>
      </w:hyperlink>
      <w:r>
        <w:rPr>
          <w:rFonts w:hint="cs"/>
          <w:rtl/>
        </w:rPr>
        <w:t xml:space="preserve">) סבור אני כי מתחם העונש ההולם צריך להיות בין 6 חודשי מאסר שניתן לרצותם בעבודות שירות לבין עונש של 24 חודשי מאסר, כאשר בצד עונש המאסר יעשה גם שימוש באמצעי הענישה של קנס כספי. </w:t>
      </w:r>
    </w:p>
    <w:p w14:paraId="79FCEC71" w14:textId="77777777" w:rsidR="00B0314B" w:rsidRDefault="00B0314B">
      <w:pPr>
        <w:spacing w:line="360" w:lineRule="auto"/>
        <w:jc w:val="both"/>
        <w:rPr>
          <w:rtl/>
        </w:rPr>
      </w:pPr>
    </w:p>
    <w:p w14:paraId="7707A7CE" w14:textId="77777777" w:rsidR="00B0314B" w:rsidRDefault="003F3834">
      <w:pPr>
        <w:spacing w:line="360" w:lineRule="auto"/>
        <w:jc w:val="both"/>
        <w:rPr>
          <w:rtl/>
        </w:rPr>
      </w:pPr>
      <w:r>
        <w:rPr>
          <w:rFonts w:hint="cs"/>
          <w:rtl/>
        </w:rPr>
        <w:t xml:space="preserve">לא מצאתי עילה לחרוג, לקולא או לחומרא, ממתחם העונש ההולם שקבעתי לעיל. </w:t>
      </w:r>
    </w:p>
    <w:p w14:paraId="7BBD744E" w14:textId="77777777" w:rsidR="00B0314B" w:rsidRDefault="00B0314B">
      <w:pPr>
        <w:spacing w:line="360" w:lineRule="auto"/>
        <w:jc w:val="both"/>
        <w:rPr>
          <w:rtl/>
        </w:rPr>
      </w:pPr>
    </w:p>
    <w:p w14:paraId="2E23D8E3" w14:textId="77777777" w:rsidR="00B0314B" w:rsidRDefault="003F3834">
      <w:pPr>
        <w:bidi w:val="0"/>
        <w:rPr>
          <w:rtl/>
        </w:rPr>
      </w:pPr>
      <w:r>
        <w:rPr>
          <w:rtl/>
        </w:rPr>
        <w:br w:type="page"/>
      </w:r>
    </w:p>
    <w:p w14:paraId="30443C61" w14:textId="77777777" w:rsidR="00B0314B" w:rsidRDefault="003F3834">
      <w:pPr>
        <w:spacing w:line="360" w:lineRule="auto"/>
        <w:jc w:val="both"/>
        <w:rPr>
          <w:rtl/>
        </w:rPr>
      </w:pPr>
      <w:r>
        <w:rPr>
          <w:rFonts w:hint="cs"/>
          <w:rtl/>
        </w:rPr>
        <w:t xml:space="preserve">בכל הנוגע לפיצוי נפגעי העבירה </w:t>
      </w:r>
      <w:r>
        <w:rPr>
          <w:rtl/>
        </w:rPr>
        <w:t>–</w:t>
      </w:r>
      <w:r>
        <w:rPr>
          <w:rFonts w:hint="cs"/>
          <w:rtl/>
        </w:rPr>
        <w:t xml:space="preserve"> סבור אני כי בנסיבות העניין יש לחייב את הנאשמים בפיצוי נפגעי העבירה. עם זאת, בשים לב לתרומתם של נפגעי העבירה להתלקחות האירוע, יפסק לזכותם פיצוי בסכום מופחת. מובן כי פתוחה בפני כל נפגע עבירה הזכות לתבוע את מלוא נזקיו במסגרת של הליך אזרחי. </w:t>
      </w:r>
    </w:p>
    <w:p w14:paraId="44CD2CC1" w14:textId="77777777" w:rsidR="00B0314B" w:rsidRDefault="00B0314B">
      <w:pPr>
        <w:spacing w:line="360" w:lineRule="auto"/>
        <w:jc w:val="both"/>
        <w:rPr>
          <w:rtl/>
        </w:rPr>
      </w:pPr>
    </w:p>
    <w:p w14:paraId="0E3AC7F3" w14:textId="77777777" w:rsidR="00B0314B" w:rsidRDefault="003F3834">
      <w:pPr>
        <w:spacing w:line="360" w:lineRule="auto"/>
        <w:jc w:val="both"/>
        <w:rPr>
          <w:b/>
          <w:bCs/>
          <w:u w:val="single"/>
          <w:rtl/>
        </w:rPr>
      </w:pPr>
      <w:r>
        <w:rPr>
          <w:b/>
          <w:bCs/>
          <w:u w:val="single"/>
          <w:rtl/>
        </w:rPr>
        <w:t>סיכום הענישה וגזר הדין</w:t>
      </w:r>
    </w:p>
    <w:p w14:paraId="001574F8" w14:textId="77777777" w:rsidR="00B0314B" w:rsidRDefault="00B0314B">
      <w:pPr>
        <w:spacing w:line="360" w:lineRule="auto"/>
        <w:jc w:val="both"/>
        <w:rPr>
          <w:rtl/>
        </w:rPr>
      </w:pPr>
    </w:p>
    <w:p w14:paraId="523510B4" w14:textId="77777777" w:rsidR="00B0314B" w:rsidRDefault="003F3834">
      <w:pPr>
        <w:spacing w:line="360" w:lineRule="auto"/>
        <w:jc w:val="both"/>
        <w:rPr>
          <w:rtl/>
        </w:rPr>
      </w:pPr>
      <w:r>
        <w:rPr>
          <w:rtl/>
        </w:rPr>
        <w:t xml:space="preserve">בהתחשב בהמלצת שירות המבחן בעניין כל נאשם בנפרד, בנסיבותיהם האישיות של הנאשמים, כמו כן בהתחשב בחבלות שנגרמו למתלוננים, אני </w:t>
      </w:r>
      <w:r>
        <w:rPr>
          <w:rFonts w:hint="cs"/>
          <w:rtl/>
        </w:rPr>
        <w:t>גוזר</w:t>
      </w:r>
      <w:r>
        <w:rPr>
          <w:rtl/>
        </w:rPr>
        <w:t xml:space="preserve"> על הנאשמים את העונשים הבאים:</w:t>
      </w:r>
    </w:p>
    <w:p w14:paraId="58CEB596" w14:textId="77777777" w:rsidR="00B0314B" w:rsidRDefault="00B0314B">
      <w:pPr>
        <w:spacing w:line="360" w:lineRule="auto"/>
        <w:jc w:val="both"/>
        <w:rPr>
          <w:rtl/>
        </w:rPr>
      </w:pPr>
    </w:p>
    <w:p w14:paraId="0D192E10" w14:textId="77777777" w:rsidR="00B0314B" w:rsidRDefault="003F3834">
      <w:pPr>
        <w:spacing w:line="360" w:lineRule="auto"/>
        <w:jc w:val="both"/>
        <w:rPr>
          <w:rtl/>
        </w:rPr>
      </w:pPr>
      <w:r>
        <w:rPr>
          <w:b/>
          <w:bCs/>
          <w:u w:val="single"/>
          <w:rtl/>
        </w:rPr>
        <w:t>נאשם 1</w:t>
      </w:r>
      <w:r>
        <w:rPr>
          <w:rFonts w:hint="cs"/>
          <w:rtl/>
        </w:rPr>
        <w:t xml:space="preserve"> - נאשם זה ירה ופגע בשלושה מתלוננים. הנאשם היה עצור למעלה מארבעה חודשים (מיום 8/10/13 ועד ליום 17/2/14). אני גוזר על הנאשם 12 חודשי מאסר, מהם ארבעה חודשי מאסר לריצוי בפועל בניכוי תקופת מעצרו (כלומר נאשם 1 סיים לרצות את עונשו), ו- 8 חודשי מאסר על תנאי. התנאי הוא שהנאשם לא יעבור העבירות בהן הורשע בתוך 36 חודשים מהיום ויורשע בגינן.</w:t>
      </w:r>
    </w:p>
    <w:p w14:paraId="1A08C4E0" w14:textId="77777777" w:rsidR="00B0314B" w:rsidRDefault="00B0314B">
      <w:pPr>
        <w:spacing w:line="360" w:lineRule="auto"/>
        <w:jc w:val="both"/>
        <w:rPr>
          <w:rtl/>
        </w:rPr>
      </w:pPr>
    </w:p>
    <w:p w14:paraId="5D758D88" w14:textId="77777777" w:rsidR="00B0314B" w:rsidRDefault="003F3834">
      <w:pPr>
        <w:spacing w:line="360" w:lineRule="auto"/>
        <w:jc w:val="both"/>
        <w:rPr>
          <w:rtl/>
        </w:rPr>
      </w:pPr>
      <w:r>
        <w:rPr>
          <w:rFonts w:hint="cs"/>
          <w:rtl/>
        </w:rPr>
        <w:t xml:space="preserve">אני מחייב את הנאשם 1 בתשלום קנס בסכום של 20,000 ₪ או ארבעה חודשי מאסר תמורתם. הקנס ישולם בארבעה תשלומים שווים ורצופים כשהתשלום הראשון ישולם ביום 1/6/14 והיתרה </w:t>
      </w:r>
      <w:r>
        <w:rPr>
          <w:rtl/>
        </w:rPr>
        <w:br/>
      </w:r>
      <w:r>
        <w:rPr>
          <w:rFonts w:hint="cs"/>
          <w:rtl/>
        </w:rPr>
        <w:t>ב- 1 לחודש שאחריו. לא ישולם תשלום במועדו, תעמוד יתרת הקנס לפירעון מידי ויהיה על הנאשם לרצות עבור כל סכום של 5,000 ₪ שטרם שולם חודש מאסר תמורתו.</w:t>
      </w:r>
      <w:r>
        <w:rPr>
          <w:rtl/>
        </w:rPr>
        <w:t xml:space="preserve"> </w:t>
      </w:r>
    </w:p>
    <w:p w14:paraId="01C3712D" w14:textId="77777777" w:rsidR="00B0314B" w:rsidRDefault="00B0314B">
      <w:pPr>
        <w:spacing w:line="360" w:lineRule="auto"/>
        <w:jc w:val="both"/>
        <w:rPr>
          <w:highlight w:val="yellow"/>
          <w:rtl/>
        </w:rPr>
      </w:pPr>
    </w:p>
    <w:p w14:paraId="41D98BDC" w14:textId="77777777" w:rsidR="00B0314B" w:rsidRDefault="003F3834">
      <w:pPr>
        <w:spacing w:line="360" w:lineRule="auto"/>
        <w:jc w:val="both"/>
        <w:rPr>
          <w:rtl/>
        </w:rPr>
      </w:pPr>
      <w:r>
        <w:rPr>
          <w:rFonts w:hint="cs"/>
          <w:rtl/>
        </w:rPr>
        <w:t>בנוסף יפצה הנאשם 1 כל מתלונן שנפגע מירי שבוצע על ידו (סה"כ שלושה מתלוננים) בסכום ב</w:t>
      </w:r>
      <w:r>
        <w:rPr>
          <w:rtl/>
        </w:rPr>
        <w:t>סך</w:t>
      </w:r>
      <w:r>
        <w:rPr>
          <w:rFonts w:hint="cs"/>
          <w:rtl/>
        </w:rPr>
        <w:t xml:space="preserve"> של 3</w:t>
      </w:r>
      <w:r>
        <w:rPr>
          <w:rtl/>
        </w:rPr>
        <w:t xml:space="preserve">,000 ₪ </w:t>
      </w:r>
      <w:r>
        <w:rPr>
          <w:rFonts w:hint="cs"/>
          <w:rtl/>
        </w:rPr>
        <w:t>(ובסך הכל 9,000 ₪)</w:t>
      </w:r>
      <w:r>
        <w:rPr>
          <w:rtl/>
        </w:rPr>
        <w:t xml:space="preserve">. </w:t>
      </w:r>
    </w:p>
    <w:p w14:paraId="51D75FD3" w14:textId="77777777" w:rsidR="00B0314B" w:rsidRDefault="00B0314B">
      <w:pPr>
        <w:spacing w:line="360" w:lineRule="auto"/>
        <w:jc w:val="both"/>
        <w:rPr>
          <w:rtl/>
        </w:rPr>
      </w:pPr>
    </w:p>
    <w:p w14:paraId="4E83F785" w14:textId="77777777" w:rsidR="00B0314B" w:rsidRDefault="003F3834">
      <w:pPr>
        <w:spacing w:line="360" w:lineRule="auto"/>
        <w:jc w:val="both"/>
        <w:rPr>
          <w:rtl/>
        </w:rPr>
      </w:pPr>
      <w:r>
        <w:rPr>
          <w:rFonts w:hint="cs"/>
          <w:b/>
          <w:bCs/>
          <w:u w:val="single"/>
          <w:rtl/>
        </w:rPr>
        <w:t>נאשם 2</w:t>
      </w:r>
      <w:r>
        <w:rPr>
          <w:rFonts w:hint="cs"/>
          <w:rtl/>
        </w:rPr>
        <w:t xml:space="preserve"> - נאשם זה ירה ופגע בשישה מתלוננים. הנאשם עצור כשישה חודשים (מיום 7/11/13). אני גוזר על הנאשם 18 חודשי מאסר מהם 9 חודשי מאסר לריצוי בפועל שמניינם מיום מעצרו ועוד 9 חודשי מאסר מותנה. </w:t>
      </w:r>
      <w:r>
        <w:rPr>
          <w:rtl/>
        </w:rPr>
        <w:t xml:space="preserve">התנאי הוא שהנאשם לא יעבור העבירות בהן הורשע בתוך 36 חודשים מהיום ויורשע בגינן. </w:t>
      </w:r>
    </w:p>
    <w:p w14:paraId="37BB894D" w14:textId="77777777" w:rsidR="00B0314B" w:rsidRDefault="00B0314B">
      <w:pPr>
        <w:spacing w:line="360" w:lineRule="auto"/>
        <w:rPr>
          <w:rtl/>
        </w:rPr>
      </w:pPr>
    </w:p>
    <w:p w14:paraId="308F1C9A" w14:textId="77777777" w:rsidR="00B0314B" w:rsidRDefault="003F3834">
      <w:pPr>
        <w:spacing w:line="360" w:lineRule="auto"/>
        <w:jc w:val="both"/>
        <w:rPr>
          <w:rtl/>
        </w:rPr>
      </w:pPr>
      <w:r>
        <w:rPr>
          <w:rtl/>
        </w:rPr>
        <w:t xml:space="preserve">אני מחייב את הנאשם </w:t>
      </w:r>
      <w:r>
        <w:rPr>
          <w:rFonts w:hint="cs"/>
          <w:rtl/>
        </w:rPr>
        <w:t>2</w:t>
      </w:r>
      <w:r>
        <w:rPr>
          <w:rtl/>
        </w:rPr>
        <w:t xml:space="preserve"> בתשלום קנס בסכום של </w:t>
      </w:r>
      <w:r>
        <w:rPr>
          <w:rFonts w:hint="cs"/>
          <w:rtl/>
        </w:rPr>
        <w:t>4</w:t>
      </w:r>
      <w:r>
        <w:rPr>
          <w:rtl/>
        </w:rPr>
        <w:t xml:space="preserve">0,000 ₪ או </w:t>
      </w:r>
      <w:r>
        <w:rPr>
          <w:rFonts w:hint="cs"/>
          <w:rtl/>
        </w:rPr>
        <w:t>שמונה (8)</w:t>
      </w:r>
      <w:r>
        <w:rPr>
          <w:rtl/>
        </w:rPr>
        <w:t xml:space="preserve"> חודשי מאסר תמורתם. </w:t>
      </w:r>
      <w:r>
        <w:rPr>
          <w:rFonts w:hint="cs"/>
          <w:rtl/>
        </w:rPr>
        <w:t>ה</w:t>
      </w:r>
      <w:r>
        <w:rPr>
          <w:rtl/>
        </w:rPr>
        <w:t>קנס ישולם ב</w:t>
      </w:r>
      <w:r>
        <w:rPr>
          <w:rFonts w:hint="cs"/>
          <w:rtl/>
        </w:rPr>
        <w:t>שמונה (8)</w:t>
      </w:r>
      <w:r>
        <w:rPr>
          <w:rtl/>
        </w:rPr>
        <w:t xml:space="preserve"> תשלומים שווים ורצופים כשהתשלום</w:t>
      </w:r>
      <w:r>
        <w:rPr>
          <w:rFonts w:hint="cs"/>
          <w:rtl/>
        </w:rPr>
        <w:t xml:space="preserve"> </w:t>
      </w:r>
      <w:r>
        <w:rPr>
          <w:rtl/>
        </w:rPr>
        <w:t>הראשון ישולם ביום 1/6/14 והיתרה ב</w:t>
      </w:r>
      <w:r>
        <w:rPr>
          <w:rFonts w:hint="cs"/>
          <w:rtl/>
        </w:rPr>
        <w:t>-</w:t>
      </w:r>
      <w:r>
        <w:rPr>
          <w:rtl/>
        </w:rPr>
        <w:t xml:space="preserve">1 לחודש שאחריו. לא ישולם תשלום במועדו תעמוד יתרת הקנס לפירעון מידי ויהיה על הנאשם לרצות עבור כל סכום של 5,000 ₪ שטרם שולם חודש מאסר תמורתו. </w:t>
      </w:r>
    </w:p>
    <w:p w14:paraId="7D48FA50" w14:textId="77777777" w:rsidR="00B0314B" w:rsidRDefault="00B0314B">
      <w:pPr>
        <w:spacing w:line="360" w:lineRule="auto"/>
        <w:rPr>
          <w:rtl/>
        </w:rPr>
      </w:pPr>
    </w:p>
    <w:p w14:paraId="73B7BC01" w14:textId="77777777" w:rsidR="00B0314B" w:rsidRDefault="003F3834">
      <w:pPr>
        <w:spacing w:line="360" w:lineRule="auto"/>
        <w:jc w:val="both"/>
        <w:rPr>
          <w:rtl/>
        </w:rPr>
      </w:pPr>
      <w:r>
        <w:rPr>
          <w:rtl/>
        </w:rPr>
        <w:t xml:space="preserve">בנוסף יפצה הנאשם </w:t>
      </w:r>
      <w:r>
        <w:rPr>
          <w:rFonts w:hint="cs"/>
          <w:rtl/>
        </w:rPr>
        <w:t>2</w:t>
      </w:r>
      <w:r>
        <w:rPr>
          <w:rtl/>
        </w:rPr>
        <w:t xml:space="preserve"> כל מתלונן שנפגע מירי שבוצע על ידו (סה"כ </w:t>
      </w:r>
      <w:r>
        <w:rPr>
          <w:rFonts w:hint="cs"/>
          <w:rtl/>
        </w:rPr>
        <w:t>שישה</w:t>
      </w:r>
      <w:r>
        <w:rPr>
          <w:rtl/>
        </w:rPr>
        <w:t xml:space="preserve"> מתלוננים) בסכום בסך של</w:t>
      </w:r>
      <w:r>
        <w:rPr>
          <w:rFonts w:hint="cs"/>
          <w:rtl/>
        </w:rPr>
        <w:t xml:space="preserve"> </w:t>
      </w:r>
      <w:r>
        <w:rPr>
          <w:rtl/>
        </w:rPr>
        <w:t xml:space="preserve">3,000 ₪ (ובסך הכל </w:t>
      </w:r>
      <w:r>
        <w:rPr>
          <w:rFonts w:hint="cs"/>
          <w:rtl/>
        </w:rPr>
        <w:t>18</w:t>
      </w:r>
      <w:r>
        <w:rPr>
          <w:rtl/>
        </w:rPr>
        <w:t xml:space="preserve">,000 ₪). </w:t>
      </w:r>
    </w:p>
    <w:p w14:paraId="6AB476C2" w14:textId="77777777" w:rsidR="00B0314B" w:rsidRDefault="00B0314B">
      <w:pPr>
        <w:spacing w:line="360" w:lineRule="auto"/>
        <w:jc w:val="both"/>
        <w:rPr>
          <w:rtl/>
        </w:rPr>
      </w:pPr>
    </w:p>
    <w:p w14:paraId="283CEF2F" w14:textId="77777777" w:rsidR="00B0314B" w:rsidRDefault="003F3834">
      <w:pPr>
        <w:spacing w:line="360" w:lineRule="auto"/>
        <w:jc w:val="both"/>
        <w:rPr>
          <w:b/>
          <w:bCs/>
          <w:u w:val="single"/>
        </w:rPr>
      </w:pPr>
      <w:r>
        <w:rPr>
          <w:b/>
          <w:bCs/>
          <w:u w:val="single"/>
          <w:rtl/>
        </w:rPr>
        <w:t xml:space="preserve">זכות ערעור לבית המשפט </w:t>
      </w:r>
      <w:r>
        <w:rPr>
          <w:rFonts w:hint="cs"/>
          <w:b/>
          <w:bCs/>
          <w:u w:val="single"/>
          <w:rtl/>
        </w:rPr>
        <w:t>ה</w:t>
      </w:r>
      <w:r>
        <w:rPr>
          <w:b/>
          <w:bCs/>
          <w:u w:val="single"/>
          <w:rtl/>
        </w:rPr>
        <w:t xml:space="preserve">עליון תוך 45 ימים מהיום. </w:t>
      </w:r>
    </w:p>
    <w:p w14:paraId="44B09778" w14:textId="77777777" w:rsidR="00B0314B" w:rsidRPr="003F3834" w:rsidRDefault="003F3834">
      <w:pPr>
        <w:spacing w:line="360" w:lineRule="auto"/>
        <w:jc w:val="both"/>
        <w:rPr>
          <w:color w:val="FFFFFF"/>
          <w:sz w:val="2"/>
          <w:szCs w:val="2"/>
        </w:rPr>
      </w:pPr>
      <w:r w:rsidRPr="003F3834">
        <w:rPr>
          <w:color w:val="FFFFFF"/>
          <w:sz w:val="2"/>
          <w:szCs w:val="2"/>
          <w:rtl/>
        </w:rPr>
        <w:t>5129371</w:t>
      </w:r>
    </w:p>
    <w:tbl>
      <w:tblPr>
        <w:bidiVisual/>
        <w:tblW w:w="0" w:type="auto"/>
        <w:jc w:val="right"/>
        <w:tblLook w:val="01E0" w:firstRow="1" w:lastRow="1" w:firstColumn="1" w:lastColumn="1" w:noHBand="0" w:noVBand="0"/>
      </w:tblPr>
      <w:tblGrid>
        <w:gridCol w:w="2834"/>
      </w:tblGrid>
      <w:tr w:rsidR="00B0314B" w14:paraId="00D99AF3" w14:textId="77777777">
        <w:trPr>
          <w:jc w:val="right"/>
        </w:trPr>
        <w:tc>
          <w:tcPr>
            <w:tcW w:w="2834" w:type="dxa"/>
            <w:tcBorders>
              <w:top w:val="nil"/>
              <w:left w:val="nil"/>
              <w:bottom w:val="single" w:sz="4" w:space="0" w:color="auto"/>
              <w:right w:val="nil"/>
            </w:tcBorders>
            <w:vAlign w:val="center"/>
          </w:tcPr>
          <w:p w14:paraId="45AFB5AD" w14:textId="77777777" w:rsidR="00B0314B" w:rsidRDefault="003F3834">
            <w:pPr>
              <w:jc w:val="center"/>
              <w:rPr>
                <w:rFonts w:ascii="Courier New" w:hAnsi="Courier New"/>
                <w:b/>
                <w:bCs/>
              </w:rPr>
            </w:pPr>
            <w:r w:rsidRPr="003F3834">
              <w:rPr>
                <w:rFonts w:ascii="Arial" w:hAnsi="Arial"/>
                <w:color w:val="FFFFFF"/>
                <w:sz w:val="2"/>
                <w:szCs w:val="2"/>
                <w:rtl/>
              </w:rPr>
              <w:t>54678313</w:t>
            </w:r>
            <w:r>
              <w:rPr>
                <w:rFonts w:ascii="Arial" w:hAnsi="Arial"/>
                <w:rtl/>
              </w:rPr>
              <w:t xml:space="preserve">ניתן היום, י"ב אייר תשע"ד, 12 מאי 2014, במעמד הצדדים ובאי כוחם. </w:t>
            </w:r>
          </w:p>
        </w:tc>
      </w:tr>
      <w:tr w:rsidR="00B0314B" w14:paraId="7ACD53F6" w14:textId="77777777">
        <w:trPr>
          <w:jc w:val="right"/>
        </w:trPr>
        <w:tc>
          <w:tcPr>
            <w:tcW w:w="2834" w:type="dxa"/>
            <w:tcBorders>
              <w:top w:val="single" w:sz="4" w:space="0" w:color="auto"/>
              <w:left w:val="nil"/>
              <w:bottom w:val="nil"/>
              <w:right w:val="nil"/>
            </w:tcBorders>
          </w:tcPr>
          <w:p w14:paraId="3719FB60" w14:textId="77777777" w:rsidR="00B0314B" w:rsidRDefault="003F3834">
            <w:pPr>
              <w:jc w:val="center"/>
              <w:rPr>
                <w:b/>
                <w:bCs/>
                <w:noProof/>
                <w:sz w:val="28"/>
              </w:rPr>
            </w:pPr>
            <w:r>
              <w:rPr>
                <w:rFonts w:hint="cs"/>
                <w:b/>
                <w:bCs/>
                <w:sz w:val="28"/>
                <w:rtl/>
              </w:rPr>
              <w:t>ר' שפירא, ס. נשיא</w:t>
            </w:r>
          </w:p>
        </w:tc>
      </w:tr>
    </w:tbl>
    <w:p w14:paraId="321AF19D" w14:textId="77777777" w:rsidR="00B0314B" w:rsidRDefault="00B0314B">
      <w:pPr>
        <w:rPr>
          <w:rtl/>
        </w:rPr>
      </w:pPr>
    </w:p>
    <w:p w14:paraId="4EB3E794" w14:textId="77777777" w:rsidR="00B0314B" w:rsidRDefault="00B0314B">
      <w:pPr>
        <w:spacing w:line="360" w:lineRule="auto"/>
        <w:jc w:val="both"/>
        <w:rPr>
          <w:rFonts w:ascii="Arial" w:hAnsi="Arial"/>
        </w:rPr>
      </w:pPr>
    </w:p>
    <w:p w14:paraId="66C806E8" w14:textId="77777777" w:rsidR="003F3834" w:rsidRPr="003F3834" w:rsidRDefault="003F3834" w:rsidP="003F3834">
      <w:pPr>
        <w:keepNext/>
        <w:rPr>
          <w:rFonts w:ascii="David" w:hAnsi="David"/>
          <w:color w:val="000000"/>
          <w:sz w:val="22"/>
          <w:szCs w:val="22"/>
          <w:rtl/>
        </w:rPr>
      </w:pPr>
    </w:p>
    <w:p w14:paraId="22BDF2EF" w14:textId="77777777" w:rsidR="003F3834" w:rsidRPr="003F3834" w:rsidRDefault="003F3834" w:rsidP="003F3834">
      <w:pPr>
        <w:keepNext/>
        <w:rPr>
          <w:rFonts w:ascii="David" w:hAnsi="David"/>
          <w:color w:val="000000"/>
          <w:sz w:val="22"/>
          <w:szCs w:val="22"/>
          <w:rtl/>
        </w:rPr>
      </w:pPr>
      <w:r w:rsidRPr="003F3834">
        <w:rPr>
          <w:rFonts w:ascii="David" w:hAnsi="David"/>
          <w:color w:val="000000"/>
          <w:sz w:val="22"/>
          <w:szCs w:val="22"/>
          <w:rtl/>
        </w:rPr>
        <w:t>רון שפירא 54678313</w:t>
      </w:r>
    </w:p>
    <w:p w14:paraId="6C1D8FF1" w14:textId="77777777" w:rsidR="003F3834" w:rsidRDefault="003F3834" w:rsidP="003F3834">
      <w:r w:rsidRPr="003F3834">
        <w:rPr>
          <w:color w:val="000000"/>
          <w:rtl/>
        </w:rPr>
        <w:t>נוסח מסמך זה כפוף לשינויי ניסוח ועריכה</w:t>
      </w:r>
    </w:p>
    <w:p w14:paraId="4527F794" w14:textId="77777777" w:rsidR="003F3834" w:rsidRDefault="003F3834" w:rsidP="003F3834">
      <w:pPr>
        <w:rPr>
          <w:rtl/>
        </w:rPr>
      </w:pPr>
    </w:p>
    <w:p w14:paraId="2951B951" w14:textId="77777777" w:rsidR="003F3834" w:rsidRDefault="003F3834" w:rsidP="003F3834">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3F3F1604" w14:textId="77777777" w:rsidR="00B0314B" w:rsidRPr="003F3834" w:rsidRDefault="00B0314B" w:rsidP="003F3834">
      <w:pPr>
        <w:jc w:val="center"/>
        <w:rPr>
          <w:color w:val="0000FF"/>
          <w:u w:val="single"/>
        </w:rPr>
      </w:pPr>
    </w:p>
    <w:sectPr w:rsidR="00B0314B" w:rsidRPr="003F3834" w:rsidSect="003F3834">
      <w:headerReference w:type="even" r:id="rId52"/>
      <w:headerReference w:type="default" r:id="rId53"/>
      <w:footerReference w:type="even" r:id="rId54"/>
      <w:footerReference w:type="default" r:id="rId55"/>
      <w:pgSz w:w="11907" w:h="16840" w:code="9"/>
      <w:pgMar w:top="1701" w:right="1701" w:bottom="1276"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B36A8" w14:textId="77777777" w:rsidR="004A20FB" w:rsidRPr="00C71E7B" w:rsidRDefault="004A20FB">
      <w:pPr>
        <w:rPr>
          <w:rFonts w:cs="Arial"/>
          <w:szCs w:val="20"/>
        </w:rPr>
      </w:pPr>
      <w:r>
        <w:separator/>
      </w:r>
    </w:p>
  </w:endnote>
  <w:endnote w:type="continuationSeparator" w:id="0">
    <w:p w14:paraId="5C085768" w14:textId="77777777" w:rsidR="004A20FB" w:rsidRPr="00C71E7B" w:rsidRDefault="004A20F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B64B3" w14:textId="77777777" w:rsidR="003F3834" w:rsidRDefault="003F3834" w:rsidP="003F383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42EF30" w14:textId="77777777" w:rsidR="00B0314B" w:rsidRPr="003F3834" w:rsidRDefault="003F3834" w:rsidP="003F3834">
    <w:pPr>
      <w:pStyle w:val="a4"/>
      <w:pBdr>
        <w:top w:val="single" w:sz="4" w:space="1" w:color="auto"/>
        <w:between w:val="single" w:sz="4" w:space="0" w:color="auto"/>
      </w:pBdr>
      <w:spacing w:after="60"/>
      <w:jc w:val="center"/>
      <w:rPr>
        <w:rFonts w:ascii="FrankRuehl" w:hAnsi="FrankRuehl" w:cs="FrankRuehl"/>
        <w:color w:val="000000"/>
      </w:rPr>
    </w:pPr>
    <w:r w:rsidRPr="003F38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C82FB" w14:textId="77777777" w:rsidR="003F3834" w:rsidRDefault="003F3834" w:rsidP="003F383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3FBA">
      <w:rPr>
        <w:rFonts w:ascii="FrankRuehl" w:hAnsi="FrankRuehl" w:cs="FrankRuehl"/>
        <w:noProof/>
        <w:rtl/>
      </w:rPr>
      <w:t>1</w:t>
    </w:r>
    <w:r>
      <w:rPr>
        <w:rFonts w:ascii="FrankRuehl" w:hAnsi="FrankRuehl" w:cs="FrankRuehl"/>
        <w:rtl/>
      </w:rPr>
      <w:fldChar w:fldCharType="end"/>
    </w:r>
  </w:p>
  <w:p w14:paraId="37C9C029" w14:textId="77777777" w:rsidR="00B0314B" w:rsidRPr="003F3834" w:rsidRDefault="003F3834" w:rsidP="003F3834">
    <w:pPr>
      <w:pStyle w:val="a4"/>
      <w:pBdr>
        <w:top w:val="single" w:sz="4" w:space="1" w:color="auto"/>
        <w:between w:val="single" w:sz="4" w:space="0" w:color="auto"/>
      </w:pBdr>
      <w:spacing w:after="60"/>
      <w:jc w:val="center"/>
      <w:rPr>
        <w:rFonts w:ascii="FrankRuehl" w:hAnsi="FrankRuehl" w:cs="FrankRuehl"/>
        <w:color w:val="000000"/>
      </w:rPr>
    </w:pPr>
    <w:r w:rsidRPr="003F3834">
      <w:rPr>
        <w:rFonts w:ascii="FrankRuehl" w:hAnsi="FrankRuehl" w:cs="FrankRuehl"/>
        <w:color w:val="000000"/>
      </w:rPr>
      <w:pict w14:anchorId="4993A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9477D" w14:textId="77777777" w:rsidR="004A20FB" w:rsidRPr="00C71E7B" w:rsidRDefault="004A20FB">
      <w:pPr>
        <w:rPr>
          <w:rFonts w:cs="Arial"/>
          <w:szCs w:val="20"/>
        </w:rPr>
      </w:pPr>
      <w:r>
        <w:separator/>
      </w:r>
    </w:p>
  </w:footnote>
  <w:footnote w:type="continuationSeparator" w:id="0">
    <w:p w14:paraId="37C88A1A" w14:textId="77777777" w:rsidR="004A20FB" w:rsidRPr="00C71E7B" w:rsidRDefault="004A20F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7616A" w14:textId="77777777" w:rsidR="003F3834" w:rsidRPr="003F3834" w:rsidRDefault="003F3834" w:rsidP="003F38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60307-10-13</w:t>
    </w:r>
    <w:r>
      <w:rPr>
        <w:rFonts w:ascii="David" w:hAnsi="David"/>
        <w:color w:val="000000"/>
        <w:sz w:val="22"/>
        <w:szCs w:val="22"/>
        <w:rtl/>
      </w:rPr>
      <w:tab/>
      <w:t xml:space="preserve"> מדינת ישראל נ' מהראן אבו עאבד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0C452" w14:textId="77777777" w:rsidR="003F3834" w:rsidRPr="003F3834" w:rsidRDefault="003F3834" w:rsidP="003F38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60307-10-13</w:t>
    </w:r>
    <w:r>
      <w:rPr>
        <w:rFonts w:ascii="David" w:hAnsi="David"/>
        <w:color w:val="000000"/>
        <w:sz w:val="22"/>
        <w:szCs w:val="22"/>
        <w:rtl/>
      </w:rPr>
      <w:tab/>
      <w:t xml:space="preserve"> מדינת ישראל נ' מהראן אבו עאבד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314B"/>
    <w:rsid w:val="00313AF0"/>
    <w:rsid w:val="003A3FBA"/>
    <w:rsid w:val="003F3834"/>
    <w:rsid w:val="004A20FB"/>
    <w:rsid w:val="004A66CE"/>
    <w:rsid w:val="00A61D1B"/>
    <w:rsid w:val="00B031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DA0AAA"/>
  <w15:chartTrackingRefBased/>
  <w15:docId w15:val="{15A23CF6-21D4-4B89-B3F0-1BBFF95E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314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0314B"/>
    <w:pPr>
      <w:tabs>
        <w:tab w:val="center" w:pos="4153"/>
        <w:tab w:val="right" w:pos="8306"/>
      </w:tabs>
    </w:pPr>
  </w:style>
  <w:style w:type="paragraph" w:styleId="a4">
    <w:name w:val="footer"/>
    <w:basedOn w:val="a"/>
    <w:rsid w:val="00B0314B"/>
    <w:pPr>
      <w:tabs>
        <w:tab w:val="center" w:pos="4153"/>
        <w:tab w:val="right" w:pos="8306"/>
      </w:tabs>
    </w:pPr>
  </w:style>
  <w:style w:type="character" w:styleId="a5">
    <w:name w:val="page number"/>
    <w:basedOn w:val="a0"/>
    <w:rsid w:val="00B0314B"/>
  </w:style>
  <w:style w:type="character" w:styleId="Hyperlink">
    <w:name w:val="Hyperlink"/>
    <w:basedOn w:val="a0"/>
    <w:rsid w:val="00B0314B"/>
    <w:rPr>
      <w:color w:val="0000FF"/>
      <w:u w:val="single"/>
    </w:rPr>
  </w:style>
  <w:style w:type="character" w:customStyle="1" w:styleId="default">
    <w:name w:val="default"/>
    <w:basedOn w:val="a0"/>
    <w:rsid w:val="00B0314B"/>
    <w:rPr>
      <w:rFonts w:ascii="Times New Roman" w:hAnsi="Times New Roman" w:cs="Times New Roman"/>
      <w:sz w:val="26"/>
      <w:szCs w:val="26"/>
    </w:rPr>
  </w:style>
  <w:style w:type="character" w:styleId="a6">
    <w:name w:val="line number"/>
    <w:basedOn w:val="a0"/>
    <w:rsid w:val="00B0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34ja" TargetMode="External"/><Relationship Id="rId26" Type="http://schemas.openxmlformats.org/officeDocument/2006/relationships/hyperlink" Target="http://www.nevo.co.il/law/70301/335.a.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 TargetMode="External"/><Relationship Id="rId42" Type="http://schemas.openxmlformats.org/officeDocument/2006/relationships/hyperlink" Target="http://www.justice.gov.il/MOJHeb/MishpatIvri/Parashot/gilyonot.htm"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340a" TargetMode="External"/><Relationship Id="rId29" Type="http://schemas.openxmlformats.org/officeDocument/2006/relationships/hyperlink" Target="http://www.nevo.co.il/case/5573417" TargetMode="External"/><Relationship Id="rId11" Type="http://schemas.openxmlformats.org/officeDocument/2006/relationships/hyperlink" Target="http://www.nevo.co.il/law/70301/300a"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34j"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00a.b" TargetMode="External"/><Relationship Id="rId45" Type="http://schemas.openxmlformats.org/officeDocument/2006/relationships/hyperlink" Target="http://www.nevo.co.il/law/70301/34j1"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144.a"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35.a.2" TargetMode="External"/><Relationship Id="rId30" Type="http://schemas.openxmlformats.org/officeDocument/2006/relationships/hyperlink" Target="http://www.nevo.co.il/case/6018516" TargetMode="External"/><Relationship Id="rId35" Type="http://schemas.openxmlformats.org/officeDocument/2006/relationships/hyperlink" Target="http://www.nevo.co.il/law/70301/34ja"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70301/34j"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300a.b" TargetMode="External"/><Relationship Id="rId17" Type="http://schemas.openxmlformats.org/officeDocument/2006/relationships/hyperlink" Target="http://www.nevo.co.il/law/70301/34j1" TargetMode="External"/><Relationship Id="rId25" Type="http://schemas.openxmlformats.org/officeDocument/2006/relationships/hyperlink" Target="http://www.nevo.co.il/law/70301/333" TargetMode="External"/><Relationship Id="rId33" Type="http://schemas.openxmlformats.org/officeDocument/2006/relationships/hyperlink" Target="http://www.nevo.co.il/law/70301/34j1" TargetMode="External"/><Relationship Id="rId38" Type="http://schemas.openxmlformats.org/officeDocument/2006/relationships/hyperlink" Target="http://www.nevo.co.il/law/70301/300a" TargetMode="External"/><Relationship Id="rId46" Type="http://schemas.openxmlformats.org/officeDocument/2006/relationships/hyperlink" Target="http://www.nevo.co.il/case/4691716"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2241433"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35.a.2" TargetMode="External"/><Relationship Id="rId23" Type="http://schemas.openxmlformats.org/officeDocument/2006/relationships/hyperlink" Target="http://www.nevo.co.il/law/70301/340a"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70301/34j" TargetMode="External"/><Relationship Id="rId49" Type="http://schemas.openxmlformats.org/officeDocument/2006/relationships/hyperlink" Target="http://www.nevo.co.il/law/70301/300a.b" TargetMode="External"/><Relationship Id="rId57" Type="http://schemas.openxmlformats.org/officeDocument/2006/relationships/theme" Target="theme/theme1.xml"/><Relationship Id="rId10" Type="http://schemas.openxmlformats.org/officeDocument/2006/relationships/hyperlink" Target="http://www.nevo.co.il/law/70301/144.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2738</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16398</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6684792</vt:i4>
      </vt:variant>
      <vt:variant>
        <vt:i4>129</vt:i4>
      </vt:variant>
      <vt:variant>
        <vt:i4>0</vt:i4>
      </vt:variant>
      <vt:variant>
        <vt:i4>5</vt:i4>
      </vt:variant>
      <vt:variant>
        <vt:lpwstr>http://www.nevo.co.il/law/70301/300a.b</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3932274</vt:i4>
      </vt:variant>
      <vt:variant>
        <vt:i4>120</vt:i4>
      </vt:variant>
      <vt:variant>
        <vt:i4>0</vt:i4>
      </vt:variant>
      <vt:variant>
        <vt:i4>5</vt:i4>
      </vt:variant>
      <vt:variant>
        <vt:lpwstr>http://www.nevo.co.il/case/4691716</vt:lpwstr>
      </vt:variant>
      <vt:variant>
        <vt:lpwstr/>
      </vt:variant>
      <vt:variant>
        <vt:i4>5242892</vt:i4>
      </vt:variant>
      <vt:variant>
        <vt:i4>117</vt:i4>
      </vt:variant>
      <vt:variant>
        <vt:i4>0</vt:i4>
      </vt:variant>
      <vt:variant>
        <vt:i4>5</vt:i4>
      </vt:variant>
      <vt:variant>
        <vt:lpwstr>http://www.nevo.co.il/law/70301/34j1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3604581</vt:i4>
      </vt:variant>
      <vt:variant>
        <vt:i4>108</vt:i4>
      </vt:variant>
      <vt:variant>
        <vt:i4>0</vt:i4>
      </vt:variant>
      <vt:variant>
        <vt:i4>5</vt:i4>
      </vt:variant>
      <vt:variant>
        <vt:lpwstr>http://www.justice.gov.il/MOJHeb/MishpatIvri/Parashot/gilyonot.htm</vt:lpwstr>
      </vt:variant>
      <vt:variant>
        <vt:lpwstr/>
      </vt:variant>
      <vt:variant>
        <vt:i4>3211380</vt:i4>
      </vt:variant>
      <vt:variant>
        <vt:i4>105</vt:i4>
      </vt:variant>
      <vt:variant>
        <vt:i4>0</vt:i4>
      </vt:variant>
      <vt:variant>
        <vt:i4>5</vt:i4>
      </vt:variant>
      <vt:variant>
        <vt:lpwstr>http://www.nevo.co.il/case/2241433</vt:lpwstr>
      </vt:variant>
      <vt:variant>
        <vt:lpwstr/>
      </vt:variant>
      <vt:variant>
        <vt:i4>6684792</vt:i4>
      </vt:variant>
      <vt:variant>
        <vt:i4>102</vt:i4>
      </vt:variant>
      <vt:variant>
        <vt:i4>0</vt:i4>
      </vt:variant>
      <vt:variant>
        <vt:i4>5</vt:i4>
      </vt:variant>
      <vt:variant>
        <vt:lpwstr>http://www.nevo.co.il/law/70301/300a.b</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262230</vt:i4>
      </vt:variant>
      <vt:variant>
        <vt:i4>96</vt:i4>
      </vt:variant>
      <vt:variant>
        <vt:i4>0</vt:i4>
      </vt:variant>
      <vt:variant>
        <vt:i4>5</vt:i4>
      </vt:variant>
      <vt:variant>
        <vt:lpwstr>http://www.nevo.co.il/law/70301/300a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6357094</vt:i4>
      </vt:variant>
      <vt:variant>
        <vt:i4>90</vt:i4>
      </vt:variant>
      <vt:variant>
        <vt:i4>0</vt:i4>
      </vt:variant>
      <vt:variant>
        <vt:i4>5</vt:i4>
      </vt:variant>
      <vt:variant>
        <vt:lpwstr>http://www.nevo.co.il/law/70301/34j</vt:lpwstr>
      </vt:variant>
      <vt:variant>
        <vt:lpwstr/>
      </vt:variant>
      <vt:variant>
        <vt:i4>12</vt:i4>
      </vt:variant>
      <vt:variant>
        <vt:i4>87</vt:i4>
      </vt:variant>
      <vt:variant>
        <vt:i4>0</vt:i4>
      </vt:variant>
      <vt:variant>
        <vt:i4>5</vt:i4>
      </vt:variant>
      <vt:variant>
        <vt:lpwstr>http://www.nevo.co.il/law/70301/34ja</vt:lpwstr>
      </vt:variant>
      <vt:variant>
        <vt:lpwstr/>
      </vt:variant>
      <vt:variant>
        <vt:i4>7995492</vt:i4>
      </vt:variant>
      <vt:variant>
        <vt:i4>84</vt:i4>
      </vt:variant>
      <vt:variant>
        <vt:i4>0</vt:i4>
      </vt:variant>
      <vt:variant>
        <vt:i4>5</vt:i4>
      </vt:variant>
      <vt:variant>
        <vt:lpwstr>http://www.nevo.co.il/law/70301</vt:lpwstr>
      </vt:variant>
      <vt:variant>
        <vt:lpwstr/>
      </vt:variant>
      <vt:variant>
        <vt:i4>5242892</vt:i4>
      </vt:variant>
      <vt:variant>
        <vt:i4>81</vt:i4>
      </vt:variant>
      <vt:variant>
        <vt:i4>0</vt:i4>
      </vt:variant>
      <vt:variant>
        <vt:i4>5</vt:i4>
      </vt:variant>
      <vt:variant>
        <vt:lpwstr>http://www.nevo.co.il/law/70301/34j1</vt:lpwstr>
      </vt:variant>
      <vt:variant>
        <vt:lpwstr/>
      </vt:variant>
      <vt:variant>
        <vt:i4>6357094</vt:i4>
      </vt:variant>
      <vt:variant>
        <vt:i4>78</vt:i4>
      </vt:variant>
      <vt:variant>
        <vt:i4>0</vt:i4>
      </vt:variant>
      <vt:variant>
        <vt:i4>5</vt:i4>
      </vt:variant>
      <vt:variant>
        <vt:lpwstr>http://www.nevo.co.il/law/70301/34j</vt:lpwstr>
      </vt:variant>
      <vt:variant>
        <vt:lpwstr/>
      </vt:variant>
      <vt:variant>
        <vt:i4>7995492</vt:i4>
      </vt:variant>
      <vt:variant>
        <vt:i4>75</vt:i4>
      </vt:variant>
      <vt:variant>
        <vt:i4>0</vt:i4>
      </vt:variant>
      <vt:variant>
        <vt:i4>5</vt:i4>
      </vt:variant>
      <vt:variant>
        <vt:lpwstr>http://www.nevo.co.il/law/70301</vt:lpwstr>
      </vt:variant>
      <vt:variant>
        <vt:lpwstr/>
      </vt:variant>
      <vt:variant>
        <vt:i4>3407997</vt:i4>
      </vt:variant>
      <vt:variant>
        <vt:i4>72</vt:i4>
      </vt:variant>
      <vt:variant>
        <vt:i4>0</vt:i4>
      </vt:variant>
      <vt:variant>
        <vt:i4>5</vt:i4>
      </vt:variant>
      <vt:variant>
        <vt:lpwstr>http://www.nevo.co.il/case/6018516</vt:lpwstr>
      </vt:variant>
      <vt:variant>
        <vt:lpwstr/>
      </vt:variant>
      <vt:variant>
        <vt:i4>3211379</vt:i4>
      </vt:variant>
      <vt:variant>
        <vt:i4>69</vt:i4>
      </vt:variant>
      <vt:variant>
        <vt:i4>0</vt:i4>
      </vt:variant>
      <vt:variant>
        <vt:i4>5</vt:i4>
      </vt:variant>
      <vt:variant>
        <vt:lpwstr>http://www.nevo.co.il/case/5573417</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6684722</vt:i4>
      </vt:variant>
      <vt:variant>
        <vt:i4>63</vt:i4>
      </vt:variant>
      <vt:variant>
        <vt:i4>0</vt:i4>
      </vt:variant>
      <vt:variant>
        <vt:i4>5</vt:i4>
      </vt:variant>
      <vt:variant>
        <vt:lpwstr>http://www.nevo.co.il/law/70301/335.a.2</vt:lpwstr>
      </vt:variant>
      <vt:variant>
        <vt:lpwstr/>
      </vt:variant>
      <vt:variant>
        <vt:i4>6684722</vt:i4>
      </vt:variant>
      <vt:variant>
        <vt:i4>60</vt:i4>
      </vt:variant>
      <vt:variant>
        <vt:i4>0</vt:i4>
      </vt:variant>
      <vt:variant>
        <vt:i4>5</vt:i4>
      </vt:variant>
      <vt:variant>
        <vt:lpwstr>http://www.nevo.co.il/law/70301/335.a.1</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86</vt:i4>
      </vt:variant>
      <vt:variant>
        <vt:i4>51</vt:i4>
      </vt:variant>
      <vt:variant>
        <vt:i4>0</vt:i4>
      </vt:variant>
      <vt:variant>
        <vt:i4>5</vt:i4>
      </vt:variant>
      <vt:variant>
        <vt:lpwstr>http://www.nevo.co.il/law/70301/340a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12</vt:i4>
      </vt:variant>
      <vt:variant>
        <vt:i4>36</vt:i4>
      </vt:variant>
      <vt:variant>
        <vt:i4>0</vt:i4>
      </vt:variant>
      <vt:variant>
        <vt:i4>5</vt:i4>
      </vt:variant>
      <vt:variant>
        <vt:lpwstr>http://www.nevo.co.il/law/70301/34ja</vt:lpwstr>
      </vt:variant>
      <vt:variant>
        <vt:lpwstr/>
      </vt:variant>
      <vt:variant>
        <vt:i4>5242892</vt:i4>
      </vt:variant>
      <vt:variant>
        <vt:i4>33</vt:i4>
      </vt:variant>
      <vt:variant>
        <vt:i4>0</vt:i4>
      </vt:variant>
      <vt:variant>
        <vt:i4>5</vt:i4>
      </vt:variant>
      <vt:variant>
        <vt:lpwstr>http://www.nevo.co.il/law/70301/34j1</vt:lpwstr>
      </vt:variant>
      <vt:variant>
        <vt:lpwstr/>
      </vt:variant>
      <vt:variant>
        <vt:i4>86</vt:i4>
      </vt:variant>
      <vt:variant>
        <vt:i4>30</vt:i4>
      </vt:variant>
      <vt:variant>
        <vt:i4>0</vt:i4>
      </vt:variant>
      <vt:variant>
        <vt:i4>5</vt:i4>
      </vt:variant>
      <vt:variant>
        <vt:lpwstr>http://www.nevo.co.il/law/70301/340a</vt:lpwstr>
      </vt:variant>
      <vt:variant>
        <vt:lpwstr/>
      </vt:variant>
      <vt:variant>
        <vt:i4>6684722</vt:i4>
      </vt:variant>
      <vt:variant>
        <vt:i4>27</vt:i4>
      </vt:variant>
      <vt:variant>
        <vt:i4>0</vt:i4>
      </vt:variant>
      <vt:variant>
        <vt:i4>5</vt:i4>
      </vt:variant>
      <vt:variant>
        <vt:lpwstr>http://www.nevo.co.il/law/70301/335.a.2</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6684792</vt:i4>
      </vt:variant>
      <vt:variant>
        <vt:i4>18</vt:i4>
      </vt:variant>
      <vt:variant>
        <vt:i4>0</vt:i4>
      </vt:variant>
      <vt:variant>
        <vt:i4>5</vt:i4>
      </vt:variant>
      <vt:variant>
        <vt:lpwstr>http://www.nevo.co.il/law/70301/300a.b</vt:lpwstr>
      </vt:variant>
      <vt:variant>
        <vt:lpwstr/>
      </vt:variant>
      <vt:variant>
        <vt:i4>262230</vt:i4>
      </vt:variant>
      <vt:variant>
        <vt:i4>15</vt:i4>
      </vt:variant>
      <vt:variant>
        <vt:i4>0</vt:i4>
      </vt:variant>
      <vt:variant>
        <vt:i4>5</vt:i4>
      </vt:variant>
      <vt:variant>
        <vt:lpwstr>http://www.nevo.co.il/law/70301/300a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6357094</vt:i4>
      </vt:variant>
      <vt:variant>
        <vt:i4>6</vt:i4>
      </vt:variant>
      <vt:variant>
        <vt:i4>0</vt:i4>
      </vt:variant>
      <vt:variant>
        <vt:i4>5</vt:i4>
      </vt:variant>
      <vt:variant>
        <vt:lpwstr>http://www.nevo.co.il/law/70301/34j</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60307;29410</vt:lpwstr>
  </property>
  <property fmtid="{D5CDD505-2E9C-101B-9397-08002B2CF9AE}" pid="6" name="NEWPARTB">
    <vt:lpwstr>10;11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מהראן אבו עאבד;רג'א אבו עאבד</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20140512</vt:lpwstr>
  </property>
  <property fmtid="{D5CDD505-2E9C-101B-9397-08002B2CF9AE}" pid="13" name="TYPE_N_DATE">
    <vt:lpwstr>39020140512</vt:lpwstr>
  </property>
  <property fmtid="{D5CDD505-2E9C-101B-9397-08002B2CF9AE}" pid="14" name="CASESLISTTMP1">
    <vt:lpwstr>5573417;6018516;2241433;4691716</vt:lpwstr>
  </property>
  <property fmtid="{D5CDD505-2E9C-101B-9397-08002B2CF9AE}" pid="15" name="CASENOTES1">
    <vt:lpwstr>ProcID=235&amp;PartA=11059&amp;PartB=05&amp;PartC=12</vt:lpwstr>
  </property>
  <property fmtid="{D5CDD505-2E9C-101B-9397-08002B2CF9AE}" pid="16" name="WORDNUMPAGES">
    <vt:lpwstr>8</vt:lpwstr>
  </property>
  <property fmtid="{D5CDD505-2E9C-101B-9397-08002B2CF9AE}" pid="17" name="TYPE_ABS_DATE">
    <vt:lpwstr>390020140512</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70301/144.a;144.b;029:3;340a;333;335.a.1;335.a.2;034j:2;34j1:2;34ja;300a;300a.b:2</vt:lpwstr>
  </property>
</Properties>
</file>