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177F3" w:rsidRPr="000136E7" w14:paraId="32463368" w14:textId="77777777">
        <w:trPr>
          <w:trHeight w:hRule="exact" w:val="704"/>
          <w:jc w:val="center"/>
        </w:trPr>
        <w:tc>
          <w:tcPr>
            <w:tcW w:w="8721" w:type="dxa"/>
            <w:gridSpan w:val="2"/>
          </w:tcPr>
          <w:p w14:paraId="7BCE3EA5" w14:textId="77777777" w:rsidR="006177F3" w:rsidRPr="000136E7" w:rsidRDefault="000136E7">
            <w:pPr>
              <w:pStyle w:val="a3"/>
              <w:jc w:val="center"/>
              <w:rPr>
                <w:rFonts w:ascii="Tahoma" w:hAnsi="Tahoma" w:cs="Tahoma"/>
                <w:noProof w:val="0"/>
                <w:color w:val="000080"/>
                <w:rtl/>
              </w:rPr>
            </w:pPr>
            <w:bookmarkStart w:id="0" w:name="LastJudge"/>
            <w:r w:rsidRPr="000136E7">
              <w:rPr>
                <w:rFonts w:ascii="Tahoma" w:hAnsi="Tahoma" w:cs="Tahoma"/>
                <w:b/>
                <w:bCs/>
                <w:color w:val="000080"/>
                <w:rtl/>
              </w:rPr>
              <w:t>בית המשפט המחוזי מרכז-לוד</w:t>
            </w:r>
          </w:p>
        </w:tc>
      </w:tr>
      <w:tr w:rsidR="006177F3" w:rsidRPr="000136E7" w14:paraId="0BC18BBF" w14:textId="77777777">
        <w:trPr>
          <w:trHeight w:val="337"/>
          <w:jc w:val="center"/>
        </w:trPr>
        <w:tc>
          <w:tcPr>
            <w:tcW w:w="5047" w:type="dxa"/>
          </w:tcPr>
          <w:p w14:paraId="4A2EF32C" w14:textId="77777777" w:rsidR="006177F3" w:rsidRPr="000136E7" w:rsidRDefault="006177F3">
            <w:pPr>
              <w:rPr>
                <w:b/>
                <w:bCs/>
                <w:noProof w:val="0"/>
                <w:sz w:val="18"/>
                <w:szCs w:val="18"/>
                <w:rtl/>
              </w:rPr>
            </w:pPr>
          </w:p>
        </w:tc>
        <w:tc>
          <w:tcPr>
            <w:tcW w:w="3674" w:type="dxa"/>
          </w:tcPr>
          <w:p w14:paraId="0633C963" w14:textId="77777777" w:rsidR="006177F3" w:rsidRPr="000136E7" w:rsidRDefault="006177F3">
            <w:pPr>
              <w:pStyle w:val="a3"/>
              <w:jc w:val="right"/>
              <w:rPr>
                <w:b/>
                <w:bCs/>
                <w:noProof w:val="0"/>
                <w:sz w:val="26"/>
                <w:szCs w:val="26"/>
                <w:rtl/>
              </w:rPr>
            </w:pPr>
          </w:p>
        </w:tc>
      </w:tr>
      <w:tr w:rsidR="006177F3" w:rsidRPr="000136E7" w14:paraId="49AAC6AB" w14:textId="77777777">
        <w:trPr>
          <w:trHeight w:val="337"/>
          <w:jc w:val="center"/>
        </w:trPr>
        <w:tc>
          <w:tcPr>
            <w:tcW w:w="8721" w:type="dxa"/>
            <w:gridSpan w:val="2"/>
          </w:tcPr>
          <w:p w14:paraId="1B1ADB62" w14:textId="77777777" w:rsidR="006177F3" w:rsidRPr="000136E7" w:rsidRDefault="000136E7">
            <w:pPr>
              <w:rPr>
                <w:rFonts w:ascii="Arial" w:hAnsi="Arial" w:cs="Arial"/>
                <w:b/>
                <w:bCs/>
                <w:noProof w:val="0"/>
                <w:rtl/>
              </w:rPr>
            </w:pPr>
            <w:r w:rsidRPr="000136E7">
              <w:rPr>
                <w:rFonts w:ascii="Arial" w:hAnsi="Arial" w:cs="Arial"/>
                <w:b/>
                <w:bCs/>
                <w:noProof w:val="0"/>
                <w:rtl/>
              </w:rPr>
              <w:t>ת"פ 45971-11-13 מדינת ישראל נ' עודה(עציר)</w:t>
            </w:r>
          </w:p>
          <w:p w14:paraId="705EEC88" w14:textId="77777777" w:rsidR="006177F3" w:rsidRPr="000136E7" w:rsidRDefault="006177F3">
            <w:pPr>
              <w:rPr>
                <w:b/>
                <w:bCs/>
                <w:noProof w:val="0"/>
                <w:sz w:val="2"/>
                <w:szCs w:val="2"/>
                <w:rtl/>
              </w:rPr>
            </w:pPr>
          </w:p>
          <w:p w14:paraId="04A50483" w14:textId="77777777" w:rsidR="006177F3" w:rsidRPr="000136E7" w:rsidRDefault="000136E7">
            <w:pPr>
              <w:rPr>
                <w:sz w:val="20"/>
                <w:szCs w:val="20"/>
                <w:rtl/>
              </w:rPr>
            </w:pPr>
            <w:r w:rsidRPr="000136E7">
              <w:rPr>
                <w:rFonts w:hint="cs"/>
                <w:rtl/>
              </w:rPr>
              <w:t xml:space="preserve">                           </w:t>
            </w:r>
            <w:r w:rsidRPr="000136E7">
              <w:rPr>
                <w:rFonts w:hint="cs"/>
                <w:sz w:val="20"/>
                <w:szCs w:val="20"/>
                <w:rtl/>
              </w:rPr>
              <w:t xml:space="preserve">                                      </w:t>
            </w:r>
          </w:p>
        </w:tc>
      </w:tr>
    </w:tbl>
    <w:p w14:paraId="379466FD" w14:textId="77777777" w:rsidR="006177F3" w:rsidRPr="000136E7" w:rsidRDefault="000136E7">
      <w:pPr>
        <w:pStyle w:val="a3"/>
        <w:rPr>
          <w:noProof w:val="0"/>
          <w:rtl/>
        </w:rPr>
      </w:pPr>
      <w:r w:rsidRPr="000136E7">
        <w:rPr>
          <w:noProof w:val="0"/>
          <w:rtl/>
        </w:rPr>
        <w:t xml:space="preserve"> </w:t>
      </w:r>
    </w:p>
    <w:p w14:paraId="533FBBB8" w14:textId="77777777" w:rsidR="006177F3" w:rsidRPr="000136E7" w:rsidRDefault="000136E7">
      <w:pPr>
        <w:rPr>
          <w:rtl/>
        </w:rPr>
      </w:pPr>
      <w:r w:rsidRPr="000136E7">
        <w:rPr>
          <w:rtl/>
        </w:rPr>
        <w:t xml:space="preserve"> </w:t>
      </w:r>
    </w:p>
    <w:tbl>
      <w:tblPr>
        <w:bidiVisual/>
        <w:tblW w:w="8820" w:type="dxa"/>
        <w:jc w:val="center"/>
        <w:tblLook w:val="01E0" w:firstRow="1" w:lastRow="1" w:firstColumn="1" w:lastColumn="1" w:noHBand="0" w:noVBand="0"/>
      </w:tblPr>
      <w:tblGrid>
        <w:gridCol w:w="743"/>
        <w:gridCol w:w="2506"/>
        <w:gridCol w:w="5571"/>
      </w:tblGrid>
      <w:tr w:rsidR="006177F3" w:rsidRPr="000136E7" w14:paraId="401B75F7" w14:textId="77777777">
        <w:trPr>
          <w:jc w:val="center"/>
        </w:trPr>
        <w:tc>
          <w:tcPr>
            <w:tcW w:w="743" w:type="dxa"/>
          </w:tcPr>
          <w:p w14:paraId="4F116A71" w14:textId="77777777" w:rsidR="006177F3" w:rsidRPr="000136E7" w:rsidRDefault="000136E7">
            <w:pPr>
              <w:jc w:val="both"/>
              <w:rPr>
                <w:rFonts w:ascii="Arial" w:hAnsi="Arial" w:cs="Arial"/>
                <w:b/>
                <w:bCs/>
              </w:rPr>
            </w:pPr>
            <w:r w:rsidRPr="000136E7">
              <w:rPr>
                <w:rFonts w:ascii="Arial" w:hAnsi="Arial" w:cs="Arial"/>
                <w:b/>
                <w:bCs/>
                <w:rtl/>
              </w:rPr>
              <w:t xml:space="preserve">בפני </w:t>
            </w:r>
          </w:p>
        </w:tc>
        <w:tc>
          <w:tcPr>
            <w:tcW w:w="8077" w:type="dxa"/>
            <w:gridSpan w:val="2"/>
          </w:tcPr>
          <w:p w14:paraId="6A2D60C4" w14:textId="77777777" w:rsidR="006177F3" w:rsidRPr="000136E7" w:rsidRDefault="000136E7">
            <w:pPr>
              <w:rPr>
                <w:rFonts w:ascii="Arial" w:hAnsi="Arial" w:cs="Arial"/>
                <w:b/>
                <w:bCs/>
                <w:rtl/>
              </w:rPr>
            </w:pPr>
            <w:r w:rsidRPr="000136E7">
              <w:rPr>
                <w:rFonts w:ascii="Arial" w:hAnsi="Arial" w:cs="Arial"/>
                <w:b/>
                <w:bCs/>
                <w:rtl/>
              </w:rPr>
              <w:t>כב' ה</w:t>
            </w:r>
            <w:r w:rsidRPr="000136E7">
              <w:rPr>
                <w:rFonts w:ascii="Arial" w:hAnsi="Arial" w:cs="Arial" w:hint="cs"/>
                <w:rtl/>
              </w:rPr>
              <w:t>שופטת</w:t>
            </w:r>
            <w:r w:rsidRPr="000136E7">
              <w:rPr>
                <w:rFonts w:ascii="Arial" w:hAnsi="Arial" w:cs="Arial"/>
                <w:b/>
                <w:bCs/>
                <w:rtl/>
              </w:rPr>
              <w:t xml:space="preserve">  </w:t>
            </w:r>
            <w:r w:rsidRPr="000136E7">
              <w:rPr>
                <w:rFonts w:ascii="Arial" w:hAnsi="Arial" w:cs="Arial" w:hint="cs"/>
                <w:rtl/>
              </w:rPr>
              <w:t>מיכל ברנט</w:t>
            </w:r>
          </w:p>
          <w:p w14:paraId="69E638BC" w14:textId="77777777" w:rsidR="006177F3" w:rsidRPr="000136E7" w:rsidRDefault="006177F3">
            <w:pPr>
              <w:rPr>
                <w:rFonts w:ascii="Arial" w:hAnsi="Arial" w:cs="Arial"/>
                <w:highlight w:val="yellow"/>
              </w:rPr>
            </w:pPr>
          </w:p>
        </w:tc>
      </w:tr>
      <w:tr w:rsidR="006177F3" w:rsidRPr="000136E7" w14:paraId="0BEB558D" w14:textId="77777777">
        <w:trPr>
          <w:jc w:val="center"/>
        </w:trPr>
        <w:tc>
          <w:tcPr>
            <w:tcW w:w="3249" w:type="dxa"/>
            <w:gridSpan w:val="2"/>
          </w:tcPr>
          <w:p w14:paraId="78894D42" w14:textId="77777777" w:rsidR="006177F3" w:rsidRPr="000136E7" w:rsidRDefault="006177F3">
            <w:pPr>
              <w:bidi w:val="0"/>
              <w:jc w:val="right"/>
              <w:rPr>
                <w:rFonts w:ascii="Arial" w:hAnsi="Arial" w:cs="Arial"/>
                <w:b/>
                <w:bCs/>
                <w:noProof w:val="0"/>
              </w:rPr>
            </w:pPr>
            <w:bookmarkStart w:id="1" w:name="FirstAppellant"/>
          </w:p>
          <w:p w14:paraId="4665D696" w14:textId="77777777" w:rsidR="006177F3" w:rsidRPr="000136E7" w:rsidRDefault="000136E7">
            <w:pPr>
              <w:bidi w:val="0"/>
              <w:jc w:val="right"/>
              <w:rPr>
                <w:rFonts w:ascii="Arial" w:hAnsi="Arial" w:cs="Arial"/>
                <w:b/>
                <w:bCs/>
                <w:noProof w:val="0"/>
                <w:rtl/>
              </w:rPr>
            </w:pPr>
            <w:r w:rsidRPr="000136E7">
              <w:rPr>
                <w:rFonts w:ascii="Arial" w:hAnsi="Arial" w:cs="Arial" w:hint="cs"/>
                <w:rtl/>
              </w:rPr>
              <w:t>המאשימה</w:t>
            </w:r>
          </w:p>
        </w:tc>
        <w:tc>
          <w:tcPr>
            <w:tcW w:w="5571" w:type="dxa"/>
          </w:tcPr>
          <w:p w14:paraId="4BE60AD7" w14:textId="77777777" w:rsidR="006177F3" w:rsidRPr="000136E7" w:rsidRDefault="006177F3">
            <w:pPr>
              <w:rPr>
                <w:rFonts w:ascii="Arial" w:hAnsi="Arial" w:cs="Arial"/>
                <w:b/>
                <w:bCs/>
                <w:noProof w:val="0"/>
                <w:rtl/>
              </w:rPr>
            </w:pPr>
          </w:p>
          <w:p w14:paraId="533AA57C" w14:textId="77777777" w:rsidR="006177F3" w:rsidRPr="000136E7" w:rsidRDefault="000136E7">
            <w:pPr>
              <w:rPr>
                <w:rFonts w:ascii="Arial" w:hAnsi="Arial" w:cs="Arial"/>
                <w:b/>
                <w:bCs/>
                <w:noProof w:val="0"/>
              </w:rPr>
            </w:pPr>
            <w:r w:rsidRPr="000136E7">
              <w:rPr>
                <w:rFonts w:ascii="Arial" w:hAnsi="Arial" w:cs="Arial" w:hint="cs"/>
                <w:rtl/>
              </w:rPr>
              <w:t>מדינת ישראל</w:t>
            </w:r>
          </w:p>
        </w:tc>
      </w:tr>
      <w:bookmarkEnd w:id="1"/>
      <w:tr w:rsidR="006177F3" w:rsidRPr="000136E7" w14:paraId="323DD340" w14:textId="77777777">
        <w:trPr>
          <w:jc w:val="center"/>
        </w:trPr>
        <w:tc>
          <w:tcPr>
            <w:tcW w:w="8820" w:type="dxa"/>
            <w:gridSpan w:val="3"/>
          </w:tcPr>
          <w:p w14:paraId="5E3DAAFB" w14:textId="77777777" w:rsidR="006177F3" w:rsidRPr="000136E7" w:rsidRDefault="006177F3">
            <w:pPr>
              <w:rPr>
                <w:rFonts w:ascii="Arial" w:hAnsi="Arial" w:cs="Arial"/>
                <w:b/>
                <w:bCs/>
                <w:noProof w:val="0"/>
                <w:rtl/>
              </w:rPr>
            </w:pPr>
          </w:p>
          <w:p w14:paraId="7ED55830" w14:textId="77777777" w:rsidR="006177F3" w:rsidRPr="000136E7" w:rsidRDefault="000136E7">
            <w:pPr>
              <w:jc w:val="center"/>
              <w:rPr>
                <w:rFonts w:ascii="Arial" w:hAnsi="Arial" w:cs="Arial"/>
                <w:b/>
                <w:bCs/>
                <w:noProof w:val="0"/>
                <w:rtl/>
              </w:rPr>
            </w:pPr>
            <w:r w:rsidRPr="000136E7">
              <w:rPr>
                <w:rFonts w:ascii="Arial" w:hAnsi="Arial" w:cs="Arial"/>
                <w:b/>
                <w:bCs/>
                <w:noProof w:val="0"/>
                <w:rtl/>
              </w:rPr>
              <w:t>נגד</w:t>
            </w:r>
          </w:p>
          <w:p w14:paraId="59A5370D" w14:textId="77777777" w:rsidR="006177F3" w:rsidRPr="000136E7" w:rsidRDefault="006177F3">
            <w:pPr>
              <w:rPr>
                <w:rFonts w:ascii="Arial" w:hAnsi="Arial" w:cs="Arial"/>
                <w:b/>
                <w:bCs/>
                <w:noProof w:val="0"/>
              </w:rPr>
            </w:pPr>
          </w:p>
        </w:tc>
      </w:tr>
      <w:tr w:rsidR="006177F3" w:rsidRPr="000136E7" w14:paraId="114C3ABA" w14:textId="77777777">
        <w:trPr>
          <w:jc w:val="center"/>
        </w:trPr>
        <w:tc>
          <w:tcPr>
            <w:tcW w:w="3249" w:type="dxa"/>
            <w:gridSpan w:val="2"/>
          </w:tcPr>
          <w:p w14:paraId="08DE1CD0" w14:textId="77777777" w:rsidR="006177F3" w:rsidRPr="000136E7" w:rsidRDefault="006177F3">
            <w:pPr>
              <w:rPr>
                <w:rFonts w:ascii="Arial" w:hAnsi="Arial" w:cs="Arial"/>
                <w:b/>
                <w:bCs/>
                <w:noProof w:val="0"/>
                <w:rtl/>
              </w:rPr>
            </w:pPr>
          </w:p>
          <w:p w14:paraId="4C0413E1" w14:textId="77777777" w:rsidR="006177F3" w:rsidRPr="000136E7" w:rsidRDefault="000136E7">
            <w:pPr>
              <w:rPr>
                <w:rFonts w:ascii="Arial" w:hAnsi="Arial" w:cs="Arial"/>
                <w:b/>
                <w:bCs/>
                <w:noProof w:val="0"/>
              </w:rPr>
            </w:pPr>
            <w:r w:rsidRPr="000136E7">
              <w:rPr>
                <w:rFonts w:ascii="Arial" w:hAnsi="Arial" w:cs="Arial" w:hint="cs"/>
                <w:rtl/>
              </w:rPr>
              <w:t>הנאשם</w:t>
            </w:r>
          </w:p>
        </w:tc>
        <w:tc>
          <w:tcPr>
            <w:tcW w:w="5571" w:type="dxa"/>
          </w:tcPr>
          <w:p w14:paraId="537B810B" w14:textId="77777777" w:rsidR="006177F3" w:rsidRPr="000136E7" w:rsidRDefault="006177F3">
            <w:pPr>
              <w:rPr>
                <w:rFonts w:ascii="Arial" w:hAnsi="Arial" w:cs="Arial"/>
                <w:b/>
                <w:bCs/>
                <w:noProof w:val="0"/>
                <w:rtl/>
              </w:rPr>
            </w:pPr>
          </w:p>
          <w:p w14:paraId="441268D3" w14:textId="77777777" w:rsidR="006177F3" w:rsidRPr="000136E7" w:rsidRDefault="000136E7">
            <w:pPr>
              <w:rPr>
                <w:rFonts w:ascii="Arial" w:hAnsi="Arial" w:cs="Arial"/>
                <w:b/>
                <w:bCs/>
                <w:noProof w:val="0"/>
                <w:rtl/>
              </w:rPr>
            </w:pPr>
            <w:r w:rsidRPr="000136E7">
              <w:rPr>
                <w:rFonts w:ascii="Arial" w:hAnsi="Arial" w:cs="Arial" w:hint="cs"/>
                <w:rtl/>
              </w:rPr>
              <w:t>מוחמד עודה (עציר)</w:t>
            </w:r>
          </w:p>
        </w:tc>
      </w:tr>
    </w:tbl>
    <w:p w14:paraId="34759D68" w14:textId="77777777" w:rsidR="006177F3" w:rsidRPr="000136E7" w:rsidRDefault="006177F3">
      <w:pPr>
        <w:rPr>
          <w:rFonts w:ascii="Arial" w:hAnsi="Arial" w:cs="Arial"/>
          <w:rtl/>
        </w:rPr>
      </w:pPr>
    </w:p>
    <w:p w14:paraId="1F245C3A" w14:textId="77777777" w:rsidR="006177F3" w:rsidRPr="000136E7" w:rsidRDefault="000136E7">
      <w:pPr>
        <w:rPr>
          <w:rFonts w:ascii="Arial" w:hAnsi="Arial" w:cs="Arial"/>
          <w:rtl/>
        </w:rPr>
      </w:pPr>
      <w:r w:rsidRPr="000136E7">
        <w:rPr>
          <w:rFonts w:ascii="Arial" w:hAnsi="Arial" w:cs="Arial"/>
          <w:b/>
          <w:bCs/>
          <w:rtl/>
        </w:rPr>
        <w:t>נוכחים:</w:t>
      </w:r>
      <w:r w:rsidRPr="000136E7">
        <w:rPr>
          <w:rFonts w:ascii="Arial" w:hAnsi="Arial" w:cs="Arial"/>
          <w:rtl/>
        </w:rPr>
        <w:t xml:space="preserve"> </w:t>
      </w:r>
      <w:bookmarkStart w:id="2" w:name="FirstLawyer"/>
      <w:r w:rsidRPr="000136E7">
        <w:rPr>
          <w:rFonts w:ascii="Arial" w:hAnsi="Arial" w:cs="Arial"/>
          <w:rtl/>
        </w:rPr>
        <w:t>ב"כ</w:t>
      </w:r>
      <w:bookmarkEnd w:id="2"/>
      <w:r w:rsidRPr="000136E7">
        <w:rPr>
          <w:rFonts w:ascii="Arial" w:hAnsi="Arial" w:cs="Arial"/>
          <w:rtl/>
        </w:rPr>
        <w:t xml:space="preserve"> המאשימה עו"ד</w:t>
      </w:r>
      <w:r w:rsidRPr="000136E7">
        <w:rPr>
          <w:rFonts w:ascii="Arial" w:hAnsi="Arial" w:cs="Arial" w:hint="cs"/>
          <w:rtl/>
        </w:rPr>
        <w:t xml:space="preserve"> עינת לב ארי</w:t>
      </w:r>
    </w:p>
    <w:p w14:paraId="50F2CE73" w14:textId="77777777" w:rsidR="006177F3" w:rsidRPr="000136E7" w:rsidRDefault="000136E7">
      <w:pPr>
        <w:rPr>
          <w:rFonts w:ascii="Arial" w:hAnsi="Arial" w:cs="Arial"/>
          <w:rtl/>
        </w:rPr>
      </w:pPr>
      <w:r w:rsidRPr="000136E7">
        <w:rPr>
          <w:rFonts w:ascii="Arial" w:hAnsi="Arial" w:cs="Arial"/>
          <w:rtl/>
        </w:rPr>
        <w:tab/>
        <w:t xml:space="preserve"> ב"כ הנאשם עו"ד</w:t>
      </w:r>
      <w:r w:rsidRPr="000136E7">
        <w:rPr>
          <w:rFonts w:ascii="Arial" w:hAnsi="Arial" w:cs="Arial" w:hint="cs"/>
          <w:rtl/>
        </w:rPr>
        <w:t xml:space="preserve"> שי טובים</w:t>
      </w:r>
    </w:p>
    <w:p w14:paraId="0DE6E028" w14:textId="77777777" w:rsidR="006177F3" w:rsidRPr="000136E7" w:rsidRDefault="000136E7">
      <w:pPr>
        <w:rPr>
          <w:rFonts w:ascii="Arial" w:hAnsi="Arial" w:cs="Arial"/>
          <w:rtl/>
        </w:rPr>
      </w:pPr>
      <w:r w:rsidRPr="000136E7">
        <w:rPr>
          <w:rFonts w:ascii="Arial" w:hAnsi="Arial" w:cs="Arial"/>
          <w:rtl/>
        </w:rPr>
        <w:tab/>
        <w:t xml:space="preserve"> הנאשם הובא על ידי שב"ס</w:t>
      </w:r>
    </w:p>
    <w:p w14:paraId="6D3211DB" w14:textId="77777777" w:rsidR="006201EF" w:rsidRPr="006201EF" w:rsidRDefault="006201EF" w:rsidP="006201EF">
      <w:pPr>
        <w:spacing w:after="120" w:line="240" w:lineRule="exact"/>
        <w:ind w:left="283" w:hanging="283"/>
        <w:jc w:val="both"/>
        <w:rPr>
          <w:rFonts w:ascii="FrankRuehl" w:hAnsi="FrankRuehl" w:cs="FrankRuehl"/>
          <w:rtl/>
        </w:rPr>
      </w:pPr>
      <w:bookmarkStart w:id="3" w:name="NGCSBookmark"/>
      <w:bookmarkStart w:id="4" w:name="LawTable"/>
      <w:bookmarkEnd w:id="3"/>
      <w:bookmarkEnd w:id="4"/>
    </w:p>
    <w:p w14:paraId="34E3E8A8" w14:textId="77777777" w:rsidR="006201EF" w:rsidRPr="006201EF" w:rsidRDefault="006201EF" w:rsidP="006201EF">
      <w:pPr>
        <w:spacing w:after="120" w:line="240" w:lineRule="exact"/>
        <w:ind w:left="283" w:hanging="283"/>
        <w:jc w:val="both"/>
        <w:rPr>
          <w:rFonts w:ascii="FrankRuehl" w:hAnsi="FrankRuehl" w:cs="FrankRuehl"/>
          <w:rtl/>
        </w:rPr>
      </w:pPr>
      <w:r w:rsidRPr="006201EF">
        <w:rPr>
          <w:rFonts w:ascii="FrankRuehl" w:hAnsi="FrankRuehl" w:cs="FrankRuehl"/>
          <w:rtl/>
        </w:rPr>
        <w:t xml:space="preserve">חקיקה שאוזכרה: </w:t>
      </w:r>
    </w:p>
    <w:p w14:paraId="266156AA" w14:textId="77777777" w:rsidR="006201EF" w:rsidRPr="006201EF" w:rsidRDefault="006201EF" w:rsidP="006201EF">
      <w:pPr>
        <w:spacing w:after="120" w:line="240" w:lineRule="exact"/>
        <w:ind w:left="283" w:hanging="283"/>
        <w:jc w:val="both"/>
        <w:rPr>
          <w:rFonts w:ascii="FrankRuehl" w:hAnsi="FrankRuehl" w:cs="FrankRuehl"/>
          <w:color w:val="0000FF"/>
          <w:u w:val="single"/>
          <w:rtl/>
        </w:rPr>
      </w:pPr>
      <w:hyperlink r:id="rId7" w:history="1">
        <w:r w:rsidRPr="006201EF">
          <w:rPr>
            <w:rStyle w:val="Hyperlink"/>
            <w:rFonts w:ascii="FrankRuehl" w:hAnsi="FrankRuehl" w:cs="FrankRuehl"/>
            <w:rtl/>
          </w:rPr>
          <w:t>חוק העונשין, תשל"ז-1977</w:t>
        </w:r>
      </w:hyperlink>
      <w:r w:rsidRPr="006201EF">
        <w:rPr>
          <w:rFonts w:ascii="FrankRuehl" w:hAnsi="FrankRuehl" w:cs="FrankRuehl"/>
          <w:color w:val="0000FF"/>
          <w:u w:val="single"/>
          <w:rtl/>
        </w:rPr>
        <w:t xml:space="preserve">: סע'  </w:t>
      </w:r>
      <w:hyperlink r:id="rId8" w:history="1">
        <w:r w:rsidRPr="006201EF">
          <w:rPr>
            <w:rStyle w:val="Hyperlink"/>
            <w:rFonts w:ascii="FrankRuehl" w:hAnsi="FrankRuehl" w:cs="FrankRuehl"/>
          </w:rPr>
          <w:t>29</w:t>
        </w:r>
      </w:hyperlink>
      <w:r w:rsidRPr="006201EF">
        <w:rPr>
          <w:rFonts w:ascii="FrankRuehl" w:hAnsi="FrankRuehl" w:cs="FrankRuehl"/>
          <w:color w:val="0000FF"/>
          <w:u w:val="single"/>
          <w:rtl/>
        </w:rPr>
        <w:t xml:space="preserve">, </w:t>
      </w:r>
      <w:hyperlink r:id="rId9" w:history="1">
        <w:r w:rsidRPr="006201EF">
          <w:rPr>
            <w:rStyle w:val="Hyperlink"/>
            <w:rFonts w:ascii="FrankRuehl" w:hAnsi="FrankRuehl" w:cs="FrankRuehl"/>
          </w:rPr>
          <w:t>40</w:t>
        </w:r>
        <w:r w:rsidRPr="006201EF">
          <w:rPr>
            <w:rStyle w:val="Hyperlink"/>
            <w:rFonts w:ascii="FrankRuehl" w:hAnsi="FrankRuehl" w:cs="FrankRuehl"/>
            <w:rtl/>
          </w:rPr>
          <w:t>ג</w:t>
        </w:r>
      </w:hyperlink>
      <w:r w:rsidRPr="006201EF">
        <w:rPr>
          <w:rFonts w:ascii="FrankRuehl" w:hAnsi="FrankRuehl" w:cs="FrankRuehl"/>
          <w:color w:val="0000FF"/>
          <w:u w:val="single"/>
          <w:rtl/>
        </w:rPr>
        <w:t xml:space="preserve">, </w:t>
      </w:r>
      <w:hyperlink r:id="rId10" w:history="1">
        <w:r w:rsidRPr="006201EF">
          <w:rPr>
            <w:rStyle w:val="Hyperlink"/>
            <w:rFonts w:ascii="FrankRuehl" w:hAnsi="FrankRuehl" w:cs="FrankRuehl"/>
          </w:rPr>
          <w:t>40</w:t>
        </w:r>
        <w:r w:rsidRPr="006201EF">
          <w:rPr>
            <w:rStyle w:val="Hyperlink"/>
            <w:rFonts w:ascii="FrankRuehl" w:hAnsi="FrankRuehl" w:cs="FrankRuehl"/>
            <w:rtl/>
          </w:rPr>
          <w:t>ג(ב</w:t>
        </w:r>
        <w:r w:rsidRPr="006201EF">
          <w:rPr>
            <w:rStyle w:val="Hyperlink"/>
            <w:rFonts w:ascii="FrankRuehl" w:hAnsi="FrankRuehl" w:cs="FrankRuehl"/>
          </w:rPr>
          <w:t>)</w:t>
        </w:r>
      </w:hyperlink>
      <w:r w:rsidRPr="006201EF">
        <w:rPr>
          <w:rFonts w:ascii="FrankRuehl" w:hAnsi="FrankRuehl" w:cs="FrankRuehl"/>
          <w:color w:val="0000FF"/>
          <w:u w:val="single"/>
          <w:rtl/>
        </w:rPr>
        <w:t xml:space="preserve">, </w:t>
      </w:r>
      <w:hyperlink r:id="rId11" w:history="1">
        <w:r w:rsidRPr="006201EF">
          <w:rPr>
            <w:rStyle w:val="Hyperlink"/>
            <w:rFonts w:ascii="FrankRuehl" w:hAnsi="FrankRuehl" w:cs="FrankRuehl"/>
          </w:rPr>
          <w:t>144(</w:t>
        </w:r>
        <w:r w:rsidRPr="006201EF">
          <w:rPr>
            <w:rStyle w:val="Hyperlink"/>
            <w:rFonts w:ascii="FrankRuehl" w:hAnsi="FrankRuehl" w:cs="FrankRuehl"/>
            <w:rtl/>
          </w:rPr>
          <w:t>ב</w:t>
        </w:r>
        <w:r w:rsidRPr="006201EF">
          <w:rPr>
            <w:rStyle w:val="Hyperlink"/>
            <w:rFonts w:ascii="FrankRuehl" w:hAnsi="FrankRuehl" w:cs="FrankRuehl"/>
          </w:rPr>
          <w:t>)</w:t>
        </w:r>
      </w:hyperlink>
      <w:r w:rsidRPr="006201EF">
        <w:rPr>
          <w:rFonts w:ascii="FrankRuehl" w:hAnsi="FrankRuehl" w:cs="FrankRuehl"/>
          <w:color w:val="0000FF"/>
          <w:u w:val="single"/>
          <w:rtl/>
        </w:rPr>
        <w:t xml:space="preserve">, </w:t>
      </w:r>
      <w:hyperlink r:id="rId12" w:history="1">
        <w:r w:rsidRPr="006201EF">
          <w:rPr>
            <w:rStyle w:val="Hyperlink"/>
            <w:rFonts w:ascii="FrankRuehl" w:hAnsi="FrankRuehl" w:cs="FrankRuehl"/>
          </w:rPr>
          <w:t>244</w:t>
        </w:r>
      </w:hyperlink>
    </w:p>
    <w:p w14:paraId="7F46853B" w14:textId="77777777" w:rsidR="006201EF" w:rsidRPr="006201EF" w:rsidRDefault="006201EF" w:rsidP="006201EF">
      <w:pPr>
        <w:spacing w:after="120" w:line="240" w:lineRule="exact"/>
        <w:ind w:left="283" w:hanging="283"/>
        <w:jc w:val="both"/>
        <w:rPr>
          <w:rFonts w:ascii="FrankRuehl" w:hAnsi="FrankRuehl" w:cs="FrankRuehl"/>
          <w:rtl/>
        </w:rPr>
      </w:pPr>
    </w:p>
    <w:p w14:paraId="4F722198" w14:textId="77777777" w:rsidR="000136E7" w:rsidRPr="000136E7" w:rsidRDefault="000136E7" w:rsidP="000136E7">
      <w:pPr>
        <w:jc w:val="center"/>
        <w:rPr>
          <w:b/>
          <w:bCs/>
          <w:sz w:val="32"/>
          <w:szCs w:val="32"/>
          <w:u w:val="single"/>
          <w:rtl/>
        </w:rPr>
      </w:pPr>
      <w:bookmarkStart w:id="5" w:name="LawTable_End"/>
      <w:bookmarkStart w:id="6" w:name="PsakDin"/>
      <w:bookmarkEnd w:id="0"/>
      <w:bookmarkEnd w:id="5"/>
      <w:r w:rsidRPr="000136E7">
        <w:rPr>
          <w:b/>
          <w:bCs/>
          <w:sz w:val="32"/>
          <w:szCs w:val="32"/>
          <w:u w:val="single"/>
          <w:rtl/>
        </w:rPr>
        <w:t>גזר דין</w:t>
      </w:r>
    </w:p>
    <w:bookmarkEnd w:id="6"/>
    <w:p w14:paraId="687F931E" w14:textId="77777777" w:rsidR="006177F3" w:rsidRDefault="000136E7">
      <w:pPr>
        <w:rPr>
          <w:rFonts w:ascii="Arial" w:hAnsi="Arial" w:cs="Arial"/>
          <w:b/>
          <w:bCs/>
          <w:sz w:val="22"/>
          <w:szCs w:val="22"/>
          <w:u w:val="single"/>
          <w:rtl/>
        </w:rPr>
      </w:pPr>
      <w:r>
        <w:rPr>
          <w:rFonts w:ascii="Arial" w:hAnsi="Arial" w:cs="Arial"/>
          <w:b/>
          <w:bCs/>
          <w:sz w:val="22"/>
          <w:szCs w:val="22"/>
          <w:u w:val="single"/>
          <w:rtl/>
        </w:rPr>
        <w:t>כללי</w:t>
      </w:r>
    </w:p>
    <w:p w14:paraId="013BCA02" w14:textId="77777777" w:rsidR="006177F3" w:rsidRDefault="000136E7">
      <w:pPr>
        <w:pStyle w:val="ListParagraph"/>
        <w:numPr>
          <w:ilvl w:val="0"/>
          <w:numId w:val="1"/>
        </w:numPr>
        <w:jc w:val="both"/>
        <w:rPr>
          <w:sz w:val="24"/>
          <w:szCs w:val="24"/>
        </w:rPr>
      </w:pPr>
      <w:bookmarkStart w:id="7" w:name="ABSTRACT_START"/>
      <w:bookmarkEnd w:id="7"/>
      <w:r>
        <w:rPr>
          <w:sz w:val="24"/>
          <w:szCs w:val="24"/>
          <w:rtl/>
        </w:rPr>
        <w:t xml:space="preserve">הנאשם, בחור צעיר יליד 1991, הורשע על פי הודאתו במסגרת הסדר טיעון דיוני בכתב אישום מתוקן, המייחס לו עבירות של הובלת נשק בצוותא, עבירה לפי </w:t>
      </w:r>
      <w:hyperlink r:id="rId13" w:history="1">
        <w:r w:rsidR="006201EF" w:rsidRPr="006201EF">
          <w:rPr>
            <w:rStyle w:val="Hyperlink"/>
            <w:rFonts w:hint="cs"/>
            <w:sz w:val="24"/>
            <w:szCs w:val="24"/>
            <w:rtl/>
          </w:rPr>
          <w:t>סעיף</w:t>
        </w:r>
        <w:r w:rsidR="006201EF" w:rsidRPr="006201EF">
          <w:rPr>
            <w:rStyle w:val="Hyperlink"/>
            <w:sz w:val="24"/>
            <w:szCs w:val="24"/>
            <w:rtl/>
          </w:rPr>
          <w:t xml:space="preserve"> 144(</w:t>
        </w:r>
        <w:r w:rsidR="006201EF" w:rsidRPr="006201EF">
          <w:rPr>
            <w:rStyle w:val="Hyperlink"/>
            <w:rFonts w:hint="cs"/>
            <w:sz w:val="24"/>
            <w:szCs w:val="24"/>
            <w:rtl/>
          </w:rPr>
          <w:t>ב</w:t>
        </w:r>
        <w:r w:rsidR="006201EF" w:rsidRPr="006201EF">
          <w:rPr>
            <w:rStyle w:val="Hyperlink"/>
            <w:sz w:val="24"/>
            <w:szCs w:val="24"/>
            <w:rtl/>
          </w:rPr>
          <w:t>)</w:t>
        </w:r>
      </w:hyperlink>
      <w:r>
        <w:rPr>
          <w:sz w:val="24"/>
          <w:szCs w:val="24"/>
          <w:rtl/>
        </w:rPr>
        <w:t xml:space="preserve"> רישא יחד עם </w:t>
      </w:r>
      <w:hyperlink r:id="rId14" w:history="1">
        <w:r w:rsidR="006201EF" w:rsidRPr="006201EF">
          <w:rPr>
            <w:rStyle w:val="Hyperlink"/>
            <w:rFonts w:hint="cs"/>
            <w:sz w:val="24"/>
            <w:szCs w:val="24"/>
            <w:rtl/>
          </w:rPr>
          <w:t>סעיף</w:t>
        </w:r>
        <w:r w:rsidR="006201EF" w:rsidRPr="006201EF">
          <w:rPr>
            <w:rStyle w:val="Hyperlink"/>
            <w:sz w:val="24"/>
            <w:szCs w:val="24"/>
            <w:rtl/>
          </w:rPr>
          <w:t xml:space="preserve"> 29</w:t>
        </w:r>
      </w:hyperlink>
      <w:r>
        <w:rPr>
          <w:sz w:val="24"/>
          <w:szCs w:val="24"/>
          <w:rtl/>
        </w:rPr>
        <w:t xml:space="preserve"> ל</w:t>
      </w:r>
      <w:hyperlink r:id="rId15" w:history="1">
        <w:r w:rsidRPr="000136E7">
          <w:rPr>
            <w:rFonts w:hint="cs"/>
            <w:color w:val="0000FF"/>
            <w:sz w:val="24"/>
            <w:szCs w:val="24"/>
            <w:u w:val="single"/>
            <w:rtl/>
          </w:rPr>
          <w:t>חוק</w:t>
        </w:r>
        <w:r w:rsidRPr="000136E7">
          <w:rPr>
            <w:color w:val="0000FF"/>
            <w:sz w:val="24"/>
            <w:szCs w:val="24"/>
            <w:u w:val="single"/>
            <w:rtl/>
          </w:rPr>
          <w:t xml:space="preserve"> </w:t>
        </w:r>
        <w:r w:rsidRPr="000136E7">
          <w:rPr>
            <w:rFonts w:hint="cs"/>
            <w:color w:val="0000FF"/>
            <w:sz w:val="24"/>
            <w:szCs w:val="24"/>
            <w:u w:val="single"/>
            <w:rtl/>
          </w:rPr>
          <w:t>העונשין</w:t>
        </w:r>
      </w:hyperlink>
      <w:r>
        <w:rPr>
          <w:sz w:val="24"/>
          <w:szCs w:val="24"/>
          <w:rtl/>
        </w:rPr>
        <w:t xml:space="preserve">, התשל"ז-1977 (להלן: "החוק"), ושיבוש מהלכי משפט, עבירה לפי </w:t>
      </w:r>
      <w:hyperlink r:id="rId16" w:history="1">
        <w:r w:rsidR="006201EF" w:rsidRPr="006201EF">
          <w:rPr>
            <w:rStyle w:val="Hyperlink"/>
            <w:rFonts w:hint="cs"/>
            <w:sz w:val="24"/>
            <w:szCs w:val="24"/>
            <w:rtl/>
          </w:rPr>
          <w:t>סעיף</w:t>
        </w:r>
        <w:r w:rsidR="006201EF" w:rsidRPr="006201EF">
          <w:rPr>
            <w:rStyle w:val="Hyperlink"/>
            <w:sz w:val="24"/>
            <w:szCs w:val="24"/>
            <w:rtl/>
          </w:rPr>
          <w:t xml:space="preserve"> 244</w:t>
        </w:r>
      </w:hyperlink>
      <w:r>
        <w:rPr>
          <w:sz w:val="24"/>
          <w:szCs w:val="24"/>
          <w:rtl/>
        </w:rPr>
        <w:t xml:space="preserve"> לחוק. בהתאם להסדר, עתרה ב"כ המאשימה להשית על הנאשם עונש ראוי של 18 חודשי מאסר בפועל, מאסר מותנה וקנס, וב"כ הנאשם עתר להסתפק בימי מעצרו.</w:t>
      </w:r>
    </w:p>
    <w:p w14:paraId="6DC1559D" w14:textId="77777777" w:rsidR="006177F3" w:rsidRDefault="006177F3">
      <w:pPr>
        <w:pStyle w:val="ListParagraph"/>
        <w:jc w:val="both"/>
        <w:rPr>
          <w:sz w:val="10"/>
          <w:szCs w:val="10"/>
        </w:rPr>
      </w:pPr>
      <w:bookmarkStart w:id="8" w:name="ABSTRACT_END"/>
      <w:bookmarkEnd w:id="8"/>
    </w:p>
    <w:p w14:paraId="2CFE4C4B" w14:textId="77777777" w:rsidR="006177F3" w:rsidRDefault="000136E7">
      <w:pPr>
        <w:pStyle w:val="ListParagraph"/>
        <w:numPr>
          <w:ilvl w:val="0"/>
          <w:numId w:val="1"/>
        </w:numPr>
        <w:jc w:val="both"/>
        <w:rPr>
          <w:sz w:val="24"/>
          <w:szCs w:val="24"/>
        </w:rPr>
      </w:pPr>
      <w:r>
        <w:rPr>
          <w:sz w:val="24"/>
          <w:szCs w:val="24"/>
          <w:rtl/>
        </w:rPr>
        <w:t>מעובדות כתב האישום המתוקן עולה, כי  בתאריך 20.10.12 בסמוך לשעה 02:10 לפנות בוקר נסע הנאשם, יחד עם חמזי עראר, מאהר סאלח ואדם נוסף שזהותו אינה ידועה למאשימה, ברכב  סובארו 4–</w:t>
      </w:r>
      <w:r>
        <w:rPr>
          <w:sz w:val="24"/>
          <w:szCs w:val="24"/>
        </w:rPr>
        <w:t>B</w:t>
      </w:r>
      <w:r>
        <w:rPr>
          <w:sz w:val="24"/>
          <w:szCs w:val="24"/>
          <w:rtl/>
        </w:rPr>
        <w:t xml:space="preserve"> מ.ר. 35-218-23 (להלן: "הרכב"), לביתו של סאדן עאמר (להלן: "המתלונן") בכפר קאסם. הארבעה היו מצוידים בכלי נשק ארוך מסוג</w:t>
      </w:r>
      <w:r>
        <w:rPr>
          <w:rFonts w:hint="cs"/>
          <w:sz w:val="24"/>
          <w:szCs w:val="24"/>
        </w:rPr>
        <w:t xml:space="preserve"> </w:t>
      </w:r>
      <w:r>
        <w:rPr>
          <w:sz w:val="24"/>
          <w:szCs w:val="24"/>
          <w:rtl/>
        </w:rPr>
        <w:t xml:space="preserve">5 </w:t>
      </w:r>
      <w:r>
        <w:rPr>
          <w:sz w:val="24"/>
          <w:szCs w:val="24"/>
        </w:rPr>
        <w:t>MP-</w:t>
      </w:r>
      <w:r>
        <w:rPr>
          <w:sz w:val="24"/>
          <w:szCs w:val="24"/>
          <w:rtl/>
        </w:rPr>
        <w:t xml:space="preserve"> קליבר </w:t>
      </w:r>
      <w:smartTag w:uri="urn:schemas-microsoft-com:office:smarttags" w:element="metricconverter">
        <w:smartTagPr>
          <w:attr w:name="ProductID" w:val="9 מ&quot;מ"/>
        </w:smartTagPr>
        <w:r>
          <w:rPr>
            <w:sz w:val="24"/>
            <w:szCs w:val="24"/>
            <w:rtl/>
          </w:rPr>
          <w:t>9 מ"מ</w:t>
        </w:r>
      </w:smartTag>
      <w:r>
        <w:rPr>
          <w:sz w:val="24"/>
          <w:szCs w:val="24"/>
          <w:rtl/>
        </w:rPr>
        <w:t xml:space="preserve"> </w:t>
      </w:r>
      <w:r>
        <w:rPr>
          <w:rFonts w:hint="cs"/>
          <w:sz w:val="24"/>
          <w:szCs w:val="24"/>
        </w:rPr>
        <w:t xml:space="preserve"> </w:t>
      </w:r>
      <w:r>
        <w:rPr>
          <w:sz w:val="24"/>
          <w:szCs w:val="24"/>
          <w:rtl/>
        </w:rPr>
        <w:t xml:space="preserve">(להלן: "הנשק"). שלושה מתוכם יצאו מרכב הסובארו, כשהם עוטים כובעי גרב על פניהם ואחד מהם ירה מהנשק. לאחר מכן נמלטו הארבעה ברכב, כשמאהר נהג ברכב וחמזי החזיק את הנשק בחיקו. בשלב מסוים ניידת עצרה את הרכב, אולם מאהר נמלט מהמקום בנהיגה מסוכנת בעוד האחרים נמצאים ברכב. במהלך ההמלטות השליך חמזי את הנשק לצידי הדרך. לאחר האירוע, נמלט הנאשם </w:t>
      </w:r>
      <w:r>
        <w:rPr>
          <w:sz w:val="24"/>
          <w:szCs w:val="24"/>
          <w:rtl/>
        </w:rPr>
        <w:lastRenderedPageBreak/>
        <w:t xml:space="preserve">מהמקום ביודעו כי המשטרה מחפשת אחריו ונמנע מלהגיע לחקירה למרות שידע כי הוא מוזמן אליה משך למעלה משנה.  </w:t>
      </w:r>
    </w:p>
    <w:p w14:paraId="32C1999C" w14:textId="77777777" w:rsidR="006177F3" w:rsidRDefault="006177F3">
      <w:pPr>
        <w:pStyle w:val="ListParagraph"/>
        <w:jc w:val="both"/>
        <w:rPr>
          <w:sz w:val="24"/>
          <w:szCs w:val="24"/>
          <w:rtl/>
        </w:rPr>
      </w:pPr>
    </w:p>
    <w:p w14:paraId="482ED0A2" w14:textId="77777777" w:rsidR="006177F3" w:rsidRDefault="000136E7">
      <w:pPr>
        <w:pStyle w:val="ListParagraph"/>
        <w:numPr>
          <w:ilvl w:val="0"/>
          <w:numId w:val="1"/>
        </w:numPr>
        <w:jc w:val="both"/>
        <w:rPr>
          <w:sz w:val="24"/>
          <w:szCs w:val="24"/>
          <w:rtl/>
        </w:rPr>
      </w:pPr>
      <w:r>
        <w:rPr>
          <w:sz w:val="24"/>
          <w:szCs w:val="24"/>
          <w:rtl/>
        </w:rPr>
        <w:t>הנאשם עצור מיום 20.11.13.</w:t>
      </w:r>
    </w:p>
    <w:p w14:paraId="4706C452" w14:textId="77777777" w:rsidR="006177F3" w:rsidRDefault="006177F3">
      <w:pPr>
        <w:pStyle w:val="ListParagraph"/>
        <w:rPr>
          <w:sz w:val="14"/>
          <w:szCs w:val="14"/>
          <w:rtl/>
        </w:rPr>
      </w:pPr>
    </w:p>
    <w:p w14:paraId="69A66616" w14:textId="77777777" w:rsidR="006177F3" w:rsidRDefault="000136E7">
      <w:pPr>
        <w:pStyle w:val="ListParagraph"/>
        <w:numPr>
          <w:ilvl w:val="0"/>
          <w:numId w:val="1"/>
        </w:numPr>
        <w:jc w:val="both"/>
        <w:rPr>
          <w:sz w:val="24"/>
          <w:szCs w:val="24"/>
          <w:rtl/>
        </w:rPr>
      </w:pPr>
      <w:r>
        <w:rPr>
          <w:sz w:val="24"/>
          <w:szCs w:val="24"/>
          <w:rtl/>
        </w:rPr>
        <w:t>חמזי ומאהר הודו אף הם ביום 20.10.13, במסגרת הסדר טיעון, בכתב אישום מתוקן הנושא שני אישומים. על פי האישום הראשון, הדומה בעיקרו לכתב האישום שבענייננו, הורשעו השניים בביצוע עבירות של  ירי באזור מגורים, הובלת נשק, היזק בזדון ואיומים, כאשר נטען כי אחד מהם או מעורב אחר ירה לעבר קירות ביתו של המתלונן ולעבר רכבו והסב נזקים, וכי השניים איימו על המתלונן שצפה במעשיהם מחלון ביתו. על פי האישום השני, לאחר הירי נערך מרדף משטרתי אחר הרכב, במהלכו מאהר נהג בפראות בעוד חמזי שלף את הנשק והחזיקו בצורה מאיימת כלפי השוטרים. בתגובה ירו השוטרים לעבר גלגלי הרכב וכן ירו ירייה אחת לעבר נאשם 1 ופצעו אותו בגבו. מאהר המשיך בנסיעה פראית וחמזי השליך את הנשק. בשלב מסוים איבד מאהר את השליטה על הרכב, עצר את הרכב וברח, בעוד חמזי נותר פצוע ברכב, ומשניגש אליו שוטר תקף חמזי את השוטר והכהו באגרוף בחזהו. בעקבות מעשים אלה הורשע חמזי בביצוע עבירות הובלת נשק בצוותא, תקיפת שוטר ושיבוש הליכי משפט,  ומאהר בביצוע עבירות הובלת נשק בצוותא ומעשה פזיזות ורשלנות.</w:t>
      </w:r>
    </w:p>
    <w:p w14:paraId="2FA75434" w14:textId="77777777" w:rsidR="006177F3" w:rsidRDefault="006177F3">
      <w:pPr>
        <w:pStyle w:val="ListParagraph"/>
        <w:rPr>
          <w:sz w:val="14"/>
          <w:szCs w:val="14"/>
        </w:rPr>
      </w:pPr>
    </w:p>
    <w:p w14:paraId="41560C2F" w14:textId="77777777" w:rsidR="006177F3" w:rsidRDefault="000136E7">
      <w:pPr>
        <w:pStyle w:val="ListParagraph"/>
        <w:jc w:val="both"/>
        <w:rPr>
          <w:sz w:val="24"/>
          <w:szCs w:val="24"/>
          <w:rtl/>
        </w:rPr>
      </w:pPr>
      <w:r>
        <w:rPr>
          <w:sz w:val="24"/>
          <w:szCs w:val="24"/>
          <w:rtl/>
        </w:rPr>
        <w:t xml:space="preserve">בהתאם להסדר הטיעון בעניינם, שנבע מקשיים ראייתיים ומפציעתו הקשה של חמזי במהלך האירוע, הוטלו על חמזי 35 חודשי מאסר בפועל, מאסר מותנה וקנס בסך 25,000 ₪. עונש מאסר על תנאי בן 45 ימים הופעל בחופף. על מאהר הוטלו 18 חודשי מאסר בפועל, מאסר מותנה, קנס בסך 7,000 ₪ ו-3 חודשי פסילה.  </w:t>
      </w:r>
    </w:p>
    <w:p w14:paraId="1D1E30E2" w14:textId="77777777" w:rsidR="006177F3" w:rsidRDefault="006177F3">
      <w:pPr>
        <w:pStyle w:val="ListParagraph"/>
        <w:jc w:val="both"/>
        <w:rPr>
          <w:sz w:val="2"/>
          <w:szCs w:val="2"/>
          <w:rtl/>
        </w:rPr>
      </w:pPr>
    </w:p>
    <w:p w14:paraId="2A45FE5B" w14:textId="77777777" w:rsidR="006177F3" w:rsidRDefault="000136E7">
      <w:pPr>
        <w:jc w:val="both"/>
        <w:rPr>
          <w:rFonts w:ascii="Arial" w:hAnsi="Arial" w:cs="Arial"/>
          <w:b/>
          <w:bCs/>
          <w:u w:val="single"/>
          <w:rtl/>
        </w:rPr>
      </w:pPr>
      <w:r>
        <w:rPr>
          <w:rFonts w:ascii="Arial" w:hAnsi="Arial" w:cs="Arial"/>
          <w:b/>
          <w:bCs/>
          <w:u w:val="single"/>
          <w:rtl/>
        </w:rPr>
        <w:t>טיעוני ב"כ הצדדים לעניין העונש</w:t>
      </w:r>
    </w:p>
    <w:p w14:paraId="5A3BC1FF" w14:textId="77777777" w:rsidR="006177F3" w:rsidRDefault="000136E7">
      <w:pPr>
        <w:pStyle w:val="ListParagraph"/>
        <w:jc w:val="both"/>
        <w:rPr>
          <w:sz w:val="24"/>
          <w:szCs w:val="24"/>
          <w:rtl/>
        </w:rPr>
      </w:pPr>
      <w:r>
        <w:rPr>
          <w:sz w:val="24"/>
          <w:szCs w:val="24"/>
          <w:rtl/>
        </w:rPr>
        <w:t xml:space="preserve"> </w:t>
      </w:r>
    </w:p>
    <w:p w14:paraId="418E44C7" w14:textId="77777777" w:rsidR="006177F3" w:rsidRDefault="000136E7">
      <w:pPr>
        <w:pStyle w:val="ListParagraph"/>
        <w:numPr>
          <w:ilvl w:val="0"/>
          <w:numId w:val="1"/>
        </w:numPr>
        <w:jc w:val="both"/>
        <w:rPr>
          <w:sz w:val="24"/>
          <w:szCs w:val="24"/>
          <w:rtl/>
        </w:rPr>
      </w:pPr>
      <w:r>
        <w:rPr>
          <w:sz w:val="24"/>
          <w:szCs w:val="24"/>
          <w:rtl/>
        </w:rPr>
        <w:t>ב"כ המאשימה עמדה על חומרת מעשיו של הנאשם והדגישה את דבר הימלטותו של הנאשם מן הדין למשך שנה, וטענה כי עונש של 18 חודשי מאסר בפועל הוא עונש הולם בנסיבות העניין, ועולה בקנה אחד עם עקרון אחידות הענישה. ב"כ המאשימה הפנתה לגיליון הרשעותיו הקודמות של הנאשם, שלו הרשעה אחת בעבירת סיוע לאחר מעשה פשע, בגינה ריצה 14 ימי מאסר בפועל והוטלו עליו 8 חודשי מאסר וקנס. עבירות נוספות התיישנו זה מכבר.</w:t>
      </w:r>
    </w:p>
    <w:p w14:paraId="09F16AC7" w14:textId="77777777" w:rsidR="006177F3" w:rsidRDefault="006177F3">
      <w:pPr>
        <w:pStyle w:val="ListParagraph"/>
        <w:jc w:val="both"/>
        <w:rPr>
          <w:sz w:val="24"/>
          <w:szCs w:val="24"/>
        </w:rPr>
      </w:pPr>
    </w:p>
    <w:p w14:paraId="0D99F7AA" w14:textId="77777777" w:rsidR="006177F3" w:rsidRDefault="000136E7">
      <w:pPr>
        <w:pStyle w:val="ListParagraph"/>
        <w:jc w:val="both"/>
        <w:rPr>
          <w:sz w:val="24"/>
          <w:szCs w:val="24"/>
          <w:rtl/>
        </w:rPr>
      </w:pPr>
      <w:r>
        <w:rPr>
          <w:sz w:val="24"/>
          <w:szCs w:val="24"/>
          <w:rtl/>
        </w:rPr>
        <w:t>ב"כ המאשימה הפנתה לפסיקה כדלקמן:</w:t>
      </w:r>
    </w:p>
    <w:p w14:paraId="66BEDE0B" w14:textId="77777777" w:rsidR="006177F3" w:rsidRDefault="006177F3">
      <w:pPr>
        <w:pStyle w:val="ListParagraph"/>
        <w:jc w:val="both"/>
        <w:rPr>
          <w:sz w:val="24"/>
          <w:szCs w:val="24"/>
          <w:rtl/>
        </w:rPr>
      </w:pPr>
    </w:p>
    <w:p w14:paraId="4359290F" w14:textId="77777777" w:rsidR="006177F3" w:rsidRDefault="000136E7">
      <w:pPr>
        <w:pStyle w:val="ListParagraph"/>
        <w:numPr>
          <w:ilvl w:val="0"/>
          <w:numId w:val="2"/>
        </w:numPr>
        <w:jc w:val="both"/>
        <w:rPr>
          <w:sz w:val="24"/>
          <w:szCs w:val="24"/>
        </w:rPr>
      </w:pPr>
      <w:hyperlink r:id="rId17"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2892/13</w:t>
        </w:r>
      </w:hyperlink>
      <w:r>
        <w:rPr>
          <w:sz w:val="24"/>
          <w:szCs w:val="24"/>
          <w:rtl/>
        </w:rPr>
        <w:t xml:space="preserve"> מוחמד עודתאללה נגד מדינת ישראל – המערער, בחור צעיר ונורמטיבי, נשא ברכבו אקדח ומחסנית ריקה, הורשע בעבירות של נשיאה והובלה של נשק שלא כדין והסתייעות ברכב לביצוע פשע, ונדון לעונש של 21 חודשי מאסר בפועל.</w:t>
      </w:r>
    </w:p>
    <w:p w14:paraId="4E88EEDA" w14:textId="77777777" w:rsidR="006177F3" w:rsidRDefault="006177F3">
      <w:pPr>
        <w:pStyle w:val="ListParagraph"/>
        <w:ind w:left="1080"/>
        <w:jc w:val="both"/>
        <w:rPr>
          <w:sz w:val="24"/>
          <w:szCs w:val="24"/>
          <w:rtl/>
        </w:rPr>
      </w:pPr>
    </w:p>
    <w:p w14:paraId="76400931" w14:textId="77777777" w:rsidR="006177F3" w:rsidRDefault="000136E7">
      <w:pPr>
        <w:pStyle w:val="ListParagraph"/>
        <w:numPr>
          <w:ilvl w:val="0"/>
          <w:numId w:val="2"/>
        </w:numPr>
        <w:jc w:val="both"/>
        <w:rPr>
          <w:sz w:val="24"/>
          <w:szCs w:val="24"/>
        </w:rPr>
      </w:pPr>
      <w:r>
        <w:rPr>
          <w:sz w:val="24"/>
          <w:szCs w:val="24"/>
          <w:rtl/>
        </w:rPr>
        <w:lastRenderedPageBreak/>
        <w:t xml:space="preserve">ת"פ מחוזי נצרת 55351-12-12 מדינת ישראל נגד נגב אברהם אלול – נאשם צעיר בעל רקע פסיכיאטרי, אשר נהג לסוע באוטובוסים כשהוא מתחזה לשוטר ונושא נשק, ובביתו </w:t>
      </w:r>
    </w:p>
    <w:p w14:paraId="11ADA180" w14:textId="77777777" w:rsidR="006177F3" w:rsidRDefault="006177F3">
      <w:pPr>
        <w:pStyle w:val="ListParagraph"/>
        <w:ind w:left="1080"/>
        <w:jc w:val="both"/>
        <w:rPr>
          <w:sz w:val="24"/>
          <w:szCs w:val="24"/>
          <w:rtl/>
        </w:rPr>
      </w:pPr>
    </w:p>
    <w:p w14:paraId="4D19795A" w14:textId="77777777" w:rsidR="006177F3" w:rsidRDefault="000136E7">
      <w:pPr>
        <w:pStyle w:val="ListParagraph"/>
        <w:ind w:left="1080"/>
        <w:jc w:val="both"/>
        <w:rPr>
          <w:sz w:val="24"/>
          <w:szCs w:val="24"/>
          <w:rtl/>
        </w:rPr>
      </w:pPr>
      <w:r>
        <w:rPr>
          <w:sz w:val="24"/>
          <w:szCs w:val="24"/>
          <w:rtl/>
        </w:rPr>
        <w:t>נתפסה תחמושת נוספת, הורשע בעבירות של נשיאת והובלת נשק, החזקת אביזרי נשק ותחמושת, זיוף מסמך בכוונה לקבל באמצעותו דבר ושימוש במסמך מזויף, ונדון ל-48 חודשי מאסר בפועל.</w:t>
      </w:r>
    </w:p>
    <w:p w14:paraId="655140F8" w14:textId="77777777" w:rsidR="006177F3" w:rsidRDefault="006177F3">
      <w:pPr>
        <w:pStyle w:val="ListParagraph"/>
        <w:ind w:left="1080"/>
        <w:jc w:val="both"/>
        <w:rPr>
          <w:sz w:val="24"/>
          <w:szCs w:val="24"/>
          <w:rtl/>
        </w:rPr>
      </w:pPr>
    </w:p>
    <w:p w14:paraId="79364AAC" w14:textId="77777777" w:rsidR="006177F3" w:rsidRDefault="000136E7">
      <w:pPr>
        <w:pStyle w:val="ListParagraph"/>
        <w:numPr>
          <w:ilvl w:val="0"/>
          <w:numId w:val="2"/>
        </w:numPr>
        <w:jc w:val="both"/>
        <w:rPr>
          <w:sz w:val="24"/>
          <w:szCs w:val="24"/>
        </w:rPr>
      </w:pPr>
      <w:r>
        <w:rPr>
          <w:sz w:val="24"/>
          <w:szCs w:val="24"/>
          <w:rtl/>
        </w:rPr>
        <w:t>ת"פ מחוזי נצרת 191-09 מדינת ישראל נגד מוחמד זייד – נאשם צעיר, בעל עבר לא מבוטל, הורשע בגין נשיאת תת מקלע ותחמושת ברכב ובריחה מניידת משטרה בעבירות בנשק (נשיאה והחזקה), בשיבוש מהלכי משפט והסתייעות ברכב לביצוע פשע  ונדון ל-40 חודשי מאסר בפועל.</w:t>
      </w:r>
    </w:p>
    <w:p w14:paraId="32DBADDC" w14:textId="77777777" w:rsidR="006177F3" w:rsidRDefault="006177F3">
      <w:pPr>
        <w:pStyle w:val="ListParagraph"/>
        <w:ind w:left="1080"/>
        <w:jc w:val="both"/>
        <w:rPr>
          <w:sz w:val="24"/>
          <w:szCs w:val="24"/>
        </w:rPr>
      </w:pPr>
    </w:p>
    <w:p w14:paraId="30A990B0" w14:textId="77777777" w:rsidR="006177F3" w:rsidRDefault="000136E7">
      <w:pPr>
        <w:pStyle w:val="ListParagraph"/>
        <w:numPr>
          <w:ilvl w:val="0"/>
          <w:numId w:val="1"/>
        </w:numPr>
        <w:jc w:val="both"/>
        <w:rPr>
          <w:sz w:val="24"/>
          <w:szCs w:val="24"/>
          <w:rtl/>
        </w:rPr>
      </w:pPr>
      <w:r>
        <w:rPr>
          <w:sz w:val="24"/>
          <w:szCs w:val="24"/>
          <w:rtl/>
        </w:rPr>
        <w:t xml:space="preserve">ב"כ הנאשם טען כי חלקו של הנאשם במעשים נמוך לאין שיעור מחלקם של הנאשמים האחרים בפרשה. הנאשם מואשם בהחזקת הנשק מכוח ישיבתו בצוותא עם אחרים ברכב בו נמצא הנשק, ובניגוד לנאשמים האחרים אין כל טענה כי היה מעורב בביצוע הירי עצמו. </w:t>
      </w:r>
    </w:p>
    <w:p w14:paraId="74207984" w14:textId="77777777" w:rsidR="006177F3" w:rsidRDefault="006177F3">
      <w:pPr>
        <w:pStyle w:val="ListParagraph"/>
        <w:jc w:val="both"/>
        <w:rPr>
          <w:sz w:val="24"/>
          <w:szCs w:val="24"/>
        </w:rPr>
      </w:pPr>
    </w:p>
    <w:p w14:paraId="1CE2A508" w14:textId="77777777" w:rsidR="006177F3" w:rsidRDefault="000136E7">
      <w:pPr>
        <w:pStyle w:val="ListParagraph"/>
        <w:jc w:val="both"/>
        <w:rPr>
          <w:sz w:val="24"/>
          <w:szCs w:val="24"/>
          <w:rtl/>
        </w:rPr>
      </w:pPr>
      <w:r>
        <w:rPr>
          <w:sz w:val="24"/>
          <w:szCs w:val="24"/>
          <w:rtl/>
        </w:rPr>
        <w:t xml:space="preserve">כן טען כי הנאשם הינו בחור צעיר שלא ריצה מעולם עונש מאסר אלא מעצר בלבד, נגרר אחר המעורבים האחרים בביצוע המעשים ולבסוף הסגיר עצמו למשטרה. </w:t>
      </w:r>
    </w:p>
    <w:p w14:paraId="3DE1E2EC" w14:textId="77777777" w:rsidR="006177F3" w:rsidRDefault="006177F3">
      <w:pPr>
        <w:pStyle w:val="ListParagraph"/>
        <w:jc w:val="both"/>
        <w:rPr>
          <w:sz w:val="24"/>
          <w:szCs w:val="24"/>
          <w:rtl/>
        </w:rPr>
      </w:pPr>
    </w:p>
    <w:p w14:paraId="1DCB485C" w14:textId="77777777" w:rsidR="006177F3" w:rsidRDefault="000136E7">
      <w:pPr>
        <w:pStyle w:val="ListParagraph"/>
        <w:jc w:val="both"/>
        <w:rPr>
          <w:sz w:val="24"/>
          <w:szCs w:val="24"/>
          <w:rtl/>
        </w:rPr>
      </w:pPr>
      <w:r>
        <w:rPr>
          <w:sz w:val="24"/>
          <w:szCs w:val="24"/>
          <w:rtl/>
        </w:rPr>
        <w:t>בנסיבות אלה נתבקש בית המשפט להסתפק בימי מעצרו (כחמישה חודשים), ולהטיל עליו עונש מאסר מותנה וקנס כספי הדומים במהותם לאלה שהוטלו על מאהר.</w:t>
      </w:r>
    </w:p>
    <w:p w14:paraId="1AA3B5FC" w14:textId="77777777" w:rsidR="006177F3" w:rsidRDefault="006177F3">
      <w:pPr>
        <w:pStyle w:val="ListParagraph"/>
        <w:jc w:val="both"/>
        <w:rPr>
          <w:sz w:val="24"/>
          <w:szCs w:val="24"/>
          <w:rtl/>
        </w:rPr>
      </w:pPr>
    </w:p>
    <w:p w14:paraId="15893FBE" w14:textId="77777777" w:rsidR="006177F3" w:rsidRDefault="000136E7">
      <w:pPr>
        <w:pStyle w:val="ListParagraph"/>
        <w:numPr>
          <w:ilvl w:val="0"/>
          <w:numId w:val="1"/>
        </w:numPr>
        <w:jc w:val="both"/>
        <w:rPr>
          <w:sz w:val="24"/>
          <w:szCs w:val="24"/>
        </w:rPr>
      </w:pPr>
      <w:r>
        <w:rPr>
          <w:sz w:val="24"/>
          <w:szCs w:val="24"/>
          <w:rtl/>
        </w:rPr>
        <w:t>הנאשם עצמו הביע חרטה על המקרה.</w:t>
      </w:r>
    </w:p>
    <w:p w14:paraId="4D5F2288" w14:textId="77777777" w:rsidR="006177F3" w:rsidRDefault="000136E7">
      <w:pPr>
        <w:jc w:val="both"/>
        <w:rPr>
          <w:rFonts w:ascii="Arial" w:hAnsi="Arial" w:cs="Arial"/>
          <w:b/>
          <w:bCs/>
          <w:u w:val="single"/>
          <w:rtl/>
        </w:rPr>
      </w:pPr>
      <w:r>
        <w:rPr>
          <w:rFonts w:ascii="Arial" w:hAnsi="Arial" w:cs="Arial"/>
          <w:b/>
          <w:bCs/>
          <w:u w:val="single"/>
          <w:rtl/>
        </w:rPr>
        <w:t>דיון והכרעה</w:t>
      </w:r>
    </w:p>
    <w:p w14:paraId="55BC9252" w14:textId="77777777" w:rsidR="006177F3" w:rsidRDefault="006177F3">
      <w:pPr>
        <w:jc w:val="both"/>
        <w:rPr>
          <w:rFonts w:ascii="Arial" w:hAnsi="Arial" w:cs="Arial"/>
          <w:b/>
          <w:bCs/>
          <w:u w:val="single"/>
        </w:rPr>
      </w:pPr>
    </w:p>
    <w:p w14:paraId="3E46489A" w14:textId="77777777" w:rsidR="006177F3" w:rsidRDefault="000136E7">
      <w:pPr>
        <w:jc w:val="both"/>
        <w:rPr>
          <w:rFonts w:ascii="Arial" w:hAnsi="Arial" w:cs="Arial"/>
          <w:b/>
          <w:bCs/>
          <w:u w:val="single"/>
          <w:rtl/>
        </w:rPr>
      </w:pPr>
      <w:r>
        <w:rPr>
          <w:rFonts w:ascii="Arial" w:hAnsi="Arial" w:cs="Arial"/>
          <w:b/>
          <w:bCs/>
          <w:u w:val="single"/>
          <w:rtl/>
        </w:rPr>
        <w:t>קביעת מתחם העונש ההולם</w:t>
      </w:r>
    </w:p>
    <w:p w14:paraId="295C1C9B" w14:textId="77777777" w:rsidR="006177F3" w:rsidRDefault="006177F3">
      <w:pPr>
        <w:jc w:val="both"/>
        <w:rPr>
          <w:rFonts w:ascii="Arial" w:hAnsi="Arial" w:cs="Arial"/>
          <w:b/>
          <w:bCs/>
          <w:u w:val="single"/>
          <w:rtl/>
        </w:rPr>
      </w:pPr>
    </w:p>
    <w:p w14:paraId="4DC225EC" w14:textId="77777777" w:rsidR="006177F3" w:rsidRDefault="000136E7">
      <w:pPr>
        <w:pStyle w:val="ListParagraph"/>
        <w:numPr>
          <w:ilvl w:val="0"/>
          <w:numId w:val="1"/>
        </w:numPr>
        <w:jc w:val="both"/>
        <w:rPr>
          <w:sz w:val="24"/>
          <w:szCs w:val="24"/>
          <w:rtl/>
        </w:rPr>
      </w:pPr>
      <w:r>
        <w:rPr>
          <w:sz w:val="24"/>
          <w:szCs w:val="24"/>
          <w:rtl/>
        </w:rPr>
        <w:t xml:space="preserve">בהתאם </w:t>
      </w:r>
      <w:hyperlink r:id="rId18" w:history="1">
        <w:r w:rsidR="006201EF" w:rsidRPr="006201EF">
          <w:rPr>
            <w:rStyle w:val="Hyperlink"/>
            <w:rFonts w:hint="cs"/>
            <w:sz w:val="24"/>
            <w:szCs w:val="24"/>
            <w:rtl/>
          </w:rPr>
          <w:t>לסעיף</w:t>
        </w:r>
        <w:r w:rsidR="006201EF" w:rsidRPr="006201EF">
          <w:rPr>
            <w:rStyle w:val="Hyperlink"/>
            <w:sz w:val="24"/>
            <w:szCs w:val="24"/>
            <w:rtl/>
          </w:rPr>
          <w:t xml:space="preserve"> 40</w:t>
        </w:r>
        <w:r w:rsidR="006201EF" w:rsidRPr="006201EF">
          <w:rPr>
            <w:rStyle w:val="Hyperlink"/>
            <w:rFonts w:hint="cs"/>
            <w:sz w:val="24"/>
            <w:szCs w:val="24"/>
            <w:rtl/>
          </w:rPr>
          <w:t>ג</w:t>
        </w:r>
      </w:hyperlink>
      <w:r>
        <w:rPr>
          <w:sz w:val="24"/>
          <w:szCs w:val="24"/>
          <w:rtl/>
        </w:rPr>
        <w:t xml:space="preserve"> ל</w:t>
      </w:r>
      <w:hyperlink r:id="rId19" w:history="1">
        <w:r w:rsidRPr="000136E7">
          <w:rPr>
            <w:rFonts w:hint="cs"/>
            <w:color w:val="0000FF"/>
            <w:sz w:val="24"/>
            <w:szCs w:val="24"/>
            <w:u w:val="single"/>
            <w:rtl/>
          </w:rPr>
          <w:t>חוק</w:t>
        </w:r>
        <w:r w:rsidRPr="000136E7">
          <w:rPr>
            <w:color w:val="0000FF"/>
            <w:sz w:val="24"/>
            <w:szCs w:val="24"/>
            <w:u w:val="single"/>
            <w:rtl/>
          </w:rPr>
          <w:t xml:space="preserve"> </w:t>
        </w:r>
        <w:r w:rsidRPr="000136E7">
          <w:rPr>
            <w:rFonts w:hint="cs"/>
            <w:color w:val="0000FF"/>
            <w:sz w:val="24"/>
            <w:szCs w:val="24"/>
            <w:u w:val="single"/>
            <w:rtl/>
          </w:rPr>
          <w:t>העונשין</w:t>
        </w:r>
      </w:hyperlink>
      <w:r>
        <w:rPr>
          <w:sz w:val="24"/>
          <w:szCs w:val="24"/>
          <w:rtl/>
        </w:rPr>
        <w:t>, על בית המשפט לקבוע מתחם עונש הולם למעשה העבירה שביצע הנאשם בהתאם לעקרון ההלימה, ולשם כך יתחשב בערך החברתי שנפגע מביצוע העבירה, במידת הפגיעה בו, במדיניות הענישה הנהוגה ובנסיבות הקשורות בביצוע העבירה.</w:t>
      </w:r>
    </w:p>
    <w:p w14:paraId="2C35B0BE" w14:textId="77777777" w:rsidR="006177F3" w:rsidRDefault="006177F3">
      <w:pPr>
        <w:pStyle w:val="ListParagraph"/>
        <w:jc w:val="both"/>
        <w:rPr>
          <w:sz w:val="24"/>
          <w:szCs w:val="24"/>
        </w:rPr>
      </w:pPr>
    </w:p>
    <w:p w14:paraId="22CA32FB" w14:textId="77777777" w:rsidR="006177F3" w:rsidRDefault="000136E7">
      <w:pPr>
        <w:pStyle w:val="ListParagraph"/>
        <w:numPr>
          <w:ilvl w:val="0"/>
          <w:numId w:val="1"/>
        </w:numPr>
        <w:jc w:val="both"/>
        <w:rPr>
          <w:sz w:val="24"/>
          <w:szCs w:val="24"/>
        </w:rPr>
      </w:pPr>
      <w:r>
        <w:rPr>
          <w:sz w:val="24"/>
          <w:szCs w:val="24"/>
          <w:rtl/>
        </w:rPr>
        <w:t xml:space="preserve">הענישה בעבירת הובלת הנשק, תופעה אשר הפכה לנפוצה במחוזותינו , מטרתה להגן על ערך קדושת החיים ועל שלום הציבור ובטחונו, כאשר ברי כי הסוואת כלי נשק ברכב ונשיאתו ממקום למקום יש בה להוות קרקע פורה לביצוע עבירות פליליות נוספות, ואף כשלעצמה מגלמת היא סיכון לפגיעה בחיי אדם ועוברי אורח תמימים. </w:t>
      </w:r>
    </w:p>
    <w:p w14:paraId="42128560" w14:textId="77777777" w:rsidR="006177F3" w:rsidRDefault="006177F3">
      <w:pPr>
        <w:pStyle w:val="ListParagraph"/>
        <w:jc w:val="both"/>
        <w:rPr>
          <w:sz w:val="24"/>
          <w:szCs w:val="24"/>
          <w:rtl/>
        </w:rPr>
      </w:pPr>
    </w:p>
    <w:p w14:paraId="5B938492" w14:textId="77777777" w:rsidR="006177F3" w:rsidRDefault="000136E7">
      <w:pPr>
        <w:pStyle w:val="ListParagraph"/>
        <w:jc w:val="both"/>
        <w:rPr>
          <w:sz w:val="24"/>
          <w:szCs w:val="24"/>
          <w:rtl/>
        </w:rPr>
      </w:pPr>
      <w:r>
        <w:rPr>
          <w:sz w:val="24"/>
          <w:szCs w:val="24"/>
          <w:rtl/>
        </w:rPr>
        <w:t>כבוד השופטת ארבל פסקה ב</w:t>
      </w:r>
      <w:hyperlink r:id="rId20"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4945/13</w:t>
        </w:r>
      </w:hyperlink>
      <w:r>
        <w:rPr>
          <w:sz w:val="24"/>
          <w:szCs w:val="24"/>
          <w:rtl/>
        </w:rPr>
        <w:t xml:space="preserve"> מדינת ישראל נגד סלימאן בהאי לישנא:</w:t>
      </w:r>
    </w:p>
    <w:p w14:paraId="4551C6EE" w14:textId="77777777" w:rsidR="006177F3" w:rsidRDefault="000136E7">
      <w:pPr>
        <w:pStyle w:val="ListParagraph"/>
        <w:ind w:left="1440"/>
        <w:rPr>
          <w:sz w:val="24"/>
          <w:szCs w:val="24"/>
          <w:rtl/>
        </w:rPr>
      </w:pPr>
      <w:r>
        <w:rPr>
          <w:sz w:val="24"/>
          <w:szCs w:val="24"/>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21"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3300/06</w:t>
        </w:r>
      </w:hyperlink>
      <w:r>
        <w:rPr>
          <w:sz w:val="24"/>
          <w:szCs w:val="24"/>
          <w:rtl/>
        </w:rPr>
        <w:t xml:space="preserve"> </w:t>
      </w:r>
      <w:r>
        <w:rPr>
          <w:b/>
          <w:sz w:val="24"/>
          <w:szCs w:val="24"/>
          <w:rtl/>
        </w:rPr>
        <w:t>אבו סנינה נ' מדינת ישראל</w:t>
      </w:r>
      <w:r>
        <w:rPr>
          <w:sz w:val="24"/>
          <w:szCs w:val="24"/>
          <w:rtl/>
        </w:rPr>
        <w:t xml:space="preserve">, פסקה 6 (10.8.2006), להלן: </w:t>
      </w:r>
      <w:r>
        <w:rPr>
          <w:b/>
          <w:sz w:val="24"/>
          <w:szCs w:val="24"/>
          <w:rtl/>
        </w:rPr>
        <w:t>עניין אבו סנינה</w:t>
      </w:r>
      <w:r>
        <w:rPr>
          <w:sz w:val="24"/>
          <w:szCs w:val="24"/>
          <w:rtl/>
        </w:rPr>
        <w:t xml:space="preserve">)....בענייננו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 אף על פי שלמשיב לא מיוחסות עבירות נשק ברמת החומרה הגבוהה ביותר מבחינת היקף הסיכון הטמון בהן ומידת האשם המוסרי שדבק בהן, עדיין מדובר בעבירות היוצרות סיכון לפגיעה בגוף או בנפש, כמפורט מעלה". </w:t>
      </w:r>
    </w:p>
    <w:p w14:paraId="6D4975E5" w14:textId="77777777" w:rsidR="006177F3" w:rsidRDefault="006177F3">
      <w:pPr>
        <w:pStyle w:val="ListParagraph"/>
        <w:jc w:val="both"/>
        <w:rPr>
          <w:sz w:val="24"/>
          <w:szCs w:val="24"/>
          <w:rtl/>
        </w:rPr>
      </w:pPr>
    </w:p>
    <w:p w14:paraId="363CBF70" w14:textId="77777777" w:rsidR="006177F3" w:rsidRDefault="000136E7">
      <w:pPr>
        <w:pStyle w:val="ListParagraph"/>
        <w:jc w:val="both"/>
        <w:rPr>
          <w:sz w:val="24"/>
          <w:szCs w:val="24"/>
          <w:rtl/>
        </w:rPr>
      </w:pPr>
      <w:r>
        <w:rPr>
          <w:sz w:val="24"/>
          <w:szCs w:val="24"/>
          <w:rtl/>
        </w:rPr>
        <w:t>אשר לעבירת שיבוש מהלכי משפט, זו נועדה לאפשר קיומו של משפט צדק, ולחזק את אמון הציבור במערכת אכיפת החוק, כאשר במקרה דנן, התייצבות מוקדמת יותר של הנאשם לחקירה עשויה היתה למנוע את הצורך בעריכת הסדר טיעון בעניינם של חמזי ומאהר, שלידתו בקשיים ראייתיים, על כל המשתמע מכך.</w:t>
      </w:r>
    </w:p>
    <w:p w14:paraId="5388FF3B" w14:textId="77777777" w:rsidR="006177F3" w:rsidRDefault="006177F3">
      <w:pPr>
        <w:pStyle w:val="ListParagraph"/>
        <w:jc w:val="both"/>
        <w:rPr>
          <w:sz w:val="24"/>
          <w:szCs w:val="24"/>
          <w:rtl/>
        </w:rPr>
      </w:pPr>
    </w:p>
    <w:p w14:paraId="49B46894" w14:textId="77777777" w:rsidR="006177F3" w:rsidRDefault="000136E7">
      <w:pPr>
        <w:pStyle w:val="ListParagraph"/>
        <w:numPr>
          <w:ilvl w:val="0"/>
          <w:numId w:val="1"/>
        </w:numPr>
        <w:jc w:val="both"/>
        <w:rPr>
          <w:sz w:val="24"/>
          <w:szCs w:val="24"/>
          <w:rtl/>
        </w:rPr>
      </w:pPr>
      <w:r>
        <w:rPr>
          <w:sz w:val="24"/>
          <w:szCs w:val="24"/>
          <w:rtl/>
        </w:rPr>
        <w:t>הנאשם במקרה דנן הורשע בביצוע עבירת הובלת הנשק כשותף, מתוקף נוכחותו במקום: הנאשם נסע ברכב עם אחרים, בעודם רעולי פנים, כשברכב כלי נשק ארוך. בהגיעם לבית המתלונן נכח הנאשם בזמן שבוצע ירי לעבר הבית, ולאחר מכן עזב את המקום יחד עם האחרים, כאשר נהג הרכב בו הוחזק הנשק ניסה למלטם מניידת המשטרה שרדפה אחריהם.</w:t>
      </w:r>
      <w:r>
        <w:rPr>
          <w:rFonts w:hint="cs"/>
          <w:sz w:val="24"/>
          <w:szCs w:val="24"/>
        </w:rPr>
        <w:t xml:space="preserve"> </w:t>
      </w:r>
      <w:r>
        <w:rPr>
          <w:sz w:val="24"/>
          <w:szCs w:val="24"/>
          <w:rtl/>
        </w:rPr>
        <w:t>בהמשך למעשיו אלה, נמלט הנאשם משך שנה תמימה מרשויות אכיפת החוק. בנסיבות אלה, מצאתי כי יש לראות במעשים המתוארים "מעשה עבירה" אחד.</w:t>
      </w:r>
    </w:p>
    <w:p w14:paraId="291CD00E" w14:textId="77777777" w:rsidR="006177F3" w:rsidRDefault="006177F3">
      <w:pPr>
        <w:pStyle w:val="ListParagraph"/>
        <w:jc w:val="both"/>
        <w:rPr>
          <w:sz w:val="24"/>
          <w:szCs w:val="24"/>
          <w:rtl/>
        </w:rPr>
      </w:pPr>
    </w:p>
    <w:p w14:paraId="51667E34" w14:textId="77777777" w:rsidR="006177F3" w:rsidRDefault="000136E7">
      <w:pPr>
        <w:pStyle w:val="ListParagraph"/>
        <w:jc w:val="both"/>
        <w:rPr>
          <w:sz w:val="24"/>
          <w:szCs w:val="24"/>
          <w:rtl/>
        </w:rPr>
      </w:pPr>
      <w:r>
        <w:rPr>
          <w:sz w:val="24"/>
          <w:szCs w:val="24"/>
          <w:rtl/>
        </w:rPr>
        <w:t xml:space="preserve">מנגד יודגש, כי מדובר באירוע קצר וחד פעמי, וכי בשונה מחמזי וממאהר, הנאשם לא מואשם בביצוע הירי או האיומים על המתלונן ולא בנהיגה פרועה ו/או בתקיפת שוטר. </w:t>
      </w:r>
    </w:p>
    <w:p w14:paraId="640477EA" w14:textId="77777777" w:rsidR="006177F3" w:rsidRDefault="006177F3">
      <w:pPr>
        <w:pStyle w:val="ListParagraph"/>
        <w:jc w:val="both"/>
        <w:rPr>
          <w:sz w:val="24"/>
          <w:szCs w:val="24"/>
          <w:rtl/>
        </w:rPr>
      </w:pPr>
    </w:p>
    <w:p w14:paraId="1A7942D9" w14:textId="77777777" w:rsidR="006177F3" w:rsidRDefault="000136E7">
      <w:pPr>
        <w:pStyle w:val="ListParagraph"/>
        <w:numPr>
          <w:ilvl w:val="0"/>
          <w:numId w:val="1"/>
        </w:numPr>
        <w:jc w:val="both"/>
        <w:rPr>
          <w:sz w:val="24"/>
          <w:szCs w:val="24"/>
        </w:rPr>
      </w:pPr>
      <w:r>
        <w:rPr>
          <w:sz w:val="24"/>
          <w:szCs w:val="24"/>
          <w:rtl/>
        </w:rPr>
        <w:t xml:space="preserve">ביחס לעבירות בנשק נפסק כי ככלל הן מחייבות ענישה חמורה בדמות מאסר בפועל, אף כאשר מדובר במי שעבר עבירת נשק ראשונה (ראו </w:t>
      </w:r>
      <w:hyperlink r:id="rId22"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4460/11</w:t>
        </w:r>
      </w:hyperlink>
      <w:r>
        <w:rPr>
          <w:sz w:val="24"/>
          <w:szCs w:val="24"/>
          <w:rtl/>
        </w:rPr>
        <w:t xml:space="preserve"> מדינת ישראל נגד פאיד; </w:t>
      </w:r>
      <w:hyperlink r:id="rId23" w:history="1">
        <w:r w:rsidRPr="000136E7">
          <w:rPr>
            <w:rFonts w:hint="cs"/>
            <w:color w:val="0000FF"/>
            <w:sz w:val="24"/>
            <w:szCs w:val="24"/>
            <w:u w:val="single"/>
            <w:rtl/>
          </w:rPr>
          <w:t>רע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2718/04</w:t>
        </w:r>
      </w:hyperlink>
      <w:r>
        <w:rPr>
          <w:sz w:val="24"/>
          <w:szCs w:val="24"/>
          <w:rtl/>
        </w:rPr>
        <w:t xml:space="preserve"> אבו דחאל נ' מדינת ישראל), וזאת אף כאשר מדובר בעבירות של נשיאת נשק, המצויות ברף התחתון של עבירות הנשק. כבוד השופטת ארבל פסקה:</w:t>
      </w:r>
    </w:p>
    <w:p w14:paraId="39063575" w14:textId="77777777" w:rsidR="006177F3" w:rsidRDefault="006177F3">
      <w:pPr>
        <w:pStyle w:val="ListParagraph"/>
        <w:jc w:val="both"/>
        <w:rPr>
          <w:sz w:val="24"/>
          <w:szCs w:val="24"/>
          <w:rtl/>
        </w:rPr>
      </w:pPr>
    </w:p>
    <w:p w14:paraId="3E3D8CF1" w14:textId="77777777" w:rsidR="006177F3" w:rsidRDefault="000136E7">
      <w:pPr>
        <w:pStyle w:val="ListParagraph"/>
        <w:ind w:left="1440"/>
        <w:jc w:val="both"/>
        <w:rPr>
          <w:sz w:val="24"/>
          <w:szCs w:val="24"/>
          <w:rtl/>
        </w:rPr>
      </w:pPr>
      <w:r>
        <w:rPr>
          <w:sz w:val="24"/>
          <w:szCs w:val="24"/>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4"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1323/13</w:t>
        </w:r>
      </w:hyperlink>
      <w:r>
        <w:rPr>
          <w:sz w:val="24"/>
          <w:szCs w:val="24"/>
          <w:rtl/>
        </w:rPr>
        <w:t xml:space="preserve"> </w:t>
      </w:r>
      <w:r>
        <w:rPr>
          <w:rFonts w:ascii="Century" w:hAnsi="Century" w:cs="Miriam" w:hint="cs"/>
          <w:b/>
          <w:sz w:val="24"/>
          <w:szCs w:val="24"/>
          <w:rtl/>
        </w:rPr>
        <w:t>חסן נ' מדינת ישראל</w:t>
      </w:r>
      <w:r>
        <w:rPr>
          <w:sz w:val="24"/>
          <w:szCs w:val="24"/>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5" w:history="1">
        <w:r w:rsidRPr="000136E7">
          <w:rPr>
            <w:rFonts w:hint="cs"/>
            <w:color w:val="0000FF"/>
            <w:sz w:val="24"/>
            <w:szCs w:val="24"/>
            <w:u w:val="single"/>
            <w:rtl/>
          </w:rPr>
          <w:t>ע</w:t>
        </w:r>
        <w:r w:rsidRPr="000136E7">
          <w:rPr>
            <w:color w:val="0000FF"/>
            <w:sz w:val="24"/>
            <w:szCs w:val="24"/>
            <w:u w:val="single"/>
            <w:rtl/>
          </w:rPr>
          <w:t>"</w:t>
        </w:r>
        <w:r w:rsidRPr="000136E7">
          <w:rPr>
            <w:rFonts w:hint="cs"/>
            <w:color w:val="0000FF"/>
            <w:sz w:val="24"/>
            <w:szCs w:val="24"/>
            <w:u w:val="single"/>
            <w:rtl/>
          </w:rPr>
          <w:t>פ</w:t>
        </w:r>
        <w:r w:rsidRPr="000136E7">
          <w:rPr>
            <w:color w:val="0000FF"/>
            <w:sz w:val="24"/>
            <w:szCs w:val="24"/>
            <w:u w:val="single"/>
            <w:rtl/>
          </w:rPr>
          <w:t xml:space="preserve"> 2918/13</w:t>
        </w:r>
      </w:hyperlink>
      <w:r>
        <w:rPr>
          <w:sz w:val="24"/>
          <w:szCs w:val="24"/>
          <w:rtl/>
        </w:rPr>
        <w:t xml:space="preserve"> </w:t>
      </w:r>
      <w:r>
        <w:rPr>
          <w:rFonts w:ascii="Century" w:hAnsi="Century" w:cs="Miriam" w:hint="cs"/>
          <w:b/>
          <w:sz w:val="24"/>
          <w:szCs w:val="24"/>
          <w:rtl/>
        </w:rPr>
        <w:t>דבס נ' מדינת ישראל</w:t>
      </w:r>
      <w:r>
        <w:rPr>
          <w:sz w:val="24"/>
          <w:szCs w:val="24"/>
          <w:rtl/>
        </w:rPr>
        <w:t>, פסקה 8 (18.7.2013)).</w:t>
      </w:r>
    </w:p>
    <w:p w14:paraId="5A54BF4F" w14:textId="77777777" w:rsidR="006177F3" w:rsidRDefault="006177F3">
      <w:pPr>
        <w:pStyle w:val="ListParagraph"/>
        <w:ind w:left="1440"/>
        <w:jc w:val="both"/>
        <w:rPr>
          <w:sz w:val="16"/>
          <w:szCs w:val="16"/>
          <w:rtl/>
        </w:rPr>
      </w:pPr>
    </w:p>
    <w:p w14:paraId="003C17AA" w14:textId="77777777" w:rsidR="006177F3" w:rsidRDefault="000136E7">
      <w:pPr>
        <w:pStyle w:val="ListParagraph"/>
        <w:numPr>
          <w:ilvl w:val="0"/>
          <w:numId w:val="1"/>
        </w:numPr>
        <w:jc w:val="both"/>
        <w:rPr>
          <w:sz w:val="24"/>
          <w:szCs w:val="24"/>
          <w:rtl/>
        </w:rPr>
      </w:pPr>
      <w:r>
        <w:rPr>
          <w:sz w:val="24"/>
          <w:szCs w:val="24"/>
          <w:rtl/>
        </w:rPr>
        <w:t>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15 ל-35 חודשי מאסר בפועל.</w:t>
      </w:r>
    </w:p>
    <w:p w14:paraId="1C647FB2" w14:textId="77777777" w:rsidR="006177F3" w:rsidRDefault="006177F3">
      <w:pPr>
        <w:pStyle w:val="ListParagraph"/>
        <w:jc w:val="both"/>
        <w:rPr>
          <w:sz w:val="14"/>
          <w:szCs w:val="14"/>
          <w:rtl/>
        </w:rPr>
      </w:pPr>
    </w:p>
    <w:p w14:paraId="56838636" w14:textId="77777777" w:rsidR="006177F3" w:rsidRDefault="000136E7">
      <w:pPr>
        <w:jc w:val="both"/>
        <w:rPr>
          <w:rFonts w:ascii="Arial" w:hAnsi="Arial" w:cs="Arial"/>
          <w:b/>
          <w:bCs/>
          <w:u w:val="single"/>
          <w:rtl/>
        </w:rPr>
      </w:pPr>
      <w:r>
        <w:rPr>
          <w:rFonts w:ascii="Arial" w:hAnsi="Arial" w:cs="Arial"/>
          <w:b/>
          <w:bCs/>
          <w:u w:val="single"/>
          <w:rtl/>
        </w:rPr>
        <w:t>נסיבות שאינן קשורות בביצוע העבירה</w:t>
      </w:r>
    </w:p>
    <w:p w14:paraId="0EC0B6D6" w14:textId="77777777" w:rsidR="006177F3" w:rsidRDefault="006177F3">
      <w:pPr>
        <w:jc w:val="both"/>
        <w:rPr>
          <w:b/>
          <w:bCs/>
          <w:u w:val="single"/>
          <w:rtl/>
        </w:rPr>
      </w:pPr>
    </w:p>
    <w:p w14:paraId="1232F4D4" w14:textId="77777777" w:rsidR="006177F3" w:rsidRDefault="000136E7">
      <w:pPr>
        <w:pStyle w:val="ListParagraph"/>
        <w:numPr>
          <w:ilvl w:val="0"/>
          <w:numId w:val="1"/>
        </w:numPr>
        <w:jc w:val="both"/>
        <w:rPr>
          <w:sz w:val="24"/>
          <w:szCs w:val="24"/>
          <w:rtl/>
        </w:rPr>
      </w:pPr>
      <w:r>
        <w:rPr>
          <w:sz w:val="24"/>
          <w:szCs w:val="24"/>
          <w:rtl/>
        </w:rPr>
        <w:t xml:space="preserve">בהתאם </w:t>
      </w:r>
      <w:hyperlink r:id="rId26" w:history="1">
        <w:r w:rsidR="006201EF" w:rsidRPr="006201EF">
          <w:rPr>
            <w:rStyle w:val="Hyperlink"/>
            <w:rFonts w:hint="cs"/>
            <w:sz w:val="24"/>
            <w:szCs w:val="24"/>
            <w:rtl/>
          </w:rPr>
          <w:t>לסעיף</w:t>
        </w:r>
        <w:r w:rsidR="006201EF" w:rsidRPr="006201EF">
          <w:rPr>
            <w:rStyle w:val="Hyperlink"/>
            <w:sz w:val="24"/>
            <w:szCs w:val="24"/>
            <w:rtl/>
          </w:rPr>
          <w:t xml:space="preserve"> 40</w:t>
        </w:r>
        <w:r w:rsidR="006201EF" w:rsidRPr="006201EF">
          <w:rPr>
            <w:rStyle w:val="Hyperlink"/>
            <w:rFonts w:hint="cs"/>
            <w:sz w:val="24"/>
            <w:szCs w:val="24"/>
            <w:rtl/>
          </w:rPr>
          <w:t>ג</w:t>
        </w:r>
        <w:r w:rsidR="006201EF" w:rsidRPr="006201EF">
          <w:rPr>
            <w:rStyle w:val="Hyperlink"/>
            <w:sz w:val="24"/>
            <w:szCs w:val="24"/>
            <w:rtl/>
          </w:rPr>
          <w:t>(</w:t>
        </w:r>
        <w:r w:rsidR="006201EF" w:rsidRPr="006201EF">
          <w:rPr>
            <w:rStyle w:val="Hyperlink"/>
            <w:rFonts w:hint="cs"/>
            <w:sz w:val="24"/>
            <w:szCs w:val="24"/>
            <w:rtl/>
          </w:rPr>
          <w:t>ב</w:t>
        </w:r>
        <w:r w:rsidR="006201EF" w:rsidRPr="006201EF">
          <w:rPr>
            <w:rStyle w:val="Hyperlink"/>
            <w:sz w:val="24"/>
            <w:szCs w:val="24"/>
            <w:rtl/>
          </w:rPr>
          <w:t>)</w:t>
        </w:r>
      </w:hyperlink>
      <w:r>
        <w:rPr>
          <w:sz w:val="24"/>
          <w:szCs w:val="24"/>
          <w:rtl/>
        </w:rPr>
        <w:t xml:space="preserve"> ל</w:t>
      </w:r>
      <w:hyperlink r:id="rId27" w:history="1">
        <w:r w:rsidRPr="000136E7">
          <w:rPr>
            <w:rFonts w:hint="cs"/>
            <w:color w:val="0000FF"/>
            <w:sz w:val="24"/>
            <w:szCs w:val="24"/>
            <w:u w:val="single"/>
            <w:rtl/>
          </w:rPr>
          <w:t>חוק</w:t>
        </w:r>
        <w:r w:rsidRPr="000136E7">
          <w:rPr>
            <w:color w:val="0000FF"/>
            <w:sz w:val="24"/>
            <w:szCs w:val="24"/>
            <w:u w:val="single"/>
            <w:rtl/>
          </w:rPr>
          <w:t xml:space="preserve"> </w:t>
        </w:r>
        <w:r w:rsidRPr="000136E7">
          <w:rPr>
            <w:rFonts w:hint="cs"/>
            <w:color w:val="0000FF"/>
            <w:sz w:val="24"/>
            <w:szCs w:val="24"/>
            <w:u w:val="single"/>
            <w:rtl/>
          </w:rPr>
          <w:t>העונשין</w:t>
        </w:r>
      </w:hyperlink>
      <w:r>
        <w:rPr>
          <w:sz w:val="24"/>
          <w:szCs w:val="24"/>
          <w:rtl/>
        </w:rPr>
        <w:t>, לאחר קביעת מתחם העונש ההולם ייגזר העונש המתאים לנאשם, בהתחשב בנסיבות שאינן קשורות בביצוע העבירה, ואולם רשאי בית המשפט לחרוג ממתחם העונש ההולם בשל שיקולי שיקום מחד – או הגנה על שלום הציבור – מאידך.</w:t>
      </w:r>
    </w:p>
    <w:p w14:paraId="47E72EA0" w14:textId="77777777" w:rsidR="006177F3" w:rsidRDefault="006177F3">
      <w:pPr>
        <w:pStyle w:val="ListParagraph"/>
        <w:jc w:val="both"/>
        <w:rPr>
          <w:sz w:val="24"/>
          <w:szCs w:val="24"/>
        </w:rPr>
      </w:pPr>
    </w:p>
    <w:p w14:paraId="0AF48027" w14:textId="77777777" w:rsidR="006177F3" w:rsidRDefault="000136E7">
      <w:pPr>
        <w:pStyle w:val="ListParagraph"/>
        <w:numPr>
          <w:ilvl w:val="0"/>
          <w:numId w:val="1"/>
        </w:numPr>
        <w:jc w:val="both"/>
        <w:rPr>
          <w:sz w:val="24"/>
          <w:szCs w:val="24"/>
        </w:rPr>
      </w:pPr>
      <w:r>
        <w:rPr>
          <w:sz w:val="24"/>
          <w:szCs w:val="24"/>
          <w:rtl/>
        </w:rPr>
        <w:t>במסגרת נסיבות אלה שקלתי מחד את עברו הפלילי של הנאשם, שאינו מכביד, ומאידך שקלתי את נסיבותיו של הנאשם, גילו הצעיר והעובדה כי בסופו של יום הסגיר עצמו ונטל אחריות על מעשיו, ואת העונש שנגזר על שותפיו.</w:t>
      </w:r>
    </w:p>
    <w:p w14:paraId="60E50B58" w14:textId="77777777" w:rsidR="006177F3" w:rsidRDefault="006177F3">
      <w:pPr>
        <w:pStyle w:val="ListParagraph"/>
        <w:rPr>
          <w:sz w:val="24"/>
          <w:szCs w:val="24"/>
        </w:rPr>
      </w:pPr>
    </w:p>
    <w:p w14:paraId="4DF10B21" w14:textId="77777777" w:rsidR="006177F3" w:rsidRDefault="000136E7">
      <w:pPr>
        <w:pStyle w:val="ListParagraph"/>
        <w:jc w:val="both"/>
        <w:rPr>
          <w:sz w:val="24"/>
          <w:szCs w:val="24"/>
          <w:rtl/>
        </w:rPr>
      </w:pPr>
      <w:r>
        <w:rPr>
          <w:sz w:val="24"/>
          <w:szCs w:val="24"/>
          <w:rtl/>
        </w:rPr>
        <w:t xml:space="preserve">לנוכח הערך הנפגע בביצוע העבירה וחומרת הפגיעה בו, נדרשת אני לעמוד על עקרון ההלימה ולהטיל על הנאשם עונש הולם בתוך המתחם.  </w:t>
      </w:r>
    </w:p>
    <w:p w14:paraId="3344DADD" w14:textId="77777777" w:rsidR="006177F3" w:rsidRDefault="006177F3">
      <w:pPr>
        <w:pStyle w:val="ListParagraph"/>
        <w:jc w:val="both"/>
        <w:rPr>
          <w:sz w:val="24"/>
          <w:szCs w:val="24"/>
          <w:rtl/>
        </w:rPr>
      </w:pPr>
    </w:p>
    <w:p w14:paraId="738D1D02" w14:textId="77777777" w:rsidR="006177F3" w:rsidRDefault="000136E7">
      <w:pPr>
        <w:pStyle w:val="ListParagraph"/>
        <w:numPr>
          <w:ilvl w:val="0"/>
          <w:numId w:val="1"/>
        </w:numPr>
        <w:jc w:val="both"/>
        <w:rPr>
          <w:sz w:val="24"/>
          <w:szCs w:val="24"/>
        </w:rPr>
      </w:pPr>
      <w:r>
        <w:rPr>
          <w:sz w:val="24"/>
          <w:szCs w:val="24"/>
          <w:rtl/>
        </w:rPr>
        <w:t>לאחר ששקלתי את מכלול השיקולים המפורטים להלן, מצאתי להטיל על הנאשם את העונשים הבאים:</w:t>
      </w:r>
    </w:p>
    <w:p w14:paraId="079ED5EF" w14:textId="77777777" w:rsidR="006177F3" w:rsidRDefault="006177F3">
      <w:pPr>
        <w:pStyle w:val="ListParagraph"/>
        <w:jc w:val="both"/>
        <w:rPr>
          <w:sz w:val="24"/>
          <w:szCs w:val="24"/>
          <w:rtl/>
        </w:rPr>
      </w:pPr>
    </w:p>
    <w:p w14:paraId="7381DD34" w14:textId="77777777" w:rsidR="006177F3" w:rsidRDefault="000136E7">
      <w:pPr>
        <w:pStyle w:val="ListParagraph"/>
        <w:numPr>
          <w:ilvl w:val="0"/>
          <w:numId w:val="3"/>
        </w:numPr>
        <w:jc w:val="both"/>
        <w:rPr>
          <w:sz w:val="24"/>
          <w:szCs w:val="24"/>
        </w:rPr>
      </w:pPr>
      <w:r>
        <w:rPr>
          <w:rFonts w:hint="cs"/>
          <w:sz w:val="24"/>
          <w:szCs w:val="24"/>
          <w:rtl/>
        </w:rPr>
        <w:t>15</w:t>
      </w:r>
      <w:r>
        <w:rPr>
          <w:sz w:val="24"/>
          <w:szCs w:val="24"/>
          <w:rtl/>
        </w:rPr>
        <w:t xml:space="preserve"> חודשי מאסר בפועל</w:t>
      </w:r>
      <w:r>
        <w:rPr>
          <w:rFonts w:hint="cs"/>
          <w:sz w:val="24"/>
          <w:szCs w:val="24"/>
          <w:rtl/>
        </w:rPr>
        <w:t xml:space="preserve"> החל מיום מעצרו 20.11.13.</w:t>
      </w:r>
    </w:p>
    <w:p w14:paraId="58101A9C" w14:textId="77777777" w:rsidR="006177F3" w:rsidRDefault="006177F3">
      <w:pPr>
        <w:pStyle w:val="ListParagraph"/>
        <w:ind w:left="1080"/>
        <w:jc w:val="both"/>
        <w:rPr>
          <w:sz w:val="24"/>
          <w:szCs w:val="24"/>
        </w:rPr>
      </w:pPr>
    </w:p>
    <w:p w14:paraId="7CD9C349" w14:textId="77777777" w:rsidR="006177F3" w:rsidRDefault="000136E7">
      <w:pPr>
        <w:pStyle w:val="ListParagraph"/>
        <w:numPr>
          <w:ilvl w:val="0"/>
          <w:numId w:val="3"/>
        </w:numPr>
        <w:jc w:val="both"/>
        <w:rPr>
          <w:sz w:val="24"/>
          <w:szCs w:val="24"/>
        </w:rPr>
      </w:pPr>
      <w:r>
        <w:rPr>
          <w:sz w:val="24"/>
          <w:szCs w:val="24"/>
          <w:rtl/>
        </w:rPr>
        <w:t>12 חודשי מאסר על תנאי והתנאי הוא שתוך 3 שנים משחרורו ממאסר לא יעבור עבירת נשק.</w:t>
      </w:r>
    </w:p>
    <w:p w14:paraId="4925C7F2" w14:textId="77777777" w:rsidR="006177F3" w:rsidRDefault="006177F3">
      <w:pPr>
        <w:pStyle w:val="ListParagraph"/>
        <w:ind w:left="1080"/>
        <w:jc w:val="both"/>
        <w:rPr>
          <w:sz w:val="24"/>
          <w:szCs w:val="24"/>
        </w:rPr>
      </w:pPr>
    </w:p>
    <w:p w14:paraId="497475A4" w14:textId="77777777" w:rsidR="006177F3" w:rsidRDefault="000136E7">
      <w:pPr>
        <w:pStyle w:val="ListParagraph"/>
        <w:numPr>
          <w:ilvl w:val="0"/>
          <w:numId w:val="3"/>
        </w:numPr>
        <w:jc w:val="both"/>
        <w:rPr>
          <w:sz w:val="24"/>
          <w:szCs w:val="24"/>
        </w:rPr>
      </w:pPr>
      <w:r>
        <w:rPr>
          <w:sz w:val="24"/>
          <w:szCs w:val="24"/>
          <w:rtl/>
        </w:rPr>
        <w:t>קנס בסך 7,000 ₪ או 30 ימי מאסר תמורתו.</w:t>
      </w:r>
    </w:p>
    <w:p w14:paraId="13D1EF8B" w14:textId="77777777" w:rsidR="006177F3" w:rsidRDefault="006177F3">
      <w:pPr>
        <w:jc w:val="both"/>
      </w:pPr>
    </w:p>
    <w:p w14:paraId="77DF6E9A" w14:textId="77777777" w:rsidR="006177F3" w:rsidRDefault="000136E7">
      <w:pPr>
        <w:jc w:val="both"/>
        <w:rPr>
          <w:rFonts w:ascii="Arial" w:hAnsi="Arial" w:cs="Arial"/>
          <w:b/>
          <w:bCs/>
          <w:rtl/>
        </w:rPr>
      </w:pPr>
      <w:r w:rsidRPr="000136E7">
        <w:rPr>
          <w:rFonts w:ascii="Arial" w:hAnsi="Arial" w:cs="Arial"/>
          <w:b/>
          <w:bCs/>
          <w:color w:val="FFFFFF"/>
          <w:sz w:val="2"/>
          <w:szCs w:val="2"/>
          <w:rtl/>
        </w:rPr>
        <w:t>5129371</w:t>
      </w:r>
      <w:r>
        <w:rPr>
          <w:rFonts w:ascii="Arial" w:hAnsi="Arial" w:cs="Arial"/>
          <w:b/>
          <w:bCs/>
          <w:rtl/>
        </w:rPr>
        <w:t>זכות ערעור לבית המשפט העליון תוך 45 יום.</w:t>
      </w:r>
    </w:p>
    <w:p w14:paraId="51A2F23F" w14:textId="77777777" w:rsidR="006177F3" w:rsidRPr="000136E7" w:rsidRDefault="000136E7">
      <w:pPr>
        <w:jc w:val="both"/>
        <w:rPr>
          <w:rFonts w:ascii="Arial" w:hAnsi="Arial" w:cs="Arial"/>
          <w:b/>
          <w:bCs/>
          <w:color w:val="FFFFFF"/>
          <w:sz w:val="2"/>
          <w:szCs w:val="2"/>
          <w:rtl/>
        </w:rPr>
      </w:pPr>
      <w:r w:rsidRPr="000136E7">
        <w:rPr>
          <w:rFonts w:ascii="Arial" w:hAnsi="Arial" w:cs="Arial"/>
          <w:b/>
          <w:bCs/>
          <w:color w:val="FFFFFF"/>
          <w:sz w:val="2"/>
          <w:szCs w:val="2"/>
          <w:rtl/>
        </w:rPr>
        <w:t>54678313</w:t>
      </w:r>
    </w:p>
    <w:p w14:paraId="73342EBB" w14:textId="77777777" w:rsidR="006177F3" w:rsidRDefault="000136E7">
      <w:pPr>
        <w:pStyle w:val="ListParagraph"/>
        <w:jc w:val="both"/>
        <w:rPr>
          <w:sz w:val="24"/>
          <w:szCs w:val="24"/>
          <w:rtl/>
        </w:rPr>
      </w:pPr>
      <w:r>
        <w:rPr>
          <w:rFonts w:ascii="Arial" w:eastAsia="Times New Roman" w:hAnsi="Arial"/>
          <w:noProof/>
          <w:sz w:val="24"/>
          <w:szCs w:val="24"/>
          <w:rtl/>
        </w:rPr>
        <w:t xml:space="preserve">ניתנה והודעה היום ב' ניסן תשע"ד, 2 באפריל 2014 במעמד הצדדים. </w:t>
      </w:r>
    </w:p>
    <w:p w14:paraId="33F19F97" w14:textId="77777777" w:rsidR="006177F3" w:rsidRDefault="006177F3">
      <w:pPr>
        <w:tabs>
          <w:tab w:val="left" w:pos="2553"/>
        </w:tabs>
        <w:ind w:left="5040"/>
        <w:rPr>
          <w:rtl/>
        </w:rPr>
      </w:pPr>
    </w:p>
    <w:p w14:paraId="57842DCF" w14:textId="77777777" w:rsidR="006177F3" w:rsidRDefault="006177F3">
      <w:pPr>
        <w:tabs>
          <w:tab w:val="left" w:pos="2553"/>
        </w:tabs>
        <w:ind w:left="5040"/>
      </w:pPr>
    </w:p>
    <w:p w14:paraId="04DE42C2" w14:textId="77777777" w:rsidR="006177F3" w:rsidRDefault="006177F3">
      <w:pPr>
        <w:tabs>
          <w:tab w:val="left" w:pos="2553"/>
        </w:tabs>
        <w:ind w:left="5040"/>
        <w:rPr>
          <w:rFonts w:ascii="Arial" w:hAnsi="Arial"/>
          <w:noProof w:val="0"/>
          <w:rtl/>
        </w:rPr>
      </w:pPr>
    </w:p>
    <w:p w14:paraId="5DB3B6CF" w14:textId="77777777" w:rsidR="000136E7" w:rsidRPr="000136E7" w:rsidRDefault="000136E7" w:rsidP="000136E7">
      <w:pPr>
        <w:keepNext/>
        <w:rPr>
          <w:rFonts w:ascii="David" w:hAnsi="David"/>
          <w:color w:val="000000"/>
          <w:sz w:val="22"/>
          <w:szCs w:val="22"/>
          <w:rtl/>
        </w:rPr>
      </w:pPr>
    </w:p>
    <w:p w14:paraId="52791517" w14:textId="77777777" w:rsidR="000136E7" w:rsidRPr="000136E7" w:rsidRDefault="000136E7" w:rsidP="000136E7">
      <w:pPr>
        <w:keepNext/>
        <w:rPr>
          <w:rFonts w:ascii="David" w:hAnsi="David"/>
          <w:color w:val="000000"/>
          <w:sz w:val="22"/>
          <w:szCs w:val="22"/>
          <w:rtl/>
        </w:rPr>
      </w:pPr>
      <w:r w:rsidRPr="000136E7">
        <w:rPr>
          <w:rFonts w:ascii="David" w:hAnsi="David"/>
          <w:color w:val="000000"/>
          <w:sz w:val="22"/>
          <w:szCs w:val="22"/>
          <w:rtl/>
        </w:rPr>
        <w:t>מיכל ברנט 54678313</w:t>
      </w:r>
    </w:p>
    <w:p w14:paraId="0A2AF0CB" w14:textId="77777777" w:rsidR="000136E7" w:rsidRDefault="000136E7" w:rsidP="000136E7">
      <w:r w:rsidRPr="000136E7">
        <w:rPr>
          <w:color w:val="000000"/>
          <w:rtl/>
        </w:rPr>
        <w:t>נוסח מסמך זה כפוף לשינויי ניסוח ועריכה</w:t>
      </w:r>
    </w:p>
    <w:p w14:paraId="2C6462A1" w14:textId="77777777" w:rsidR="000136E7" w:rsidRDefault="000136E7" w:rsidP="000136E7">
      <w:pPr>
        <w:rPr>
          <w:rtl/>
        </w:rPr>
      </w:pPr>
    </w:p>
    <w:p w14:paraId="22288DE3" w14:textId="77777777" w:rsidR="000136E7" w:rsidRDefault="000136E7" w:rsidP="000136E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8D7F750" w14:textId="77777777" w:rsidR="006177F3" w:rsidRPr="000136E7" w:rsidRDefault="006177F3" w:rsidP="000136E7">
      <w:pPr>
        <w:jc w:val="center"/>
        <w:rPr>
          <w:color w:val="0000FF"/>
          <w:u w:val="single"/>
        </w:rPr>
      </w:pPr>
    </w:p>
    <w:sectPr w:rsidR="006177F3" w:rsidRPr="000136E7" w:rsidSect="000136E7">
      <w:headerReference w:type="even" r:id="rId29"/>
      <w:headerReference w:type="default" r:id="rId30"/>
      <w:footerReference w:type="even" r:id="rId31"/>
      <w:footerReference w:type="default" r:id="rId3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62CEA" w14:textId="77777777" w:rsidR="0042226D" w:rsidRPr="00077DBA" w:rsidRDefault="0042226D">
      <w:pPr>
        <w:rPr>
          <w:rFonts w:cs="Arial"/>
          <w:szCs w:val="20"/>
        </w:rPr>
      </w:pPr>
      <w:r>
        <w:separator/>
      </w:r>
    </w:p>
  </w:endnote>
  <w:endnote w:type="continuationSeparator" w:id="0">
    <w:p w14:paraId="3AC5F0CF" w14:textId="77777777" w:rsidR="0042226D" w:rsidRPr="00077DBA" w:rsidRDefault="004222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88B92" w14:textId="77777777" w:rsidR="000136E7" w:rsidRDefault="000136E7" w:rsidP="000136E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18F6E2D" w14:textId="77777777" w:rsidR="000136E7" w:rsidRPr="000136E7" w:rsidRDefault="000136E7" w:rsidP="000136E7">
    <w:pPr>
      <w:pStyle w:val="a4"/>
      <w:pBdr>
        <w:top w:val="single" w:sz="4" w:space="1" w:color="auto"/>
        <w:between w:val="single" w:sz="4" w:space="0" w:color="auto"/>
      </w:pBdr>
      <w:spacing w:after="60"/>
      <w:jc w:val="center"/>
      <w:rPr>
        <w:rFonts w:ascii="FrankRuehl" w:hAnsi="FrankRuehl" w:cs="FrankRuehl"/>
        <w:color w:val="000000"/>
      </w:rPr>
    </w:pPr>
    <w:r w:rsidRPr="000136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2B329" w14:textId="77777777" w:rsidR="000136E7" w:rsidRDefault="000136E7" w:rsidP="000136E7">
    <w:pPr>
      <w:pStyle w:val="a4"/>
      <w:jc w:val="center"/>
      <w:rPr>
        <w:rStyle w:val="a5"/>
        <w:rFonts w:ascii="FrankRuehl" w:hAnsi="FrankRuehl" w:cs="FrankRuehl"/>
        <w:rt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hint="cs"/>
      </w:rPr>
      <w:instrText>PAGE</w:instrText>
    </w:r>
    <w:r>
      <w:rPr>
        <w:rStyle w:val="a5"/>
        <w:rFonts w:ascii="FrankRuehl" w:hAnsi="FrankRuehl" w:cs="FrankRuehl" w:hint="cs"/>
        <w:rtl/>
      </w:rPr>
      <w:instrText xml:space="preserve">  \* </w:instrText>
    </w:r>
    <w:r>
      <w:rPr>
        <w:rStyle w:val="a5"/>
        <w:rFonts w:ascii="FrankRuehl" w:hAnsi="FrankRuehl" w:cs="FrankRuehl" w:hint="cs"/>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811BBA">
      <w:rPr>
        <w:rStyle w:val="a5"/>
        <w:rFonts w:ascii="FrankRuehl" w:hAnsi="FrankRuehl" w:cs="FrankRuehl"/>
        <w:rtl/>
      </w:rPr>
      <w:t>1</w:t>
    </w:r>
    <w:r>
      <w:rPr>
        <w:rStyle w:val="a5"/>
        <w:rFonts w:ascii="FrankRuehl" w:hAnsi="FrankRuehl" w:cs="FrankRuehl"/>
        <w:rtl/>
      </w:rPr>
      <w:fldChar w:fldCharType="end"/>
    </w:r>
  </w:p>
  <w:p w14:paraId="20001C4A" w14:textId="77777777" w:rsidR="006177F3" w:rsidRPr="000136E7" w:rsidRDefault="000136E7" w:rsidP="000136E7">
    <w:pPr>
      <w:pStyle w:val="a4"/>
      <w:pBdr>
        <w:top w:val="single" w:sz="4" w:space="1" w:color="auto"/>
        <w:between w:val="single" w:sz="4" w:space="0" w:color="auto"/>
      </w:pBdr>
      <w:spacing w:after="60"/>
      <w:jc w:val="center"/>
      <w:rPr>
        <w:rStyle w:val="a5"/>
        <w:rFonts w:ascii="FrankRuehl" w:hAnsi="FrankRuehl" w:cs="FrankRuehl" w:hint="cs"/>
        <w:color w:val="000000"/>
        <w:rtl/>
      </w:rPr>
    </w:pPr>
    <w:r w:rsidRPr="000136E7">
      <w:rPr>
        <w:rStyle w:val="a5"/>
        <w:rFonts w:ascii="FrankRuehl" w:hAnsi="FrankRuehl" w:cs="FrankRuehl" w:hint="cs"/>
        <w:color w:val="000000"/>
      </w:rPr>
      <w:pict w14:anchorId="65568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2CFCD" w14:textId="77777777" w:rsidR="0042226D" w:rsidRPr="00077DBA" w:rsidRDefault="0042226D">
      <w:pPr>
        <w:rPr>
          <w:rFonts w:cs="Arial"/>
          <w:szCs w:val="20"/>
        </w:rPr>
      </w:pPr>
      <w:r>
        <w:separator/>
      </w:r>
    </w:p>
  </w:footnote>
  <w:footnote w:type="continuationSeparator" w:id="0">
    <w:p w14:paraId="1C987CD2" w14:textId="77777777" w:rsidR="0042226D" w:rsidRPr="00077DBA" w:rsidRDefault="004222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6E35" w14:textId="77777777" w:rsidR="000136E7" w:rsidRPr="000136E7" w:rsidRDefault="000136E7" w:rsidP="000136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45971-11-13</w:t>
    </w:r>
    <w:r>
      <w:rPr>
        <w:rFonts w:ascii="David" w:hAnsi="David"/>
        <w:color w:val="000000"/>
        <w:sz w:val="22"/>
        <w:szCs w:val="22"/>
        <w:rtl/>
      </w:rPr>
      <w:tab/>
      <w:t xml:space="preserve"> מדינת ישראל נ' מוחמד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D519" w14:textId="77777777" w:rsidR="000136E7" w:rsidRPr="000136E7" w:rsidRDefault="000136E7" w:rsidP="000136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45971-11-13</w:t>
    </w:r>
    <w:r>
      <w:rPr>
        <w:rFonts w:ascii="David" w:hAnsi="David"/>
        <w:color w:val="000000"/>
        <w:sz w:val="22"/>
        <w:szCs w:val="22"/>
        <w:rtl/>
      </w:rPr>
      <w:tab/>
      <w:t xml:space="preserve"> מדינת ישראל נ' מוחמד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D34"/>
    <w:multiLevelType w:val="hybridMultilevel"/>
    <w:tmpl w:val="095A2D14"/>
    <w:lvl w:ilvl="0" w:tplc="575A739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0316AEC"/>
    <w:multiLevelType w:val="hybridMultilevel"/>
    <w:tmpl w:val="84D69138"/>
    <w:lvl w:ilvl="0" w:tplc="6D887E1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A207227"/>
    <w:multiLevelType w:val="hybridMultilevel"/>
    <w:tmpl w:val="E06C2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0233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8061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6554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77F3"/>
    <w:rsid w:val="000136E7"/>
    <w:rsid w:val="000E2D2D"/>
    <w:rsid w:val="00113702"/>
    <w:rsid w:val="0042226D"/>
    <w:rsid w:val="006177F3"/>
    <w:rsid w:val="006201EF"/>
    <w:rsid w:val="00811B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39BFEE4"/>
  <w15:chartTrackingRefBased/>
  <w15:docId w15:val="{6622A911-F56E-43AE-8CD0-40064B5D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77F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177F3"/>
    <w:pPr>
      <w:tabs>
        <w:tab w:val="center" w:pos="4153"/>
        <w:tab w:val="right" w:pos="8306"/>
      </w:tabs>
    </w:pPr>
  </w:style>
  <w:style w:type="paragraph" w:styleId="a4">
    <w:name w:val="footer"/>
    <w:basedOn w:val="a"/>
    <w:rsid w:val="006177F3"/>
    <w:pPr>
      <w:tabs>
        <w:tab w:val="center" w:pos="4153"/>
        <w:tab w:val="right" w:pos="8306"/>
      </w:tabs>
    </w:pPr>
  </w:style>
  <w:style w:type="character" w:styleId="a5">
    <w:name w:val="page number"/>
    <w:basedOn w:val="a0"/>
    <w:rsid w:val="006177F3"/>
  </w:style>
  <w:style w:type="paragraph" w:customStyle="1" w:styleId="ListParagraph">
    <w:name w:val="List Paragraph"/>
    <w:basedOn w:val="a"/>
    <w:rsid w:val="006177F3"/>
    <w:pPr>
      <w:spacing w:after="200" w:line="276" w:lineRule="auto"/>
      <w:ind w:left="720"/>
      <w:contextualSpacing/>
    </w:pPr>
    <w:rPr>
      <w:rFonts w:ascii="Calibri" w:eastAsia="Calibri" w:hAnsi="Calibri" w:cs="Arial"/>
      <w:noProof w:val="0"/>
      <w:sz w:val="22"/>
      <w:szCs w:val="22"/>
    </w:rPr>
  </w:style>
  <w:style w:type="character" w:styleId="a6">
    <w:name w:val="line number"/>
    <w:basedOn w:val="a0"/>
    <w:rsid w:val="006177F3"/>
  </w:style>
  <w:style w:type="character" w:styleId="Hyperlink">
    <w:name w:val="Hyperlink"/>
    <w:basedOn w:val="a0"/>
    <w:rsid w:val="00013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c" TargetMode="External"/><Relationship Id="rId26" Type="http://schemas.openxmlformats.org/officeDocument/2006/relationships/hyperlink" Target="http://www.nevo.co.il/law/70301/40c.b" TargetMode="External"/><Relationship Id="rId3" Type="http://schemas.openxmlformats.org/officeDocument/2006/relationships/settings" Target="settings.xml"/><Relationship Id="rId21" Type="http://schemas.openxmlformats.org/officeDocument/2006/relationships/hyperlink" Target="http://www.nevo.co.il/case/5887664"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244" TargetMode="External"/><Relationship Id="rId17" Type="http://schemas.openxmlformats.org/officeDocument/2006/relationships/hyperlink" Target="http://www.nevo.co.il/case/6949290" TargetMode="External"/><Relationship Id="rId25" Type="http://schemas.openxmlformats.org/officeDocument/2006/relationships/hyperlink" Target="http://www.nevo.co.il/case/695045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7791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473037"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85240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c.b"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5958231"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1764</Words>
  <Characters>8820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10563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4128888</vt:i4>
      </vt:variant>
      <vt:variant>
        <vt:i4>54</vt:i4>
      </vt:variant>
      <vt:variant>
        <vt:i4>0</vt:i4>
      </vt:variant>
      <vt:variant>
        <vt:i4>5</vt:i4>
      </vt:variant>
      <vt:variant>
        <vt:lpwstr>http://www.nevo.co.il/case/6950458</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3342454</vt:i4>
      </vt:variant>
      <vt:variant>
        <vt:i4>45</vt:i4>
      </vt:variant>
      <vt:variant>
        <vt:i4>0</vt:i4>
      </vt:variant>
      <vt:variant>
        <vt:i4>5</vt:i4>
      </vt:variant>
      <vt:variant>
        <vt:lpwstr>http://www.nevo.co.il/case/5958231</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3145853</vt:i4>
      </vt:variant>
      <vt:variant>
        <vt:i4>30</vt:i4>
      </vt:variant>
      <vt:variant>
        <vt:i4>0</vt:i4>
      </vt:variant>
      <vt:variant>
        <vt:i4>5</vt:i4>
      </vt:variant>
      <vt:variant>
        <vt:lpwstr>http://www.nevo.co.il/case/6949290</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45971</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עודה</vt:lpwstr>
  </property>
  <property fmtid="{D5CDD505-2E9C-101B-9397-08002B2CF9AE}" pid="10" name="LAWYER">
    <vt:lpwstr>עינת לב ארי;שי טובים</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20140402</vt:lpwstr>
  </property>
  <property fmtid="{D5CDD505-2E9C-101B-9397-08002B2CF9AE}" pid="14" name="TYPE_N_DATE">
    <vt:lpwstr>39020140402</vt:lpwstr>
  </property>
  <property fmtid="{D5CDD505-2E9C-101B-9397-08002B2CF9AE}" pid="15" name="CASESLISTTMP1">
    <vt:lpwstr>6949290;7791493;5887664;5958231;5852404;6473037;6950458</vt:lpwstr>
  </property>
  <property fmtid="{D5CDD505-2E9C-101B-9397-08002B2CF9AE}" pid="16" name="CASENOTES1">
    <vt:lpwstr>ProcID=213&amp;PartA=55351&amp;PartB=12&amp;PartC=12</vt:lpwstr>
  </property>
  <property fmtid="{D5CDD505-2E9C-101B-9397-08002B2CF9AE}" pid="17" name="CASENOTES2">
    <vt:lpwstr>ProcID=213&amp;PartA=191&amp;PartC=09</vt:lpwstr>
  </property>
  <property fmtid="{D5CDD505-2E9C-101B-9397-08002B2CF9AE}" pid="18" name="WORDNUMPAGES">
    <vt:lpwstr>6</vt:lpwstr>
  </property>
  <property fmtid="{D5CDD505-2E9C-101B-9397-08002B2CF9AE}" pid="19" name="TYPE_ABS_DATE">
    <vt:lpwstr>390020140402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70301/144.b;029;244;040c;040c.b</vt:lpwstr>
  </property>
</Properties>
</file>