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9"/>
        <w:gridCol w:w="5028"/>
        <w:gridCol w:w="3629"/>
        <w:gridCol w:w="19"/>
      </w:tblGrid>
      <w:tr w:rsidR="006057BC" w:rsidRPr="00ED2D4F" w14:paraId="728072A3" w14:textId="77777777">
        <w:trPr>
          <w:gridAfter w:val="1"/>
          <w:wAfter w:w="19" w:type="dxa"/>
          <w:trHeight w:hRule="exact" w:val="503"/>
          <w:jc w:val="center"/>
        </w:trPr>
        <w:tc>
          <w:tcPr>
            <w:tcW w:w="8676" w:type="dxa"/>
            <w:gridSpan w:val="3"/>
          </w:tcPr>
          <w:p w14:paraId="0E5BCAD1" w14:textId="77777777" w:rsidR="006057BC" w:rsidRPr="00ED2D4F" w:rsidRDefault="00ED2D4F">
            <w:pPr>
              <w:pStyle w:val="a3"/>
              <w:jc w:val="center"/>
              <w:rPr>
                <w:rFonts w:ascii="Tahoma" w:hAnsi="Tahoma" w:cs="Tahoma"/>
                <w:color w:val="000080"/>
                <w:rtl/>
              </w:rPr>
            </w:pPr>
            <w:r w:rsidRPr="00ED2D4F">
              <w:rPr>
                <w:rFonts w:ascii="Tahoma" w:hAnsi="Tahoma" w:cs="Tahoma"/>
                <w:b/>
                <w:bCs/>
                <w:color w:val="000080"/>
                <w:rtl/>
              </w:rPr>
              <w:t>בית המשפט המחוזי מרכז-לוד</w:t>
            </w:r>
          </w:p>
        </w:tc>
      </w:tr>
      <w:tr w:rsidR="006057BC" w:rsidRPr="00ED2D4F" w14:paraId="6F615C22" w14:textId="77777777">
        <w:trPr>
          <w:gridBefore w:val="1"/>
          <w:wBefore w:w="19" w:type="dxa"/>
          <w:trHeight w:val="405"/>
          <w:jc w:val="center"/>
        </w:trPr>
        <w:tc>
          <w:tcPr>
            <w:tcW w:w="5028" w:type="dxa"/>
          </w:tcPr>
          <w:p w14:paraId="44BAD8B1" w14:textId="77777777" w:rsidR="006057BC" w:rsidRPr="00ED2D4F" w:rsidRDefault="00ED2D4F">
            <w:pPr>
              <w:rPr>
                <w:rFonts w:ascii="Arial" w:hAnsi="Arial" w:cs="Arial"/>
                <w:b/>
                <w:bCs/>
                <w:rtl/>
              </w:rPr>
            </w:pPr>
            <w:r w:rsidRPr="00ED2D4F">
              <w:rPr>
                <w:rFonts w:ascii="Arial" w:hAnsi="Arial" w:cs="Arial"/>
                <w:b/>
                <w:bCs/>
                <w:rtl/>
              </w:rPr>
              <w:t>ת"פ 8725-11-13 מדינת ישראל נ' אבו לבן</w:t>
            </w:r>
            <w:r w:rsidRPr="00ED2D4F">
              <w:rPr>
                <w:rFonts w:ascii="Arial" w:hAnsi="Arial" w:cs="Arial" w:hint="cs"/>
                <w:b/>
                <w:bCs/>
                <w:rtl/>
              </w:rPr>
              <w:t xml:space="preserve"> </w:t>
            </w:r>
            <w:r w:rsidRPr="00ED2D4F">
              <w:rPr>
                <w:rFonts w:ascii="Arial" w:hAnsi="Arial" w:cs="Arial"/>
                <w:b/>
                <w:bCs/>
                <w:rtl/>
              </w:rPr>
              <w:t>(עציר)</w:t>
            </w:r>
          </w:p>
          <w:p w14:paraId="4F17D358" w14:textId="77777777" w:rsidR="006057BC" w:rsidRPr="00ED2D4F" w:rsidRDefault="006057BC">
            <w:pPr>
              <w:pStyle w:val="a3"/>
              <w:rPr>
                <w:rFonts w:ascii="Arial" w:hAnsi="Arial" w:cs="Arial"/>
                <w:b/>
                <w:bCs/>
                <w:sz w:val="16"/>
                <w:szCs w:val="16"/>
                <w:rtl/>
              </w:rPr>
            </w:pPr>
          </w:p>
        </w:tc>
        <w:tc>
          <w:tcPr>
            <w:tcW w:w="3648" w:type="dxa"/>
            <w:gridSpan w:val="2"/>
          </w:tcPr>
          <w:p w14:paraId="6013B706" w14:textId="77777777" w:rsidR="006057BC" w:rsidRPr="00ED2D4F" w:rsidRDefault="006057BC">
            <w:pPr>
              <w:pStyle w:val="a3"/>
              <w:jc w:val="right"/>
              <w:rPr>
                <w:rFonts w:cs="FrankRuehl"/>
                <w:sz w:val="28"/>
                <w:szCs w:val="28"/>
                <w:rtl/>
              </w:rPr>
            </w:pPr>
          </w:p>
        </w:tc>
      </w:tr>
    </w:tbl>
    <w:p w14:paraId="05188755" w14:textId="77777777" w:rsidR="006057BC" w:rsidRPr="00ED2D4F" w:rsidRDefault="00ED2D4F">
      <w:pPr>
        <w:pStyle w:val="a3"/>
        <w:rPr>
          <w:rtl/>
        </w:rPr>
      </w:pPr>
      <w:r w:rsidRPr="00ED2D4F">
        <w:rPr>
          <w:rFonts w:hint="cs"/>
          <w:rtl/>
        </w:rPr>
        <w:t xml:space="preserve"> </w:t>
      </w:r>
    </w:p>
    <w:p w14:paraId="190C687A" w14:textId="77777777" w:rsidR="006057BC" w:rsidRPr="00ED2D4F" w:rsidRDefault="006057BC">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57BC" w:rsidRPr="00ED2D4F" w14:paraId="66B11FD3" w14:textId="77777777">
        <w:trPr>
          <w:trHeight w:val="295"/>
          <w:jc w:val="center"/>
        </w:trPr>
        <w:tc>
          <w:tcPr>
            <w:tcW w:w="923" w:type="dxa"/>
            <w:tcBorders>
              <w:top w:val="nil"/>
              <w:left w:val="nil"/>
              <w:bottom w:val="nil"/>
              <w:right w:val="nil"/>
            </w:tcBorders>
          </w:tcPr>
          <w:p w14:paraId="0C10C453" w14:textId="77777777" w:rsidR="006057BC" w:rsidRPr="00ED2D4F" w:rsidRDefault="00ED2D4F">
            <w:pPr>
              <w:jc w:val="both"/>
              <w:rPr>
                <w:rFonts w:ascii="Arial" w:hAnsi="Arial" w:cs="Arial"/>
              </w:rPr>
            </w:pPr>
            <w:bookmarkStart w:id="0" w:name="_GoBack"/>
            <w:bookmarkEnd w:id="0"/>
            <w:r w:rsidRPr="00ED2D4F">
              <w:rPr>
                <w:rFonts w:ascii="Arial" w:hAnsi="Arial" w:cs="Arial" w:hint="cs"/>
                <w:rtl/>
              </w:rPr>
              <w:t>ל</w:t>
            </w:r>
            <w:r w:rsidRPr="00ED2D4F">
              <w:rPr>
                <w:rFonts w:ascii="Arial" w:hAnsi="Arial" w:cs="Arial"/>
                <w:rtl/>
              </w:rPr>
              <w:t xml:space="preserve">פני </w:t>
            </w:r>
          </w:p>
        </w:tc>
        <w:tc>
          <w:tcPr>
            <w:tcW w:w="7897" w:type="dxa"/>
            <w:gridSpan w:val="2"/>
            <w:tcBorders>
              <w:top w:val="nil"/>
              <w:left w:val="nil"/>
              <w:bottom w:val="nil"/>
              <w:right w:val="nil"/>
            </w:tcBorders>
          </w:tcPr>
          <w:p w14:paraId="7A4859DF" w14:textId="77777777" w:rsidR="006057BC" w:rsidRPr="00ED2D4F" w:rsidRDefault="00ED2D4F">
            <w:pPr>
              <w:rPr>
                <w:rFonts w:ascii="Arial" w:hAnsi="Arial" w:cs="Arial"/>
                <w:b/>
                <w:bCs/>
                <w:rtl/>
              </w:rPr>
            </w:pPr>
            <w:r w:rsidRPr="00ED2D4F">
              <w:rPr>
                <w:rFonts w:ascii="Arial" w:hAnsi="Arial" w:cs="Arial"/>
                <w:b/>
                <w:bCs/>
                <w:rtl/>
              </w:rPr>
              <w:t>כב' ה</w:t>
            </w:r>
            <w:r w:rsidRPr="00ED2D4F">
              <w:rPr>
                <w:rFonts w:ascii="Arial" w:hAnsi="Arial" w:cs="Arial" w:hint="cs"/>
                <w:b/>
                <w:bCs/>
                <w:rtl/>
              </w:rPr>
              <w:t>שופטת</w:t>
            </w:r>
            <w:r w:rsidRPr="00ED2D4F">
              <w:rPr>
                <w:rFonts w:ascii="Arial" w:hAnsi="Arial" w:cs="Arial"/>
                <w:b/>
                <w:bCs/>
                <w:rtl/>
              </w:rPr>
              <w:t xml:space="preserve"> </w:t>
            </w:r>
            <w:r w:rsidRPr="00ED2D4F">
              <w:rPr>
                <w:rFonts w:ascii="Arial" w:hAnsi="Arial" w:cs="Arial" w:hint="cs"/>
                <w:b/>
                <w:bCs/>
                <w:rtl/>
              </w:rPr>
              <w:t xml:space="preserve">ורדה מרוז – סג"נ </w:t>
            </w:r>
          </w:p>
          <w:p w14:paraId="44ACC948" w14:textId="77777777" w:rsidR="006057BC" w:rsidRPr="00ED2D4F" w:rsidRDefault="006057BC">
            <w:pPr>
              <w:rPr>
                <w:rFonts w:ascii="Arial" w:hAnsi="Arial" w:cs="Arial"/>
                <w:rtl/>
              </w:rPr>
            </w:pPr>
          </w:p>
          <w:p w14:paraId="33B2A001" w14:textId="77777777" w:rsidR="006057BC" w:rsidRPr="00ED2D4F" w:rsidRDefault="006057BC">
            <w:pPr>
              <w:jc w:val="both"/>
              <w:rPr>
                <w:rFonts w:ascii="Arial" w:hAnsi="Arial" w:cs="Arial"/>
              </w:rPr>
            </w:pPr>
          </w:p>
        </w:tc>
      </w:tr>
      <w:tr w:rsidR="006057BC" w:rsidRPr="00ED2D4F" w14:paraId="3055A69D" w14:textId="77777777">
        <w:trPr>
          <w:trHeight w:val="355"/>
          <w:jc w:val="center"/>
        </w:trPr>
        <w:tc>
          <w:tcPr>
            <w:tcW w:w="923" w:type="dxa"/>
            <w:tcBorders>
              <w:top w:val="nil"/>
              <w:left w:val="nil"/>
              <w:bottom w:val="nil"/>
              <w:right w:val="nil"/>
            </w:tcBorders>
          </w:tcPr>
          <w:p w14:paraId="341EDD36" w14:textId="77777777" w:rsidR="006057BC" w:rsidRPr="00ED2D4F" w:rsidRDefault="00ED2D4F">
            <w:pPr>
              <w:jc w:val="both"/>
              <w:rPr>
                <w:rFonts w:ascii="Arial" w:hAnsi="Arial" w:cs="Arial"/>
              </w:rPr>
            </w:pPr>
            <w:bookmarkStart w:id="1" w:name="FirstAppellant"/>
            <w:bookmarkStart w:id="2" w:name="FirstLawyer"/>
            <w:bookmarkStart w:id="3" w:name="LastJudge"/>
            <w:bookmarkEnd w:id="3"/>
            <w:r w:rsidRPr="00ED2D4F">
              <w:rPr>
                <w:rFonts w:ascii="Arial" w:hAnsi="Arial" w:cs="Arial"/>
                <w:rtl/>
              </w:rPr>
              <w:t>בעניין:</w:t>
            </w:r>
          </w:p>
        </w:tc>
        <w:tc>
          <w:tcPr>
            <w:tcW w:w="4126" w:type="dxa"/>
            <w:tcBorders>
              <w:top w:val="nil"/>
              <w:left w:val="nil"/>
              <w:bottom w:val="nil"/>
              <w:right w:val="nil"/>
            </w:tcBorders>
          </w:tcPr>
          <w:p w14:paraId="1F192840" w14:textId="77777777" w:rsidR="006057BC" w:rsidRPr="00ED2D4F" w:rsidRDefault="00ED2D4F">
            <w:pPr>
              <w:rPr>
                <w:rFonts w:ascii="Arial" w:hAnsi="Arial" w:cs="Arial"/>
                <w:b/>
                <w:bCs/>
                <w:rtl/>
              </w:rPr>
            </w:pPr>
            <w:r w:rsidRPr="00ED2D4F">
              <w:rPr>
                <w:rFonts w:ascii="Arial" w:hAnsi="Arial" w:cs="Arial" w:hint="cs"/>
                <w:b/>
                <w:bCs/>
                <w:rtl/>
              </w:rPr>
              <w:t>מדינת ישראל</w:t>
            </w:r>
          </w:p>
          <w:p w14:paraId="2329EB9B" w14:textId="77777777" w:rsidR="006057BC" w:rsidRPr="00ED2D4F" w:rsidRDefault="00ED2D4F">
            <w:pPr>
              <w:rPr>
                <w:rFonts w:ascii="Arial" w:hAnsi="Arial" w:cs="Arial"/>
              </w:rPr>
            </w:pPr>
            <w:r w:rsidRPr="00ED2D4F">
              <w:rPr>
                <w:rFonts w:ascii="Arial" w:hAnsi="Arial" w:cs="Arial" w:hint="cs"/>
                <w:rtl/>
              </w:rPr>
              <w:t xml:space="preserve">ע"י ב"כ עוה"ד ליאת גלבוע </w:t>
            </w:r>
            <w:r w:rsidRPr="00ED2D4F">
              <w:rPr>
                <w:rFonts w:ascii="Arial" w:hAnsi="Arial" w:cs="Arial"/>
                <w:rtl/>
              </w:rPr>
              <w:t>–</w:t>
            </w:r>
            <w:r w:rsidRPr="00ED2D4F">
              <w:rPr>
                <w:rFonts w:ascii="Arial" w:hAnsi="Arial" w:cs="Arial" w:hint="cs"/>
                <w:rtl/>
              </w:rPr>
              <w:t xml:space="preserve"> פמ"מ </w:t>
            </w:r>
          </w:p>
        </w:tc>
        <w:tc>
          <w:tcPr>
            <w:tcW w:w="3771" w:type="dxa"/>
            <w:tcBorders>
              <w:top w:val="nil"/>
              <w:left w:val="nil"/>
              <w:bottom w:val="nil"/>
              <w:right w:val="nil"/>
            </w:tcBorders>
          </w:tcPr>
          <w:p w14:paraId="1A40504F" w14:textId="77777777" w:rsidR="006057BC" w:rsidRPr="00ED2D4F" w:rsidRDefault="006057BC">
            <w:pPr>
              <w:jc w:val="both"/>
              <w:rPr>
                <w:rFonts w:ascii="Arial" w:hAnsi="Arial" w:cs="Arial"/>
              </w:rPr>
            </w:pPr>
          </w:p>
        </w:tc>
      </w:tr>
      <w:bookmarkEnd w:id="1"/>
      <w:bookmarkEnd w:id="2"/>
      <w:tr w:rsidR="006057BC" w:rsidRPr="00ED2D4F" w14:paraId="67AAEFB0" w14:textId="77777777">
        <w:trPr>
          <w:trHeight w:val="355"/>
          <w:jc w:val="center"/>
        </w:trPr>
        <w:tc>
          <w:tcPr>
            <w:tcW w:w="923" w:type="dxa"/>
            <w:tcBorders>
              <w:top w:val="nil"/>
              <w:left w:val="nil"/>
              <w:bottom w:val="nil"/>
              <w:right w:val="nil"/>
            </w:tcBorders>
          </w:tcPr>
          <w:p w14:paraId="60E5AC8D" w14:textId="77777777" w:rsidR="006057BC" w:rsidRPr="00ED2D4F" w:rsidRDefault="006057BC">
            <w:pPr>
              <w:jc w:val="both"/>
              <w:rPr>
                <w:rFonts w:ascii="Arial" w:hAnsi="Arial" w:cs="Arial"/>
                <w:rtl/>
              </w:rPr>
            </w:pPr>
          </w:p>
        </w:tc>
        <w:tc>
          <w:tcPr>
            <w:tcW w:w="4126" w:type="dxa"/>
            <w:tcBorders>
              <w:top w:val="nil"/>
              <w:left w:val="nil"/>
              <w:bottom w:val="nil"/>
              <w:right w:val="nil"/>
            </w:tcBorders>
          </w:tcPr>
          <w:p w14:paraId="66197D0E" w14:textId="77777777" w:rsidR="006057BC" w:rsidRPr="00ED2D4F" w:rsidRDefault="006057BC">
            <w:pPr>
              <w:jc w:val="both"/>
              <w:rPr>
                <w:rFonts w:ascii="Arial" w:hAnsi="Arial" w:cs="Arial"/>
                <w:rtl/>
              </w:rPr>
            </w:pPr>
          </w:p>
        </w:tc>
        <w:tc>
          <w:tcPr>
            <w:tcW w:w="3771" w:type="dxa"/>
            <w:tcBorders>
              <w:top w:val="nil"/>
              <w:left w:val="nil"/>
              <w:bottom w:val="nil"/>
              <w:right w:val="nil"/>
            </w:tcBorders>
          </w:tcPr>
          <w:p w14:paraId="7ADF6823" w14:textId="77777777" w:rsidR="006057BC" w:rsidRPr="00ED2D4F" w:rsidRDefault="00ED2D4F">
            <w:pPr>
              <w:jc w:val="right"/>
              <w:rPr>
                <w:rFonts w:ascii="Arial" w:hAnsi="Arial" w:cs="Arial"/>
                <w:rtl/>
              </w:rPr>
            </w:pPr>
            <w:r w:rsidRPr="00ED2D4F">
              <w:rPr>
                <w:rFonts w:ascii="Arial" w:hAnsi="Arial" w:cs="Arial"/>
                <w:rtl/>
              </w:rPr>
              <w:t>ה</w:t>
            </w:r>
            <w:r w:rsidRPr="00ED2D4F">
              <w:rPr>
                <w:rFonts w:ascii="Arial" w:hAnsi="Arial" w:cs="Arial" w:hint="cs"/>
                <w:rtl/>
              </w:rPr>
              <w:t>מאשימה</w:t>
            </w:r>
          </w:p>
        </w:tc>
      </w:tr>
      <w:tr w:rsidR="006057BC" w:rsidRPr="00ED2D4F" w14:paraId="294BC2F0" w14:textId="77777777">
        <w:trPr>
          <w:trHeight w:val="355"/>
          <w:jc w:val="center"/>
        </w:trPr>
        <w:tc>
          <w:tcPr>
            <w:tcW w:w="923" w:type="dxa"/>
            <w:tcBorders>
              <w:top w:val="nil"/>
              <w:left w:val="nil"/>
              <w:bottom w:val="nil"/>
              <w:right w:val="nil"/>
            </w:tcBorders>
          </w:tcPr>
          <w:p w14:paraId="23BA1F36" w14:textId="77777777" w:rsidR="006057BC" w:rsidRPr="00ED2D4F" w:rsidRDefault="006057BC">
            <w:pPr>
              <w:jc w:val="both"/>
              <w:rPr>
                <w:rFonts w:ascii="Arial" w:hAnsi="Arial" w:cs="Arial"/>
                <w:sz w:val="28"/>
                <w:szCs w:val="28"/>
                <w:rtl/>
              </w:rPr>
            </w:pPr>
          </w:p>
        </w:tc>
        <w:tc>
          <w:tcPr>
            <w:tcW w:w="7897" w:type="dxa"/>
            <w:gridSpan w:val="2"/>
            <w:tcBorders>
              <w:top w:val="nil"/>
              <w:left w:val="nil"/>
              <w:bottom w:val="nil"/>
              <w:right w:val="nil"/>
            </w:tcBorders>
          </w:tcPr>
          <w:p w14:paraId="364C2027" w14:textId="77777777" w:rsidR="006057BC" w:rsidRPr="00ED2D4F" w:rsidRDefault="006057BC">
            <w:pPr>
              <w:jc w:val="center"/>
              <w:rPr>
                <w:rFonts w:ascii="Arial" w:hAnsi="Arial" w:cs="Arial"/>
                <w:b/>
                <w:bCs/>
                <w:sz w:val="28"/>
                <w:szCs w:val="28"/>
                <w:rtl/>
              </w:rPr>
            </w:pPr>
          </w:p>
          <w:p w14:paraId="217A413A" w14:textId="77777777" w:rsidR="006057BC" w:rsidRPr="00ED2D4F" w:rsidRDefault="00ED2D4F">
            <w:pPr>
              <w:jc w:val="center"/>
              <w:rPr>
                <w:rFonts w:ascii="Arial" w:hAnsi="Arial" w:cs="Arial"/>
                <w:b/>
                <w:bCs/>
                <w:sz w:val="28"/>
                <w:szCs w:val="28"/>
                <w:rtl/>
              </w:rPr>
            </w:pPr>
            <w:r w:rsidRPr="00ED2D4F">
              <w:rPr>
                <w:rFonts w:ascii="Arial" w:hAnsi="Arial" w:cs="Arial"/>
                <w:b/>
                <w:bCs/>
                <w:sz w:val="28"/>
                <w:szCs w:val="28"/>
                <w:rtl/>
              </w:rPr>
              <w:t>נגד</w:t>
            </w:r>
          </w:p>
          <w:p w14:paraId="6A25055D" w14:textId="77777777" w:rsidR="006057BC" w:rsidRPr="00ED2D4F" w:rsidRDefault="006057BC">
            <w:pPr>
              <w:jc w:val="both"/>
              <w:rPr>
                <w:rFonts w:ascii="Arial" w:hAnsi="Arial" w:cs="Arial"/>
                <w:sz w:val="28"/>
                <w:szCs w:val="28"/>
              </w:rPr>
            </w:pPr>
          </w:p>
        </w:tc>
      </w:tr>
      <w:tr w:rsidR="006057BC" w:rsidRPr="00ED2D4F" w14:paraId="7D9036CB" w14:textId="77777777">
        <w:trPr>
          <w:trHeight w:val="355"/>
          <w:jc w:val="center"/>
        </w:trPr>
        <w:tc>
          <w:tcPr>
            <w:tcW w:w="923" w:type="dxa"/>
            <w:tcBorders>
              <w:top w:val="nil"/>
              <w:left w:val="nil"/>
              <w:bottom w:val="nil"/>
              <w:right w:val="nil"/>
            </w:tcBorders>
          </w:tcPr>
          <w:p w14:paraId="5A823838" w14:textId="77777777" w:rsidR="006057BC" w:rsidRPr="00ED2D4F" w:rsidRDefault="006057BC">
            <w:pPr>
              <w:rPr>
                <w:rFonts w:ascii="Arial" w:hAnsi="Arial" w:cs="Arial"/>
                <w:b/>
                <w:bCs/>
                <w:rtl/>
              </w:rPr>
            </w:pPr>
          </w:p>
        </w:tc>
        <w:tc>
          <w:tcPr>
            <w:tcW w:w="4126" w:type="dxa"/>
            <w:tcBorders>
              <w:top w:val="nil"/>
              <w:left w:val="nil"/>
              <w:bottom w:val="nil"/>
              <w:right w:val="nil"/>
            </w:tcBorders>
          </w:tcPr>
          <w:p w14:paraId="50B39DAD" w14:textId="77777777" w:rsidR="006057BC" w:rsidRPr="00ED2D4F" w:rsidRDefault="00ED2D4F">
            <w:pPr>
              <w:rPr>
                <w:rFonts w:ascii="Arial" w:hAnsi="Arial" w:cs="Arial"/>
                <w:b/>
                <w:bCs/>
                <w:rtl/>
              </w:rPr>
            </w:pPr>
            <w:r w:rsidRPr="00ED2D4F">
              <w:rPr>
                <w:rFonts w:ascii="Arial" w:hAnsi="Arial" w:cs="Arial" w:hint="cs"/>
                <w:b/>
                <w:bCs/>
                <w:rtl/>
              </w:rPr>
              <w:t>מוחמד אבו לבן (עציר)</w:t>
            </w:r>
          </w:p>
          <w:p w14:paraId="15B4CDD1" w14:textId="77777777" w:rsidR="006057BC" w:rsidRPr="00ED2D4F" w:rsidRDefault="00ED2D4F">
            <w:pPr>
              <w:rPr>
                <w:rFonts w:ascii="Arial" w:hAnsi="Arial" w:cs="Arial"/>
                <w:rtl/>
              </w:rPr>
            </w:pPr>
            <w:r w:rsidRPr="00ED2D4F">
              <w:rPr>
                <w:rFonts w:ascii="Arial" w:hAnsi="Arial" w:cs="Arial" w:hint="cs"/>
                <w:rtl/>
              </w:rPr>
              <w:t>ע"י ב"כ עוה"ד אשרף אבו ראזק</w:t>
            </w:r>
          </w:p>
        </w:tc>
        <w:tc>
          <w:tcPr>
            <w:tcW w:w="3771" w:type="dxa"/>
            <w:tcBorders>
              <w:top w:val="nil"/>
              <w:left w:val="nil"/>
              <w:bottom w:val="nil"/>
              <w:right w:val="nil"/>
            </w:tcBorders>
          </w:tcPr>
          <w:p w14:paraId="544887D7" w14:textId="77777777" w:rsidR="006057BC" w:rsidRPr="00ED2D4F" w:rsidRDefault="006057BC">
            <w:pPr>
              <w:jc w:val="right"/>
              <w:rPr>
                <w:rFonts w:ascii="Arial" w:hAnsi="Arial" w:cs="Arial"/>
              </w:rPr>
            </w:pPr>
          </w:p>
        </w:tc>
      </w:tr>
      <w:tr w:rsidR="006057BC" w:rsidRPr="00ED2D4F" w14:paraId="42E9F676" w14:textId="77777777">
        <w:trPr>
          <w:trHeight w:val="355"/>
          <w:jc w:val="center"/>
        </w:trPr>
        <w:tc>
          <w:tcPr>
            <w:tcW w:w="923" w:type="dxa"/>
            <w:tcBorders>
              <w:top w:val="nil"/>
              <w:left w:val="nil"/>
              <w:bottom w:val="nil"/>
              <w:right w:val="nil"/>
            </w:tcBorders>
          </w:tcPr>
          <w:p w14:paraId="2092F4F9" w14:textId="77777777" w:rsidR="006057BC" w:rsidRPr="00ED2D4F" w:rsidRDefault="006057BC">
            <w:pPr>
              <w:jc w:val="both"/>
              <w:rPr>
                <w:rFonts w:ascii="Arial" w:hAnsi="Arial" w:cs="Arial"/>
                <w:rtl/>
              </w:rPr>
            </w:pPr>
          </w:p>
        </w:tc>
        <w:tc>
          <w:tcPr>
            <w:tcW w:w="4126" w:type="dxa"/>
            <w:tcBorders>
              <w:top w:val="nil"/>
              <w:left w:val="nil"/>
              <w:bottom w:val="nil"/>
              <w:right w:val="nil"/>
            </w:tcBorders>
          </w:tcPr>
          <w:p w14:paraId="40CCA53C" w14:textId="77777777" w:rsidR="006057BC" w:rsidRPr="00ED2D4F" w:rsidRDefault="006057BC">
            <w:pPr>
              <w:jc w:val="both"/>
              <w:rPr>
                <w:rFonts w:ascii="Arial" w:hAnsi="Arial" w:cs="Arial"/>
                <w:rtl/>
              </w:rPr>
            </w:pPr>
          </w:p>
        </w:tc>
        <w:tc>
          <w:tcPr>
            <w:tcW w:w="3771" w:type="dxa"/>
            <w:tcBorders>
              <w:top w:val="nil"/>
              <w:left w:val="nil"/>
              <w:bottom w:val="nil"/>
              <w:right w:val="nil"/>
            </w:tcBorders>
          </w:tcPr>
          <w:p w14:paraId="05EBD228" w14:textId="77777777" w:rsidR="006057BC" w:rsidRPr="00ED2D4F" w:rsidRDefault="00ED2D4F">
            <w:pPr>
              <w:jc w:val="right"/>
              <w:rPr>
                <w:rFonts w:ascii="Arial" w:hAnsi="Arial" w:cs="Arial"/>
              </w:rPr>
            </w:pPr>
            <w:r w:rsidRPr="00ED2D4F">
              <w:rPr>
                <w:rFonts w:ascii="Arial" w:hAnsi="Arial" w:cs="Arial"/>
                <w:rtl/>
              </w:rPr>
              <w:t>ה</w:t>
            </w:r>
            <w:r w:rsidRPr="00ED2D4F">
              <w:rPr>
                <w:rFonts w:ascii="Arial" w:hAnsi="Arial" w:cs="Arial" w:hint="cs"/>
                <w:rtl/>
              </w:rPr>
              <w:t>נאשם</w:t>
            </w:r>
          </w:p>
        </w:tc>
      </w:tr>
    </w:tbl>
    <w:p w14:paraId="24A0F3F8" w14:textId="77777777" w:rsidR="003C6F8E" w:rsidRDefault="003C6F8E">
      <w:pPr>
        <w:rPr>
          <w:rFonts w:ascii="Arial" w:hAnsi="Arial" w:cs="Arial"/>
          <w:rtl/>
        </w:rPr>
      </w:pPr>
      <w:bookmarkStart w:id="4" w:name="LawTable"/>
      <w:bookmarkEnd w:id="4"/>
    </w:p>
    <w:p w14:paraId="4DBC4889" w14:textId="77777777" w:rsidR="003C6F8E" w:rsidRPr="003C6F8E" w:rsidRDefault="003C6F8E" w:rsidP="003C6F8E">
      <w:pPr>
        <w:spacing w:after="120" w:line="240" w:lineRule="exact"/>
        <w:ind w:left="283" w:hanging="283"/>
        <w:jc w:val="both"/>
        <w:rPr>
          <w:rFonts w:ascii="FrankRuehl" w:hAnsi="FrankRuehl" w:cs="FrankRuehl"/>
          <w:rtl/>
        </w:rPr>
      </w:pPr>
    </w:p>
    <w:p w14:paraId="4B3788A2" w14:textId="77777777" w:rsidR="003C6F8E" w:rsidRPr="003C6F8E" w:rsidRDefault="003C6F8E" w:rsidP="003C6F8E">
      <w:pPr>
        <w:spacing w:after="120" w:line="240" w:lineRule="exact"/>
        <w:ind w:left="283" w:hanging="283"/>
        <w:jc w:val="both"/>
        <w:rPr>
          <w:rFonts w:ascii="FrankRuehl" w:hAnsi="FrankRuehl" w:cs="FrankRuehl"/>
          <w:rtl/>
        </w:rPr>
      </w:pPr>
      <w:r w:rsidRPr="003C6F8E">
        <w:rPr>
          <w:rFonts w:ascii="FrankRuehl" w:hAnsi="FrankRuehl" w:cs="FrankRuehl"/>
          <w:rtl/>
        </w:rPr>
        <w:t xml:space="preserve">חקיקה שאוזכרה: </w:t>
      </w:r>
    </w:p>
    <w:p w14:paraId="2C819907" w14:textId="77777777" w:rsidR="003C6F8E" w:rsidRPr="003C6F8E" w:rsidRDefault="003C6F8E" w:rsidP="003C6F8E">
      <w:pPr>
        <w:spacing w:after="120" w:line="240" w:lineRule="exact"/>
        <w:ind w:left="283" w:hanging="283"/>
        <w:jc w:val="both"/>
        <w:rPr>
          <w:rFonts w:ascii="FrankRuehl" w:hAnsi="FrankRuehl" w:cs="FrankRuehl"/>
          <w:rtl/>
        </w:rPr>
      </w:pPr>
      <w:hyperlink r:id="rId7" w:history="1">
        <w:r w:rsidRPr="003C6F8E">
          <w:rPr>
            <w:rFonts w:ascii="FrankRuehl" w:hAnsi="FrankRuehl" w:cs="FrankRuehl"/>
            <w:color w:val="0000FF"/>
            <w:u w:val="single"/>
            <w:rtl/>
          </w:rPr>
          <w:t>חוק העונשין, תשל"ז-1977</w:t>
        </w:r>
      </w:hyperlink>
      <w:r w:rsidRPr="003C6F8E">
        <w:rPr>
          <w:rFonts w:ascii="FrankRuehl" w:hAnsi="FrankRuehl" w:cs="FrankRuehl"/>
          <w:rtl/>
        </w:rPr>
        <w:t xml:space="preserve">: סע'  </w:t>
      </w:r>
      <w:hyperlink r:id="rId8" w:history="1">
        <w:r w:rsidRPr="003C6F8E">
          <w:rPr>
            <w:rFonts w:ascii="FrankRuehl" w:hAnsi="FrankRuehl" w:cs="FrankRuehl"/>
            <w:color w:val="0000FF"/>
            <w:u w:val="single"/>
            <w:rtl/>
          </w:rPr>
          <w:t>40ט</w:t>
        </w:r>
      </w:hyperlink>
      <w:r w:rsidRPr="003C6F8E">
        <w:rPr>
          <w:rFonts w:ascii="FrankRuehl" w:hAnsi="FrankRuehl" w:cs="FrankRuehl"/>
          <w:rtl/>
        </w:rPr>
        <w:t xml:space="preserve">, </w:t>
      </w:r>
      <w:hyperlink r:id="rId9" w:history="1">
        <w:r w:rsidRPr="003C6F8E">
          <w:rPr>
            <w:rFonts w:ascii="FrankRuehl" w:hAnsi="FrankRuehl" w:cs="FrankRuehl"/>
            <w:color w:val="0000FF"/>
            <w:u w:val="single"/>
            <w:rtl/>
          </w:rPr>
          <w:t>144 (ב)</w:t>
        </w:r>
      </w:hyperlink>
      <w:r w:rsidRPr="003C6F8E">
        <w:rPr>
          <w:rFonts w:ascii="FrankRuehl" w:hAnsi="FrankRuehl" w:cs="FrankRuehl"/>
          <w:rtl/>
        </w:rPr>
        <w:t xml:space="preserve">, </w:t>
      </w:r>
      <w:hyperlink r:id="rId10" w:history="1">
        <w:r w:rsidRPr="003C6F8E">
          <w:rPr>
            <w:rFonts w:ascii="FrankRuehl" w:hAnsi="FrankRuehl" w:cs="FrankRuehl"/>
            <w:color w:val="0000FF"/>
            <w:u w:val="single"/>
            <w:rtl/>
          </w:rPr>
          <w:t>192</w:t>
        </w:r>
      </w:hyperlink>
      <w:r w:rsidRPr="003C6F8E">
        <w:rPr>
          <w:rFonts w:ascii="FrankRuehl" w:hAnsi="FrankRuehl" w:cs="FrankRuehl"/>
          <w:rtl/>
        </w:rPr>
        <w:t xml:space="preserve">, </w:t>
      </w:r>
      <w:hyperlink r:id="rId11" w:history="1">
        <w:r w:rsidRPr="003C6F8E">
          <w:rPr>
            <w:rFonts w:ascii="FrankRuehl" w:hAnsi="FrankRuehl" w:cs="FrankRuehl"/>
            <w:color w:val="0000FF"/>
            <w:u w:val="single"/>
            <w:rtl/>
          </w:rPr>
          <w:t>329 (א)(1)</w:t>
        </w:r>
      </w:hyperlink>
      <w:r w:rsidRPr="003C6F8E">
        <w:rPr>
          <w:rFonts w:ascii="FrankRuehl" w:hAnsi="FrankRuehl" w:cs="FrankRuehl"/>
          <w:rtl/>
        </w:rPr>
        <w:t xml:space="preserve">, </w:t>
      </w:r>
      <w:hyperlink r:id="rId12" w:history="1">
        <w:r w:rsidRPr="003C6F8E">
          <w:rPr>
            <w:rFonts w:ascii="FrankRuehl" w:hAnsi="FrankRuehl" w:cs="FrankRuehl"/>
            <w:color w:val="0000FF"/>
            <w:u w:val="single"/>
            <w:rtl/>
          </w:rPr>
          <w:t>333</w:t>
        </w:r>
      </w:hyperlink>
      <w:r w:rsidRPr="003C6F8E">
        <w:rPr>
          <w:rFonts w:ascii="FrankRuehl" w:hAnsi="FrankRuehl" w:cs="FrankRuehl"/>
          <w:rtl/>
        </w:rPr>
        <w:t xml:space="preserve">, </w:t>
      </w:r>
      <w:hyperlink r:id="rId13" w:history="1">
        <w:r w:rsidRPr="003C6F8E">
          <w:rPr>
            <w:rFonts w:ascii="FrankRuehl" w:hAnsi="FrankRuehl" w:cs="FrankRuehl"/>
            <w:color w:val="0000FF"/>
            <w:u w:val="single"/>
            <w:rtl/>
          </w:rPr>
          <w:t>335(א)(1)</w:t>
        </w:r>
      </w:hyperlink>
      <w:r w:rsidRPr="003C6F8E">
        <w:rPr>
          <w:rFonts w:ascii="FrankRuehl" w:hAnsi="FrankRuehl" w:cs="FrankRuehl"/>
          <w:rtl/>
        </w:rPr>
        <w:t xml:space="preserve">, </w:t>
      </w:r>
      <w:hyperlink r:id="rId14" w:history="1">
        <w:r w:rsidRPr="003C6F8E">
          <w:rPr>
            <w:rFonts w:ascii="FrankRuehl" w:hAnsi="FrankRuehl" w:cs="FrankRuehl"/>
            <w:color w:val="0000FF"/>
            <w:u w:val="single"/>
            <w:rtl/>
          </w:rPr>
          <w:t>382(ג)</w:t>
        </w:r>
      </w:hyperlink>
    </w:p>
    <w:p w14:paraId="02D863C9" w14:textId="77777777" w:rsidR="003C6F8E" w:rsidRPr="003C6F8E" w:rsidRDefault="003C6F8E" w:rsidP="003C6F8E">
      <w:pPr>
        <w:spacing w:after="120" w:line="240" w:lineRule="exact"/>
        <w:ind w:left="283" w:hanging="283"/>
        <w:jc w:val="both"/>
        <w:rPr>
          <w:rFonts w:ascii="FrankRuehl" w:hAnsi="FrankRuehl" w:cs="FrankRuehl"/>
          <w:rtl/>
        </w:rPr>
      </w:pPr>
    </w:p>
    <w:p w14:paraId="4278B903" w14:textId="77777777" w:rsidR="003C6F8E" w:rsidRPr="003C6F8E" w:rsidRDefault="003C6F8E">
      <w:pPr>
        <w:rPr>
          <w:rFonts w:ascii="Arial" w:hAnsi="Arial" w:cs="Arial"/>
          <w:rtl/>
        </w:rPr>
      </w:pPr>
      <w:bookmarkStart w:id="5" w:name="LawTable_End"/>
      <w:bookmarkEnd w:id="5"/>
    </w:p>
    <w:p w14:paraId="2C5E7B44" w14:textId="77777777" w:rsidR="003C6F8E" w:rsidRPr="003C6F8E" w:rsidRDefault="003C6F8E">
      <w:pPr>
        <w:rPr>
          <w:rFonts w:ascii="Arial" w:hAnsi="Arial" w:cs="Arial"/>
          <w:rtl/>
        </w:rPr>
      </w:pPr>
    </w:p>
    <w:p w14:paraId="3FAB9BA5" w14:textId="77777777" w:rsidR="006057BC" w:rsidRPr="003C6F8E" w:rsidRDefault="006057BC">
      <w:pPr>
        <w:rPr>
          <w:rFonts w:ascii="Arial" w:hAnsi="Arial" w:cs="Arial"/>
        </w:rPr>
      </w:pPr>
    </w:p>
    <w:p w14:paraId="357EEEC5" w14:textId="77777777" w:rsidR="00ED2D4F" w:rsidRPr="00ED2D4F" w:rsidRDefault="00ED2D4F">
      <w:pPr>
        <w:ind w:firstLine="418"/>
        <w:rPr>
          <w:rFonts w:ascii="Arial" w:hAnsi="Arial" w:cs="Arial"/>
          <w:b/>
          <w:bCs/>
          <w:rtl/>
        </w:rPr>
      </w:pPr>
    </w:p>
    <w:p w14:paraId="619ACFA2" w14:textId="77777777" w:rsidR="006057BC" w:rsidRPr="00ED2D4F" w:rsidRDefault="006057BC">
      <w:pPr>
        <w:ind w:firstLine="418"/>
        <w:rPr>
          <w:rFonts w:ascii="Arial" w:hAnsi="Arial" w:cs="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7BC" w14:paraId="7BB08704" w14:textId="77777777">
        <w:trPr>
          <w:trHeight w:val="355"/>
          <w:jc w:val="center"/>
        </w:trPr>
        <w:tc>
          <w:tcPr>
            <w:tcW w:w="8820" w:type="dxa"/>
            <w:tcBorders>
              <w:top w:val="nil"/>
              <w:left w:val="nil"/>
              <w:bottom w:val="nil"/>
              <w:right w:val="nil"/>
            </w:tcBorders>
          </w:tcPr>
          <w:p w14:paraId="0B1C726A" w14:textId="77777777" w:rsidR="00ED2D4F" w:rsidRPr="00ED2D4F" w:rsidRDefault="00ED2D4F" w:rsidP="00ED2D4F">
            <w:pPr>
              <w:jc w:val="center"/>
              <w:rPr>
                <w:rFonts w:ascii="Arial" w:hAnsi="Arial" w:cs="Arial"/>
                <w:b/>
                <w:bCs/>
                <w:sz w:val="32"/>
                <w:szCs w:val="32"/>
                <w:u w:val="single"/>
                <w:rtl/>
              </w:rPr>
            </w:pPr>
            <w:bookmarkStart w:id="6" w:name="PsakDin" w:colFirst="0" w:colLast="0"/>
            <w:r w:rsidRPr="00ED2D4F">
              <w:rPr>
                <w:rFonts w:ascii="Arial" w:hAnsi="Arial" w:cs="Arial"/>
                <w:b/>
                <w:bCs/>
                <w:sz w:val="32"/>
                <w:szCs w:val="32"/>
                <w:u w:val="single"/>
                <w:rtl/>
              </w:rPr>
              <w:t>גזר דין</w:t>
            </w:r>
          </w:p>
          <w:p w14:paraId="5D5E09F3" w14:textId="77777777" w:rsidR="006057BC" w:rsidRPr="00ED2D4F" w:rsidRDefault="006057BC" w:rsidP="00ED2D4F">
            <w:pPr>
              <w:jc w:val="center"/>
              <w:rPr>
                <w:rFonts w:ascii="Arial" w:hAnsi="Arial" w:cs="Arial"/>
                <w:bCs/>
                <w:sz w:val="32"/>
                <w:szCs w:val="32"/>
                <w:u w:val="single"/>
                <w:rtl/>
              </w:rPr>
            </w:pPr>
          </w:p>
        </w:tc>
      </w:tr>
      <w:bookmarkEnd w:id="6"/>
    </w:tbl>
    <w:p w14:paraId="3E389931" w14:textId="77777777" w:rsidR="006057BC" w:rsidRDefault="006057BC">
      <w:pPr>
        <w:ind w:firstLine="418"/>
        <w:rPr>
          <w:rFonts w:ascii="Arial" w:hAnsi="Arial" w:cs="Arial"/>
          <w:b/>
          <w:bCs/>
          <w:u w:val="single"/>
          <w:rtl/>
        </w:rPr>
      </w:pPr>
    </w:p>
    <w:p w14:paraId="1C59C6A4" w14:textId="77777777" w:rsidR="006057BC" w:rsidRDefault="00ED2D4F">
      <w:pPr>
        <w:ind w:firstLine="567"/>
        <w:rPr>
          <w:rFonts w:ascii="Arial" w:hAnsi="Arial" w:cs="Arial"/>
          <w:b/>
          <w:bCs/>
          <w:u w:val="single"/>
          <w:rtl/>
        </w:rPr>
      </w:pPr>
      <w:r>
        <w:rPr>
          <w:rFonts w:ascii="Arial" w:hAnsi="Arial" w:cs="Arial"/>
          <w:b/>
          <w:bCs/>
          <w:u w:val="single"/>
          <w:rtl/>
        </w:rPr>
        <w:t>כללי</w:t>
      </w:r>
    </w:p>
    <w:p w14:paraId="3B265340" w14:textId="77777777" w:rsidR="006057BC" w:rsidRDefault="006057BC">
      <w:pPr>
        <w:rPr>
          <w:rFonts w:ascii="Arial" w:hAnsi="Arial" w:cs="Arial"/>
          <w:b/>
          <w:bCs/>
          <w:u w:val="single"/>
          <w:rtl/>
        </w:rPr>
      </w:pPr>
    </w:p>
    <w:p w14:paraId="485497A4" w14:textId="77777777" w:rsidR="006057BC" w:rsidRDefault="00ED2D4F">
      <w:pPr>
        <w:numPr>
          <w:ilvl w:val="0"/>
          <w:numId w:val="1"/>
        </w:numPr>
        <w:spacing w:line="360" w:lineRule="auto"/>
        <w:ind w:left="567" w:hanging="567"/>
        <w:jc w:val="both"/>
        <w:rPr>
          <w:rFonts w:ascii="Arial" w:hAnsi="Arial" w:cs="Arial"/>
          <w:b/>
          <w:bCs/>
          <w:u w:val="single"/>
        </w:rPr>
      </w:pPr>
      <w:bookmarkStart w:id="7" w:name="ABSTRACT_START"/>
      <w:bookmarkEnd w:id="7"/>
      <w:r>
        <w:rPr>
          <w:rFonts w:ascii="Arial" w:hAnsi="Arial" w:cs="Arial"/>
          <w:rtl/>
        </w:rPr>
        <w:t xml:space="preserve">בתום שמיעת חלק מראיות התביעה, הגיעו הצדדים להסדר טיעון, בגדרו תוקן כתב האישום והנאשם הודה בעובדות המתוארות בו והורשע בעבירות של תקיפת בת זוג הגורמת חבלה של ממש לפי </w:t>
      </w:r>
      <w:hyperlink r:id="rId15" w:history="1">
        <w:r w:rsidR="003C6F8E" w:rsidRPr="003C6F8E">
          <w:rPr>
            <w:rFonts w:ascii="Arial" w:hAnsi="Arial" w:cs="Arial"/>
            <w:color w:val="0000FF"/>
            <w:u w:val="single"/>
            <w:rtl/>
          </w:rPr>
          <w:t>סעיף 382(ג)</w:t>
        </w:r>
      </w:hyperlink>
      <w:r>
        <w:rPr>
          <w:rFonts w:ascii="Arial" w:hAnsi="Arial" w:cs="Arial"/>
          <w:rtl/>
        </w:rPr>
        <w:t xml:space="preserve"> ל</w:t>
      </w:r>
      <w:hyperlink r:id="rId16" w:history="1">
        <w:r w:rsidRPr="00ED2D4F">
          <w:rPr>
            <w:rFonts w:ascii="Arial" w:hAnsi="Arial" w:cs="Arial"/>
            <w:color w:val="0000FF"/>
            <w:u w:val="single"/>
            <w:rtl/>
          </w:rPr>
          <w:t>חוק העונשין</w:t>
        </w:r>
      </w:hyperlink>
      <w:r>
        <w:rPr>
          <w:rFonts w:ascii="Arial" w:hAnsi="Arial" w:cs="Arial"/>
          <w:rtl/>
        </w:rPr>
        <w:t xml:space="preserve"> תשל"ז- 1977 (להלן: </w:t>
      </w:r>
      <w:r>
        <w:rPr>
          <w:rFonts w:ascii="Arial" w:hAnsi="Arial" w:cs="Arial"/>
          <w:b/>
          <w:bCs/>
          <w:rtl/>
        </w:rPr>
        <w:t>"</w:t>
      </w:r>
      <w:r>
        <w:rPr>
          <w:rFonts w:ascii="Arial" w:hAnsi="Arial" w:cs="Arial"/>
          <w:b/>
          <w:bCs/>
          <w:sz w:val="22"/>
          <w:szCs w:val="22"/>
          <w:rtl/>
        </w:rPr>
        <w:t>החוק</w:t>
      </w:r>
      <w:r>
        <w:rPr>
          <w:rFonts w:ascii="Arial" w:hAnsi="Arial" w:cs="Arial"/>
          <w:b/>
          <w:bCs/>
          <w:rtl/>
        </w:rPr>
        <w:t>"</w:t>
      </w:r>
      <w:r>
        <w:rPr>
          <w:rFonts w:ascii="Arial" w:hAnsi="Arial" w:cs="Arial"/>
          <w:rtl/>
        </w:rPr>
        <w:t xml:space="preserve">), איומים לפי </w:t>
      </w:r>
      <w:hyperlink r:id="rId17" w:history="1">
        <w:r w:rsidR="003C6F8E" w:rsidRPr="003C6F8E">
          <w:rPr>
            <w:rFonts w:ascii="Arial" w:hAnsi="Arial" w:cs="Arial"/>
            <w:color w:val="0000FF"/>
            <w:u w:val="single"/>
            <w:rtl/>
          </w:rPr>
          <w:t>סעיף 192</w:t>
        </w:r>
      </w:hyperlink>
      <w:r>
        <w:rPr>
          <w:rFonts w:ascii="Arial" w:hAnsi="Arial" w:cs="Arial"/>
          <w:rtl/>
        </w:rPr>
        <w:t xml:space="preserve"> לחוק, חבלה בכוונה מחמירה לפי סעיף </w:t>
      </w:r>
      <w:hyperlink r:id="rId18" w:history="1">
        <w:r w:rsidR="003C6F8E" w:rsidRPr="003C6F8E">
          <w:rPr>
            <w:rFonts w:ascii="Arial" w:hAnsi="Arial" w:cs="Arial"/>
            <w:color w:val="0000FF"/>
            <w:u w:val="single"/>
            <w:rtl/>
          </w:rPr>
          <w:t>329 (א)(1)</w:t>
        </w:r>
      </w:hyperlink>
      <w:r>
        <w:rPr>
          <w:rFonts w:ascii="Arial" w:hAnsi="Arial" w:cs="Arial"/>
          <w:rtl/>
        </w:rPr>
        <w:t xml:space="preserve"> לחוק, חבלה בכוונה מחמירה לפי סעיף </w:t>
      </w:r>
      <w:hyperlink r:id="rId19" w:history="1">
        <w:r w:rsidR="003C6F8E" w:rsidRPr="003C6F8E">
          <w:rPr>
            <w:rFonts w:ascii="Arial" w:hAnsi="Arial" w:cs="Arial"/>
            <w:color w:val="0000FF"/>
            <w:u w:val="single"/>
            <w:rtl/>
          </w:rPr>
          <w:t>329 (א)(1)</w:t>
        </w:r>
      </w:hyperlink>
      <w:r>
        <w:rPr>
          <w:rFonts w:ascii="Arial" w:hAnsi="Arial" w:cs="Arial"/>
          <w:rtl/>
        </w:rPr>
        <w:t xml:space="preserve"> לחוק ונשיאת נשק לפי </w:t>
      </w:r>
      <w:hyperlink r:id="rId20" w:history="1">
        <w:r w:rsidR="003C6F8E" w:rsidRPr="003C6F8E">
          <w:rPr>
            <w:rFonts w:ascii="Arial" w:hAnsi="Arial" w:cs="Arial"/>
            <w:color w:val="0000FF"/>
            <w:u w:val="single"/>
            <w:rtl/>
          </w:rPr>
          <w:t>סעיף 144 (ב)</w:t>
        </w:r>
      </w:hyperlink>
      <w:r>
        <w:rPr>
          <w:rFonts w:ascii="Arial" w:hAnsi="Arial" w:cs="Arial"/>
          <w:rtl/>
        </w:rPr>
        <w:t xml:space="preserve"> לחוק.</w:t>
      </w:r>
    </w:p>
    <w:p w14:paraId="704A3CCD" w14:textId="77777777" w:rsidR="006057BC" w:rsidRDefault="006057BC">
      <w:pPr>
        <w:ind w:left="418"/>
        <w:rPr>
          <w:rFonts w:ascii="Arial" w:hAnsi="Arial" w:cs="Arial"/>
          <w:b/>
          <w:bCs/>
          <w:u w:val="single"/>
          <w:rtl/>
        </w:rPr>
      </w:pPr>
      <w:bookmarkStart w:id="8" w:name="ABSTRACT_END"/>
      <w:bookmarkEnd w:id="8"/>
    </w:p>
    <w:p w14:paraId="6B0B7696" w14:textId="77777777" w:rsidR="006057BC" w:rsidRDefault="00ED2D4F">
      <w:pPr>
        <w:spacing w:after="240" w:line="360" w:lineRule="auto"/>
        <w:ind w:left="418" w:firstLine="149"/>
        <w:rPr>
          <w:rFonts w:ascii="Arial" w:hAnsi="Arial" w:cs="Arial"/>
          <w:b/>
          <w:bCs/>
          <w:u w:val="single"/>
        </w:rPr>
      </w:pPr>
      <w:r>
        <w:rPr>
          <w:rFonts w:ascii="Arial" w:hAnsi="Arial" w:cs="Arial"/>
          <w:b/>
          <w:bCs/>
          <w:u w:val="single"/>
          <w:rtl/>
        </w:rPr>
        <w:t>כתב האישום המתוקן</w:t>
      </w:r>
    </w:p>
    <w:p w14:paraId="31D14AE9" w14:textId="77777777" w:rsidR="006057BC" w:rsidRDefault="00ED2D4F" w:rsidP="00277FDA">
      <w:pPr>
        <w:numPr>
          <w:ilvl w:val="0"/>
          <w:numId w:val="1"/>
        </w:numPr>
        <w:spacing w:line="360" w:lineRule="auto"/>
        <w:ind w:left="567" w:hanging="567"/>
        <w:jc w:val="both"/>
        <w:rPr>
          <w:rFonts w:ascii="Arial" w:hAnsi="Arial" w:cs="Arial"/>
          <w:b/>
          <w:bCs/>
          <w:u w:val="single"/>
        </w:rPr>
      </w:pPr>
      <w:r>
        <w:rPr>
          <w:rFonts w:ascii="Arial" w:hAnsi="Arial" w:cs="Arial"/>
          <w:rtl/>
        </w:rPr>
        <w:lastRenderedPageBreak/>
        <w:t xml:space="preserve">מהחלק הכללי שבכתב האישום המתוקן עולה, כי הנאשם והגב' </w:t>
      </w:r>
      <w:r w:rsidR="00277FDA">
        <w:rPr>
          <w:rFonts w:ascii="Arial" w:hAnsi="Arial" w:cs="Arial" w:hint="cs"/>
          <w:rtl/>
        </w:rPr>
        <w:t>פלונית</w:t>
      </w:r>
      <w:r>
        <w:rPr>
          <w:rFonts w:ascii="Arial" w:hAnsi="Arial" w:cs="Arial"/>
          <w:rtl/>
        </w:rPr>
        <w:t xml:space="preserve"> (להלן: </w:t>
      </w:r>
      <w:r>
        <w:rPr>
          <w:rFonts w:ascii="Arial" w:hAnsi="Arial" w:cs="Arial"/>
          <w:b/>
          <w:bCs/>
          <w:rtl/>
        </w:rPr>
        <w:t>"המתלוננת"</w:t>
      </w:r>
      <w:r>
        <w:rPr>
          <w:rFonts w:ascii="Arial" w:hAnsi="Arial" w:cs="Arial"/>
          <w:rtl/>
        </w:rPr>
        <w:t xml:space="preserve">) היו בני זוג משך 6 שנים והתגוררו בשכנות זה לזו. בתאריך 8.3.13 התארסו ומועד החתונה נקבע ליום 17.8.13. מיד לאחר האירוסין "השתלט" הנאשם על חיי המתלוננת, אסר עליה לצאת מהבית בלעדיו, בלש אחריה, הורה לה מה ללבוש ועם מי להתראות ולשוחח. </w:t>
      </w:r>
    </w:p>
    <w:p w14:paraId="45338E35" w14:textId="77777777" w:rsidR="006057BC" w:rsidRDefault="006057BC">
      <w:pPr>
        <w:ind w:left="567" w:hanging="567"/>
        <w:jc w:val="both"/>
        <w:rPr>
          <w:rFonts w:ascii="Arial" w:hAnsi="Arial" w:cs="Arial"/>
          <w:b/>
          <w:bCs/>
          <w:u w:val="single"/>
        </w:rPr>
      </w:pPr>
    </w:p>
    <w:p w14:paraId="65E35E9E" w14:textId="77777777" w:rsidR="006057BC" w:rsidRDefault="00ED2D4F" w:rsidP="00277FDA">
      <w:pPr>
        <w:numPr>
          <w:ilvl w:val="0"/>
          <w:numId w:val="1"/>
        </w:numPr>
        <w:spacing w:line="360" w:lineRule="auto"/>
        <w:ind w:left="567" w:hanging="567"/>
        <w:jc w:val="both"/>
        <w:rPr>
          <w:rFonts w:ascii="Arial" w:hAnsi="Arial" w:cs="Arial"/>
          <w:b/>
          <w:bCs/>
          <w:u w:val="single"/>
        </w:rPr>
      </w:pPr>
      <w:r>
        <w:rPr>
          <w:rFonts w:ascii="Arial" w:hAnsi="Arial" w:cs="Arial"/>
          <w:rtl/>
        </w:rPr>
        <w:t xml:space="preserve">על פי עובדות האישום הראשון שבכתב האישום המתוקן, בתאריך 8.6.13 יצאה המתלוננת ביחד עם אחיה, </w:t>
      </w:r>
      <w:r w:rsidR="00277FDA">
        <w:rPr>
          <w:rFonts w:ascii="Arial" w:hAnsi="Arial" w:cs="Arial" w:hint="cs"/>
          <w:rtl/>
        </w:rPr>
        <w:t>פלוני</w:t>
      </w:r>
      <w:r>
        <w:rPr>
          <w:rFonts w:ascii="Arial" w:hAnsi="Arial" w:cs="Arial"/>
          <w:rtl/>
        </w:rPr>
        <w:t xml:space="preserve">, לבקר את אחותה בבית החולים. בדרכם, פנו לחנות מכולת "חסונה" ברמלה, כדי לרכוש מצרכים. לפתע, התקשר הנאשם למתלוננת וגער בה על שיצאה מביתה בלעדיו ובתוך כך, הגיע לאזור המכולת שם פגש בה, תפס בידה והורה לה לשוב לביתה. חאלד ניסה להרגיעו ובתגובה, שלף הנאשם מכיסו חפץ מתכתי ואיים עליו שילך לביתו אחרת יהרוג את המתלוננת. אז, היכה את המתלוננת באגרופו וגרם לה לשטף דם בפניה. </w:t>
      </w:r>
    </w:p>
    <w:p w14:paraId="5EB1CBA8" w14:textId="77777777" w:rsidR="006057BC" w:rsidRDefault="006057BC">
      <w:pPr>
        <w:ind w:left="567" w:hanging="567"/>
        <w:jc w:val="both"/>
        <w:rPr>
          <w:rFonts w:ascii="Arial" w:hAnsi="Arial" w:cs="Arial"/>
          <w:b/>
          <w:bCs/>
          <w:u w:val="single"/>
        </w:rPr>
      </w:pPr>
    </w:p>
    <w:p w14:paraId="65DEDA53"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המתלוננת נכנסה למכולת כדי לטלפן לאחי הנאשם ולבקש את סיועו, או אז, הבחינה בפציעה שבפניה ואמרה לנאשם כי אלוהים ישבור את ידיו. בתגובה, אמר לה הנאשם שלא תקלל והיכה בידה וכן הדף אותה לעבר נידאל. </w:t>
      </w:r>
    </w:p>
    <w:p w14:paraId="316A8A61" w14:textId="77777777" w:rsidR="006057BC" w:rsidRDefault="006057BC">
      <w:pPr>
        <w:ind w:left="567" w:hanging="567"/>
        <w:jc w:val="both"/>
        <w:rPr>
          <w:rFonts w:ascii="Arial" w:hAnsi="Arial" w:cs="Arial"/>
          <w:b/>
          <w:bCs/>
          <w:u w:val="single"/>
        </w:rPr>
      </w:pPr>
    </w:p>
    <w:p w14:paraId="5F4B781D"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מעובדות האישום השני שבכתב האישום המתוקן עולה, כי בעקבות האירוע המתואר לעיל, נפגשו משפחות בני הזוג בתאריך 15.6.13 בבית דודתה של המתלוננת ובמהלך הפגישה, הודיע דודה של המתלוננת לנאשם ובני משפחתו על ניתוק הקשר הזוגי ביניהם.</w:t>
      </w:r>
    </w:p>
    <w:p w14:paraId="6D4BD84F" w14:textId="77777777" w:rsidR="006057BC" w:rsidRDefault="006057BC">
      <w:pPr>
        <w:ind w:left="567" w:hanging="567"/>
        <w:jc w:val="both"/>
        <w:rPr>
          <w:rFonts w:ascii="Arial" w:hAnsi="Arial" w:cs="Arial"/>
          <w:b/>
          <w:bCs/>
          <w:u w:val="single"/>
        </w:rPr>
      </w:pPr>
    </w:p>
    <w:p w14:paraId="11B63E7F"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על רקע הודעתו, גמלה בלב הנאשם החלטה לגרום לבני משפחת המתלוננת חבלות חמורות ולשם כך הצטייד באקדח ובתחמושת. </w:t>
      </w:r>
    </w:p>
    <w:p w14:paraId="178841EA" w14:textId="77777777" w:rsidR="006057BC" w:rsidRDefault="006057BC">
      <w:pPr>
        <w:ind w:left="567"/>
        <w:jc w:val="both"/>
        <w:rPr>
          <w:rFonts w:ascii="Arial" w:hAnsi="Arial" w:cs="Arial"/>
          <w:b/>
          <w:bCs/>
          <w:u w:val="single"/>
        </w:rPr>
      </w:pPr>
    </w:p>
    <w:p w14:paraId="61557530" w14:textId="77777777" w:rsidR="006057BC" w:rsidRDefault="00ED2D4F" w:rsidP="00277FDA">
      <w:pPr>
        <w:numPr>
          <w:ilvl w:val="0"/>
          <w:numId w:val="1"/>
        </w:numPr>
        <w:spacing w:line="360" w:lineRule="auto"/>
        <w:ind w:left="567" w:hanging="567"/>
        <w:jc w:val="both"/>
        <w:rPr>
          <w:rFonts w:ascii="Arial" w:hAnsi="Arial" w:cs="Arial"/>
          <w:b/>
          <w:bCs/>
          <w:u w:val="single"/>
        </w:rPr>
      </w:pPr>
      <w:r>
        <w:rPr>
          <w:rFonts w:ascii="Arial" w:hAnsi="Arial" w:cs="Arial"/>
          <w:rtl/>
        </w:rPr>
        <w:t xml:space="preserve">בו ביום בשעה 18:30 קיבל נידאל שיחת טלפון ממספר לא מזוהה כאשר ברקע נשמעו קולות ירי. כשעה לאחר מכן, יצאו אחי המתלוננת - </w:t>
      </w:r>
      <w:r w:rsidR="00277FDA">
        <w:rPr>
          <w:rFonts w:ascii="Arial" w:hAnsi="Arial" w:cs="Arial" w:hint="cs"/>
          <w:rtl/>
        </w:rPr>
        <w:t>פלוני</w:t>
      </w:r>
      <w:r>
        <w:rPr>
          <w:rFonts w:ascii="Arial" w:hAnsi="Arial" w:cs="Arial"/>
          <w:rtl/>
        </w:rPr>
        <w:t>, מ</w:t>
      </w:r>
      <w:r w:rsidR="00277FDA">
        <w:rPr>
          <w:rFonts w:ascii="Arial" w:hAnsi="Arial" w:cs="Arial" w:hint="cs"/>
          <w:rtl/>
        </w:rPr>
        <w:t>.</w:t>
      </w:r>
      <w:r>
        <w:rPr>
          <w:rFonts w:ascii="Arial" w:hAnsi="Arial" w:cs="Arial"/>
          <w:rtl/>
        </w:rPr>
        <w:t>א</w:t>
      </w:r>
      <w:r w:rsidR="00277FDA">
        <w:rPr>
          <w:rFonts w:ascii="Arial" w:hAnsi="Arial" w:cs="Arial" w:hint="cs"/>
          <w:rtl/>
        </w:rPr>
        <w:t>.</w:t>
      </w:r>
      <w:r>
        <w:rPr>
          <w:rFonts w:ascii="Arial" w:hAnsi="Arial" w:cs="Arial"/>
          <w:rtl/>
        </w:rPr>
        <w:t xml:space="preserve"> והקטין ש.ר – לעבר רכבם שחנה בסמוך לבית המתלוננת. במקום עברו אותה עת עוברי אורח, לרבות הגב' מ</w:t>
      </w:r>
      <w:r w:rsidR="00277FDA">
        <w:rPr>
          <w:rFonts w:ascii="Arial" w:hAnsi="Arial" w:cs="Arial" w:hint="cs"/>
          <w:rtl/>
        </w:rPr>
        <w:t>.</w:t>
      </w:r>
      <w:r>
        <w:rPr>
          <w:rFonts w:ascii="Arial" w:hAnsi="Arial" w:cs="Arial"/>
          <w:rtl/>
        </w:rPr>
        <w:t>ק</w:t>
      </w:r>
      <w:r w:rsidR="00277FDA">
        <w:rPr>
          <w:rFonts w:ascii="Arial" w:hAnsi="Arial" w:cs="Arial" w:hint="cs"/>
          <w:rtl/>
        </w:rPr>
        <w:t>.</w:t>
      </w:r>
      <w:r>
        <w:rPr>
          <w:rFonts w:ascii="Arial" w:hAnsi="Arial" w:cs="Arial"/>
          <w:rtl/>
        </w:rPr>
        <w:t xml:space="preserve">, שכנה שצעדה עם בן זוגה (להלן: </w:t>
      </w:r>
      <w:r>
        <w:rPr>
          <w:rFonts w:ascii="Arial" w:hAnsi="Arial" w:cs="Arial"/>
          <w:b/>
          <w:bCs/>
          <w:rtl/>
        </w:rPr>
        <w:t>"השכנה"</w:t>
      </w:r>
      <w:r>
        <w:rPr>
          <w:rFonts w:ascii="Arial" w:hAnsi="Arial" w:cs="Arial"/>
          <w:rtl/>
        </w:rPr>
        <w:t>).</w:t>
      </w:r>
    </w:p>
    <w:p w14:paraId="267DA1B5" w14:textId="77777777" w:rsidR="006057BC" w:rsidRDefault="006057BC">
      <w:pPr>
        <w:ind w:left="567" w:hanging="567"/>
        <w:jc w:val="both"/>
        <w:rPr>
          <w:rFonts w:ascii="Arial" w:hAnsi="Arial" w:cs="Arial"/>
          <w:b/>
          <w:bCs/>
          <w:u w:val="single"/>
        </w:rPr>
      </w:pPr>
    </w:p>
    <w:p w14:paraId="3CB16C7A"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לפתע, הגיח הנאשם אל מול הנוכחים אוחז באקדח וירה מספר יריות לעבר בני משפחת המתלוננת בכוונה לפגוע בהם ובתוך כך קרא לעברם "</w:t>
      </w:r>
      <w:r>
        <w:rPr>
          <w:rFonts w:ascii="Arial" w:hAnsi="Arial" w:cs="Arial"/>
          <w:b/>
          <w:bCs/>
          <w:rtl/>
        </w:rPr>
        <w:t>מגיע לכם</w:t>
      </w:r>
      <w:r>
        <w:rPr>
          <w:rFonts w:ascii="Arial" w:hAnsi="Arial" w:cs="Arial"/>
          <w:rtl/>
        </w:rPr>
        <w:t xml:space="preserve">". כתוצאה, פגע כדור ברגלו של נידאל וכן, נפגעה השכנה באורח חמור. השניים הובהלו לבית החולים.  </w:t>
      </w:r>
    </w:p>
    <w:p w14:paraId="7D9B6859" w14:textId="77777777" w:rsidR="006057BC" w:rsidRDefault="006057BC">
      <w:pPr>
        <w:ind w:left="567" w:hanging="567"/>
        <w:jc w:val="both"/>
        <w:rPr>
          <w:rFonts w:ascii="Arial" w:hAnsi="Arial" w:cs="Arial"/>
          <w:b/>
          <w:bCs/>
          <w:u w:val="single"/>
        </w:rPr>
      </w:pPr>
    </w:p>
    <w:p w14:paraId="4DFF0AFA"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עד כאן עובדות כתב האישום המתוקן.</w:t>
      </w:r>
    </w:p>
    <w:p w14:paraId="4C550158" w14:textId="77777777" w:rsidR="006057BC" w:rsidRDefault="006057BC">
      <w:pPr>
        <w:ind w:left="418"/>
        <w:jc w:val="both"/>
        <w:rPr>
          <w:rFonts w:ascii="Arial" w:hAnsi="Arial" w:cs="Arial"/>
          <w:b/>
          <w:bCs/>
          <w:u w:val="single"/>
          <w:rtl/>
        </w:rPr>
      </w:pPr>
    </w:p>
    <w:p w14:paraId="742175B7" w14:textId="77777777" w:rsidR="006057BC" w:rsidRDefault="00ED2D4F">
      <w:pPr>
        <w:spacing w:line="360" w:lineRule="auto"/>
        <w:ind w:left="418" w:firstLine="149"/>
        <w:jc w:val="both"/>
        <w:rPr>
          <w:rFonts w:ascii="Arial" w:hAnsi="Arial" w:cs="Arial"/>
          <w:b/>
          <w:bCs/>
          <w:u w:val="single"/>
          <w:rtl/>
        </w:rPr>
      </w:pPr>
      <w:r>
        <w:rPr>
          <w:rFonts w:ascii="Arial" w:hAnsi="Arial" w:cs="Arial"/>
          <w:b/>
          <w:bCs/>
          <w:u w:val="single"/>
          <w:rtl/>
        </w:rPr>
        <w:t>על חומרת העבירות, נסיבות ביצוען והשלכותיהן על הנפגעים</w:t>
      </w:r>
    </w:p>
    <w:p w14:paraId="42ADEB23" w14:textId="77777777" w:rsidR="006057BC" w:rsidRDefault="006057BC">
      <w:pPr>
        <w:ind w:left="418"/>
        <w:jc w:val="both"/>
        <w:rPr>
          <w:rFonts w:ascii="Arial" w:hAnsi="Arial" w:cs="Arial"/>
          <w:b/>
          <w:bCs/>
          <w:u w:val="single"/>
        </w:rPr>
      </w:pPr>
    </w:p>
    <w:p w14:paraId="252268B8"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המעשים המתוארים בכתב האישום המתוקן חמורים מאין כמותם. הנאשם לא השכיל להשלים עם פרידת המתלוננת מעמו – על רקע האלימות שנהג בה – והחליט לבוא חשבון עמה ועם בני משפחתה. בדרך משולחת רסן, אלימה ומסוכנת ביקש הנאשם להשיב לעצמו את 'כבודו האבוד'. הוא ירה לעבר בני משפחת המתלוננת, פגע באחד מהם ופצעו ובתוך כך, גרם לחבלה חמורה לעוברת אורח, השכנה.</w:t>
      </w:r>
    </w:p>
    <w:p w14:paraId="34182DDE" w14:textId="77777777" w:rsidR="006057BC" w:rsidRDefault="006057BC">
      <w:pPr>
        <w:ind w:left="567" w:hanging="567"/>
        <w:jc w:val="both"/>
        <w:rPr>
          <w:rFonts w:ascii="Arial" w:hAnsi="Arial" w:cs="Arial"/>
          <w:b/>
          <w:bCs/>
          <w:u w:val="single"/>
        </w:rPr>
      </w:pPr>
    </w:p>
    <w:p w14:paraId="1EA45B04"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מהעדויות שהושמעו עולה, כי מדובר בצעיר אשר בחר באלימות כדרך חיים ורואה בה פתרון למחלוקת וסכסוכים. את מרותו הטיל על המתלוננת באמצעות זריעת אימה ופחד מפניו. לדידו, מעת שהייתה לארוסתו הפכה המתלוננת לחפץ הנתון לשליטתו הבלעדית וניתן לעשות בו ככל העולה על רוחו. </w:t>
      </w:r>
    </w:p>
    <w:p w14:paraId="2244793A" w14:textId="77777777" w:rsidR="006057BC" w:rsidRDefault="006057BC">
      <w:pPr>
        <w:ind w:left="567" w:hanging="567"/>
        <w:jc w:val="both"/>
        <w:rPr>
          <w:rFonts w:ascii="Arial" w:hAnsi="Arial" w:cs="Arial"/>
          <w:b/>
          <w:bCs/>
          <w:u w:val="single"/>
        </w:rPr>
      </w:pPr>
    </w:p>
    <w:p w14:paraId="37EB7891"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הצטיידותו בנשק חם והשימוש בו כלפי בני משפחת המתלוננת עת שיצאו מביתם, בעיבורה של העיר, תוך התעלמות מהסכנה הנשקפת לעוברי אורח ומתוך כוונה ברורה לחבול בהם -מלמדת על תכנון, נחישות ודבקות במטרה. במעשיו לימד הנאשם על זלזולו בערכי יסוד שעניינם קדושת חיי האדם, השמירה על ביטחונם ובריאותם ושמירה על הסדר הציבורי - חברתי. </w:t>
      </w:r>
    </w:p>
    <w:p w14:paraId="5F7D2BFD" w14:textId="77777777" w:rsidR="006057BC" w:rsidRDefault="006057BC">
      <w:pPr>
        <w:ind w:left="567" w:hanging="567"/>
        <w:jc w:val="both"/>
        <w:rPr>
          <w:rFonts w:ascii="Arial" w:hAnsi="Arial" w:cs="Arial"/>
          <w:b/>
          <w:bCs/>
          <w:u w:val="single"/>
        </w:rPr>
      </w:pPr>
    </w:p>
    <w:p w14:paraId="600D7687"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המתלוננת תיארה בעדותה כיצד הצר הנאשם את צעדיה וביקש לשלוט בגופה ובנפשה. היא תיארה את האלימות בה נקט כלפיה לאורך תקופה ממושכת, באמצעות איומים ואלימות מילולית. לא פעם ביצעה ניסיונות אובדניים, על רקע המצוקה הנפשית אליה נקלעה. בנוסף, היא נטלה תרופות אנטי דיכאוניות. המתלוננת הוסיפה, כי הנאשם איים עליה כי יהרוג אותה ולאחר מכן יתאבד, זאת, כדי לגרום לה לציית לו. כן, ציין בפניה כי ברשותו אקדח אשר באמצעותו יתאבד ובכך יגרום לה להתאבל עליו כל ימיה. באחת ההזדמנויות, בצר לה, קפצה המתלוננת מקומה גבוהה ונפצעה ברגליה. בהצהרת נפגע היא הביעה משאלת לב לחיות ללא פחד ודאגה, לחיות בשלום ובטחון. </w:t>
      </w:r>
    </w:p>
    <w:p w14:paraId="7F890F47" w14:textId="77777777" w:rsidR="006057BC" w:rsidRDefault="006057BC">
      <w:pPr>
        <w:ind w:left="567" w:hanging="567"/>
        <w:jc w:val="both"/>
        <w:rPr>
          <w:rFonts w:ascii="Arial" w:hAnsi="Arial" w:cs="Arial"/>
          <w:b/>
          <w:bCs/>
          <w:u w:val="single"/>
        </w:rPr>
      </w:pPr>
    </w:p>
    <w:p w14:paraId="481C08C2"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מדבריה עולה תמונה של יחסים קשים וחולניים עם הנאשם. בין היתר, תיארה את התנהגותו וציטטה את דבריו אליה בעדותה כך:</w:t>
      </w:r>
    </w:p>
    <w:p w14:paraId="7688DEF4" w14:textId="77777777" w:rsidR="006057BC" w:rsidRDefault="006057BC">
      <w:pPr>
        <w:ind w:left="418"/>
        <w:jc w:val="both"/>
        <w:rPr>
          <w:rFonts w:ascii="Arial" w:hAnsi="Arial" w:cs="Arial"/>
          <w:b/>
          <w:bCs/>
          <w:u w:val="single"/>
        </w:rPr>
      </w:pPr>
    </w:p>
    <w:p w14:paraId="7BDE26BB" w14:textId="77777777" w:rsidR="006057BC" w:rsidRDefault="00ED2D4F">
      <w:pPr>
        <w:ind w:left="1022" w:right="567"/>
        <w:jc w:val="both"/>
        <w:rPr>
          <w:rFonts w:ascii="Arial" w:hAnsi="Arial" w:cs="Arial"/>
          <w:b/>
          <w:bCs/>
          <w:sz w:val="22"/>
          <w:szCs w:val="22"/>
          <w:rtl/>
        </w:rPr>
      </w:pPr>
      <w:r>
        <w:rPr>
          <w:rFonts w:ascii="Arial" w:hAnsi="Arial" w:cs="Arial"/>
          <w:b/>
          <w:bCs/>
          <w:sz w:val="22"/>
          <w:szCs w:val="22"/>
          <w:rtl/>
        </w:rPr>
        <w:t>"</w:t>
      </w:r>
      <w:r>
        <w:rPr>
          <w:rFonts w:ascii="Arial" w:hAnsi="Arial" w:cs="Arial" w:hint="cs"/>
          <w:b/>
          <w:bCs/>
          <w:sz w:val="22"/>
          <w:szCs w:val="22"/>
          <w:rtl/>
        </w:rPr>
        <w:t xml:space="preserve"> </w:t>
      </w:r>
      <w:r>
        <w:rPr>
          <w:rFonts w:ascii="Arial" w:hAnsi="Arial" w:cs="Arial"/>
          <w:b/>
          <w:bCs/>
          <w:sz w:val="22"/>
          <w:szCs w:val="22"/>
          <w:rtl/>
        </w:rPr>
        <w:t>'אם אנחנו לא נתחתן, אני אהרוג אותך ואת עצמי'. בזמן הזה לא נשארתי איתו מאהבה, זה השתנה, היה רק פחד ולחץ ולא רציתי שיעשה בעיות עם המשפחה. הסכמתי להמשיך ולהתנהג בסדר, כי הוא אמר לי שהוא לא עשה את זה בכוונה, שהוא אוהב אותי ושאני מעצבנת אותו. הכל חזר לקדמותו, אסר עליי לצאת, לדבר עם חברות, הלך איתי לכל מקום, לעורך דין, לקופת חולים, לבית חולים, לכל מקום. גם אם היה יכול להיכנס איתי לשירותים, היה עושה את זה".</w:t>
      </w:r>
    </w:p>
    <w:p w14:paraId="1480C9F3" w14:textId="77777777" w:rsidR="006057BC" w:rsidRDefault="006057BC">
      <w:pPr>
        <w:ind w:left="1022" w:right="567"/>
        <w:jc w:val="both"/>
        <w:rPr>
          <w:rFonts w:ascii="Arial" w:hAnsi="Arial" w:cs="Arial"/>
          <w:b/>
          <w:bCs/>
          <w:sz w:val="22"/>
          <w:szCs w:val="22"/>
          <w:u w:val="single"/>
          <w:rtl/>
        </w:rPr>
      </w:pPr>
    </w:p>
    <w:p w14:paraId="2BD0260D"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לאחר אירוע הירי, ניתקה עצמה המתלוננת ממשפחתה וחיה בתנאים קשים, לעיתים במעונות לנשים מוכות עד אשר העתיקה את מקום מגוריה לשטחי הרשות, כדי למלט עצמה מפני הנאשם. לצד כל אלו, יצוין, כי מעת לעת, התקשרה אליו ואף תיארה את אהבתה כלפיו, ללמדך על יחסיהם המורכבים והמפותלים של השניים.   </w:t>
      </w:r>
    </w:p>
    <w:p w14:paraId="6B509218" w14:textId="77777777" w:rsidR="006057BC" w:rsidRDefault="006057BC">
      <w:pPr>
        <w:ind w:left="567" w:hanging="567"/>
        <w:jc w:val="both"/>
        <w:rPr>
          <w:rFonts w:ascii="Arial" w:hAnsi="Arial" w:cs="Arial"/>
          <w:b/>
          <w:bCs/>
          <w:u w:val="single"/>
        </w:rPr>
      </w:pPr>
    </w:p>
    <w:p w14:paraId="0D01869A"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המתלוננת תיארה כיצד השפיעו האירועים המתוארים על חייה. אין לה ביטחון באיש, היא נטשה את עבודתה כסייעת בגני ילדים וכאמור, העתיקה את מקום מגוריה, היא ובני משפחתה, מרמלה לכפר ליד חברון תוך שינוי דרמטי באורח חייהם. </w:t>
      </w:r>
    </w:p>
    <w:p w14:paraId="0E957A5F" w14:textId="77777777" w:rsidR="006057BC" w:rsidRDefault="006057BC">
      <w:pPr>
        <w:ind w:left="567" w:hanging="567"/>
        <w:jc w:val="both"/>
        <w:rPr>
          <w:rFonts w:ascii="Arial" w:hAnsi="Arial" w:cs="Arial"/>
        </w:rPr>
      </w:pPr>
    </w:p>
    <w:p w14:paraId="17843960"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באשר לנזקי השכנה – הנאשם גרם לשכנה חבלה חמורה אשר חוללה שינוי דרמטי בחייה. בכך, הוסיף משנה חומרה למעשיו. השכנה, עוברת אורח תמימה, העידה בבית המשפט וכן הוגשה מטעמה הצהרת נפגע. היא תיארה כיצד חדר כדור האקדח לגבה ויצא מבטנה. כתוצאה מעוצמת הפגיעה, היא נפלה על המדרכה מדממת. עקב מורכבות פציעתה, בוצע בה ניתוח חרום, בגדרו נאלצו לפתוח את בטנה לכל אורכה, מבית החזה עד לפיבוס. זמן רב נדרש לשם התאוששותה. במהלך אשפוזה הממושך, היא סבלה מכאבים עזים, אשר מאומה לא סייע בהקלתם, אף לא טיפולים נרקוטיים. כתוצאה מהחבלות שנחבלה איבדה השכנה כ – 15 ק"ג ממשקלה. אף לאחר שחרורה, נזקקה לעזרה סיעודית, לטיפולי פיזיותרפיה ולסיוע דיאטנית. בתום 4 חודשי שיקום, שבה השכנה לעבודתה אולם עד עצם היום היא סובלת מכאבים, מצלקת עמוקה ומכוערת וממצוקה נפשית. </w:t>
      </w:r>
    </w:p>
    <w:p w14:paraId="4699C774" w14:textId="77777777" w:rsidR="006057BC" w:rsidRDefault="00ED2D4F">
      <w:pPr>
        <w:spacing w:line="360" w:lineRule="auto"/>
        <w:ind w:left="567"/>
        <w:jc w:val="both"/>
        <w:rPr>
          <w:rFonts w:ascii="Arial" w:hAnsi="Arial" w:cs="Arial"/>
          <w:b/>
          <w:bCs/>
          <w:u w:val="single"/>
          <w:rtl/>
        </w:rPr>
      </w:pPr>
      <w:r>
        <w:rPr>
          <w:rFonts w:ascii="Arial" w:hAnsi="Arial" w:cs="Arial"/>
          <w:rtl/>
        </w:rPr>
        <w:t xml:space="preserve">השכנה הדגישה בעדותה את הנזק הכבד שנגרם לפרנסתה ולפרנסת משפחתה עקב האירוע. </w:t>
      </w:r>
    </w:p>
    <w:p w14:paraId="14859418" w14:textId="77777777" w:rsidR="006057BC" w:rsidRDefault="006057BC">
      <w:pPr>
        <w:ind w:left="567" w:hanging="567"/>
        <w:jc w:val="both"/>
        <w:rPr>
          <w:rFonts w:ascii="Arial" w:hAnsi="Arial" w:cs="Arial"/>
          <w:b/>
          <w:bCs/>
          <w:u w:val="single"/>
        </w:rPr>
      </w:pPr>
    </w:p>
    <w:p w14:paraId="638F2639" w14:textId="77777777" w:rsidR="006057BC" w:rsidRDefault="00ED2D4F">
      <w:pPr>
        <w:numPr>
          <w:ilvl w:val="0"/>
          <w:numId w:val="1"/>
        </w:numPr>
        <w:spacing w:line="360" w:lineRule="auto"/>
        <w:ind w:left="567" w:hanging="567"/>
        <w:jc w:val="both"/>
        <w:rPr>
          <w:rFonts w:ascii="Arial" w:hAnsi="Arial" w:cs="Arial"/>
          <w:b/>
          <w:bCs/>
          <w:u w:val="single"/>
        </w:rPr>
      </w:pPr>
      <w:r>
        <w:rPr>
          <w:rFonts w:ascii="Arial" w:hAnsi="Arial" w:cs="Arial"/>
          <w:rtl/>
        </w:rPr>
        <w:t xml:space="preserve">אחי המתלוננת נפגע כתוצאה מהירי ברגלו. הוא תיאר את המצב הקשה אליו נקלע עקב החבלה שנחבל, בעטיה נבצר ממנו לעבוד. עד עצם היום סובל האח מנכות ומשפחתו סובלת מדלות כלכלית קשה. בהעדר ביטוח רפואי, נבצר מהאח לשלם עבור אשפוזו והוא נותר חייב לבית החולים סכום של כ - 48,000 ₪. בכך לא תם סבלו. הוא תיאר את הסיוטים מנת חלקו עקב האירוע. </w:t>
      </w:r>
    </w:p>
    <w:p w14:paraId="05BA39D1" w14:textId="77777777" w:rsidR="006057BC" w:rsidRDefault="006057BC">
      <w:pPr>
        <w:ind w:left="567"/>
        <w:jc w:val="both"/>
        <w:rPr>
          <w:rFonts w:ascii="Arial" w:hAnsi="Arial" w:cs="Arial"/>
          <w:b/>
          <w:bCs/>
          <w:u w:val="single"/>
        </w:rPr>
      </w:pPr>
    </w:p>
    <w:p w14:paraId="5448C9FC" w14:textId="77777777" w:rsidR="006057BC" w:rsidRDefault="00ED2D4F">
      <w:pPr>
        <w:spacing w:after="240" w:line="360" w:lineRule="auto"/>
        <w:ind w:left="418" w:firstLine="149"/>
        <w:jc w:val="both"/>
        <w:rPr>
          <w:rFonts w:ascii="Arial" w:hAnsi="Arial" w:cs="Arial"/>
          <w:b/>
          <w:bCs/>
          <w:u w:val="single"/>
        </w:rPr>
      </w:pPr>
      <w:r>
        <w:rPr>
          <w:rFonts w:ascii="Arial" w:hAnsi="Arial" w:cs="Arial"/>
          <w:b/>
          <w:bCs/>
          <w:u w:val="single"/>
          <w:rtl/>
        </w:rPr>
        <w:t xml:space="preserve">על הנאשם </w:t>
      </w:r>
    </w:p>
    <w:p w14:paraId="0779B832" w14:textId="77777777" w:rsidR="006057BC" w:rsidRDefault="00ED2D4F">
      <w:pPr>
        <w:numPr>
          <w:ilvl w:val="0"/>
          <w:numId w:val="1"/>
        </w:numPr>
        <w:spacing w:after="240" w:line="360" w:lineRule="auto"/>
        <w:ind w:left="567" w:hanging="567"/>
        <w:jc w:val="both"/>
        <w:rPr>
          <w:rFonts w:ascii="Arial" w:hAnsi="Arial" w:cs="Arial"/>
        </w:rPr>
      </w:pPr>
      <w:r>
        <w:rPr>
          <w:rFonts w:ascii="Arial" w:hAnsi="Arial" w:cs="Arial"/>
          <w:rtl/>
        </w:rPr>
        <w:t xml:space="preserve">הנאשם, יליד 1978. העיון ברישומו הפלילי מלמד על עבר פלילי מכביד, בגדרו ריצה תקופות מאסר ממושכות בגין עבירות אלימות. בתאריך 7.7.04 הורשע הנאשם בבית המשפט המחוזי בתל אביב (ת"פ 40341/03) בעבירה לפי </w:t>
      </w:r>
      <w:hyperlink r:id="rId21" w:history="1">
        <w:r w:rsidR="003C6F8E" w:rsidRPr="003C6F8E">
          <w:rPr>
            <w:rFonts w:ascii="Arial" w:hAnsi="Arial" w:cs="Arial"/>
            <w:color w:val="0000FF"/>
            <w:u w:val="single"/>
            <w:rtl/>
          </w:rPr>
          <w:t>סעיף 333</w:t>
        </w:r>
      </w:hyperlink>
      <w:r>
        <w:rPr>
          <w:rFonts w:ascii="Arial" w:hAnsi="Arial" w:cs="Arial"/>
          <w:rtl/>
        </w:rPr>
        <w:t xml:space="preserve"> ביחס עם </w:t>
      </w:r>
      <w:hyperlink r:id="rId22" w:history="1">
        <w:r w:rsidR="003C6F8E" w:rsidRPr="003C6F8E">
          <w:rPr>
            <w:rFonts w:ascii="Arial" w:hAnsi="Arial" w:cs="Arial"/>
            <w:color w:val="0000FF"/>
            <w:u w:val="single"/>
            <w:rtl/>
          </w:rPr>
          <w:t>סעיף 335(א)(1)</w:t>
        </w:r>
      </w:hyperlink>
      <w:r>
        <w:rPr>
          <w:rFonts w:ascii="Arial" w:hAnsi="Arial" w:cs="Arial"/>
          <w:rtl/>
        </w:rPr>
        <w:t xml:space="preserve"> ל</w:t>
      </w:r>
      <w:hyperlink r:id="rId23" w:history="1">
        <w:r w:rsidRPr="00ED2D4F">
          <w:rPr>
            <w:rFonts w:ascii="Arial" w:hAnsi="Arial" w:cs="Arial"/>
            <w:color w:val="0000FF"/>
            <w:u w:val="single"/>
            <w:rtl/>
          </w:rPr>
          <w:t>חוק העונשין</w:t>
        </w:r>
      </w:hyperlink>
      <w:r>
        <w:rPr>
          <w:rFonts w:ascii="Arial" w:hAnsi="Arial" w:cs="Arial"/>
          <w:rtl/>
        </w:rPr>
        <w:t xml:space="preserve"> והושתו עליו 4.5 שנות מאסר. מעובדות כתב האישום שם עולה כי אין זו פעם ראשונה שהנאשם נוקט אלימות. אז הוא תקף את דודתו וביצע בה את המעשים המתוארים בכתב האישום להלן:</w:t>
      </w:r>
    </w:p>
    <w:p w14:paraId="639BFC00" w14:textId="77777777" w:rsidR="006057BC" w:rsidRDefault="00ED2D4F">
      <w:pPr>
        <w:ind w:left="1275" w:right="709"/>
        <w:jc w:val="both"/>
        <w:rPr>
          <w:rFonts w:ascii="Arial" w:hAnsi="Arial" w:cs="Arial"/>
          <w:rtl/>
        </w:rPr>
      </w:pPr>
      <w:r>
        <w:rPr>
          <w:rFonts w:ascii="Arial" w:hAnsi="Arial" w:cs="Arial"/>
          <w:b/>
          <w:bCs/>
          <w:sz w:val="22"/>
          <w:szCs w:val="22"/>
          <w:rtl/>
        </w:rPr>
        <w:t>"הנאשם יצא מהשירותים כשהוא אוחז בידו סכין גדולה עם להב משונן והחל לדקור את המתלוננת מאחור. הנאשם דקר את המתלוננת דקירות רבות בראשה, בעורפה, בחזה, בטנה ובידיה תוך שהוא מושך בשערותיה. ...לאחר מכן נעל את הדלת והותיר את המתלוננת מתבוססת בדמה בתוך הבית הנעול.... כתוצאה ממעשיו ... נגרמו למתלוננת חתכים רבים בידיים, בבטן, בחזה בראש ובצוואר..."</w:t>
      </w:r>
      <w:r>
        <w:rPr>
          <w:rFonts w:ascii="Arial" w:hAnsi="Arial" w:cs="Arial"/>
          <w:rtl/>
        </w:rPr>
        <w:t xml:space="preserve"> </w:t>
      </w:r>
      <w:r>
        <w:rPr>
          <w:rFonts w:ascii="Arial" w:hAnsi="Arial" w:cs="Arial"/>
          <w:sz w:val="22"/>
          <w:szCs w:val="22"/>
          <w:rtl/>
        </w:rPr>
        <w:t>(ת/1 לעונש).</w:t>
      </w:r>
    </w:p>
    <w:p w14:paraId="721F81C9" w14:textId="77777777" w:rsidR="006057BC" w:rsidRDefault="006057BC">
      <w:pPr>
        <w:ind w:right="851"/>
        <w:jc w:val="both"/>
        <w:rPr>
          <w:rFonts w:ascii="Arial" w:hAnsi="Arial" w:cs="Arial"/>
          <w:rtl/>
        </w:rPr>
      </w:pPr>
    </w:p>
    <w:p w14:paraId="3DC2EA8A" w14:textId="77777777" w:rsidR="006057BC" w:rsidRDefault="00ED2D4F">
      <w:pPr>
        <w:ind w:left="567" w:right="851"/>
        <w:jc w:val="both"/>
        <w:rPr>
          <w:rFonts w:ascii="Arial" w:hAnsi="Arial" w:cs="Arial"/>
          <w:rtl/>
        </w:rPr>
      </w:pPr>
      <w:r>
        <w:rPr>
          <w:rFonts w:ascii="Arial" w:hAnsi="Arial" w:cs="Arial"/>
          <w:rtl/>
        </w:rPr>
        <w:t>בגזר הדין ציין בית המשפט מפי כב' השופט שהם (כתוארו אז):</w:t>
      </w:r>
    </w:p>
    <w:p w14:paraId="79AC86F9" w14:textId="77777777" w:rsidR="006057BC" w:rsidRDefault="006057BC">
      <w:pPr>
        <w:ind w:right="851"/>
        <w:jc w:val="both"/>
        <w:rPr>
          <w:rFonts w:ascii="Arial" w:hAnsi="Arial" w:cs="Arial"/>
          <w:rtl/>
        </w:rPr>
      </w:pPr>
    </w:p>
    <w:p w14:paraId="6AC2EC4D" w14:textId="77777777" w:rsidR="006057BC" w:rsidRDefault="00ED2D4F">
      <w:pPr>
        <w:ind w:left="1275" w:right="709"/>
        <w:jc w:val="both"/>
        <w:rPr>
          <w:rFonts w:ascii="Arial" w:hAnsi="Arial" w:cs="Arial"/>
          <w:sz w:val="20"/>
          <w:szCs w:val="20"/>
          <w:rtl/>
        </w:rPr>
      </w:pPr>
      <w:r>
        <w:rPr>
          <w:rFonts w:ascii="Arial" w:hAnsi="Arial" w:cs="Arial"/>
          <w:b/>
          <w:bCs/>
          <w:sz w:val="22"/>
          <w:szCs w:val="22"/>
          <w:rtl/>
        </w:rPr>
        <w:t xml:space="preserve">"העובדות המזעזעות בכתב האישום מלמדות על מידת אכזריותו של הנאשם אשר תקף את המתלוננת חסרת האונים והישע וגרם לה לחבלות קשות ביותר. אך כפסע היה בין מעשיו של הנאשם לבין מותה של המתלוננת אשר ננעלה בביתה בעודה מתבוססת בדמה. על מעשים מסוג זה יש להגיב בחומרה רבה על מנת לשרש את הנגע המוסבר, לעיתים, ברצון להגן כביכול על כבוד המשפחה. מעשים מסוג זה, מקומם לא יכירם בחברה מתוקנת שבה מוגנת זכותו הבסיסית של כל אדם לחייו ולשלמות גופו. אין כל תירוץ ממשי למעשיו החמורים של הנאשם, עליהם ראוי הוא לענישה חמורה וקשה במיוחד". </w:t>
      </w:r>
      <w:r>
        <w:rPr>
          <w:rFonts w:ascii="Arial" w:hAnsi="Arial" w:cs="Arial"/>
          <w:sz w:val="22"/>
          <w:szCs w:val="22"/>
          <w:rtl/>
        </w:rPr>
        <w:t>(ת/2א' לעונש).</w:t>
      </w:r>
    </w:p>
    <w:p w14:paraId="52F02AE6" w14:textId="77777777" w:rsidR="006057BC" w:rsidRDefault="006057BC">
      <w:pPr>
        <w:ind w:left="720" w:right="851"/>
        <w:jc w:val="both"/>
        <w:rPr>
          <w:rFonts w:ascii="Arial" w:hAnsi="Arial" w:cs="Arial"/>
          <w:sz w:val="20"/>
          <w:szCs w:val="20"/>
          <w:rtl/>
        </w:rPr>
      </w:pPr>
    </w:p>
    <w:p w14:paraId="62AAAD18"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הנה, האלימות על רקע פגיעה לכאורה בכבוד הפכה לדידו של הנאשם לנוהג. השנים שחלפו לא היטיבו עמו ובגרותו לא הוסיפה, למרבה הצער, איפוק להתנהלותו. אף המאסר הממושך שריצה לא פקח את עיניו. אלימותו הלכה וגברה, מעשיו הועצמו; הנאשם בחר להשתמש בנשק חם ועשה כן באזור מגורים תוך גרימת חבלות חמורות לשני בני אדם, עוברת אורח שנחבלה באורח חמור ואחי המתלוננת שנפגע בכוונת מכוון.</w:t>
      </w:r>
    </w:p>
    <w:p w14:paraId="48BF4F01" w14:textId="77777777" w:rsidR="006057BC" w:rsidRDefault="006057BC">
      <w:pPr>
        <w:ind w:left="567" w:hanging="567"/>
        <w:jc w:val="both"/>
        <w:rPr>
          <w:rFonts w:ascii="Arial" w:hAnsi="Arial" w:cs="Arial"/>
        </w:rPr>
      </w:pPr>
    </w:p>
    <w:p w14:paraId="6E46B8AB"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חומרת המעשים ועוצמתם צפה ועלה לאורך כל הדרך. </w:t>
      </w:r>
    </w:p>
    <w:p w14:paraId="2A277A20" w14:textId="77777777" w:rsidR="006057BC" w:rsidRDefault="006057BC">
      <w:pPr>
        <w:ind w:left="418" w:firstLine="149"/>
        <w:jc w:val="both"/>
        <w:rPr>
          <w:rFonts w:ascii="Arial" w:hAnsi="Arial" w:cs="Arial"/>
          <w:b/>
          <w:bCs/>
          <w:u w:val="single"/>
          <w:rtl/>
        </w:rPr>
      </w:pPr>
    </w:p>
    <w:p w14:paraId="4784D6CC" w14:textId="77777777" w:rsidR="006057BC" w:rsidRDefault="00ED2D4F">
      <w:pPr>
        <w:spacing w:line="360" w:lineRule="auto"/>
        <w:ind w:left="418" w:firstLine="149"/>
        <w:jc w:val="both"/>
        <w:rPr>
          <w:rFonts w:ascii="Arial" w:hAnsi="Arial" w:cs="Arial"/>
          <w:rtl/>
        </w:rPr>
      </w:pPr>
      <w:r>
        <w:rPr>
          <w:rFonts w:ascii="Arial" w:hAnsi="Arial" w:cs="Arial"/>
          <w:b/>
          <w:bCs/>
          <w:u w:val="single"/>
          <w:rtl/>
        </w:rPr>
        <w:t>הטיעונים לעונש</w:t>
      </w:r>
    </w:p>
    <w:p w14:paraId="4E311A4A" w14:textId="77777777" w:rsidR="006057BC" w:rsidRDefault="006057BC">
      <w:pPr>
        <w:ind w:left="418"/>
        <w:jc w:val="both"/>
        <w:rPr>
          <w:rFonts w:ascii="Arial" w:hAnsi="Arial" w:cs="Arial"/>
        </w:rPr>
      </w:pPr>
    </w:p>
    <w:p w14:paraId="4CCA5BFA"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התובעת, עו"ד ליאת גלבוע, עתרה להחמיר בעונשו של הנאשם לנוכח מעשיו המתוארים. היא עמדה בהרחבה על אופי המעשים והשלכותיהם החמורות והוסיפה, כי חברה מתוקנת לא יכולה להשלים עם מעשי ירי בעיבורה של עיר, תוך הפרת הסדר הציבורי וסיכון התושבים. </w:t>
      </w:r>
    </w:p>
    <w:p w14:paraId="0A377086" w14:textId="77777777" w:rsidR="006057BC" w:rsidRDefault="006057BC">
      <w:pPr>
        <w:ind w:left="567" w:hanging="567"/>
        <w:jc w:val="both"/>
        <w:rPr>
          <w:rFonts w:ascii="Arial" w:hAnsi="Arial" w:cs="Arial"/>
        </w:rPr>
      </w:pPr>
    </w:p>
    <w:p w14:paraId="0BE46AF9"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התובעת הגדירה את הנאשם כאדם 'אובססיבי' ששם לו למטרה לפגוע בבני משפחת המתלוננת. היא עמדה על המחיר הכבד שנגבה מהמתלוננת ובני משפחתה עקב מעשי הנאשם, כאשר גזרו על עצמם 'גלות' בשל חששם מפניו. היא הטעימה את מצבה הנואש של המתלוננת אשר נאלצה לשנות את מהלך חייה מקצה לקצה. </w:t>
      </w:r>
    </w:p>
    <w:p w14:paraId="54E87EF7" w14:textId="77777777" w:rsidR="006057BC" w:rsidRDefault="006057BC">
      <w:pPr>
        <w:ind w:left="567" w:hanging="567"/>
        <w:jc w:val="both"/>
        <w:rPr>
          <w:rFonts w:ascii="Arial" w:hAnsi="Arial" w:cs="Arial"/>
        </w:rPr>
      </w:pPr>
    </w:p>
    <w:p w14:paraId="765B9F85"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לאחר שסקרה בהרחבה את ההלכה הפסוקה לעניין העונש הראוי ומתחמי הענישה, עתרה התובעת להשית על הנאשם מאסר ממושך שלא יפחת מתקופה בת "2 ספרות". </w:t>
      </w:r>
    </w:p>
    <w:p w14:paraId="3403B0B2" w14:textId="77777777" w:rsidR="006057BC" w:rsidRDefault="006057BC">
      <w:pPr>
        <w:ind w:left="567" w:hanging="567"/>
        <w:jc w:val="both"/>
        <w:rPr>
          <w:rFonts w:ascii="Arial" w:hAnsi="Arial" w:cs="Arial"/>
        </w:rPr>
      </w:pPr>
    </w:p>
    <w:p w14:paraId="0C9E6E6A"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סנגורו של הנאשם, עו"ד אשרף אבו ראזק, טען כל טענה אפשרית למען מרשו. הוא הדגיש את רצונו העז של הנאשם להקים משפחה, כמו גם העובדה שהיה מאורס בעבר מספר פעמים, אולם לא השכיל לשמר את יחסיו עם ארוסותיו. אף עתה הוא מאורס לצעירה אשר ממתינה לשחרורו. לשיטת הסנגור, הפיק הנאשם את הלקח הראוי ממעשיו. ועל כן עתר להסתפק בעונש מתון, שיאפשר לו לבנות חיים חדשים ומתוקנים לאחר שחרורו מהמאסר, ליצור עבורו אופק חדש. </w:t>
      </w:r>
    </w:p>
    <w:p w14:paraId="34FE9281" w14:textId="77777777" w:rsidR="006057BC" w:rsidRDefault="006057BC">
      <w:pPr>
        <w:ind w:left="567" w:hanging="567"/>
        <w:jc w:val="both"/>
        <w:rPr>
          <w:rFonts w:ascii="Arial" w:hAnsi="Arial" w:cs="Arial"/>
        </w:rPr>
      </w:pPr>
    </w:p>
    <w:p w14:paraId="254728F8"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הסנגור תיאר את הרקע למעשי הנאשם, את אכזבתו ותדהמתו לנוכח ביטולם המהיר והמידי של נישואיו למתלוננת. מבלי להקל ראש בחומרת העבירות, ביקש להתבונן במעשי הנאשם דרך משקפיו – קרי, אדם אשר חלומו לשאת אישה ולבנות משפחה התנפץ לפתע ובועת השמחה נגוזה. בנסיבות אלו, איבד הנאשם את עשתונותיו וביצע את העבירות בהן הורשע.</w:t>
      </w:r>
    </w:p>
    <w:p w14:paraId="35FB7E39" w14:textId="77777777" w:rsidR="006057BC" w:rsidRDefault="006057BC">
      <w:pPr>
        <w:ind w:left="567" w:hanging="567"/>
        <w:jc w:val="both"/>
        <w:rPr>
          <w:rFonts w:ascii="Arial" w:hAnsi="Arial" w:cs="Arial"/>
        </w:rPr>
      </w:pPr>
    </w:p>
    <w:p w14:paraId="0C26192B"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בהתייחסו לאירוע הראשון הטעים הסנגור, כי טרם התרחשותו נמנע הנאשם מלנקוט אלימות פיזית כלפי המתלוננת. עוד ציין, כי למתלוננת אישיות עצמאית ויכולת לעמוד על דעתה. מהטעם הזה, בנקל היא ביטלה את חתונתה בתוך פרק זמן קצר ממועד האירוע. </w:t>
      </w:r>
    </w:p>
    <w:p w14:paraId="2CA02C89" w14:textId="77777777" w:rsidR="006057BC" w:rsidRDefault="006057BC">
      <w:pPr>
        <w:ind w:left="567" w:hanging="567"/>
        <w:jc w:val="both"/>
        <w:rPr>
          <w:rFonts w:ascii="Arial" w:hAnsi="Arial" w:cs="Arial"/>
        </w:rPr>
      </w:pPr>
    </w:p>
    <w:p w14:paraId="17D95A2A"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 xml:space="preserve">עוד הוסיף בהתייחסו לאירוע הראשון, כי אין מדובר באלימות קשה הגם שאין להקל בה ראש וכי המתלוננת נמנעה מלהגיש תלונה בגינה. </w:t>
      </w:r>
    </w:p>
    <w:p w14:paraId="0864C14C" w14:textId="77777777" w:rsidR="006057BC" w:rsidRDefault="006057BC">
      <w:pPr>
        <w:ind w:left="567" w:hanging="567"/>
        <w:jc w:val="both"/>
        <w:rPr>
          <w:rFonts w:ascii="Arial" w:hAnsi="Arial" w:cs="Arial"/>
        </w:rPr>
      </w:pPr>
    </w:p>
    <w:p w14:paraId="1C583164"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הסנגור עתר ליתן משקל להודאת הנאשם ולחיסכון בזמן שיפוטי.</w:t>
      </w:r>
    </w:p>
    <w:p w14:paraId="7E6B8651" w14:textId="77777777" w:rsidR="006057BC" w:rsidRDefault="006057BC">
      <w:pPr>
        <w:ind w:left="418"/>
        <w:jc w:val="both"/>
        <w:rPr>
          <w:rFonts w:ascii="Arial" w:hAnsi="Arial" w:cs="Arial"/>
          <w:b/>
          <w:bCs/>
          <w:u w:val="single"/>
          <w:rtl/>
        </w:rPr>
      </w:pPr>
    </w:p>
    <w:p w14:paraId="7E0CCC14" w14:textId="77777777" w:rsidR="006057BC" w:rsidRDefault="00ED2D4F">
      <w:pPr>
        <w:spacing w:after="240" w:line="360" w:lineRule="auto"/>
        <w:ind w:left="418" w:firstLine="149"/>
        <w:jc w:val="both"/>
        <w:rPr>
          <w:rFonts w:ascii="Arial" w:hAnsi="Arial" w:cs="Arial"/>
        </w:rPr>
      </w:pPr>
      <w:r>
        <w:rPr>
          <w:rFonts w:ascii="Arial" w:hAnsi="Arial" w:cs="Arial"/>
          <w:b/>
          <w:bCs/>
          <w:u w:val="single"/>
          <w:rtl/>
        </w:rPr>
        <w:t>מתחמי ענישה</w:t>
      </w:r>
    </w:p>
    <w:p w14:paraId="4BFE28CE" w14:textId="77777777" w:rsidR="006057BC" w:rsidRDefault="00ED2D4F">
      <w:pPr>
        <w:numPr>
          <w:ilvl w:val="0"/>
          <w:numId w:val="1"/>
        </w:numPr>
        <w:spacing w:after="120" w:line="360" w:lineRule="auto"/>
        <w:ind w:left="567" w:hanging="567"/>
        <w:jc w:val="both"/>
        <w:rPr>
          <w:rFonts w:ascii="Arial" w:hAnsi="Arial" w:cs="Arial"/>
        </w:rPr>
      </w:pPr>
      <w:r>
        <w:rPr>
          <w:rFonts w:ascii="Arial" w:hAnsi="Arial" w:cs="Arial"/>
          <w:rtl/>
        </w:rPr>
        <w:t>בבחינת מדיניות הענישה הנוהגת יש לבחון את הנסיבות הקשורות בביצוע העבירה (</w:t>
      </w:r>
      <w:hyperlink r:id="rId24" w:history="1">
        <w:r w:rsidR="003C6F8E" w:rsidRPr="003C6F8E">
          <w:rPr>
            <w:rFonts w:ascii="Arial" w:hAnsi="Arial" w:cs="Arial"/>
            <w:color w:val="0000FF"/>
            <w:u w:val="single"/>
            <w:rtl/>
          </w:rPr>
          <w:t>סעיף 40ט</w:t>
        </w:r>
      </w:hyperlink>
      <w:r>
        <w:rPr>
          <w:rFonts w:ascii="Arial" w:hAnsi="Arial" w:cs="Arial"/>
          <w:rtl/>
        </w:rPr>
        <w:t xml:space="preserve"> ל</w:t>
      </w:r>
      <w:hyperlink r:id="rId25" w:history="1">
        <w:r w:rsidRPr="00ED2D4F">
          <w:rPr>
            <w:rFonts w:ascii="Arial" w:hAnsi="Arial" w:cs="Arial"/>
            <w:color w:val="0000FF"/>
            <w:u w:val="single"/>
            <w:rtl/>
          </w:rPr>
          <w:t>חוק העונשין</w:t>
        </w:r>
      </w:hyperlink>
      <w:r>
        <w:rPr>
          <w:rFonts w:ascii="Arial" w:hAnsi="Arial" w:cs="Arial"/>
          <w:rtl/>
        </w:rPr>
        <w:t>) בשים לב לשיקולים האפשריים הבאים:</w:t>
      </w:r>
    </w:p>
    <w:p w14:paraId="70704551" w14:textId="77777777" w:rsidR="006057BC" w:rsidRDefault="00ED2D4F">
      <w:pPr>
        <w:pStyle w:val="ListParagraph"/>
        <w:numPr>
          <w:ilvl w:val="0"/>
          <w:numId w:val="3"/>
        </w:numPr>
        <w:spacing w:line="360" w:lineRule="auto"/>
        <w:ind w:left="714" w:hanging="357"/>
        <w:jc w:val="both"/>
        <w:rPr>
          <w:rFonts w:ascii="Arial" w:hAnsi="Arial" w:cs="Arial"/>
        </w:rPr>
      </w:pPr>
      <w:r>
        <w:rPr>
          <w:rFonts w:ascii="Arial" w:hAnsi="Arial" w:cs="Arial"/>
          <w:rtl/>
        </w:rPr>
        <w:t>התכנון שקדם לביצוע העבירה – במקרה זה העבירות נושא האישום השני בוצעו</w:t>
      </w:r>
      <w:r>
        <w:rPr>
          <w:rFonts w:ascii="Arial" w:hAnsi="Arial" w:cs="Arial" w:hint="cs"/>
          <w:rtl/>
        </w:rPr>
        <w:t xml:space="preserve"> </w:t>
      </w:r>
      <w:r>
        <w:rPr>
          <w:rFonts w:ascii="Arial" w:hAnsi="Arial" w:cs="Arial"/>
          <w:rtl/>
        </w:rPr>
        <w:t>לאחר תכנון מוקדם, לא בהיסח הדעת אף לא כתגובה ספונטנית. כך אף העבירה נושא האישום הראשון</w:t>
      </w:r>
      <w:r>
        <w:rPr>
          <w:rFonts w:ascii="Arial" w:hAnsi="Arial" w:cs="Arial" w:hint="cs"/>
          <w:rtl/>
        </w:rPr>
        <w:t>.</w:t>
      </w:r>
    </w:p>
    <w:p w14:paraId="1E203681" w14:textId="77777777" w:rsidR="006057BC" w:rsidRDefault="00ED2D4F">
      <w:pPr>
        <w:pStyle w:val="ListParagraph"/>
        <w:numPr>
          <w:ilvl w:val="0"/>
          <w:numId w:val="3"/>
        </w:numPr>
        <w:spacing w:line="360" w:lineRule="auto"/>
        <w:ind w:left="714" w:hanging="357"/>
        <w:jc w:val="both"/>
        <w:rPr>
          <w:rFonts w:ascii="Arial" w:hAnsi="Arial" w:cs="Arial"/>
        </w:rPr>
      </w:pPr>
      <w:r>
        <w:rPr>
          <w:rFonts w:ascii="Arial" w:hAnsi="Arial" w:cs="Arial"/>
          <w:rtl/>
        </w:rPr>
        <w:t>הנזק שהיה צפוי להיגרם או שנגרם כתוצאה מביצוע העבירה – ובענייננו, הפגיעה בשני בני אדם חפים מפשע, אשר אחת מהם, השכנה, עוברת אורח, נפגעה באורח חמור.</w:t>
      </w:r>
    </w:p>
    <w:p w14:paraId="54D7B2ED" w14:textId="77777777" w:rsidR="006057BC" w:rsidRDefault="00ED2D4F">
      <w:pPr>
        <w:pStyle w:val="ListParagraph"/>
        <w:numPr>
          <w:ilvl w:val="0"/>
          <w:numId w:val="3"/>
        </w:numPr>
        <w:spacing w:line="360" w:lineRule="auto"/>
        <w:ind w:left="714" w:hanging="357"/>
        <w:jc w:val="both"/>
        <w:rPr>
          <w:rFonts w:ascii="Arial" w:hAnsi="Arial" w:cs="Arial"/>
        </w:rPr>
      </w:pPr>
      <w:r>
        <w:rPr>
          <w:rFonts w:ascii="Arial" w:hAnsi="Arial" w:cs="Arial" w:hint="cs"/>
          <w:rtl/>
        </w:rPr>
        <w:t>ה</w:t>
      </w:r>
      <w:r>
        <w:rPr>
          <w:rFonts w:ascii="Arial" w:hAnsi="Arial" w:cs="Arial"/>
          <w:rtl/>
        </w:rPr>
        <w:t>סיבות שהביאו את הנאשם לבצע את העבירות – קרי, הפגיעה ב'כבודו' והרצון לנקם.</w:t>
      </w:r>
    </w:p>
    <w:p w14:paraId="71F8138C" w14:textId="77777777" w:rsidR="006057BC" w:rsidRDefault="00ED2D4F">
      <w:pPr>
        <w:pStyle w:val="ListParagraph"/>
        <w:numPr>
          <w:ilvl w:val="0"/>
          <w:numId w:val="3"/>
        </w:numPr>
        <w:spacing w:after="200" w:line="360" w:lineRule="auto"/>
        <w:jc w:val="both"/>
        <w:rPr>
          <w:rFonts w:ascii="Arial" w:hAnsi="Arial" w:cs="Arial"/>
          <w:rtl/>
        </w:rPr>
      </w:pPr>
      <w:r>
        <w:rPr>
          <w:rFonts w:ascii="Arial" w:hAnsi="Arial" w:cs="Arial"/>
          <w:rtl/>
        </w:rPr>
        <w:t>יכולתו של הנאשם להבין את אשר עשה, את הפסול שבמעשיו או משמעותם. אין מחלוקת שהנאשם הבין היטב את מעשיו על השלכותיהם.</w:t>
      </w:r>
    </w:p>
    <w:p w14:paraId="5512DFD0" w14:textId="77777777" w:rsidR="006057BC" w:rsidRDefault="00ED2D4F">
      <w:pPr>
        <w:pStyle w:val="ListParagraph"/>
        <w:numPr>
          <w:ilvl w:val="0"/>
          <w:numId w:val="1"/>
        </w:numPr>
        <w:spacing w:after="200" w:line="360" w:lineRule="auto"/>
        <w:ind w:left="567" w:hanging="509"/>
        <w:jc w:val="both"/>
        <w:rPr>
          <w:rFonts w:ascii="Arial" w:hAnsi="Arial" w:cs="Arial"/>
          <w:b/>
          <w:bCs/>
        </w:rPr>
      </w:pPr>
      <w:r>
        <w:rPr>
          <w:rFonts w:ascii="Arial" w:hAnsi="Arial" w:cs="Arial"/>
          <w:rtl/>
        </w:rPr>
        <w:t>מקובלים עלי דברי התובעת, כי אין להתיר שימוש בכוח ובאלימות בחברה מתוקנת, בוודאי לא לשם ישוב סכסוכים. התנהגות זו פוגעת בשלומו ובטחונו של הציבור, מפרה את הסדר הציבורי ויש בה כדי לערער את תחושת הביטחון ושלוות החיים.</w:t>
      </w:r>
    </w:p>
    <w:p w14:paraId="50211570" w14:textId="77777777" w:rsidR="006057BC" w:rsidRDefault="00ED2D4F">
      <w:pPr>
        <w:numPr>
          <w:ilvl w:val="0"/>
          <w:numId w:val="1"/>
        </w:numPr>
        <w:spacing w:after="240" w:line="360" w:lineRule="auto"/>
        <w:ind w:left="567" w:hanging="509"/>
        <w:jc w:val="both"/>
        <w:rPr>
          <w:rFonts w:ascii="Arial" w:hAnsi="Arial" w:cs="Arial"/>
        </w:rPr>
      </w:pPr>
      <w:r>
        <w:rPr>
          <w:rFonts w:ascii="Arial" w:hAnsi="Arial" w:cs="Arial"/>
          <w:rtl/>
        </w:rPr>
        <w:t xml:space="preserve">קביעת מתחמי הענישה הראויים צריכה להיעשות ביחס לכל מעשה בנפרד; התקיפה וגרימת החבלה נושא האישום הראשון ואירוע הירי וגרימת החבלות בעקבותיו, נושא האישום השני. האירוע הראשון, על פניו, אינו מן החמורים. עם זאת, אין להקל בו ראש. הנאשם היכה מכת אגרוף בפניה של המתלוננת וגרם לה לחבלה בתגובה לעזיבתה את הבית כדי לבקר את אחותה המאושפזת בבית החולים, ללא נטילת רשותו וללא ליוויו. ברי כי תגובתו אינה ראויה והולמת. האירוע השני בוצע בתגובה לניתוק היחסים ופרידתה של המתלוננת מעמו. הנאשם חש פגוע ומושפל וזעמו קצף על המתלוננת. אין באלו כדי להצדיק את מעשיו החמורים, בוודאי שלא היה מקום להשתמש בנשק חם ולירות באמצעותו במטרה לפגוע ולחבול. אך בנס לא נקטלו חיי אדם, הגם ששניים נפגעו באורח קשה. </w:t>
      </w:r>
    </w:p>
    <w:p w14:paraId="20405297" w14:textId="77777777" w:rsidR="006057BC" w:rsidRDefault="00ED2D4F">
      <w:pPr>
        <w:numPr>
          <w:ilvl w:val="0"/>
          <w:numId w:val="1"/>
        </w:numPr>
        <w:spacing w:after="120" w:line="360" w:lineRule="auto"/>
        <w:ind w:left="567" w:hanging="509"/>
        <w:jc w:val="both"/>
        <w:rPr>
          <w:rFonts w:ascii="Arial" w:hAnsi="Arial" w:cs="Arial"/>
        </w:rPr>
      </w:pPr>
      <w:r>
        <w:rPr>
          <w:rFonts w:ascii="Arial" w:hAnsi="Arial" w:cs="Arial"/>
          <w:rtl/>
        </w:rPr>
        <w:t>בהתחשב בנסיבות המתוארות וכן לנוכח הערכים החברתיים שנפגעו ולאחר בחינת מתחמי הענישה הקיימים אל מול הראויים אני קובעת את מתחמי הענישה כדלקמן:</w:t>
      </w:r>
    </w:p>
    <w:p w14:paraId="5EAD29B8" w14:textId="77777777" w:rsidR="006057BC" w:rsidRDefault="00ED2D4F">
      <w:pPr>
        <w:pStyle w:val="ListParagraph"/>
        <w:numPr>
          <w:ilvl w:val="0"/>
          <w:numId w:val="2"/>
        </w:numPr>
        <w:spacing w:line="360" w:lineRule="auto"/>
        <w:ind w:left="568" w:hanging="284"/>
        <w:jc w:val="both"/>
        <w:rPr>
          <w:rFonts w:ascii="Arial" w:hAnsi="Arial" w:cs="Arial"/>
        </w:rPr>
      </w:pPr>
      <w:r>
        <w:rPr>
          <w:rFonts w:ascii="Arial" w:hAnsi="Arial" w:cs="Arial"/>
          <w:rtl/>
        </w:rPr>
        <w:t xml:space="preserve">ביחס לעבירות של תקיפה וגרימת חבלה ואיומים – מתחם שנע בין מספר חודשי מאסר ספורים ל – 12 חודשי מאסר. </w:t>
      </w:r>
    </w:p>
    <w:p w14:paraId="342660E5" w14:textId="77777777" w:rsidR="006057BC" w:rsidRDefault="00ED2D4F">
      <w:pPr>
        <w:pStyle w:val="ListParagraph"/>
        <w:numPr>
          <w:ilvl w:val="0"/>
          <w:numId w:val="2"/>
        </w:numPr>
        <w:spacing w:after="120" w:line="360" w:lineRule="auto"/>
        <w:ind w:left="567" w:hanging="284"/>
        <w:jc w:val="both"/>
        <w:rPr>
          <w:rFonts w:ascii="Arial" w:hAnsi="Arial" w:cs="Arial"/>
          <w:rtl/>
        </w:rPr>
      </w:pPr>
      <w:r>
        <w:rPr>
          <w:rFonts w:ascii="Arial" w:hAnsi="Arial" w:cs="Arial"/>
          <w:rtl/>
        </w:rPr>
        <w:t>ביחס לעבירות של גרימת חבלה בכוונה מחמירה ונשיאת נשק – מתחם שנע בין 6 – 10 שנות מאסר.</w:t>
      </w:r>
    </w:p>
    <w:p w14:paraId="3F5FFDFE" w14:textId="77777777" w:rsidR="006057BC" w:rsidRDefault="00ED2D4F">
      <w:pPr>
        <w:numPr>
          <w:ilvl w:val="0"/>
          <w:numId w:val="1"/>
        </w:numPr>
        <w:spacing w:line="360" w:lineRule="auto"/>
        <w:ind w:left="567" w:hanging="567"/>
        <w:jc w:val="both"/>
        <w:rPr>
          <w:rFonts w:ascii="Arial" w:hAnsi="Arial" w:cs="Arial"/>
        </w:rPr>
      </w:pPr>
      <w:r>
        <w:rPr>
          <w:rFonts w:ascii="Arial" w:hAnsi="Arial" w:cs="Arial"/>
          <w:rtl/>
        </w:rPr>
        <w:t>באשר לקביעת העונש בתוך המתחם – לא מצאתי בנסיבותיו האישיות של הנאשם נקודת זכות שראוי לזקוף להקלה בעונש. עברו מכביד ומעשיו חמורים. רצונו המילולי לפתוח בחיים חדשים מוטל אף הוא בספק, לנוכח הצער והחרטה שהביע בפני בית המשפט המחוזי בתל אביב עובר לגזר הדין שהושת עליו בת"פ 40341/03</w:t>
      </w:r>
      <w:r>
        <w:rPr>
          <w:rFonts w:ascii="Arial" w:hAnsi="Arial" w:cs="Arial"/>
          <w:sz w:val="22"/>
          <w:szCs w:val="22"/>
          <w:rtl/>
        </w:rPr>
        <w:t xml:space="preserve"> (ת/2א).</w:t>
      </w:r>
      <w:r>
        <w:rPr>
          <w:rFonts w:ascii="Arial" w:hAnsi="Arial" w:cs="Arial"/>
          <w:rtl/>
        </w:rPr>
        <w:t xml:space="preserve"> חומרת יתר יש לייחס לכך שהעבירות בוצעו כמעשי נקם בגין פגיעה לכאורה בכבודו. בימים אלו עדים אנו למעשים חמורים המבוצעים על רקע פגיעה לכאורה בכבוד המשפחה. יש להוקיעם ולמגרם באמצעות ענישה קשה וכואבת. בנסיבות אלו, על העונש שיש להשית על הנאשם להימצא ברף העליון של מתחם הענישה. </w:t>
      </w:r>
      <w:r>
        <w:rPr>
          <w:rFonts w:ascii="Arial" w:hAnsi="Arial" w:cs="Arial" w:hint="cs"/>
          <w:rtl/>
        </w:rPr>
        <w:t>עם זאת, בהתחשב בהודאת הנאשם ובקיצור ההליך המשפטי, החלטתי שלא לצבור את מתחמי הענישה זה אל זה ולהפחית מהעונש שברף העליון מספר חודשי מאסר.</w:t>
      </w:r>
    </w:p>
    <w:p w14:paraId="609FDA14" w14:textId="77777777" w:rsidR="006057BC" w:rsidRDefault="006057BC">
      <w:pPr>
        <w:ind w:left="567" w:hanging="567"/>
        <w:jc w:val="both"/>
        <w:rPr>
          <w:rFonts w:ascii="Arial" w:hAnsi="Arial" w:cs="Arial"/>
        </w:rPr>
      </w:pPr>
    </w:p>
    <w:p w14:paraId="6F7E252D" w14:textId="77777777" w:rsidR="006057BC" w:rsidRDefault="00ED2D4F">
      <w:pPr>
        <w:numPr>
          <w:ilvl w:val="0"/>
          <w:numId w:val="1"/>
        </w:numPr>
        <w:spacing w:after="120" w:line="360" w:lineRule="auto"/>
        <w:ind w:left="567" w:hanging="567"/>
        <w:jc w:val="both"/>
        <w:rPr>
          <w:rFonts w:ascii="Arial" w:hAnsi="Arial" w:cs="Arial"/>
        </w:rPr>
      </w:pPr>
      <w:r>
        <w:rPr>
          <w:rFonts w:ascii="Arial" w:hAnsi="Arial" w:cs="Arial"/>
          <w:rtl/>
        </w:rPr>
        <w:t>אשר על כן, אני גוזרת על הנאשם את העונשים הבאים:</w:t>
      </w:r>
    </w:p>
    <w:p w14:paraId="55652F79" w14:textId="77777777" w:rsidR="006057BC" w:rsidRDefault="00ED2D4F">
      <w:pPr>
        <w:pStyle w:val="ListParagraph"/>
        <w:numPr>
          <w:ilvl w:val="0"/>
          <w:numId w:val="4"/>
        </w:numPr>
        <w:spacing w:line="360" w:lineRule="auto"/>
        <w:jc w:val="both"/>
        <w:rPr>
          <w:rFonts w:ascii="Arial" w:hAnsi="Arial" w:cs="Arial"/>
        </w:rPr>
      </w:pPr>
      <w:r>
        <w:rPr>
          <w:rFonts w:ascii="Arial" w:hAnsi="Arial" w:cs="Arial" w:hint="cs"/>
          <w:rtl/>
        </w:rPr>
        <w:t>9.5</w:t>
      </w:r>
      <w:r>
        <w:rPr>
          <w:rFonts w:ascii="Arial" w:hAnsi="Arial" w:cs="Arial"/>
          <w:rtl/>
        </w:rPr>
        <w:t xml:space="preserve"> שנות מאסר בניכוי ימי מעצרו.</w:t>
      </w:r>
    </w:p>
    <w:p w14:paraId="25DB262D" w14:textId="77777777" w:rsidR="006057BC" w:rsidRDefault="00ED2D4F">
      <w:pPr>
        <w:pStyle w:val="ListParagraph"/>
        <w:numPr>
          <w:ilvl w:val="0"/>
          <w:numId w:val="4"/>
        </w:numPr>
        <w:spacing w:line="360" w:lineRule="auto"/>
        <w:jc w:val="both"/>
        <w:rPr>
          <w:rFonts w:ascii="Arial" w:hAnsi="Arial" w:cs="Arial"/>
        </w:rPr>
      </w:pPr>
      <w:r>
        <w:rPr>
          <w:rFonts w:ascii="Arial" w:hAnsi="Arial" w:cs="Arial"/>
          <w:rtl/>
        </w:rPr>
        <w:t xml:space="preserve">מאסר על תנאי לתקופה של 18 חודשים משך שלוש שנים מיום שחרורו של הנאשם מהמאסר והתנאי הוא שלא יעבור עבירות בהן הורשע. </w:t>
      </w:r>
    </w:p>
    <w:p w14:paraId="6354516E" w14:textId="77777777" w:rsidR="006057BC" w:rsidRDefault="00ED2D4F">
      <w:pPr>
        <w:pStyle w:val="ListParagraph"/>
        <w:numPr>
          <w:ilvl w:val="0"/>
          <w:numId w:val="4"/>
        </w:numPr>
        <w:spacing w:line="360" w:lineRule="auto"/>
        <w:jc w:val="both"/>
        <w:rPr>
          <w:rFonts w:ascii="Arial" w:hAnsi="Arial" w:cs="Arial"/>
          <w:rtl/>
        </w:rPr>
      </w:pPr>
      <w:r>
        <w:rPr>
          <w:rFonts w:ascii="Arial" w:hAnsi="Arial" w:cs="Arial"/>
          <w:rtl/>
        </w:rPr>
        <w:t>הנאשם יפצה את המתלוננת גב' חמידה אבו לבן (ת"ז</w:t>
      </w:r>
      <w:r>
        <w:rPr>
          <w:rFonts w:ascii="Arial" w:hAnsi="Arial" w:cs="Arial" w:hint="cs"/>
          <w:rtl/>
        </w:rPr>
        <w:t>:</w:t>
      </w:r>
      <w:r>
        <w:rPr>
          <w:rFonts w:ascii="Arial" w:hAnsi="Arial" w:cs="Arial"/>
          <w:rtl/>
        </w:rPr>
        <w:t xml:space="preserve"> 301982802) בסכום של 10,000 ₪ בגין הסבל שגרם לה. הנאשם יפצה את השכנה, גב' מלי קושא (ת"ז</w:t>
      </w:r>
      <w:r>
        <w:rPr>
          <w:rFonts w:ascii="Arial" w:hAnsi="Arial" w:cs="Arial" w:hint="cs"/>
          <w:rtl/>
        </w:rPr>
        <w:t>:</w:t>
      </w:r>
      <w:r>
        <w:rPr>
          <w:rFonts w:ascii="Arial" w:hAnsi="Arial" w:cs="Arial"/>
          <w:rtl/>
        </w:rPr>
        <w:t xml:space="preserve"> 016746570) בסכום של 100,000 ₪. הנאשם יפצה את מר ניד</w:t>
      </w:r>
      <w:r>
        <w:rPr>
          <w:rFonts w:ascii="Arial" w:hAnsi="Arial" w:cs="Arial" w:hint="cs"/>
          <w:rtl/>
        </w:rPr>
        <w:t>א</w:t>
      </w:r>
      <w:r>
        <w:rPr>
          <w:rFonts w:ascii="Arial" w:hAnsi="Arial" w:cs="Arial"/>
          <w:rtl/>
        </w:rPr>
        <w:t>ל רזוב (ת"ז</w:t>
      </w:r>
      <w:r>
        <w:rPr>
          <w:rFonts w:ascii="Arial" w:hAnsi="Arial" w:cs="Arial" w:hint="cs"/>
          <w:rtl/>
        </w:rPr>
        <w:t>:</w:t>
      </w:r>
      <w:r>
        <w:rPr>
          <w:rFonts w:ascii="Arial" w:hAnsi="Arial" w:cs="Arial"/>
          <w:rtl/>
        </w:rPr>
        <w:t xml:space="preserve"> 858665409) בסכום של 50,000 ₪.</w:t>
      </w:r>
    </w:p>
    <w:p w14:paraId="34C4D4EF" w14:textId="77777777" w:rsidR="006057BC" w:rsidRDefault="00ED2D4F">
      <w:pPr>
        <w:spacing w:line="360" w:lineRule="auto"/>
        <w:ind w:left="720" w:hanging="302"/>
        <w:jc w:val="both"/>
        <w:rPr>
          <w:rFonts w:ascii="Arial" w:hAnsi="Arial" w:cs="Arial"/>
          <w:rtl/>
        </w:rPr>
      </w:pPr>
      <w:r>
        <w:rPr>
          <w:rFonts w:ascii="Arial" w:hAnsi="Arial" w:cs="Arial"/>
          <w:rtl/>
        </w:rPr>
        <w:tab/>
        <w:t>הפיצויים ישולמו לכל אחד מהנפגעים ב – 10 תשלומים שווים ורצופים החל מתאריך 1.1.15 ובכל ה – 1 לחודש שלאחריו. לא ייפרע אחד מהתשלומים למי מהנפגעים, תעמוד מלוא היתרה לפירעון מיידי.</w:t>
      </w:r>
    </w:p>
    <w:p w14:paraId="7E29A4D8" w14:textId="77777777" w:rsidR="006057BC" w:rsidRDefault="006057BC">
      <w:pPr>
        <w:jc w:val="both"/>
        <w:rPr>
          <w:rFonts w:ascii="Arial" w:hAnsi="Arial" w:cs="Arial"/>
          <w:rtl/>
        </w:rPr>
      </w:pPr>
    </w:p>
    <w:p w14:paraId="1EA5F260" w14:textId="77777777" w:rsidR="006057BC" w:rsidRDefault="00ED2D4F">
      <w:pPr>
        <w:spacing w:line="360" w:lineRule="auto"/>
        <w:jc w:val="both"/>
        <w:rPr>
          <w:rFonts w:ascii="Arial" w:hAnsi="Arial" w:cs="Arial"/>
          <w:b/>
          <w:bCs/>
          <w:rtl/>
        </w:rPr>
      </w:pPr>
      <w:r>
        <w:rPr>
          <w:rFonts w:ascii="Arial" w:hAnsi="Arial" w:cs="Arial" w:hint="cs"/>
          <w:b/>
          <w:bCs/>
          <w:rtl/>
        </w:rPr>
        <w:t>זכות ערעור לבית המשפט העליון תוך 45 יום.</w:t>
      </w:r>
    </w:p>
    <w:p w14:paraId="5F5002BF" w14:textId="77777777" w:rsidR="006057BC" w:rsidRDefault="006057BC">
      <w:pPr>
        <w:jc w:val="both"/>
        <w:rPr>
          <w:rFonts w:ascii="Arial" w:hAnsi="Arial" w:cs="Arial"/>
          <w:b/>
          <w:bCs/>
          <w:rtl/>
        </w:rPr>
      </w:pPr>
    </w:p>
    <w:p w14:paraId="1B864A3B" w14:textId="77777777" w:rsidR="006057BC" w:rsidRDefault="00ED2D4F">
      <w:pPr>
        <w:rPr>
          <w:rFonts w:ascii="Arial" w:hAnsi="Arial" w:cs="Arial"/>
          <w:sz w:val="28"/>
          <w:szCs w:val="28"/>
          <w:rtl/>
        </w:rPr>
      </w:pPr>
      <w:r>
        <w:rPr>
          <w:rFonts w:ascii="Arial" w:hAnsi="Arial" w:cs="Arial"/>
          <w:rtl/>
        </w:rPr>
        <w:t xml:space="preserve">ניתן היום,  י"ז חשוון תשע"ה, 10 נובמבר 2014, במעמד הנאשם וב"כ הצדדים. </w:t>
      </w:r>
    </w:p>
    <w:p w14:paraId="09DA820B" w14:textId="77777777" w:rsidR="006057BC" w:rsidRPr="00ED2D4F" w:rsidRDefault="00ED2D4F">
      <w:pPr>
        <w:jc w:val="center"/>
        <w:rPr>
          <w:rFonts w:ascii="Arial" w:hAnsi="Arial" w:cs="Arial"/>
          <w:color w:val="FFFFFF"/>
          <w:sz w:val="2"/>
          <w:szCs w:val="2"/>
          <w:rtl/>
        </w:rPr>
      </w:pPr>
      <w:r w:rsidRPr="00ED2D4F">
        <w:rPr>
          <w:rFonts w:ascii="Arial" w:hAnsi="Arial" w:cs="Arial"/>
          <w:color w:val="FFFFFF"/>
          <w:sz w:val="2"/>
          <w:szCs w:val="2"/>
          <w:rtl/>
        </w:rPr>
        <w:t xml:space="preserve">5129371   </w:t>
      </w:r>
      <w:r w:rsidRPr="00ED2D4F">
        <w:rPr>
          <w:rFonts w:ascii="Arial" w:hAnsi="Arial" w:cs="Arial"/>
          <w:color w:val="FFFFFF"/>
          <w:sz w:val="2"/>
          <w:szCs w:val="2"/>
          <w:rtl/>
        </w:rPr>
        <w:tab/>
      </w:r>
      <w:r w:rsidRPr="00ED2D4F">
        <w:rPr>
          <w:rFonts w:ascii="Arial" w:hAnsi="Arial" w:cs="Arial"/>
          <w:color w:val="FFFFFF"/>
          <w:sz w:val="2"/>
          <w:szCs w:val="2"/>
          <w:rtl/>
        </w:rPr>
        <w:tab/>
      </w:r>
      <w:r w:rsidRPr="00ED2D4F">
        <w:rPr>
          <w:rFonts w:ascii="Arial" w:hAnsi="Arial" w:cs="Arial"/>
          <w:color w:val="FFFFFF"/>
          <w:sz w:val="2"/>
          <w:szCs w:val="2"/>
          <w:rtl/>
        </w:rPr>
        <w:tab/>
      </w:r>
      <w:r w:rsidRPr="00ED2D4F">
        <w:rPr>
          <w:rFonts w:ascii="Arial" w:hAnsi="Arial" w:cs="Arial"/>
          <w:color w:val="FFFFFF"/>
          <w:sz w:val="2"/>
          <w:szCs w:val="2"/>
          <w:rtl/>
        </w:rPr>
        <w:tab/>
      </w:r>
      <w:r w:rsidRPr="00ED2D4F">
        <w:rPr>
          <w:rFonts w:ascii="Arial" w:hAnsi="Arial" w:cs="Arial"/>
          <w:color w:val="FFFFFF"/>
          <w:sz w:val="2"/>
          <w:szCs w:val="2"/>
          <w:rtl/>
        </w:rPr>
        <w:tab/>
      </w:r>
    </w:p>
    <w:tbl>
      <w:tblPr>
        <w:bidiVisual/>
        <w:tblW w:w="0" w:type="auto"/>
        <w:jc w:val="right"/>
        <w:tblLook w:val="01E0" w:firstRow="1" w:lastRow="1" w:firstColumn="1" w:lastColumn="1" w:noHBand="0" w:noVBand="0"/>
      </w:tblPr>
      <w:tblGrid>
        <w:gridCol w:w="3217"/>
      </w:tblGrid>
      <w:tr w:rsidR="006057BC" w14:paraId="1D23B9FC" w14:textId="77777777">
        <w:trPr>
          <w:trHeight w:val="891"/>
          <w:jc w:val="right"/>
        </w:trPr>
        <w:tc>
          <w:tcPr>
            <w:tcW w:w="3217" w:type="dxa"/>
            <w:tcBorders>
              <w:top w:val="nil"/>
              <w:left w:val="nil"/>
              <w:bottom w:val="single" w:sz="4" w:space="0" w:color="auto"/>
              <w:right w:val="nil"/>
            </w:tcBorders>
            <w:vAlign w:val="bottom"/>
          </w:tcPr>
          <w:p w14:paraId="1EBB93D9" w14:textId="77777777" w:rsidR="006057BC" w:rsidRPr="00ED2D4F" w:rsidRDefault="00ED2D4F">
            <w:pPr>
              <w:jc w:val="center"/>
              <w:rPr>
                <w:rFonts w:ascii="Courier New" w:hAnsi="Courier New"/>
                <w:b/>
                <w:bCs/>
                <w:color w:val="FFFFFF"/>
                <w:sz w:val="2"/>
                <w:szCs w:val="2"/>
                <w:rtl/>
              </w:rPr>
            </w:pPr>
            <w:r w:rsidRPr="00ED2D4F">
              <w:rPr>
                <w:rFonts w:ascii="Courier New" w:hAnsi="Courier New"/>
                <w:b/>
                <w:bCs/>
                <w:color w:val="FFFFFF"/>
                <w:sz w:val="2"/>
                <w:szCs w:val="2"/>
                <w:rtl/>
              </w:rPr>
              <w:t>54678313</w:t>
            </w:r>
          </w:p>
        </w:tc>
      </w:tr>
      <w:tr w:rsidR="006057BC" w14:paraId="54919867" w14:textId="77777777">
        <w:trPr>
          <w:trHeight w:val="549"/>
          <w:jc w:val="right"/>
        </w:trPr>
        <w:tc>
          <w:tcPr>
            <w:tcW w:w="3217" w:type="dxa"/>
            <w:tcBorders>
              <w:top w:val="single" w:sz="4" w:space="0" w:color="auto"/>
              <w:left w:val="nil"/>
              <w:bottom w:val="nil"/>
              <w:right w:val="nil"/>
            </w:tcBorders>
            <w:vAlign w:val="bottom"/>
          </w:tcPr>
          <w:p w14:paraId="7EA2BD54" w14:textId="77777777" w:rsidR="006057BC" w:rsidRDefault="00ED2D4F">
            <w:pPr>
              <w:jc w:val="center"/>
              <w:rPr>
                <w:rFonts w:ascii="Arial" w:hAnsi="Arial" w:cs="Arial"/>
                <w:b/>
                <w:bCs/>
              </w:rPr>
            </w:pPr>
            <w:r>
              <w:rPr>
                <w:rFonts w:ascii="Arial" w:hAnsi="Arial" w:cs="Arial"/>
                <w:b/>
                <w:bCs/>
                <w:rtl/>
              </w:rPr>
              <w:t>ורדה מרוז, שופטת</w:t>
            </w:r>
          </w:p>
          <w:p w14:paraId="444635FA" w14:textId="77777777" w:rsidR="006057BC" w:rsidRDefault="00ED2D4F">
            <w:pPr>
              <w:jc w:val="center"/>
              <w:rPr>
                <w:rFonts w:ascii="Courier New" w:hAnsi="Courier New"/>
                <w:b/>
                <w:bCs/>
              </w:rPr>
            </w:pPr>
            <w:r>
              <w:rPr>
                <w:rFonts w:ascii="Arial" w:hAnsi="Arial" w:cs="Arial"/>
                <w:b/>
                <w:bCs/>
                <w:rtl/>
              </w:rPr>
              <w:t>סג"נ</w:t>
            </w:r>
          </w:p>
        </w:tc>
      </w:tr>
    </w:tbl>
    <w:p w14:paraId="7090866D" w14:textId="77777777" w:rsidR="006057BC" w:rsidRDefault="006057BC"/>
    <w:p w14:paraId="7381E9B9" w14:textId="77777777" w:rsidR="006057BC" w:rsidRDefault="006057BC">
      <w:pPr>
        <w:jc w:val="center"/>
        <w:rPr>
          <w:rFonts w:ascii="Arial" w:hAnsi="Arial" w:cs="Arial"/>
          <w:sz w:val="28"/>
          <w:szCs w:val="28"/>
          <w:rtl/>
        </w:rPr>
      </w:pPr>
    </w:p>
    <w:p w14:paraId="59F04E39" w14:textId="77777777" w:rsidR="006057BC" w:rsidRDefault="006057BC">
      <w:pPr>
        <w:rPr>
          <w:rFonts w:ascii="Arial" w:hAnsi="Arial" w:cs="Arial"/>
          <w:sz w:val="28"/>
          <w:szCs w:val="28"/>
          <w:rtl/>
        </w:rPr>
      </w:pPr>
    </w:p>
    <w:p w14:paraId="72F5CFD3" w14:textId="77777777" w:rsidR="006057BC" w:rsidRDefault="006057BC">
      <w:pPr>
        <w:pStyle w:val="a3"/>
        <w:jc w:val="center"/>
        <w:rPr>
          <w:rFonts w:ascii="Arial" w:hAnsi="Arial" w:cs="Arial"/>
          <w:rtl/>
        </w:rPr>
      </w:pPr>
    </w:p>
    <w:p w14:paraId="5B32B9CD" w14:textId="77777777" w:rsidR="00ED2D4F" w:rsidRPr="00ED2D4F" w:rsidRDefault="00ED2D4F" w:rsidP="00ED2D4F">
      <w:pPr>
        <w:keepNext/>
        <w:rPr>
          <w:rFonts w:ascii="David" w:hAnsi="David"/>
          <w:color w:val="000000"/>
          <w:sz w:val="22"/>
          <w:szCs w:val="22"/>
          <w:rtl/>
        </w:rPr>
      </w:pPr>
    </w:p>
    <w:p w14:paraId="440ED9E5" w14:textId="77777777" w:rsidR="00ED2D4F" w:rsidRPr="00ED2D4F" w:rsidRDefault="00ED2D4F" w:rsidP="00ED2D4F">
      <w:pPr>
        <w:keepNext/>
        <w:rPr>
          <w:rFonts w:ascii="David" w:hAnsi="David"/>
          <w:color w:val="000000"/>
          <w:sz w:val="22"/>
          <w:szCs w:val="22"/>
          <w:rtl/>
        </w:rPr>
      </w:pPr>
      <w:r w:rsidRPr="00ED2D4F">
        <w:rPr>
          <w:rFonts w:ascii="David" w:hAnsi="David"/>
          <w:color w:val="000000"/>
          <w:sz w:val="22"/>
          <w:szCs w:val="22"/>
          <w:rtl/>
        </w:rPr>
        <w:t>ורדה מרוז 54678313</w:t>
      </w:r>
    </w:p>
    <w:p w14:paraId="08C9F9AA" w14:textId="77777777" w:rsidR="00ED2D4F" w:rsidRDefault="00ED2D4F" w:rsidP="00ED2D4F">
      <w:r w:rsidRPr="00ED2D4F">
        <w:rPr>
          <w:color w:val="000000"/>
          <w:rtl/>
        </w:rPr>
        <w:t>נוסח מסמך זה כפוף לשינויי ניסוח ועריכה</w:t>
      </w:r>
    </w:p>
    <w:p w14:paraId="477BAF92" w14:textId="77777777" w:rsidR="00ED2D4F" w:rsidRDefault="00ED2D4F" w:rsidP="00ED2D4F">
      <w:pPr>
        <w:rPr>
          <w:rtl/>
        </w:rPr>
      </w:pPr>
    </w:p>
    <w:p w14:paraId="6F0B5272" w14:textId="77777777" w:rsidR="00ED2D4F" w:rsidRDefault="00ED2D4F" w:rsidP="00ED2D4F">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2066DA86" w14:textId="77777777" w:rsidR="006057BC" w:rsidRPr="00ED2D4F" w:rsidRDefault="006057BC" w:rsidP="00ED2D4F">
      <w:pPr>
        <w:jc w:val="center"/>
        <w:rPr>
          <w:color w:val="0000FF"/>
          <w:u w:val="single"/>
        </w:rPr>
      </w:pPr>
    </w:p>
    <w:sectPr w:rsidR="006057BC" w:rsidRPr="00ED2D4F" w:rsidSect="00ED2D4F">
      <w:headerReference w:type="even" r:id="rId27"/>
      <w:headerReference w:type="default" r:id="rId28"/>
      <w:footerReference w:type="even" r:id="rId29"/>
      <w:footerReference w:type="default" r:id="rId30"/>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87715" w14:textId="77777777" w:rsidR="00D17992" w:rsidRPr="00706E8C" w:rsidRDefault="00D17992">
      <w:pPr>
        <w:rPr>
          <w:rFonts w:cs="Arial"/>
          <w:szCs w:val="20"/>
        </w:rPr>
      </w:pPr>
      <w:r>
        <w:separator/>
      </w:r>
    </w:p>
  </w:endnote>
  <w:endnote w:type="continuationSeparator" w:id="0">
    <w:p w14:paraId="4DBB5976" w14:textId="77777777" w:rsidR="00D17992" w:rsidRPr="00706E8C" w:rsidRDefault="00D1799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309DB" w14:textId="77777777" w:rsidR="00ED2D4F" w:rsidRDefault="00ED2D4F" w:rsidP="00ED2D4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5DEFDF" w14:textId="77777777" w:rsidR="006057BC" w:rsidRPr="00ED2D4F" w:rsidRDefault="00ED2D4F" w:rsidP="00ED2D4F">
    <w:pPr>
      <w:pStyle w:val="a4"/>
      <w:pBdr>
        <w:top w:val="single" w:sz="4" w:space="1" w:color="auto"/>
        <w:between w:val="single" w:sz="4" w:space="0" w:color="auto"/>
      </w:pBdr>
      <w:spacing w:after="60"/>
      <w:jc w:val="center"/>
      <w:rPr>
        <w:rFonts w:ascii="FrankRuehl" w:hAnsi="FrankRuehl" w:cs="FrankRuehl"/>
        <w:color w:val="000000"/>
      </w:rPr>
    </w:pPr>
    <w:r w:rsidRPr="00ED2D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EB5BA" w14:textId="77777777" w:rsidR="00ED2D4F" w:rsidRDefault="00ED2D4F" w:rsidP="00ED2D4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7FDA">
      <w:rPr>
        <w:rFonts w:ascii="FrankRuehl" w:hAnsi="FrankRuehl" w:cs="FrankRuehl"/>
        <w:noProof/>
        <w:rtl/>
      </w:rPr>
      <w:t>1</w:t>
    </w:r>
    <w:r>
      <w:rPr>
        <w:rFonts w:ascii="FrankRuehl" w:hAnsi="FrankRuehl" w:cs="FrankRuehl"/>
        <w:rtl/>
      </w:rPr>
      <w:fldChar w:fldCharType="end"/>
    </w:r>
  </w:p>
  <w:p w14:paraId="4DCE6C2C" w14:textId="77777777" w:rsidR="006057BC" w:rsidRPr="00ED2D4F" w:rsidRDefault="00ED2D4F" w:rsidP="00ED2D4F">
    <w:pPr>
      <w:pStyle w:val="a4"/>
      <w:pBdr>
        <w:top w:val="single" w:sz="4" w:space="1" w:color="auto"/>
        <w:between w:val="single" w:sz="4" w:space="0" w:color="auto"/>
      </w:pBdr>
      <w:spacing w:after="60"/>
      <w:jc w:val="center"/>
      <w:rPr>
        <w:rFonts w:ascii="FrankRuehl" w:hAnsi="FrankRuehl" w:cs="FrankRuehl"/>
        <w:color w:val="000000"/>
      </w:rPr>
    </w:pPr>
    <w:r w:rsidRPr="00ED2D4F">
      <w:rPr>
        <w:rFonts w:ascii="FrankRuehl" w:hAnsi="FrankRuehl" w:cs="FrankRuehl"/>
        <w:color w:val="000000"/>
      </w:rPr>
      <w:pict w14:anchorId="08BF2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2853C" w14:textId="77777777" w:rsidR="00D17992" w:rsidRPr="00706E8C" w:rsidRDefault="00D17992">
      <w:pPr>
        <w:rPr>
          <w:rFonts w:cs="Arial"/>
          <w:szCs w:val="20"/>
        </w:rPr>
      </w:pPr>
      <w:r>
        <w:separator/>
      </w:r>
    </w:p>
  </w:footnote>
  <w:footnote w:type="continuationSeparator" w:id="0">
    <w:p w14:paraId="4B9C8BCD" w14:textId="77777777" w:rsidR="00D17992" w:rsidRPr="00706E8C" w:rsidRDefault="00D1799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024B3" w14:textId="77777777" w:rsidR="00ED2D4F" w:rsidRPr="00ED2D4F" w:rsidRDefault="00ED2D4F" w:rsidP="00ED2D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8725-11-13</w:t>
    </w:r>
    <w:r>
      <w:rPr>
        <w:rFonts w:ascii="David" w:hAnsi="David"/>
        <w:color w:val="000000"/>
        <w:sz w:val="22"/>
        <w:szCs w:val="22"/>
        <w:rtl/>
      </w:rPr>
      <w:tab/>
      <w:t xml:space="preserve"> מדינת ישראל נ' מוחמד אבו לבן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9A34" w14:textId="77777777" w:rsidR="00ED2D4F" w:rsidRPr="00ED2D4F" w:rsidRDefault="00ED2D4F" w:rsidP="00ED2D4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8725-11-13</w:t>
    </w:r>
    <w:r>
      <w:rPr>
        <w:rFonts w:ascii="David" w:hAnsi="David"/>
        <w:color w:val="000000"/>
        <w:sz w:val="22"/>
        <w:szCs w:val="22"/>
        <w:rtl/>
      </w:rPr>
      <w:tab/>
      <w:t xml:space="preserve"> מדינת ישראל נ' מוחמד אבו לבן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C106D"/>
    <w:multiLevelType w:val="hybridMultilevel"/>
    <w:tmpl w:val="D232466A"/>
    <w:lvl w:ilvl="0" w:tplc="A2D697AE">
      <w:start w:val="1"/>
      <w:numFmt w:val="decimal"/>
      <w:lvlText w:val="%1."/>
      <w:lvlJc w:val="left"/>
      <w:pPr>
        <w:ind w:left="720" w:hanging="360"/>
      </w:pPr>
      <w:rPr>
        <w:rFonts w:ascii="Arial" w:hAnsi="Arial" w:cs="Arial"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5153FFB"/>
    <w:multiLevelType w:val="hybridMultilevel"/>
    <w:tmpl w:val="8120306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D3557"/>
    <w:multiLevelType w:val="hybridMultilevel"/>
    <w:tmpl w:val="F166666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F1392"/>
    <w:multiLevelType w:val="hybridMultilevel"/>
    <w:tmpl w:val="F13A0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2976748">
    <w:abstractNumId w:val="0"/>
  </w:num>
  <w:num w:numId="2" w16cid:durableId="1763646006">
    <w:abstractNumId w:val="3"/>
  </w:num>
  <w:num w:numId="3" w16cid:durableId="1237863936">
    <w:abstractNumId w:val="1"/>
  </w:num>
  <w:num w:numId="4" w16cid:durableId="736127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7BC"/>
    <w:rsid w:val="001C359D"/>
    <w:rsid w:val="00277FDA"/>
    <w:rsid w:val="003C6F8E"/>
    <w:rsid w:val="004E5F5A"/>
    <w:rsid w:val="006057BC"/>
    <w:rsid w:val="00AC4DEA"/>
    <w:rsid w:val="00D17992"/>
    <w:rsid w:val="00ED2D4F"/>
    <w:rsid w:val="00F66D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533449"/>
  <w15:chartTrackingRefBased/>
  <w15:docId w15:val="{A83FF281-38E5-4EA2-B3AB-F8048330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7B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057BC"/>
    <w:pPr>
      <w:tabs>
        <w:tab w:val="center" w:pos="4153"/>
        <w:tab w:val="right" w:pos="8306"/>
      </w:tabs>
    </w:pPr>
  </w:style>
  <w:style w:type="paragraph" w:styleId="a4">
    <w:name w:val="footer"/>
    <w:basedOn w:val="a"/>
    <w:rsid w:val="006057BC"/>
    <w:pPr>
      <w:tabs>
        <w:tab w:val="center" w:pos="4153"/>
        <w:tab w:val="right" w:pos="8306"/>
      </w:tabs>
    </w:pPr>
  </w:style>
  <w:style w:type="character" w:styleId="a5">
    <w:name w:val="page number"/>
    <w:basedOn w:val="a0"/>
    <w:rsid w:val="006057BC"/>
  </w:style>
  <w:style w:type="paragraph" w:customStyle="1" w:styleId="ListParagraph">
    <w:name w:val="List Paragraph"/>
    <w:basedOn w:val="a"/>
    <w:rsid w:val="006057BC"/>
    <w:pPr>
      <w:ind w:left="720"/>
    </w:pPr>
    <w:rPr>
      <w:rFonts w:cs="Times New Roman"/>
      <w:lang w:eastAsia="he-IL"/>
    </w:rPr>
  </w:style>
  <w:style w:type="character" w:styleId="Hyperlink">
    <w:name w:val="Hyperlink"/>
    <w:basedOn w:val="a0"/>
    <w:rsid w:val="00ED2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law/70301/335.a.1" TargetMode="External"/><Relationship Id="rId18" Type="http://schemas.openxmlformats.org/officeDocument/2006/relationships/hyperlink" Target="http://www.nevo.co.il/law/70301/329.a.1"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33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33"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144.b"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1" TargetMode="External"/><Relationship Id="rId24" Type="http://schemas.openxmlformats.org/officeDocument/2006/relationships/hyperlink" Target="http://www.nevo.co.il/law/70301/40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82.c" TargetMode="External"/><Relationship Id="rId23" Type="http://schemas.openxmlformats.org/officeDocument/2006/relationships/hyperlink" Target="http://www.nevo.co.il/law/70301" TargetMode="External"/><Relationship Id="rId28" Type="http://schemas.openxmlformats.org/officeDocument/2006/relationships/header" Target="header2.xml"/><Relationship Id="rId10" Type="http://schemas.openxmlformats.org/officeDocument/2006/relationships/hyperlink" Target="http://www.nevo.co.il/law/70301/192" TargetMode="External"/><Relationship Id="rId19" Type="http://schemas.openxmlformats.org/officeDocument/2006/relationships/hyperlink" Target="http://www.nevo.co.il/law/70301/329.a.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82.c" TargetMode="External"/><Relationship Id="rId22" Type="http://schemas.openxmlformats.org/officeDocument/2006/relationships/hyperlink" Target="http://www.nevo.co.il/law/70301/335.a.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11879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14226</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6684722</vt:i4>
      </vt:variant>
      <vt:variant>
        <vt:i4>45</vt:i4>
      </vt:variant>
      <vt:variant>
        <vt:i4>0</vt:i4>
      </vt:variant>
      <vt:variant>
        <vt:i4>5</vt:i4>
      </vt:variant>
      <vt:variant>
        <vt:lpwstr>http://www.nevo.co.il/law/70301/335.a.1</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6750270</vt:i4>
      </vt:variant>
      <vt:variant>
        <vt:i4>36</vt:i4>
      </vt:variant>
      <vt:variant>
        <vt:i4>0</vt:i4>
      </vt:variant>
      <vt:variant>
        <vt:i4>5</vt:i4>
      </vt:variant>
      <vt:variant>
        <vt:lpwstr>http://www.nevo.co.il/law/70301/329.a.1</vt:lpwstr>
      </vt:variant>
      <vt:variant>
        <vt:lpwstr/>
      </vt:variant>
      <vt:variant>
        <vt:i4>6750270</vt:i4>
      </vt:variant>
      <vt:variant>
        <vt:i4>33</vt:i4>
      </vt:variant>
      <vt:variant>
        <vt:i4>0</vt:i4>
      </vt:variant>
      <vt:variant>
        <vt:i4>5</vt:i4>
      </vt:variant>
      <vt:variant>
        <vt:lpwstr>http://www.nevo.co.il/law/70301/329.a.1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4390996</vt:i4>
      </vt:variant>
      <vt:variant>
        <vt:i4>24</vt:i4>
      </vt:variant>
      <vt:variant>
        <vt:i4>0</vt:i4>
      </vt:variant>
      <vt:variant>
        <vt:i4>5</vt:i4>
      </vt:variant>
      <vt:variant>
        <vt:lpwstr>http://www.nevo.co.il/law/70301/382.c</vt:lpwstr>
      </vt:variant>
      <vt:variant>
        <vt:lpwstr/>
      </vt:variant>
      <vt:variant>
        <vt:i4>4390996</vt:i4>
      </vt:variant>
      <vt:variant>
        <vt:i4>21</vt:i4>
      </vt:variant>
      <vt:variant>
        <vt:i4>0</vt:i4>
      </vt:variant>
      <vt:variant>
        <vt:i4>5</vt:i4>
      </vt:variant>
      <vt:variant>
        <vt:lpwstr>http://www.nevo.co.il/law/70301/382.c</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8725</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אבו לבן</vt:lpwstr>
  </property>
  <property fmtid="{D5CDD505-2E9C-101B-9397-08002B2CF9AE}" pid="10" name="LAWYER">
    <vt:lpwstr>ליאת גלבוע פ;אשרף אבו ראזק</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20141110</vt:lpwstr>
  </property>
  <property fmtid="{D5CDD505-2E9C-101B-9397-08002B2CF9AE}" pid="14" name="TYPE_N_DATE">
    <vt:lpwstr>39020141110</vt:lpwstr>
  </property>
  <property fmtid="{D5CDD505-2E9C-101B-9397-08002B2CF9AE}" pid="15" name="CASENOTES1">
    <vt:lpwstr>ProcID=209&amp;PartA=40341&amp;PartC=03</vt:lpwstr>
  </property>
  <property fmtid="{D5CDD505-2E9C-101B-9397-08002B2CF9AE}" pid="16" name="WORDNUMPAGES">
    <vt:lpwstr>9</vt:lpwstr>
  </property>
  <property fmtid="{D5CDD505-2E9C-101B-9397-08002B2CF9AE}" pid="17" name="TYPE_ABS_DATE">
    <vt:lpwstr>390020141110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70301/382.c;192;329.a.1;144.b;333;335.a.1;040i</vt:lpwstr>
  </property>
</Properties>
</file>