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112913" w:rsidRPr="004903DB" w14:paraId="4AF4A0C4" w14:textId="77777777">
        <w:trPr>
          <w:trHeight w:hRule="exact" w:val="418"/>
          <w:jc w:val="center"/>
        </w:trPr>
        <w:tc>
          <w:tcPr>
            <w:tcW w:w="8721" w:type="dxa"/>
            <w:gridSpan w:val="2"/>
          </w:tcPr>
          <w:p w14:paraId="6F8E8E43" w14:textId="77777777" w:rsidR="00112913" w:rsidRPr="004903DB" w:rsidRDefault="004903DB">
            <w:pPr>
              <w:pStyle w:val="a3"/>
              <w:jc w:val="center"/>
              <w:rPr>
                <w:rFonts w:ascii="Tahoma" w:hAnsi="Tahoma" w:cs="Tahoma"/>
                <w:color w:val="000080"/>
                <w:rtl/>
              </w:rPr>
            </w:pPr>
            <w:r w:rsidRPr="004903DB">
              <w:rPr>
                <w:rFonts w:ascii="Tahoma" w:hAnsi="Tahoma" w:cs="Tahoma"/>
                <w:b/>
                <w:bCs/>
                <w:color w:val="000080"/>
                <w:rtl/>
              </w:rPr>
              <w:t>בית המשפט המחוזי בחיפה</w:t>
            </w:r>
          </w:p>
        </w:tc>
      </w:tr>
      <w:tr w:rsidR="00112913" w:rsidRPr="004903DB" w14:paraId="37FE73B1" w14:textId="77777777">
        <w:trPr>
          <w:trHeight w:val="337"/>
          <w:jc w:val="center"/>
        </w:trPr>
        <w:tc>
          <w:tcPr>
            <w:tcW w:w="5057" w:type="dxa"/>
          </w:tcPr>
          <w:p w14:paraId="25C865EF" w14:textId="77777777" w:rsidR="00112913" w:rsidRPr="004903DB" w:rsidRDefault="004903DB">
            <w:pPr>
              <w:rPr>
                <w:b/>
                <w:bCs/>
                <w:sz w:val="26"/>
                <w:szCs w:val="26"/>
                <w:rtl/>
              </w:rPr>
            </w:pPr>
            <w:r w:rsidRPr="004903DB">
              <w:rPr>
                <w:b/>
                <w:bCs/>
                <w:sz w:val="26"/>
                <w:szCs w:val="26"/>
                <w:rtl/>
              </w:rPr>
              <w:t>ת"פ</w:t>
            </w:r>
            <w:r w:rsidRPr="004903DB">
              <w:rPr>
                <w:rFonts w:hint="cs"/>
                <w:b/>
                <w:bCs/>
                <w:sz w:val="26"/>
                <w:szCs w:val="26"/>
                <w:rtl/>
              </w:rPr>
              <w:t xml:space="preserve"> </w:t>
            </w:r>
            <w:r w:rsidRPr="004903DB">
              <w:rPr>
                <w:b/>
                <w:bCs/>
                <w:sz w:val="26"/>
                <w:szCs w:val="26"/>
                <w:rtl/>
              </w:rPr>
              <w:t>23537-02-14</w:t>
            </w:r>
            <w:r w:rsidRPr="004903DB">
              <w:rPr>
                <w:rFonts w:hint="cs"/>
                <w:b/>
                <w:bCs/>
                <w:sz w:val="26"/>
                <w:szCs w:val="26"/>
                <w:rtl/>
              </w:rPr>
              <w:t xml:space="preserve"> </w:t>
            </w:r>
            <w:r w:rsidRPr="004903DB">
              <w:rPr>
                <w:b/>
                <w:bCs/>
                <w:sz w:val="26"/>
                <w:szCs w:val="26"/>
                <w:rtl/>
              </w:rPr>
              <w:t>מדינת ישראל נ' עטר(עציר)</w:t>
            </w:r>
          </w:p>
          <w:p w14:paraId="13FB366D" w14:textId="77777777" w:rsidR="00112913" w:rsidRPr="004903DB" w:rsidRDefault="00112913">
            <w:pPr>
              <w:pStyle w:val="a3"/>
              <w:rPr>
                <w:rFonts w:cs="FrankRuehl"/>
                <w:sz w:val="28"/>
                <w:szCs w:val="28"/>
                <w:rtl/>
              </w:rPr>
            </w:pPr>
          </w:p>
        </w:tc>
        <w:tc>
          <w:tcPr>
            <w:tcW w:w="3664" w:type="dxa"/>
          </w:tcPr>
          <w:p w14:paraId="2763BAB5" w14:textId="77777777" w:rsidR="00112913" w:rsidRPr="004903DB" w:rsidRDefault="00112913">
            <w:pPr>
              <w:pStyle w:val="a3"/>
              <w:jc w:val="right"/>
              <w:rPr>
                <w:rFonts w:cs="FrankRuehl"/>
                <w:sz w:val="28"/>
                <w:szCs w:val="28"/>
                <w:rtl/>
              </w:rPr>
            </w:pPr>
          </w:p>
        </w:tc>
      </w:tr>
    </w:tbl>
    <w:p w14:paraId="37A92125" w14:textId="77777777" w:rsidR="00112913" w:rsidRPr="004903DB" w:rsidRDefault="004903DB">
      <w:pPr>
        <w:pStyle w:val="a3"/>
        <w:rPr>
          <w:rtl/>
        </w:rPr>
      </w:pPr>
      <w:r w:rsidRPr="004903DB">
        <w:rPr>
          <w:rFonts w:hint="cs"/>
          <w:rtl/>
        </w:rPr>
        <w:t xml:space="preserve"> </w:t>
      </w:r>
    </w:p>
    <w:p w14:paraId="6E696C18" w14:textId="77777777" w:rsidR="00112913" w:rsidRPr="004903DB" w:rsidRDefault="00112913">
      <w:pPr>
        <w:rPr>
          <w:rtl/>
        </w:rPr>
      </w:pPr>
    </w:p>
    <w:tbl>
      <w:tblPr>
        <w:bidiVisual/>
        <w:tblW w:w="8820" w:type="dxa"/>
        <w:jc w:val="center"/>
        <w:tblLook w:val="04A0" w:firstRow="1" w:lastRow="0" w:firstColumn="1" w:lastColumn="0" w:noHBand="0" w:noVBand="1"/>
      </w:tblPr>
      <w:tblGrid>
        <w:gridCol w:w="3215"/>
        <w:gridCol w:w="2581"/>
        <w:gridCol w:w="236"/>
        <w:gridCol w:w="2605"/>
        <w:gridCol w:w="84"/>
        <w:gridCol w:w="99"/>
      </w:tblGrid>
      <w:tr w:rsidR="00112913" w:rsidRPr="004903DB" w14:paraId="1DA95E9C" w14:textId="77777777" w:rsidTr="00B642BD">
        <w:trPr>
          <w:gridAfter w:val="2"/>
          <w:wAfter w:w="183" w:type="dxa"/>
          <w:trHeight w:val="337"/>
          <w:jc w:val="center"/>
        </w:trPr>
        <w:tc>
          <w:tcPr>
            <w:tcW w:w="5796" w:type="dxa"/>
            <w:gridSpan w:val="2"/>
          </w:tcPr>
          <w:p w14:paraId="5D64C4E3" w14:textId="77777777" w:rsidR="00112913" w:rsidRPr="004903DB" w:rsidRDefault="004903DB">
            <w:pPr>
              <w:spacing w:line="360" w:lineRule="auto"/>
              <w:jc w:val="both"/>
              <w:rPr>
                <w:rFonts w:ascii="David" w:hAnsi="David"/>
                <w:rtl/>
              </w:rPr>
            </w:pPr>
            <w:bookmarkStart w:id="0" w:name="_GoBack"/>
            <w:bookmarkEnd w:id="0"/>
            <w:r w:rsidRPr="004903DB">
              <w:rPr>
                <w:rFonts w:ascii="Arial" w:hAnsi="Arial" w:hint="cs"/>
                <w:b/>
                <w:bCs/>
                <w:rtl/>
              </w:rPr>
              <w:t xml:space="preserve">בפני כב' השופט רון שפירא, סגן </w:t>
            </w:r>
            <w:r w:rsidRPr="004903DB">
              <w:rPr>
                <w:rFonts w:hint="cs"/>
                <w:b/>
                <w:bCs/>
                <w:rtl/>
              </w:rPr>
              <w:t>נשיא</w:t>
            </w:r>
          </w:p>
          <w:p w14:paraId="7DE20F27" w14:textId="77777777" w:rsidR="00112913" w:rsidRPr="004903DB" w:rsidRDefault="00112913">
            <w:pPr>
              <w:jc w:val="both"/>
              <w:rPr>
                <w:b/>
                <w:bCs/>
                <w:sz w:val="26"/>
                <w:szCs w:val="26"/>
              </w:rPr>
            </w:pPr>
          </w:p>
        </w:tc>
        <w:tc>
          <w:tcPr>
            <w:tcW w:w="236" w:type="dxa"/>
          </w:tcPr>
          <w:p w14:paraId="646C5170" w14:textId="77777777" w:rsidR="00112913" w:rsidRPr="004903DB" w:rsidRDefault="00112913">
            <w:pPr>
              <w:pStyle w:val="a3"/>
              <w:jc w:val="both"/>
              <w:rPr>
                <w:b/>
                <w:bCs/>
                <w:sz w:val="26"/>
                <w:szCs w:val="26"/>
              </w:rPr>
            </w:pPr>
          </w:p>
        </w:tc>
        <w:tc>
          <w:tcPr>
            <w:tcW w:w="2605" w:type="dxa"/>
          </w:tcPr>
          <w:p w14:paraId="2A7D22B6" w14:textId="77777777" w:rsidR="00112913" w:rsidRPr="004903DB" w:rsidRDefault="004903DB">
            <w:pPr>
              <w:pStyle w:val="a3"/>
              <w:jc w:val="right"/>
              <w:rPr>
                <w:b/>
                <w:bCs/>
                <w:sz w:val="26"/>
                <w:szCs w:val="26"/>
              </w:rPr>
            </w:pPr>
            <w:r w:rsidRPr="004903DB">
              <w:rPr>
                <w:rFonts w:hint="cs"/>
                <w:rtl/>
              </w:rPr>
              <w:t>23581-02-14</w:t>
            </w:r>
          </w:p>
        </w:tc>
      </w:tr>
      <w:tr w:rsidR="00112913" w:rsidRPr="004903DB" w14:paraId="1EE4AB61" w14:textId="77777777" w:rsidTr="00B642BD">
        <w:tblPrEx>
          <w:jc w:val="left"/>
          <w:tblLook w:val="01E0" w:firstRow="1" w:lastRow="1" w:firstColumn="1" w:lastColumn="1" w:noHBand="0" w:noVBand="0"/>
        </w:tblPrEx>
        <w:trPr>
          <w:gridAfter w:val="1"/>
          <w:wAfter w:w="99" w:type="dxa"/>
        </w:trPr>
        <w:tc>
          <w:tcPr>
            <w:tcW w:w="3215" w:type="dxa"/>
          </w:tcPr>
          <w:p w14:paraId="059F4CE2" w14:textId="77777777" w:rsidR="00112913" w:rsidRPr="004903DB" w:rsidRDefault="004903DB">
            <w:pPr>
              <w:ind w:left="26"/>
              <w:rPr>
                <w:b/>
                <w:bCs/>
                <w:sz w:val="26"/>
                <w:szCs w:val="26"/>
              </w:rPr>
            </w:pPr>
            <w:bookmarkStart w:id="1" w:name="FirstAppellant"/>
            <w:bookmarkStart w:id="2" w:name="LastJudge"/>
            <w:bookmarkEnd w:id="2"/>
            <w:r w:rsidRPr="004903DB">
              <w:rPr>
                <w:rFonts w:hint="cs"/>
                <w:b/>
                <w:bCs/>
                <w:sz w:val="26"/>
                <w:szCs w:val="26"/>
                <w:rtl/>
              </w:rPr>
              <w:t>המאשימה</w:t>
            </w:r>
          </w:p>
        </w:tc>
        <w:tc>
          <w:tcPr>
            <w:tcW w:w="5506" w:type="dxa"/>
            <w:gridSpan w:val="4"/>
          </w:tcPr>
          <w:p w14:paraId="4B553525" w14:textId="77777777" w:rsidR="00112913" w:rsidRPr="004903DB" w:rsidRDefault="004903DB">
            <w:pPr>
              <w:rPr>
                <w:b/>
                <w:bCs/>
                <w:sz w:val="26"/>
                <w:szCs w:val="26"/>
              </w:rPr>
            </w:pPr>
            <w:r w:rsidRPr="004903DB">
              <w:rPr>
                <w:rFonts w:hint="cs"/>
                <w:b/>
                <w:bCs/>
                <w:sz w:val="26"/>
                <w:szCs w:val="26"/>
                <w:rtl/>
              </w:rPr>
              <w:t>מדינת ישראל</w:t>
            </w:r>
          </w:p>
        </w:tc>
      </w:tr>
      <w:bookmarkEnd w:id="1"/>
      <w:tr w:rsidR="00112913" w:rsidRPr="004903DB" w14:paraId="47A03C92" w14:textId="77777777" w:rsidTr="00B642BD">
        <w:tblPrEx>
          <w:jc w:val="left"/>
          <w:tblLook w:val="01E0" w:firstRow="1" w:lastRow="1" w:firstColumn="1" w:lastColumn="1" w:noHBand="0" w:noVBand="0"/>
        </w:tblPrEx>
        <w:trPr>
          <w:gridAfter w:val="1"/>
          <w:wAfter w:w="99" w:type="dxa"/>
        </w:trPr>
        <w:tc>
          <w:tcPr>
            <w:tcW w:w="8721" w:type="dxa"/>
            <w:gridSpan w:val="5"/>
          </w:tcPr>
          <w:p w14:paraId="458F6109" w14:textId="77777777" w:rsidR="00112913" w:rsidRPr="004903DB" w:rsidRDefault="00112913">
            <w:pPr>
              <w:jc w:val="both"/>
              <w:rPr>
                <w:rFonts w:ascii="Arial" w:hAnsi="Arial"/>
                <w:b/>
                <w:bCs/>
                <w:sz w:val="26"/>
                <w:szCs w:val="26"/>
                <w:rtl/>
              </w:rPr>
            </w:pPr>
          </w:p>
          <w:p w14:paraId="288A63F9" w14:textId="77777777" w:rsidR="00112913" w:rsidRPr="004903DB" w:rsidRDefault="004903DB">
            <w:pPr>
              <w:jc w:val="center"/>
              <w:rPr>
                <w:rFonts w:ascii="Arial" w:hAnsi="Arial"/>
                <w:b/>
                <w:bCs/>
                <w:sz w:val="26"/>
                <w:szCs w:val="26"/>
                <w:rtl/>
              </w:rPr>
            </w:pPr>
            <w:r w:rsidRPr="004903DB">
              <w:rPr>
                <w:rFonts w:ascii="Arial" w:hAnsi="Arial" w:hint="cs"/>
                <w:b/>
                <w:bCs/>
                <w:sz w:val="26"/>
                <w:szCs w:val="26"/>
                <w:rtl/>
              </w:rPr>
              <w:t>נגד</w:t>
            </w:r>
          </w:p>
          <w:p w14:paraId="602A08CB" w14:textId="77777777" w:rsidR="00112913" w:rsidRPr="004903DB" w:rsidRDefault="00112913">
            <w:pPr>
              <w:jc w:val="center"/>
              <w:rPr>
                <w:rFonts w:ascii="Arial" w:hAnsi="Arial"/>
                <w:b/>
                <w:bCs/>
                <w:sz w:val="26"/>
                <w:szCs w:val="26"/>
              </w:rPr>
            </w:pPr>
          </w:p>
        </w:tc>
      </w:tr>
      <w:tr w:rsidR="00112913" w:rsidRPr="004903DB" w14:paraId="0E2BF816" w14:textId="77777777" w:rsidTr="00B642BD">
        <w:tblPrEx>
          <w:jc w:val="left"/>
          <w:tblLook w:val="01E0" w:firstRow="1" w:lastRow="1" w:firstColumn="1" w:lastColumn="1" w:noHBand="0" w:noVBand="0"/>
        </w:tblPrEx>
        <w:trPr>
          <w:gridAfter w:val="1"/>
          <w:wAfter w:w="99" w:type="dxa"/>
        </w:trPr>
        <w:tc>
          <w:tcPr>
            <w:tcW w:w="3215" w:type="dxa"/>
          </w:tcPr>
          <w:p w14:paraId="69408B4C" w14:textId="77777777" w:rsidR="00112913" w:rsidRPr="004903DB" w:rsidRDefault="004903DB">
            <w:pPr>
              <w:ind w:left="26"/>
              <w:rPr>
                <w:b/>
                <w:bCs/>
                <w:sz w:val="26"/>
                <w:szCs w:val="26"/>
              </w:rPr>
            </w:pPr>
            <w:r w:rsidRPr="004903DB">
              <w:rPr>
                <w:rFonts w:hint="cs"/>
                <w:b/>
                <w:bCs/>
                <w:sz w:val="26"/>
                <w:szCs w:val="26"/>
                <w:rtl/>
              </w:rPr>
              <w:t>הנאשם</w:t>
            </w:r>
          </w:p>
        </w:tc>
        <w:tc>
          <w:tcPr>
            <w:tcW w:w="5506" w:type="dxa"/>
            <w:gridSpan w:val="4"/>
          </w:tcPr>
          <w:p w14:paraId="6C2CCFC7" w14:textId="77777777" w:rsidR="00112913" w:rsidRPr="004903DB" w:rsidRDefault="004903DB">
            <w:pPr>
              <w:rPr>
                <w:b/>
                <w:bCs/>
                <w:sz w:val="26"/>
                <w:szCs w:val="26"/>
              </w:rPr>
            </w:pPr>
            <w:r w:rsidRPr="004903DB">
              <w:rPr>
                <w:rFonts w:hint="cs"/>
                <w:b/>
                <w:bCs/>
                <w:sz w:val="26"/>
                <w:szCs w:val="26"/>
                <w:rtl/>
              </w:rPr>
              <w:t>מואייד עטר (עציר)</w:t>
            </w:r>
          </w:p>
        </w:tc>
      </w:tr>
      <w:tr w:rsidR="00112913" w14:paraId="154BB580" w14:textId="77777777" w:rsidTr="00B642B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8820" w:type="dxa"/>
            <w:gridSpan w:val="6"/>
            <w:tcBorders>
              <w:top w:val="nil"/>
              <w:left w:val="nil"/>
              <w:bottom w:val="nil"/>
              <w:right w:val="nil"/>
            </w:tcBorders>
          </w:tcPr>
          <w:p w14:paraId="47D921F5" w14:textId="77777777" w:rsidR="00B642BD" w:rsidRDefault="00B642BD" w:rsidP="004903DB">
            <w:pPr>
              <w:jc w:val="center"/>
              <w:rPr>
                <w:rFonts w:ascii="Arial" w:hAnsi="Arial"/>
                <w:sz w:val="28"/>
                <w:szCs w:val="28"/>
                <w:rtl/>
              </w:rPr>
            </w:pPr>
            <w:bookmarkStart w:id="3" w:name="PsakDin" w:colFirst="0" w:colLast="0"/>
            <w:bookmarkStart w:id="4" w:name="LawTable"/>
            <w:bookmarkEnd w:id="4"/>
          </w:p>
          <w:p w14:paraId="6FF89628" w14:textId="77777777" w:rsidR="00B642BD" w:rsidRPr="00B642BD" w:rsidRDefault="00B642BD" w:rsidP="00B642BD">
            <w:pPr>
              <w:spacing w:after="120" w:line="240" w:lineRule="exact"/>
              <w:ind w:left="283" w:hanging="283"/>
              <w:jc w:val="both"/>
              <w:rPr>
                <w:rFonts w:ascii="FrankRuehl" w:hAnsi="FrankRuehl" w:cs="FrankRuehl"/>
                <w:rtl/>
              </w:rPr>
            </w:pPr>
          </w:p>
          <w:p w14:paraId="2EA57AC9" w14:textId="77777777" w:rsidR="00B642BD" w:rsidRPr="00B642BD" w:rsidRDefault="00B642BD" w:rsidP="00B642BD">
            <w:pPr>
              <w:spacing w:after="120" w:line="240" w:lineRule="exact"/>
              <w:ind w:left="283" w:hanging="283"/>
              <w:jc w:val="both"/>
              <w:rPr>
                <w:rFonts w:ascii="FrankRuehl" w:hAnsi="FrankRuehl" w:cs="FrankRuehl"/>
                <w:rtl/>
              </w:rPr>
            </w:pPr>
            <w:r w:rsidRPr="00B642BD">
              <w:rPr>
                <w:rFonts w:ascii="FrankRuehl" w:hAnsi="FrankRuehl" w:cs="FrankRuehl"/>
                <w:rtl/>
              </w:rPr>
              <w:t xml:space="preserve">חקיקה שאוזכרה: </w:t>
            </w:r>
          </w:p>
          <w:p w14:paraId="1D644D69" w14:textId="77777777" w:rsidR="00B642BD" w:rsidRPr="00B642BD" w:rsidRDefault="00B642BD" w:rsidP="00B642BD">
            <w:pPr>
              <w:spacing w:after="120" w:line="240" w:lineRule="exact"/>
              <w:ind w:left="283" w:hanging="283"/>
              <w:jc w:val="both"/>
              <w:rPr>
                <w:rFonts w:ascii="FrankRuehl" w:hAnsi="FrankRuehl" w:cs="FrankRuehl"/>
                <w:rtl/>
              </w:rPr>
            </w:pPr>
            <w:hyperlink r:id="rId6" w:history="1">
              <w:r w:rsidRPr="00B642BD">
                <w:rPr>
                  <w:rFonts w:ascii="FrankRuehl" w:hAnsi="FrankRuehl" w:cs="FrankRuehl"/>
                  <w:color w:val="0000FF"/>
                  <w:u w:val="single"/>
                  <w:rtl/>
                </w:rPr>
                <w:t>חוק העונשין, תשל"ז-1977</w:t>
              </w:r>
            </w:hyperlink>
            <w:r w:rsidRPr="00B642BD">
              <w:rPr>
                <w:rFonts w:ascii="FrankRuehl" w:hAnsi="FrankRuehl" w:cs="FrankRuehl"/>
                <w:rtl/>
              </w:rPr>
              <w:t xml:space="preserve">: סע'  </w:t>
            </w:r>
            <w:hyperlink r:id="rId7" w:history="1">
              <w:r w:rsidRPr="00B642BD">
                <w:rPr>
                  <w:rFonts w:ascii="FrankRuehl" w:hAnsi="FrankRuehl" w:cs="FrankRuehl"/>
                  <w:color w:val="0000FF"/>
                  <w:u w:val="single"/>
                  <w:rtl/>
                </w:rPr>
                <w:t>29</w:t>
              </w:r>
            </w:hyperlink>
            <w:r w:rsidRPr="00B642BD">
              <w:rPr>
                <w:rFonts w:ascii="FrankRuehl" w:hAnsi="FrankRuehl" w:cs="FrankRuehl"/>
                <w:rtl/>
              </w:rPr>
              <w:t xml:space="preserve">, </w:t>
            </w:r>
            <w:hyperlink r:id="rId8" w:history="1">
              <w:r w:rsidRPr="00B642BD">
                <w:rPr>
                  <w:rFonts w:ascii="FrankRuehl" w:hAnsi="FrankRuehl" w:cs="FrankRuehl"/>
                  <w:color w:val="0000FF"/>
                  <w:u w:val="single"/>
                  <w:rtl/>
                </w:rPr>
                <w:t>144(ב)</w:t>
              </w:r>
            </w:hyperlink>
            <w:r w:rsidRPr="00B642BD">
              <w:rPr>
                <w:rFonts w:ascii="FrankRuehl" w:hAnsi="FrankRuehl" w:cs="FrankRuehl"/>
                <w:rtl/>
              </w:rPr>
              <w:t xml:space="preserve">, </w:t>
            </w:r>
            <w:hyperlink r:id="rId9" w:history="1">
              <w:r w:rsidRPr="00B642BD">
                <w:rPr>
                  <w:rFonts w:ascii="FrankRuehl" w:hAnsi="FrankRuehl" w:cs="FrankRuehl"/>
                  <w:color w:val="0000FF"/>
                  <w:u w:val="single"/>
                  <w:rtl/>
                </w:rPr>
                <w:t>192</w:t>
              </w:r>
            </w:hyperlink>
          </w:p>
          <w:p w14:paraId="2BFA6733" w14:textId="77777777" w:rsidR="00B642BD" w:rsidRPr="00B642BD" w:rsidRDefault="00B642BD" w:rsidP="00B642BD">
            <w:pPr>
              <w:spacing w:after="120" w:line="240" w:lineRule="exact"/>
              <w:ind w:left="283" w:hanging="283"/>
              <w:jc w:val="both"/>
              <w:rPr>
                <w:rFonts w:ascii="FrankRuehl" w:hAnsi="FrankRuehl" w:cs="FrankRuehl"/>
                <w:rtl/>
              </w:rPr>
            </w:pPr>
          </w:p>
          <w:p w14:paraId="4055CFE4" w14:textId="77777777" w:rsidR="00B642BD" w:rsidRPr="00B642BD" w:rsidRDefault="00B642BD" w:rsidP="004903DB">
            <w:pPr>
              <w:jc w:val="center"/>
              <w:rPr>
                <w:rFonts w:ascii="Arial" w:hAnsi="Arial"/>
                <w:sz w:val="28"/>
                <w:szCs w:val="28"/>
                <w:rtl/>
              </w:rPr>
            </w:pPr>
            <w:bookmarkStart w:id="5" w:name="LawTable_End"/>
            <w:bookmarkEnd w:id="5"/>
          </w:p>
          <w:p w14:paraId="371538CB" w14:textId="77777777" w:rsidR="004903DB" w:rsidRPr="004903DB" w:rsidRDefault="004903DB" w:rsidP="004903DB">
            <w:pPr>
              <w:jc w:val="center"/>
              <w:rPr>
                <w:rFonts w:ascii="Arial" w:hAnsi="Arial"/>
                <w:b/>
                <w:bCs/>
                <w:sz w:val="28"/>
                <w:szCs w:val="28"/>
                <w:u w:val="single"/>
                <w:rtl/>
              </w:rPr>
            </w:pPr>
            <w:r w:rsidRPr="004903DB">
              <w:rPr>
                <w:rFonts w:ascii="Arial" w:hAnsi="Arial"/>
                <w:b/>
                <w:bCs/>
                <w:sz w:val="28"/>
                <w:szCs w:val="28"/>
                <w:u w:val="single"/>
                <w:rtl/>
              </w:rPr>
              <w:t>גזר דין</w:t>
            </w:r>
          </w:p>
          <w:p w14:paraId="44308ADA" w14:textId="77777777" w:rsidR="00112913" w:rsidRPr="004903DB" w:rsidRDefault="00112913" w:rsidP="004903DB">
            <w:pPr>
              <w:jc w:val="center"/>
              <w:rPr>
                <w:rFonts w:ascii="Arial" w:hAnsi="Arial"/>
                <w:bCs/>
                <w:sz w:val="28"/>
                <w:szCs w:val="28"/>
                <w:u w:val="single"/>
                <w:rtl/>
              </w:rPr>
            </w:pPr>
          </w:p>
        </w:tc>
      </w:tr>
      <w:bookmarkEnd w:id="3"/>
    </w:tbl>
    <w:p w14:paraId="147E9CFC" w14:textId="77777777" w:rsidR="00112913" w:rsidRDefault="00112913">
      <w:pPr>
        <w:spacing w:line="360" w:lineRule="auto"/>
        <w:jc w:val="both"/>
        <w:rPr>
          <w:rtl/>
        </w:rPr>
      </w:pPr>
    </w:p>
    <w:p w14:paraId="58592CD6" w14:textId="77777777" w:rsidR="00112913" w:rsidRDefault="004903DB">
      <w:pPr>
        <w:spacing w:line="360" w:lineRule="auto"/>
        <w:jc w:val="both"/>
        <w:rPr>
          <w:b/>
          <w:bCs/>
          <w:u w:val="single"/>
          <w:rtl/>
        </w:rPr>
      </w:pPr>
      <w:r>
        <w:rPr>
          <w:rFonts w:hint="cs"/>
          <w:b/>
          <w:bCs/>
          <w:u w:val="single"/>
          <w:rtl/>
        </w:rPr>
        <w:t>העבירות שבביצוען הורשע הנאשם והרקע להליך:</w:t>
      </w:r>
    </w:p>
    <w:p w14:paraId="7019FDE8" w14:textId="77777777" w:rsidR="00112913" w:rsidRDefault="004903DB">
      <w:pPr>
        <w:spacing w:line="360" w:lineRule="auto"/>
        <w:jc w:val="both"/>
        <w:rPr>
          <w:rtl/>
        </w:rPr>
      </w:pPr>
      <w:bookmarkStart w:id="6" w:name="ABSTRACT_START"/>
      <w:bookmarkEnd w:id="6"/>
      <w:r>
        <w:rPr>
          <w:rtl/>
        </w:rPr>
        <w:t>מ</w:t>
      </w:r>
      <w:r>
        <w:rPr>
          <w:rFonts w:hint="cs"/>
          <w:rtl/>
        </w:rPr>
        <w:t>ו</w:t>
      </w:r>
      <w:r>
        <w:rPr>
          <w:rtl/>
        </w:rPr>
        <w:t xml:space="preserve">אייד עטר (להלן: "הנאשם") הורשע, על פי הודאתו במסגרת הסדר טיעון, בעבירה של נשיאה </w:t>
      </w:r>
      <w:r>
        <w:rPr>
          <w:rFonts w:hint="cs"/>
          <w:rtl/>
        </w:rPr>
        <w:t>ו</w:t>
      </w:r>
      <w:r>
        <w:rPr>
          <w:rtl/>
        </w:rPr>
        <w:t xml:space="preserve">הובלה של נשק שלא כדין (לפי </w:t>
      </w:r>
      <w:hyperlink r:id="rId10" w:history="1">
        <w:r w:rsidR="00242827" w:rsidRPr="00242827">
          <w:rPr>
            <w:rStyle w:val="Hyperlink"/>
            <w:rtl/>
          </w:rPr>
          <w:t>סעיף 144(ב)</w:t>
        </w:r>
      </w:hyperlink>
      <w:r>
        <w:rPr>
          <w:rtl/>
        </w:rPr>
        <w:t xml:space="preserve"> + </w:t>
      </w:r>
      <w:hyperlink r:id="rId11" w:history="1">
        <w:r w:rsidR="00242827" w:rsidRPr="00242827">
          <w:rPr>
            <w:rStyle w:val="Hyperlink"/>
            <w:rtl/>
          </w:rPr>
          <w:t>29</w:t>
        </w:r>
      </w:hyperlink>
      <w:r>
        <w:rPr>
          <w:rtl/>
        </w:rPr>
        <w:t xml:space="preserve"> ל</w:t>
      </w:r>
      <w:hyperlink r:id="rId12" w:history="1">
        <w:r w:rsidRPr="004903DB">
          <w:rPr>
            <w:color w:val="0000FF"/>
            <w:u w:val="single"/>
            <w:rtl/>
          </w:rPr>
          <w:t>חוק העונשין</w:t>
        </w:r>
      </w:hyperlink>
      <w:r>
        <w:rPr>
          <w:rtl/>
        </w:rPr>
        <w:t xml:space="preserve">, התשל"ז – 1977) וכן בעבירת איומים (לפי </w:t>
      </w:r>
      <w:hyperlink r:id="rId13" w:history="1">
        <w:r w:rsidR="00242827" w:rsidRPr="00242827">
          <w:rPr>
            <w:rStyle w:val="Hyperlink"/>
            <w:rtl/>
          </w:rPr>
          <w:t>סעיף 192</w:t>
        </w:r>
      </w:hyperlink>
      <w:r>
        <w:rPr>
          <w:rtl/>
        </w:rPr>
        <w:t xml:space="preserve"> + </w:t>
      </w:r>
      <w:hyperlink r:id="rId14" w:history="1">
        <w:r w:rsidR="00242827" w:rsidRPr="00242827">
          <w:rPr>
            <w:rStyle w:val="Hyperlink"/>
            <w:rtl/>
          </w:rPr>
          <w:t>סעיף 29</w:t>
        </w:r>
      </w:hyperlink>
      <w:r>
        <w:rPr>
          <w:rtl/>
        </w:rPr>
        <w:t xml:space="preserve"> לחוק העונשין).  </w:t>
      </w:r>
    </w:p>
    <w:p w14:paraId="302EAA43" w14:textId="77777777" w:rsidR="00112913" w:rsidRDefault="00112913">
      <w:pPr>
        <w:spacing w:line="360" w:lineRule="auto"/>
        <w:jc w:val="both"/>
        <w:rPr>
          <w:rtl/>
        </w:rPr>
      </w:pPr>
      <w:bookmarkStart w:id="7" w:name="ABSTRACT_END"/>
      <w:bookmarkEnd w:id="7"/>
    </w:p>
    <w:p w14:paraId="0946A549" w14:textId="77777777" w:rsidR="00112913" w:rsidRDefault="004903DB">
      <w:pPr>
        <w:spacing w:line="360" w:lineRule="auto"/>
        <w:jc w:val="both"/>
        <w:rPr>
          <w:rtl/>
        </w:rPr>
      </w:pPr>
      <w:r>
        <w:rPr>
          <w:rtl/>
        </w:rPr>
        <w:t>על פי האמור ב</w:t>
      </w:r>
      <w:r>
        <w:rPr>
          <w:rFonts w:hint="cs"/>
          <w:rtl/>
        </w:rPr>
        <w:t>כתב ה</w:t>
      </w:r>
      <w:r>
        <w:rPr>
          <w:rtl/>
        </w:rPr>
        <w:t>אישום, ביום 2.1.14 הנאשם</w:t>
      </w:r>
      <w:r>
        <w:rPr>
          <w:rFonts w:hint="cs"/>
          <w:rtl/>
        </w:rPr>
        <w:t>,</w:t>
      </w:r>
      <w:r>
        <w:rPr>
          <w:rtl/>
        </w:rPr>
        <w:t xml:space="preserve"> ביחד עם עומר מאדי (להלן: "האחר" או "הנאשם הנוסף") שהו במחציתם של שניים אחרים בשם רמי מוסלמני ועבד ג'מל, כאשר בשלב מסוים הנאשם ועבד ג'מל החלו להתקוטט, ולאחר מכן כולם עזבו את המקום. </w:t>
      </w:r>
    </w:p>
    <w:p w14:paraId="763F85EF" w14:textId="77777777" w:rsidR="00112913" w:rsidRDefault="00112913">
      <w:pPr>
        <w:spacing w:line="360" w:lineRule="auto"/>
        <w:jc w:val="both"/>
        <w:rPr>
          <w:rtl/>
        </w:rPr>
      </w:pPr>
    </w:p>
    <w:p w14:paraId="7E02064D" w14:textId="77777777" w:rsidR="00112913" w:rsidRDefault="004903DB">
      <w:pPr>
        <w:spacing w:line="360" w:lineRule="auto"/>
        <w:jc w:val="both"/>
        <w:rPr>
          <w:rtl/>
        </w:rPr>
      </w:pPr>
      <w:r>
        <w:rPr>
          <w:rtl/>
        </w:rPr>
        <w:t>בהמשך, הצטייד האחר באקדח, וביחד עם הנאשם הלכו יחדיו במטרה למצוא את עבד ג'מל ומקורביו. הנאשם והאחר מצאו את עבד ג'מל</w:t>
      </w:r>
      <w:r>
        <w:rPr>
          <w:rFonts w:hint="cs"/>
          <w:rtl/>
        </w:rPr>
        <w:t>, אשר</w:t>
      </w:r>
      <w:r>
        <w:rPr>
          <w:rtl/>
        </w:rPr>
        <w:t xml:space="preserve"> שהה יחד עם אביו ואנשים נוספים ברחוב ז'בוטינסקי בעכו, וביניהם שהה גם ניקסון עבד אלקאדר (להלן: "המנוח"), שהגיע למקום במטרה לגבש סולחה בין הצדדים. בשלב זה, האחר שלף את אקדחו וכיוון את האקדח לעבר האנשים, שהחלו במנוסה משהבחינו בנשק. האחר פתח לעברם בירי, וירה כ-17 כדורים לעברם. כדור אחד פגע בראשו של המנוח, וגרם למותו.</w:t>
      </w:r>
    </w:p>
    <w:p w14:paraId="2EB8A824" w14:textId="77777777" w:rsidR="00112913" w:rsidRDefault="00112913">
      <w:pPr>
        <w:spacing w:line="360" w:lineRule="auto"/>
        <w:jc w:val="both"/>
        <w:rPr>
          <w:rtl/>
        </w:rPr>
      </w:pPr>
    </w:p>
    <w:p w14:paraId="7D1743C4" w14:textId="77777777" w:rsidR="00112913" w:rsidRDefault="004903DB">
      <w:pPr>
        <w:spacing w:line="360" w:lineRule="auto"/>
        <w:jc w:val="both"/>
        <w:rPr>
          <w:rtl/>
        </w:rPr>
      </w:pPr>
      <w:r>
        <w:rPr>
          <w:rtl/>
        </w:rPr>
        <w:t xml:space="preserve">לאחר מכן, נמלטו והנאשם והאחר מהמקום, ובמנוסתם, הבחינו באחיינו של המנוח, מוסא חטיב, ולבקשת הנאשם שייפגע במוסא, כיוון האחר את האקדח לעברו של מוסא ואיים עליו. </w:t>
      </w:r>
    </w:p>
    <w:p w14:paraId="008FBC7B" w14:textId="77777777" w:rsidR="00112913" w:rsidRDefault="00112913">
      <w:pPr>
        <w:spacing w:line="360" w:lineRule="auto"/>
        <w:jc w:val="both"/>
        <w:rPr>
          <w:rtl/>
        </w:rPr>
      </w:pPr>
    </w:p>
    <w:p w14:paraId="253E5AFB" w14:textId="77777777" w:rsidR="00112913" w:rsidRDefault="004903DB">
      <w:pPr>
        <w:spacing w:line="360" w:lineRule="auto"/>
        <w:jc w:val="both"/>
        <w:rPr>
          <w:rtl/>
        </w:rPr>
      </w:pPr>
      <w:r>
        <w:rPr>
          <w:rtl/>
        </w:rPr>
        <w:t xml:space="preserve">יצוין כי תחילה הוגשו שני כתבי אישום נפרדים נגד הנאשם והאחר, לאחר מכן אוחד ההליך לנוכח זהות העדים, ולאחר שנשמעו מספר עדי תביעה, הודיעו הצדדים כי הגיעו להסדר טיעון שאינו כולל </w:t>
      </w:r>
      <w:r>
        <w:rPr>
          <w:rtl/>
        </w:rPr>
        <w:lastRenderedPageBreak/>
        <w:t xml:space="preserve">הסדר לעניין העונש, </w:t>
      </w:r>
      <w:r>
        <w:rPr>
          <w:rFonts w:hint="cs"/>
          <w:rtl/>
        </w:rPr>
        <w:t>ו</w:t>
      </w:r>
      <w:r>
        <w:rPr>
          <w:rtl/>
        </w:rPr>
        <w:t>לפיכך הופרד</w:t>
      </w:r>
      <w:r>
        <w:rPr>
          <w:rFonts w:hint="cs"/>
          <w:rtl/>
        </w:rPr>
        <w:t xml:space="preserve"> הליך בירור</w:t>
      </w:r>
      <w:r>
        <w:rPr>
          <w:rtl/>
        </w:rPr>
        <w:t xml:space="preserve"> האישומים. </w:t>
      </w:r>
      <w:r>
        <w:rPr>
          <w:rFonts w:hint="cs"/>
          <w:rtl/>
        </w:rPr>
        <w:t xml:space="preserve"> </w:t>
      </w:r>
      <w:r>
        <w:rPr>
          <w:rtl/>
        </w:rPr>
        <w:t>עוד יצוין כי משפטו של הנאשם הנוסף נמצא בשלב של שמיעת הראיות.</w:t>
      </w:r>
    </w:p>
    <w:p w14:paraId="64350DAC" w14:textId="77777777" w:rsidR="00112913" w:rsidRDefault="004903DB">
      <w:pPr>
        <w:bidi w:val="0"/>
        <w:rPr>
          <w:rtl/>
        </w:rPr>
      </w:pPr>
      <w:r>
        <w:rPr>
          <w:rtl/>
        </w:rPr>
        <w:br w:type="page"/>
      </w:r>
    </w:p>
    <w:p w14:paraId="625A778E" w14:textId="77777777" w:rsidR="00112913" w:rsidRDefault="004903DB">
      <w:pPr>
        <w:spacing w:line="360" w:lineRule="auto"/>
        <w:jc w:val="both"/>
        <w:rPr>
          <w:b/>
          <w:bCs/>
          <w:u w:val="single"/>
          <w:rtl/>
        </w:rPr>
      </w:pPr>
      <w:r>
        <w:rPr>
          <w:b/>
          <w:bCs/>
          <w:u w:val="single"/>
          <w:rtl/>
        </w:rPr>
        <w:t>טענות הצדדים לעונש</w:t>
      </w:r>
    </w:p>
    <w:p w14:paraId="43A972AE" w14:textId="77777777" w:rsidR="00112913" w:rsidRDefault="004903DB">
      <w:pPr>
        <w:spacing w:line="360" w:lineRule="auto"/>
        <w:jc w:val="both"/>
        <w:rPr>
          <w:rtl/>
        </w:rPr>
      </w:pPr>
      <w:r>
        <w:rPr>
          <w:rtl/>
        </w:rPr>
        <w:t xml:space="preserve">המאשימה טענה למתחם ענישה הנע בין שנתיים לארבע שנות מאסר בפועל. </w:t>
      </w:r>
    </w:p>
    <w:p w14:paraId="56A14CDC" w14:textId="77777777" w:rsidR="00112913" w:rsidRDefault="00112913">
      <w:pPr>
        <w:spacing w:line="360" w:lineRule="auto"/>
        <w:jc w:val="both"/>
        <w:rPr>
          <w:rtl/>
        </w:rPr>
      </w:pPr>
    </w:p>
    <w:p w14:paraId="050E70FD" w14:textId="77777777" w:rsidR="00112913" w:rsidRDefault="004903DB">
      <w:pPr>
        <w:spacing w:line="360" w:lineRule="auto"/>
        <w:jc w:val="both"/>
        <w:rPr>
          <w:rtl/>
        </w:rPr>
      </w:pPr>
      <w:r>
        <w:rPr>
          <w:rtl/>
        </w:rPr>
        <w:t xml:space="preserve">לטענתה הנסיבות המשקפות את האירוע הן חמורות מאוד ונמצאות ברף החומרה הגבוה, הן לעניין הירי שבוצע לעבר קבוצה של אנשים הנמלטים על חייהם, והן לאיומים בעזרת "אקדח מעשן" על אדם שנתקלו בו, תוך שהנאשם מבקש מהאחר שיפגע בו. כל אלו, לטענת המאשימה, מחייבים ענישה הולמת. </w:t>
      </w:r>
    </w:p>
    <w:p w14:paraId="16113DF4" w14:textId="77777777" w:rsidR="00112913" w:rsidRDefault="00112913">
      <w:pPr>
        <w:spacing w:line="360" w:lineRule="auto"/>
        <w:jc w:val="both"/>
        <w:rPr>
          <w:rtl/>
        </w:rPr>
      </w:pPr>
    </w:p>
    <w:p w14:paraId="2E827B47" w14:textId="77777777" w:rsidR="00112913" w:rsidRDefault="004903DB">
      <w:pPr>
        <w:spacing w:line="360" w:lineRule="auto"/>
        <w:jc w:val="both"/>
        <w:rPr>
          <w:rtl/>
        </w:rPr>
      </w:pPr>
      <w:r>
        <w:rPr>
          <w:rtl/>
        </w:rPr>
        <w:t>עוד נטען כי יש לבחון את מדיניות הענישה הראויה, ולא רק את הנהוגה, מאחר וייתכנו פערים ביניהן</w:t>
      </w:r>
      <w:r>
        <w:rPr>
          <w:rFonts w:hint="cs"/>
          <w:rtl/>
        </w:rPr>
        <w:t>.</w:t>
      </w:r>
      <w:r>
        <w:rPr>
          <w:rtl/>
        </w:rPr>
        <w:t xml:space="preserve"> כך שגם אם מתחם הענישה לא משקף את הענישה הנוהגת, הוא משקף את הענישה הראויה. בכל אופן, המתחם אליו טענה משקף נכונה את חומרת האירוע ונסיבותיו האישיות של הנאשם. </w:t>
      </w:r>
    </w:p>
    <w:p w14:paraId="5EC03120" w14:textId="77777777" w:rsidR="00112913" w:rsidRDefault="00112913">
      <w:pPr>
        <w:spacing w:line="360" w:lineRule="auto"/>
        <w:jc w:val="both"/>
        <w:rPr>
          <w:rtl/>
        </w:rPr>
      </w:pPr>
    </w:p>
    <w:p w14:paraId="0E298CC4" w14:textId="77777777" w:rsidR="00112913" w:rsidRDefault="004903DB">
      <w:pPr>
        <w:spacing w:line="360" w:lineRule="auto"/>
        <w:jc w:val="both"/>
        <w:rPr>
          <w:rtl/>
        </w:rPr>
      </w:pPr>
      <w:r>
        <w:rPr>
          <w:rtl/>
        </w:rPr>
        <w:t xml:space="preserve">ב"כ הנאשם ביקש להדגיש כי לנאשם לא יוחס שום חלק מאירוע הירי או מתוצאותיו, </w:t>
      </w:r>
      <w:r>
        <w:rPr>
          <w:rFonts w:hint="cs"/>
          <w:rtl/>
        </w:rPr>
        <w:t>ו</w:t>
      </w:r>
      <w:r>
        <w:rPr>
          <w:rtl/>
        </w:rPr>
        <w:t>לפיכך מד</w:t>
      </w:r>
      <w:r>
        <w:rPr>
          <w:rFonts w:hint="cs"/>
          <w:rtl/>
        </w:rPr>
        <w:t>ו</w:t>
      </w:r>
      <w:r>
        <w:rPr>
          <w:rtl/>
        </w:rPr>
        <w:t>בר בעבירות המשקפות את היותו עד למעשים וידיעתו על הנשק שהיה ברשותו של הנאשם הנוסף</w:t>
      </w:r>
      <w:r>
        <w:rPr>
          <w:rFonts w:hint="cs"/>
          <w:rtl/>
        </w:rPr>
        <w:t>.</w:t>
      </w:r>
      <w:r>
        <w:rPr>
          <w:rtl/>
        </w:rPr>
        <w:t xml:space="preserve"> </w:t>
      </w:r>
      <w:r>
        <w:rPr>
          <w:rFonts w:hint="cs"/>
          <w:rtl/>
        </w:rPr>
        <w:t>למעשה</w:t>
      </w:r>
      <w:r>
        <w:rPr>
          <w:rtl/>
        </w:rPr>
        <w:t>, כל העבירות המיוחסות לנאשם מתייחס</w:t>
      </w:r>
      <w:r>
        <w:rPr>
          <w:rFonts w:hint="cs"/>
          <w:rtl/>
        </w:rPr>
        <w:t>ות</w:t>
      </w:r>
      <w:r>
        <w:rPr>
          <w:rtl/>
        </w:rPr>
        <w:t xml:space="preserve"> למעשים שנעשו לאחר הירי. </w:t>
      </w:r>
    </w:p>
    <w:p w14:paraId="6B0A0382" w14:textId="77777777" w:rsidR="00112913" w:rsidRDefault="00112913">
      <w:pPr>
        <w:spacing w:line="360" w:lineRule="auto"/>
        <w:jc w:val="both"/>
        <w:rPr>
          <w:rtl/>
        </w:rPr>
      </w:pPr>
    </w:p>
    <w:p w14:paraId="7A3576ED" w14:textId="77777777" w:rsidR="00112913" w:rsidRDefault="004903DB">
      <w:pPr>
        <w:spacing w:line="360" w:lineRule="auto"/>
        <w:jc w:val="both"/>
        <w:rPr>
          <w:rtl/>
        </w:rPr>
      </w:pPr>
      <w:r>
        <w:rPr>
          <w:rtl/>
        </w:rPr>
        <w:t>עוד נטען כי אשמו של הנאשם בעבירת הנשק מסתכם בידיעה בלבד, כך שהוא לא ביצע את ה</w:t>
      </w:r>
      <w:r>
        <w:rPr>
          <w:rFonts w:hint="cs"/>
          <w:rtl/>
        </w:rPr>
        <w:t>מעשה</w:t>
      </w:r>
      <w:r>
        <w:rPr>
          <w:rtl/>
        </w:rPr>
        <w:t xml:space="preserve"> הפיזי של נשיאה, אלא הוא רק מודע לכך שהאחר נושא נשק. בנוסף, הידיעה על הנשק אירעה בזמן ההימלטות ולאחר ביצוע הירי ע"י האחר ועל רקע הפתעתו של הנאשם מהשתלשלות האירועים.</w:t>
      </w:r>
    </w:p>
    <w:p w14:paraId="70206718" w14:textId="77777777" w:rsidR="00112913" w:rsidRDefault="00112913">
      <w:pPr>
        <w:spacing w:line="360" w:lineRule="auto"/>
        <w:jc w:val="both"/>
        <w:rPr>
          <w:rtl/>
        </w:rPr>
      </w:pPr>
    </w:p>
    <w:p w14:paraId="261FED72" w14:textId="77777777" w:rsidR="00112913" w:rsidRDefault="004903DB">
      <w:pPr>
        <w:spacing w:line="360" w:lineRule="auto"/>
        <w:jc w:val="both"/>
        <w:rPr>
          <w:rtl/>
        </w:rPr>
      </w:pPr>
      <w:r>
        <w:rPr>
          <w:rtl/>
        </w:rPr>
        <w:t>לעניין מתחם הענישה, ב"כ הנאשם טען כי הענישה הנוהגת ביחס למי שנשא בפועל את הנשק על גופו נעה בין מספר חודשי עבודות שירות לבין שנת מאסר בפועל</w:t>
      </w:r>
      <w:r>
        <w:rPr>
          <w:rFonts w:hint="cs"/>
          <w:rtl/>
        </w:rPr>
        <w:t>. בענייננו, לטענתו,</w:t>
      </w:r>
      <w:r>
        <w:rPr>
          <w:rtl/>
        </w:rPr>
        <w:t xml:space="preserve"> העונש אמור להיות פחו</w:t>
      </w:r>
      <w:r>
        <w:rPr>
          <w:rFonts w:hint="cs"/>
          <w:rtl/>
        </w:rPr>
        <w:t>ּ</w:t>
      </w:r>
      <w:r>
        <w:rPr>
          <w:rtl/>
        </w:rPr>
        <w:t xml:space="preserve">ת יותר, לנוכח הידיעה בלבד, </w:t>
      </w:r>
      <w:r>
        <w:rPr>
          <w:rFonts w:hint="cs"/>
          <w:rtl/>
        </w:rPr>
        <w:t>ו</w:t>
      </w:r>
      <w:r>
        <w:rPr>
          <w:rtl/>
        </w:rPr>
        <w:t xml:space="preserve">לפיכך יש להסתפק בתקופת מעצרו בלבד (כשלושה חודשים במצטבר). </w:t>
      </w:r>
    </w:p>
    <w:p w14:paraId="31E4ED48" w14:textId="77777777" w:rsidR="00112913" w:rsidRDefault="00112913">
      <w:pPr>
        <w:spacing w:line="360" w:lineRule="auto"/>
        <w:jc w:val="both"/>
        <w:rPr>
          <w:rtl/>
        </w:rPr>
      </w:pPr>
    </w:p>
    <w:p w14:paraId="366FA5D8" w14:textId="77777777" w:rsidR="00112913" w:rsidRDefault="004903DB">
      <w:pPr>
        <w:spacing w:line="360" w:lineRule="auto"/>
        <w:jc w:val="both"/>
        <w:rPr>
          <w:rtl/>
        </w:rPr>
      </w:pPr>
      <w:r>
        <w:rPr>
          <w:rtl/>
        </w:rPr>
        <w:t xml:space="preserve">עוד נטען כי נסיבותיו האישיות של הנאשם, גילו הצעיר (יליד 1991) ועברו </w:t>
      </w:r>
      <w:r>
        <w:rPr>
          <w:rFonts w:hint="cs"/>
          <w:rtl/>
        </w:rPr>
        <w:t>הנקי ממעורבות ב</w:t>
      </w:r>
      <w:r>
        <w:rPr>
          <w:rtl/>
        </w:rPr>
        <w:t>פלילי</w:t>
      </w:r>
      <w:r>
        <w:rPr>
          <w:rFonts w:hint="cs"/>
          <w:rtl/>
        </w:rPr>
        <w:t>ם</w:t>
      </w:r>
      <w:r>
        <w:rPr>
          <w:rtl/>
        </w:rPr>
        <w:t xml:space="preserve">, אמורים להביא להקלה מרבית בעונשו. </w:t>
      </w:r>
    </w:p>
    <w:p w14:paraId="743A1C44" w14:textId="77777777" w:rsidR="00112913" w:rsidRDefault="00112913">
      <w:pPr>
        <w:spacing w:line="360" w:lineRule="auto"/>
        <w:jc w:val="both"/>
        <w:rPr>
          <w:rtl/>
        </w:rPr>
      </w:pPr>
    </w:p>
    <w:p w14:paraId="745B63DF" w14:textId="77777777" w:rsidR="00112913" w:rsidRDefault="004903DB">
      <w:pPr>
        <w:spacing w:line="360" w:lineRule="auto"/>
        <w:jc w:val="both"/>
        <w:rPr>
          <w:b/>
          <w:bCs/>
          <w:u w:val="single"/>
          <w:rtl/>
        </w:rPr>
      </w:pPr>
      <w:r>
        <w:rPr>
          <w:b/>
          <w:bCs/>
          <w:u w:val="single"/>
          <w:rtl/>
        </w:rPr>
        <w:t>דיון והכרעה:</w:t>
      </w:r>
    </w:p>
    <w:p w14:paraId="711355EC" w14:textId="77777777" w:rsidR="00112913" w:rsidRDefault="00112913">
      <w:pPr>
        <w:spacing w:line="360" w:lineRule="auto"/>
        <w:jc w:val="both"/>
        <w:rPr>
          <w:b/>
          <w:bCs/>
          <w:u w:val="single"/>
          <w:rtl/>
        </w:rPr>
      </w:pPr>
    </w:p>
    <w:p w14:paraId="0DD43EF1" w14:textId="77777777" w:rsidR="00112913" w:rsidRDefault="004903DB">
      <w:pPr>
        <w:spacing w:line="360" w:lineRule="auto"/>
        <w:jc w:val="both"/>
        <w:rPr>
          <w:b/>
          <w:bCs/>
          <w:u w:val="single"/>
          <w:rtl/>
        </w:rPr>
      </w:pPr>
      <w:r>
        <w:rPr>
          <w:b/>
          <w:bCs/>
          <w:u w:val="single"/>
          <w:rtl/>
        </w:rPr>
        <w:t>שיקולי בית המשפט לעניין הענישה</w:t>
      </w:r>
    </w:p>
    <w:p w14:paraId="227F4EF0" w14:textId="77777777" w:rsidR="00112913" w:rsidRDefault="004903DB">
      <w:pPr>
        <w:spacing w:line="360" w:lineRule="auto"/>
        <w:jc w:val="both"/>
        <w:rPr>
          <w:rtl/>
        </w:rPr>
      </w:pPr>
      <w:r>
        <w:rPr>
          <w:rtl/>
        </w:rPr>
        <w:t xml:space="preserve">בהתאם לתיקון 113 בפסיקה לאחר חקיקת התיקון [ראו </w:t>
      </w:r>
      <w:hyperlink r:id="rId15" w:history="1">
        <w:r w:rsidRPr="004903DB">
          <w:rPr>
            <w:color w:val="0000FF"/>
            <w:u w:val="single"/>
            <w:rtl/>
          </w:rPr>
          <w:t>ע"פ 8641/12</w:t>
        </w:r>
      </w:hyperlink>
      <w:r>
        <w:rPr>
          <w:rtl/>
        </w:rPr>
        <w:t xml:space="preserve"> </w:t>
      </w:r>
      <w:r>
        <w:rPr>
          <w:b/>
          <w:bCs/>
          <w:rtl/>
        </w:rPr>
        <w:t>סעד נ' מדינת ישראל</w:t>
      </w:r>
      <w:r>
        <w:rPr>
          <w:rtl/>
        </w:rPr>
        <w:t>, (פורסם בנבו, 05.08.13)], לצורך השגת מטרות הענישה</w:t>
      </w:r>
      <w:r>
        <w:rPr>
          <w:rFonts w:hint="cs"/>
          <w:rtl/>
        </w:rPr>
        <w:t>,</w:t>
      </w:r>
      <w:r>
        <w:rPr>
          <w:rtl/>
        </w:rPr>
        <w:t xml:space="preserve"> על בית המשפט להפעיל מבחן תלת-שלבי: בשלב הראשון, על בית המשפט לקבוע האם הנאשם הורשע בכמה עבירות, והאם אותן עבירות מהוות אירוע אחד או מספר אירועים המצריכים קביעת מתחם ענישה הולם לכל אירוע בנפרד</w:t>
      </w:r>
      <w:r>
        <w:rPr>
          <w:rFonts w:hint="cs"/>
          <w:rtl/>
        </w:rPr>
        <w:t>;</w:t>
      </w:r>
      <w:r>
        <w:rPr>
          <w:rtl/>
        </w:rPr>
        <w:t xml:space="preserve"> בשלב השני, על בית המשפט לקבוע את מתחם העונש בהתאם לעקרון ההלימה. מתחם העונש ההולם מגלם הכרעה ערכית המשקללת את הערך החברתי שנפגע מביצוע העבירה, את מידת הפגיעה בו, את מדיניות הענישה הנהוגה ביחס לעבירה ואת נסיבות ביצועה, לרבות מידת אשמו של הנאשם</w:t>
      </w:r>
      <w:r>
        <w:rPr>
          <w:rFonts w:hint="cs"/>
          <w:rtl/>
        </w:rPr>
        <w:t>;</w:t>
      </w:r>
      <w:r>
        <w:rPr>
          <w:rtl/>
        </w:rPr>
        <w:t xml:space="preserve"> השלב השלישי עניינו בגזירת עונשו של הנאשם ביחס למתחם ולצורך כך יתחשב בית המשפט בנסיבותיו האישיות של הנאשם שאינן קשורות בביצוע העבירה. [ראה: </w:t>
      </w:r>
      <w:hyperlink r:id="rId16" w:history="1">
        <w:r w:rsidRPr="004903DB">
          <w:rPr>
            <w:color w:val="0000FF"/>
            <w:u w:val="single"/>
            <w:rtl/>
          </w:rPr>
          <w:t>ע"פ 1127/13</w:t>
        </w:r>
      </w:hyperlink>
      <w:r>
        <w:rPr>
          <w:rtl/>
        </w:rPr>
        <w:t xml:space="preserve"> </w:t>
      </w:r>
      <w:r>
        <w:rPr>
          <w:b/>
          <w:bCs/>
          <w:rtl/>
        </w:rPr>
        <w:t>גברזגיי נ' מדינת ישראל</w:t>
      </w:r>
      <w:r>
        <w:rPr>
          <w:rtl/>
        </w:rPr>
        <w:t>, [פורסם בנבו], (15.01.14)].</w:t>
      </w:r>
    </w:p>
    <w:p w14:paraId="09040730" w14:textId="77777777" w:rsidR="00112913" w:rsidRDefault="00112913">
      <w:pPr>
        <w:spacing w:line="360" w:lineRule="auto"/>
        <w:jc w:val="both"/>
        <w:rPr>
          <w:rtl/>
        </w:rPr>
      </w:pPr>
    </w:p>
    <w:p w14:paraId="7A94602D" w14:textId="77777777" w:rsidR="00112913" w:rsidRDefault="004903DB">
      <w:pPr>
        <w:spacing w:line="360" w:lineRule="auto"/>
        <w:jc w:val="both"/>
        <w:rPr>
          <w:rtl/>
        </w:rPr>
      </w:pPr>
      <w:r>
        <w:rPr>
          <w:rtl/>
        </w:rPr>
        <w:t>ראשית נתחיל בבחינת סיווג האירוע</w:t>
      </w:r>
      <w:r>
        <w:rPr>
          <w:rFonts w:hint="cs"/>
          <w:rtl/>
        </w:rPr>
        <w:t xml:space="preserve">. </w:t>
      </w:r>
      <w:r>
        <w:rPr>
          <w:rtl/>
        </w:rPr>
        <w:t>לנאשם יוחסו שתי עבירות שונות, שעניינן באירוע הנחלק לשני חלקים. החלק הראשון הוא אירוע הירי, שבסופו נמלטו השניים. החלק השני הוא ה</w:t>
      </w:r>
      <w:r>
        <w:rPr>
          <w:rFonts w:hint="cs"/>
          <w:rtl/>
        </w:rPr>
        <w:t>י</w:t>
      </w:r>
      <w:r>
        <w:rPr>
          <w:rtl/>
        </w:rPr>
        <w:t>תקלותם במוסא ח'טיב בעודם נמלטים והאיומים עליו. אמנם מדובר בשתי עבירות שלא נעשו במקביל, אולם ניתן לראות בכך אירוע אחד, לנוכח סמיכות הזמנים ורצף האירועים.</w:t>
      </w:r>
    </w:p>
    <w:p w14:paraId="293A90D7" w14:textId="77777777" w:rsidR="00112913" w:rsidRDefault="00112913">
      <w:pPr>
        <w:spacing w:line="360" w:lineRule="auto"/>
        <w:jc w:val="both"/>
        <w:rPr>
          <w:rtl/>
        </w:rPr>
      </w:pPr>
    </w:p>
    <w:p w14:paraId="46D35090" w14:textId="77777777" w:rsidR="00112913" w:rsidRDefault="004903DB">
      <w:pPr>
        <w:spacing w:line="360" w:lineRule="auto"/>
        <w:jc w:val="both"/>
        <w:rPr>
          <w:rtl/>
        </w:rPr>
      </w:pPr>
      <w:r>
        <w:rPr>
          <w:rtl/>
        </w:rPr>
        <w:t>בשלב השני</w:t>
      </w:r>
      <w:r>
        <w:rPr>
          <w:rFonts w:hint="cs"/>
          <w:rtl/>
        </w:rPr>
        <w:t>,</w:t>
      </w:r>
      <w:r>
        <w:rPr>
          <w:rtl/>
        </w:rPr>
        <w:t xml:space="preserve"> כאמור, יש לקבוע את מתחם העונש ההולם. </w:t>
      </w:r>
    </w:p>
    <w:p w14:paraId="33C67097" w14:textId="77777777" w:rsidR="00112913" w:rsidRDefault="00112913">
      <w:pPr>
        <w:spacing w:line="360" w:lineRule="auto"/>
        <w:jc w:val="both"/>
        <w:rPr>
          <w:rtl/>
        </w:rPr>
      </w:pPr>
    </w:p>
    <w:p w14:paraId="5EDA273F" w14:textId="77777777" w:rsidR="00112913" w:rsidRDefault="004903DB">
      <w:pPr>
        <w:spacing w:line="360" w:lineRule="auto"/>
        <w:jc w:val="both"/>
        <w:rPr>
          <w:b/>
          <w:bCs/>
          <w:u w:val="single"/>
          <w:rtl/>
        </w:rPr>
      </w:pPr>
      <w:r>
        <w:rPr>
          <w:b/>
          <w:bCs/>
          <w:u w:val="single"/>
          <w:rtl/>
        </w:rPr>
        <w:t>קביעת מתחם העונש ההולם:</w:t>
      </w:r>
    </w:p>
    <w:p w14:paraId="72208648" w14:textId="77777777" w:rsidR="00112913" w:rsidRDefault="004903DB">
      <w:pPr>
        <w:spacing w:line="360" w:lineRule="auto"/>
        <w:jc w:val="both"/>
        <w:rPr>
          <w:rtl/>
        </w:rPr>
      </w:pPr>
      <w:r>
        <w:rPr>
          <w:rtl/>
        </w:rPr>
        <w:t>בקביעת מתחם הענישה בהתאם לתיקון 113 ל</w:t>
      </w:r>
      <w:hyperlink r:id="rId17" w:history="1">
        <w:r w:rsidRPr="004903DB">
          <w:rPr>
            <w:color w:val="0000FF"/>
            <w:u w:val="single"/>
            <w:rtl/>
          </w:rPr>
          <w:t>חוק העונשין</w:t>
        </w:r>
      </w:hyperlink>
      <w:r>
        <w:rPr>
          <w:rtl/>
        </w:rPr>
        <w:t xml:space="preserve">, יש לקחת בחשבון מספר שיקולים: הערך החברתי שנפגע, מידת הפגיעה בו, נסיבות הקשורות בביצוע העבירה ומדיניות הענישה הנוהגת. </w:t>
      </w:r>
    </w:p>
    <w:p w14:paraId="64CC75A9" w14:textId="77777777" w:rsidR="00112913" w:rsidRDefault="00112913">
      <w:pPr>
        <w:spacing w:line="360" w:lineRule="auto"/>
        <w:jc w:val="both"/>
        <w:rPr>
          <w:rtl/>
        </w:rPr>
      </w:pPr>
    </w:p>
    <w:p w14:paraId="12CAB7D4" w14:textId="77777777" w:rsidR="00112913" w:rsidRDefault="004903DB">
      <w:pPr>
        <w:spacing w:line="360" w:lineRule="auto"/>
        <w:jc w:val="both"/>
        <w:rPr>
          <w:u w:val="single"/>
          <w:rtl/>
        </w:rPr>
      </w:pPr>
      <w:r>
        <w:rPr>
          <w:u w:val="single"/>
          <w:rtl/>
        </w:rPr>
        <w:t>הערך החברתי שנפגע</w:t>
      </w:r>
    </w:p>
    <w:p w14:paraId="05FAF4EB" w14:textId="77777777" w:rsidR="00112913" w:rsidRDefault="004903DB">
      <w:pPr>
        <w:spacing w:line="360" w:lineRule="auto"/>
        <w:jc w:val="both"/>
        <w:rPr>
          <w:rtl/>
        </w:rPr>
      </w:pPr>
      <w:r>
        <w:rPr>
          <w:rtl/>
        </w:rPr>
        <w:t>הערך החברתי המוגן באמצעות האיסור על נשיאת נשק ואיסור על איומים הוא בטחון האדם והציבור וכן שלמות הגוף, והנאשם במעשיו גרם לפגיעה בערכים מוגנים אלו.</w:t>
      </w:r>
    </w:p>
    <w:p w14:paraId="079297FE" w14:textId="77777777" w:rsidR="00112913" w:rsidRDefault="00112913">
      <w:pPr>
        <w:spacing w:line="360" w:lineRule="auto"/>
        <w:jc w:val="both"/>
        <w:rPr>
          <w:rtl/>
        </w:rPr>
      </w:pPr>
    </w:p>
    <w:p w14:paraId="1DDD9CBB" w14:textId="77777777" w:rsidR="00112913" w:rsidRDefault="004903DB">
      <w:pPr>
        <w:spacing w:line="360" w:lineRule="auto"/>
        <w:jc w:val="both"/>
        <w:rPr>
          <w:u w:val="single"/>
          <w:rtl/>
        </w:rPr>
      </w:pPr>
      <w:r>
        <w:rPr>
          <w:u w:val="single"/>
          <w:rtl/>
        </w:rPr>
        <w:t>נסיבות הקשורות ביצוע העבירה</w:t>
      </w:r>
    </w:p>
    <w:p w14:paraId="59D260EA" w14:textId="77777777" w:rsidR="00112913" w:rsidRDefault="004903DB">
      <w:pPr>
        <w:spacing w:line="360" w:lineRule="auto"/>
        <w:jc w:val="both"/>
        <w:rPr>
          <w:rtl/>
        </w:rPr>
      </w:pPr>
      <w:r>
        <w:rPr>
          <w:rtl/>
        </w:rPr>
        <w:t>במקרה זה, וכפי שעולה מהאמור בכתב האישום המתוקן, נראה כי נסיבות ביצוע העבירה הן חמורות מאוד. המקרה אירע בשעת לילה מאוחר</w:t>
      </w:r>
      <w:r>
        <w:rPr>
          <w:rFonts w:hint="cs"/>
          <w:rtl/>
        </w:rPr>
        <w:t>ת</w:t>
      </w:r>
      <w:r>
        <w:rPr>
          <w:rtl/>
        </w:rPr>
        <w:t>, בו ירה הנאשם הנוסף לעבר קבוצה של אנשים בעוד</w:t>
      </w:r>
      <w:r>
        <w:rPr>
          <w:rFonts w:hint="cs"/>
          <w:rtl/>
        </w:rPr>
        <w:t>ם</w:t>
      </w:r>
      <w:r>
        <w:rPr>
          <w:rtl/>
        </w:rPr>
        <w:t xml:space="preserve"> נמלטים על נפשם. אמנם הנאשם לא ירה בעצמו ולא ידע כי האחר מתכ</w:t>
      </w:r>
      <w:r>
        <w:rPr>
          <w:rFonts w:hint="cs"/>
          <w:rtl/>
        </w:rPr>
        <w:t>נ</w:t>
      </w:r>
      <w:r>
        <w:rPr>
          <w:rtl/>
        </w:rPr>
        <w:t xml:space="preserve">ן לירות, אולם על פי האישום, הנאשם הוא מבצע בצוותא של עבירת הנשיאה, אם כי מכוח הידיעה [להרחבה לעניין זה ראו </w:t>
      </w:r>
      <w:hyperlink r:id="rId18" w:history="1">
        <w:r w:rsidR="00B642BD" w:rsidRPr="00B642BD">
          <w:rPr>
            <w:color w:val="0000FF"/>
            <w:u w:val="single"/>
            <w:rtl/>
          </w:rPr>
          <w:t xml:space="preserve">8416/09 </w:t>
        </w:r>
      </w:hyperlink>
      <w:r>
        <w:rPr>
          <w:rtl/>
        </w:rPr>
        <w:t xml:space="preserve"> </w:t>
      </w:r>
      <w:r>
        <w:rPr>
          <w:b/>
          <w:bCs/>
          <w:rtl/>
        </w:rPr>
        <w:t>מדינת ישראל נ' חרבוש</w:t>
      </w:r>
      <w:r>
        <w:rPr>
          <w:rtl/>
        </w:rPr>
        <w:t xml:space="preserve"> (פורסם בנבו, 9.6.2010)]. בהמשך</w:t>
      </w:r>
      <w:r>
        <w:rPr>
          <w:rFonts w:hint="cs"/>
          <w:rtl/>
        </w:rPr>
        <w:t>,</w:t>
      </w:r>
      <w:r>
        <w:rPr>
          <w:rtl/>
        </w:rPr>
        <w:t xml:space="preserve"> כאשר הנאשם פגש במוסא ח'טיב</w:t>
      </w:r>
      <w:r>
        <w:rPr>
          <w:rFonts w:hint="cs"/>
          <w:rtl/>
        </w:rPr>
        <w:t>,</w:t>
      </w:r>
      <w:r>
        <w:rPr>
          <w:rtl/>
        </w:rPr>
        <w:t xml:space="preserve"> ביקש מהאחר לפגוע בו, וזאת לאחר שכבר היה מודע לנשק שיש ברשותו של האחר</w:t>
      </w:r>
      <w:r>
        <w:rPr>
          <w:rFonts w:hint="cs"/>
          <w:rtl/>
        </w:rPr>
        <w:t>. דבר זה</w:t>
      </w:r>
      <w:r>
        <w:rPr>
          <w:rtl/>
        </w:rPr>
        <w:t xml:space="preserve"> מעיד על חומרת המעשה ו</w:t>
      </w:r>
      <w:r>
        <w:rPr>
          <w:rFonts w:hint="cs"/>
          <w:rtl/>
        </w:rPr>
        <w:t>ה</w:t>
      </w:r>
      <w:r>
        <w:rPr>
          <w:rtl/>
        </w:rPr>
        <w:t>מסוכנות הנשקפת מ</w:t>
      </w:r>
      <w:r>
        <w:rPr>
          <w:rFonts w:hint="cs"/>
          <w:rtl/>
        </w:rPr>
        <w:t>מ</w:t>
      </w:r>
      <w:r>
        <w:rPr>
          <w:rtl/>
        </w:rPr>
        <w:t>נו.</w:t>
      </w:r>
    </w:p>
    <w:p w14:paraId="76DCC693" w14:textId="77777777" w:rsidR="00112913" w:rsidRDefault="004903DB">
      <w:pPr>
        <w:bidi w:val="0"/>
        <w:rPr>
          <w:rtl/>
        </w:rPr>
      </w:pPr>
      <w:r>
        <w:rPr>
          <w:rtl/>
        </w:rPr>
        <w:br w:type="page"/>
      </w:r>
    </w:p>
    <w:p w14:paraId="0EBADFE1" w14:textId="77777777" w:rsidR="00112913" w:rsidRDefault="004903DB">
      <w:pPr>
        <w:spacing w:line="360" w:lineRule="auto"/>
        <w:jc w:val="both"/>
        <w:rPr>
          <w:u w:val="single"/>
          <w:rtl/>
        </w:rPr>
      </w:pPr>
      <w:r>
        <w:rPr>
          <w:u w:val="single"/>
          <w:rtl/>
        </w:rPr>
        <w:t>מדיניות הענישה הנוהגת</w:t>
      </w:r>
    </w:p>
    <w:p w14:paraId="322B7290" w14:textId="77777777" w:rsidR="00112913" w:rsidRDefault="004903DB">
      <w:pPr>
        <w:spacing w:line="360" w:lineRule="auto"/>
        <w:jc w:val="both"/>
        <w:rPr>
          <w:rtl/>
        </w:rPr>
      </w:pPr>
      <w:r>
        <w:rPr>
          <w:rtl/>
        </w:rPr>
        <w:t>מסכים אני לטענה כי אין הכרח כי מתחם העונש הנוהג, הוא מתחם העונש הראוי. כך גם קבע בית המשפט העליון ב</w:t>
      </w:r>
      <w:hyperlink r:id="rId19" w:history="1">
        <w:r w:rsidRPr="004903DB">
          <w:rPr>
            <w:color w:val="0000FF"/>
            <w:u w:val="single"/>
            <w:rtl/>
          </w:rPr>
          <w:t>ע"פ 1323/13</w:t>
        </w:r>
      </w:hyperlink>
      <w:r>
        <w:rPr>
          <w:rtl/>
        </w:rPr>
        <w:t xml:space="preserve"> </w:t>
      </w:r>
      <w:r>
        <w:rPr>
          <w:b/>
          <w:bCs/>
          <w:rtl/>
        </w:rPr>
        <w:t xml:space="preserve">חסן נ' מדינת ישראל </w:t>
      </w:r>
      <w:r>
        <w:rPr>
          <w:rtl/>
        </w:rPr>
        <w:t xml:space="preserve">(פורסם בנבו, 5.6.2013): </w:t>
      </w:r>
    </w:p>
    <w:p w14:paraId="47D6BE27" w14:textId="77777777" w:rsidR="00112913" w:rsidRDefault="00112913">
      <w:pPr>
        <w:spacing w:line="360" w:lineRule="auto"/>
        <w:jc w:val="both"/>
        <w:rPr>
          <w:rtl/>
        </w:rPr>
      </w:pPr>
    </w:p>
    <w:p w14:paraId="1449AEB8" w14:textId="77777777" w:rsidR="00112913" w:rsidRDefault="004903DB">
      <w:pPr>
        <w:spacing w:line="360" w:lineRule="auto"/>
        <w:ind w:left="1134" w:right="1134"/>
        <w:jc w:val="both"/>
        <w:rPr>
          <w:b/>
          <w:bCs/>
          <w:rtl/>
        </w:rPr>
      </w:pPr>
      <w:r>
        <w:rPr>
          <w:b/>
          <w:bCs/>
          <w:rtl/>
        </w:rPr>
        <w:t xml:space="preserve">"עוד אבקש לחדד בהקשר זה כי אין לטעות ולזהות בין מתחם העונש ההולם לבין טווח הענישה הנהוג. מדובר ב"יצורים" שונים. מתחם העונש ההולם מגלם, כאמור, </w:t>
      </w:r>
      <w:r>
        <w:rPr>
          <w:b/>
          <w:bCs/>
          <w:sz w:val="28"/>
          <w:rtl/>
        </w:rPr>
        <w:t>הכרעה ערכית</w:t>
      </w:r>
      <w:r>
        <w:rPr>
          <w:b/>
          <w:bCs/>
          <w:rtl/>
        </w:rPr>
        <w:t xml:space="preserve"> המבוססת על שיקולים שונים, כאשר מדיניות הענישה הנהוגה בעבירה הנדונה הוא רק אחד מהם. טווח הענישה הנהוג בפסיקה, לעומת זאת, הוא נתון </w:t>
      </w:r>
      <w:r>
        <w:rPr>
          <w:b/>
          <w:bCs/>
          <w:sz w:val="28"/>
          <w:rtl/>
        </w:rPr>
        <w:t>אמפירי-עובדתי</w:t>
      </w:r>
      <w:r>
        <w:rPr>
          <w:b/>
          <w:bCs/>
          <w:rtl/>
        </w:rPr>
        <w:t>, המורכב מהעונשים המקובלים בגין עבירה מסוימת בדין הנוהג. היעדר החפיפה בין השניים עולה במפורש גם מדברי ההסבר להצעת החוק, שהפכה לימים לתיקון 113: "</w:t>
      </w:r>
      <w:r>
        <w:rPr>
          <w:b/>
          <w:bCs/>
          <w:sz w:val="28"/>
          <w:rtl/>
        </w:rPr>
        <w:t>ככל שהמדיניות הנוהגת משקפת את עיקרון ההלימות היא מהווה אינדיקציה לקביעת העונש ההולם ואילו כאשר יש פער בינה לבין המדיניות הראויה, תועדף המדיניות הראויה</w:t>
      </w:r>
      <w:r>
        <w:rPr>
          <w:b/>
          <w:bCs/>
          <w:rtl/>
        </w:rPr>
        <w:t xml:space="preserve">" (הצעת </w:t>
      </w:r>
      <w:hyperlink r:id="rId20" w:history="1">
        <w:r w:rsidRPr="004903DB">
          <w:rPr>
            <w:b/>
            <w:bCs/>
            <w:color w:val="0000FF"/>
            <w:u w:val="single"/>
            <w:rtl/>
          </w:rPr>
          <w:t>חוק העונשין</w:t>
        </w:r>
      </w:hyperlink>
      <w:r>
        <w:rPr>
          <w:b/>
          <w:bCs/>
          <w:rtl/>
        </w:rPr>
        <w:t xml:space="preserve"> (תיקון מס' 92) (הבניית שיקול הדעת השיפוטי בענישה), התשס"ו-2006, ה"ח הממשלה 241, 447). ובניסיון שלא להיסחף יתר על המידה לדקדוקי עניות, אוסיף כי זיהוי מתחם העונש ההולם עם טווח הענישה המקובל (כיום) הוא שגוי גם מאחר שהוא יאפשר הכנסת שיקולים שאינם קשורים בביצוע העבירה לתוך השלב הראשון (של קביעת מתחם העונש), שאמור על-פי תיקון 113 להיות "נקי" משיקולים אלה. שהרי, רף הענישה הקיים כיום בפסיקה משקף את משטר הענישה שלפני התיקון, שלא הבחין או דירג בין נסיבות הקשורות בביצוע העבירה לבין אלה שאינן קשורות לביצועה, בעת גזירת העונש (ברוב המקרים)".</w:t>
      </w:r>
    </w:p>
    <w:p w14:paraId="69C0866F" w14:textId="77777777" w:rsidR="00112913" w:rsidRDefault="00112913">
      <w:pPr>
        <w:spacing w:line="360" w:lineRule="auto"/>
        <w:jc w:val="both"/>
        <w:rPr>
          <w:b/>
          <w:bCs/>
          <w:rtl/>
        </w:rPr>
      </w:pPr>
    </w:p>
    <w:p w14:paraId="19F23601" w14:textId="77777777" w:rsidR="00112913" w:rsidRDefault="004903DB">
      <w:pPr>
        <w:spacing w:line="360" w:lineRule="auto"/>
        <w:jc w:val="both"/>
        <w:rPr>
          <w:rtl/>
        </w:rPr>
      </w:pPr>
      <w:r>
        <w:rPr>
          <w:rtl/>
        </w:rPr>
        <w:t xml:space="preserve">נראה כי דבריו של בית המשפט העליון בהקשר זה הם ברורים ואין צורך להוסיף. </w:t>
      </w:r>
    </w:p>
    <w:p w14:paraId="7C0E8A7E" w14:textId="77777777" w:rsidR="00112913" w:rsidRDefault="00112913">
      <w:pPr>
        <w:spacing w:line="360" w:lineRule="auto"/>
        <w:jc w:val="both"/>
        <w:rPr>
          <w:rtl/>
        </w:rPr>
      </w:pPr>
    </w:p>
    <w:p w14:paraId="54E40493" w14:textId="77777777" w:rsidR="00112913" w:rsidRDefault="004903DB">
      <w:pPr>
        <w:spacing w:line="360" w:lineRule="auto"/>
        <w:jc w:val="both"/>
        <w:rPr>
          <w:rtl/>
        </w:rPr>
      </w:pPr>
      <w:r>
        <w:rPr>
          <w:rtl/>
        </w:rPr>
        <w:t>יתרה מכך, בית המשפט העליון עמד לא פעם על הפוטנציאל הטמון בעבירות נשק בכלל ועבירת נשיאת נשק בפרט, הגם בנסיבות מקלות:</w:t>
      </w:r>
    </w:p>
    <w:p w14:paraId="4A905E88" w14:textId="77777777" w:rsidR="00112913" w:rsidRDefault="00112913">
      <w:pPr>
        <w:spacing w:line="360" w:lineRule="auto"/>
        <w:jc w:val="both"/>
        <w:rPr>
          <w:rtl/>
        </w:rPr>
      </w:pPr>
    </w:p>
    <w:p w14:paraId="1F876D29" w14:textId="77777777" w:rsidR="00112913" w:rsidRDefault="004903DB">
      <w:pPr>
        <w:spacing w:line="360" w:lineRule="auto"/>
        <w:ind w:left="1134" w:right="1134"/>
        <w:jc w:val="both"/>
        <w:rPr>
          <w:rtl/>
        </w:rPr>
      </w:pPr>
      <w:r>
        <w:rPr>
          <w:b/>
          <w:bCs/>
          <w:rtl/>
        </w:rPr>
        <w:t>"אכן, הנסיבות של נשיאת הנשק במקרה זה אינן מציבות את האירוע ברף הגבוה והחמור של מגוון התרחישים בהם עשויה העבירה להתבצע. ויחד עם זאת, כפי שציין בית המשפט המחוזי, עצם נשיאת נשק חם בציבור שלא כדין, ובפרט על ידי אדם בלתי מיומן החושש כי ימצא עצמו במצב בו ייאלץ להגיב לתקיפה או לאיום אפשריים, יש בה סיכון לשלום הציבור ולביטחונו"</w:t>
      </w:r>
      <w:r>
        <w:rPr>
          <w:rtl/>
        </w:rPr>
        <w:t xml:space="preserve"> [</w:t>
      </w:r>
      <w:hyperlink r:id="rId21" w:history="1">
        <w:r w:rsidRPr="004903DB">
          <w:rPr>
            <w:color w:val="0000FF"/>
            <w:u w:val="single"/>
            <w:rtl/>
          </w:rPr>
          <w:t>ע"פ 3300/06</w:t>
        </w:r>
      </w:hyperlink>
      <w:r>
        <w:rPr>
          <w:rtl/>
        </w:rPr>
        <w:t xml:space="preserve"> </w:t>
      </w:r>
      <w:r>
        <w:rPr>
          <w:b/>
          <w:bCs/>
          <w:rtl/>
        </w:rPr>
        <w:t>אבו סנינה נ' מדינת ישראל</w:t>
      </w:r>
      <w:r>
        <w:rPr>
          <w:rtl/>
        </w:rPr>
        <w:t xml:space="preserve"> (פורסם בנבו, 10.8.2006)].</w:t>
      </w:r>
    </w:p>
    <w:p w14:paraId="29738AFF" w14:textId="77777777" w:rsidR="00112913" w:rsidRDefault="00112913">
      <w:pPr>
        <w:spacing w:line="360" w:lineRule="auto"/>
        <w:jc w:val="both"/>
        <w:rPr>
          <w:rtl/>
        </w:rPr>
      </w:pPr>
    </w:p>
    <w:p w14:paraId="50A82EF4" w14:textId="77777777" w:rsidR="00112913" w:rsidRDefault="004903DB">
      <w:pPr>
        <w:spacing w:line="360" w:lineRule="auto"/>
        <w:jc w:val="both"/>
        <w:rPr>
          <w:rtl/>
        </w:rPr>
      </w:pPr>
      <w:r>
        <w:rPr>
          <w:rtl/>
        </w:rPr>
        <w:t xml:space="preserve">בנוסף, בשל פוטנציאל הסכנה הטמון בה, נקבע כי העבירה מצדיקה הטלת מאסר בפועל, גם אם מדובר בנאשמים נעדרי עבר פלילי [ראו </w:t>
      </w:r>
      <w:hyperlink r:id="rId22" w:history="1">
        <w:r w:rsidRPr="004903DB">
          <w:rPr>
            <w:color w:val="0000FF"/>
            <w:u w:val="single"/>
            <w:rtl/>
          </w:rPr>
          <w:t>רע"פ 2718/04</w:t>
        </w:r>
      </w:hyperlink>
      <w:r>
        <w:rPr>
          <w:rtl/>
        </w:rPr>
        <w:t xml:space="preserve"> </w:t>
      </w:r>
      <w:r>
        <w:rPr>
          <w:b/>
          <w:bCs/>
          <w:rtl/>
        </w:rPr>
        <w:t>אבו דחאל נ' מדינת י</w:t>
      </w:r>
      <w:r>
        <w:rPr>
          <w:rFonts w:hint="cs"/>
          <w:b/>
          <w:bCs/>
          <w:rtl/>
        </w:rPr>
        <w:t>ש</w:t>
      </w:r>
      <w:r>
        <w:rPr>
          <w:b/>
          <w:bCs/>
          <w:rtl/>
        </w:rPr>
        <w:t>ראל</w:t>
      </w:r>
      <w:r>
        <w:rPr>
          <w:rtl/>
        </w:rPr>
        <w:t xml:space="preserve"> (פורסם בנבו, 29.3.2004); </w:t>
      </w:r>
      <w:hyperlink r:id="rId23" w:history="1">
        <w:r w:rsidRPr="004903DB">
          <w:rPr>
            <w:color w:val="0000FF"/>
            <w:u w:val="single"/>
            <w:rtl/>
          </w:rPr>
          <w:t>רע"פ 10376/05</w:t>
        </w:r>
      </w:hyperlink>
      <w:r>
        <w:rPr>
          <w:rtl/>
        </w:rPr>
        <w:t xml:space="preserve"> </w:t>
      </w:r>
      <w:r>
        <w:rPr>
          <w:b/>
          <w:bCs/>
          <w:rtl/>
        </w:rPr>
        <w:t>ברהום נ' מדינת ישראל</w:t>
      </w:r>
      <w:r>
        <w:rPr>
          <w:rtl/>
        </w:rPr>
        <w:t xml:space="preserve"> (17.5.2006)]. </w:t>
      </w:r>
    </w:p>
    <w:p w14:paraId="5F1E2A12" w14:textId="77777777" w:rsidR="00112913" w:rsidRDefault="00112913">
      <w:pPr>
        <w:spacing w:line="360" w:lineRule="auto"/>
        <w:jc w:val="both"/>
        <w:rPr>
          <w:rtl/>
        </w:rPr>
      </w:pPr>
    </w:p>
    <w:p w14:paraId="2340CFCE" w14:textId="77777777" w:rsidR="00112913" w:rsidRDefault="004903DB">
      <w:pPr>
        <w:spacing w:line="360" w:lineRule="auto"/>
        <w:jc w:val="both"/>
        <w:rPr>
          <w:rtl/>
        </w:rPr>
      </w:pPr>
      <w:r>
        <w:rPr>
          <w:rtl/>
        </w:rPr>
        <w:t xml:space="preserve">עוד בעניין עבירות נשק, בפסיקה נקבע כי יש לסווג את חומרת העבירה בהתאם למטרה לשמה נישא הנשק, כאשר הקשת נעה בין מטרת נשיאה למטרת ספורט או שעשוע לבין מטרה לבצע עבירה, וכן ניתן גם לייחס משקל לסוג הנשק וכמותו (ראו </w:t>
      </w:r>
      <w:hyperlink r:id="rId24" w:history="1">
        <w:r w:rsidRPr="004903DB">
          <w:rPr>
            <w:color w:val="0000FF"/>
            <w:u w:val="single"/>
            <w:rtl/>
          </w:rPr>
          <w:t>ב"ש 625/82 אבו מוך נ' מדינת ישראל, פ"ד לז</w:t>
        </w:r>
      </w:hyperlink>
      <w:r>
        <w:rPr>
          <w:rtl/>
        </w:rPr>
        <w:t xml:space="preserve">(3) 668 (1982). </w:t>
      </w:r>
    </w:p>
    <w:p w14:paraId="0870CE75" w14:textId="77777777" w:rsidR="00112913" w:rsidRDefault="00112913">
      <w:pPr>
        <w:spacing w:line="360" w:lineRule="auto"/>
        <w:jc w:val="both"/>
        <w:rPr>
          <w:rtl/>
        </w:rPr>
      </w:pPr>
    </w:p>
    <w:p w14:paraId="6AAD0FF4" w14:textId="77777777" w:rsidR="00112913" w:rsidRDefault="004903DB">
      <w:pPr>
        <w:spacing w:line="360" w:lineRule="auto"/>
        <w:jc w:val="both"/>
        <w:rPr>
          <w:rtl/>
        </w:rPr>
      </w:pPr>
      <w:r>
        <w:rPr>
          <w:rtl/>
        </w:rPr>
        <w:t>אם נקיש מעקרונות אלו למקרה דנן, ניתן לראות כי מעשיו של הנאשם נופלים בגדר חומרה קלה - בינונית, זאת לנו</w:t>
      </w:r>
      <w:r>
        <w:rPr>
          <w:rFonts w:hint="cs"/>
          <w:rtl/>
        </w:rPr>
        <w:t>כ</w:t>
      </w:r>
      <w:r>
        <w:rPr>
          <w:rtl/>
        </w:rPr>
        <w:t xml:space="preserve">ח הידיעה בלבד, הגם שלא ברור אם </w:t>
      </w:r>
      <w:r>
        <w:rPr>
          <w:rFonts w:hint="cs"/>
          <w:rtl/>
        </w:rPr>
        <w:t>ידע ש</w:t>
      </w:r>
      <w:r>
        <w:rPr>
          <w:rtl/>
        </w:rPr>
        <w:t xml:space="preserve">האחר הביא את הנשק במטרה לבצע עבירה.  </w:t>
      </w:r>
    </w:p>
    <w:p w14:paraId="0C49FF5A" w14:textId="77777777" w:rsidR="00112913" w:rsidRDefault="00112913">
      <w:pPr>
        <w:spacing w:line="360" w:lineRule="auto"/>
        <w:jc w:val="both"/>
        <w:rPr>
          <w:rtl/>
        </w:rPr>
      </w:pPr>
    </w:p>
    <w:p w14:paraId="0DD5CEE7" w14:textId="77777777" w:rsidR="00112913" w:rsidRDefault="004903DB">
      <w:pPr>
        <w:spacing w:line="360" w:lineRule="auto"/>
        <w:jc w:val="both"/>
        <w:rPr>
          <w:rtl/>
        </w:rPr>
      </w:pPr>
      <w:r>
        <w:rPr>
          <w:rtl/>
        </w:rPr>
        <w:t xml:space="preserve">אם כן, לצורך בחינת רמת הענישה הנוהגת בעבירות אלו, יש לבדוק מקרים בהם העבירה המיוחסת היא במדרג חומרה נמוך. </w:t>
      </w:r>
    </w:p>
    <w:p w14:paraId="5E6F3807" w14:textId="77777777" w:rsidR="00112913" w:rsidRDefault="00112913">
      <w:pPr>
        <w:spacing w:line="360" w:lineRule="auto"/>
        <w:jc w:val="both"/>
        <w:rPr>
          <w:rtl/>
        </w:rPr>
      </w:pPr>
    </w:p>
    <w:p w14:paraId="6BC542A7" w14:textId="77777777" w:rsidR="00112913" w:rsidRDefault="004903DB">
      <w:pPr>
        <w:spacing w:line="360" w:lineRule="auto"/>
        <w:jc w:val="both"/>
        <w:rPr>
          <w:rtl/>
        </w:rPr>
      </w:pPr>
      <w:r>
        <w:rPr>
          <w:rtl/>
        </w:rPr>
        <w:t xml:space="preserve">לאחר בחינת רמת הענישה במקרים אלו, נראה כי רמת הענישה נעה שישה חודשי עבודות שירות לבין </w:t>
      </w:r>
      <w:r>
        <w:rPr>
          <w:rFonts w:hint="cs"/>
          <w:rtl/>
        </w:rPr>
        <w:t>24</w:t>
      </w:r>
      <w:r>
        <w:rPr>
          <w:rtl/>
        </w:rPr>
        <w:t xml:space="preserve"> חודשי מאסר בפועל. ראו דוגמאות להלן:</w:t>
      </w:r>
    </w:p>
    <w:p w14:paraId="099ADFE8" w14:textId="77777777" w:rsidR="00112913" w:rsidRDefault="00112913">
      <w:pPr>
        <w:spacing w:line="360" w:lineRule="auto"/>
        <w:jc w:val="both"/>
        <w:rPr>
          <w:rtl/>
        </w:rPr>
      </w:pPr>
    </w:p>
    <w:p w14:paraId="158C75AA" w14:textId="77777777" w:rsidR="00112913" w:rsidRDefault="004903DB">
      <w:pPr>
        <w:spacing w:line="360" w:lineRule="auto"/>
        <w:jc w:val="both"/>
        <w:rPr>
          <w:rtl/>
        </w:rPr>
      </w:pPr>
      <w:r>
        <w:rPr>
          <w:rtl/>
        </w:rPr>
        <w:t>ב</w:t>
      </w:r>
      <w:hyperlink r:id="rId25" w:history="1">
        <w:r w:rsidRPr="004903DB">
          <w:rPr>
            <w:color w:val="0000FF"/>
            <w:u w:val="single"/>
            <w:rtl/>
          </w:rPr>
          <w:t>ע"פ 3300/06</w:t>
        </w:r>
      </w:hyperlink>
      <w:r>
        <w:rPr>
          <w:rtl/>
        </w:rPr>
        <w:t xml:space="preserve"> </w:t>
      </w:r>
      <w:r>
        <w:rPr>
          <w:b/>
          <w:bCs/>
          <w:rtl/>
        </w:rPr>
        <w:t>אבו סנינה נ' מדינת ישראל</w:t>
      </w:r>
      <w:r>
        <w:rPr>
          <w:rtl/>
        </w:rPr>
        <w:t xml:space="preserve"> (פורסם בנבו, 10.8.2006) נגזרו על הנאשם 18 חודשי מאסר בפועל, בגין נשיאת נשק שלא כדין וכניסה לישראל שלא כדין. </w:t>
      </w:r>
    </w:p>
    <w:p w14:paraId="488ABEF1" w14:textId="77777777" w:rsidR="00112913" w:rsidRDefault="00112913">
      <w:pPr>
        <w:spacing w:line="360" w:lineRule="auto"/>
        <w:jc w:val="both"/>
        <w:rPr>
          <w:rtl/>
        </w:rPr>
      </w:pPr>
    </w:p>
    <w:p w14:paraId="0DCC08A2" w14:textId="77777777" w:rsidR="00112913" w:rsidRDefault="004903DB">
      <w:pPr>
        <w:spacing w:line="360" w:lineRule="auto"/>
        <w:jc w:val="both"/>
        <w:rPr>
          <w:rtl/>
        </w:rPr>
      </w:pPr>
      <w:r>
        <w:rPr>
          <w:rtl/>
        </w:rPr>
        <w:t>ב</w:t>
      </w:r>
      <w:hyperlink r:id="rId26" w:history="1">
        <w:r w:rsidRPr="004903DB">
          <w:rPr>
            <w:color w:val="0000FF"/>
            <w:u w:val="single"/>
            <w:rtl/>
          </w:rPr>
          <w:t>ת"פ (מחוזי ב"ש) 28360-02-13</w:t>
        </w:r>
      </w:hyperlink>
      <w:r>
        <w:rPr>
          <w:rtl/>
        </w:rPr>
        <w:t xml:space="preserve"> </w:t>
      </w:r>
      <w:r>
        <w:rPr>
          <w:b/>
          <w:bCs/>
          <w:rtl/>
        </w:rPr>
        <w:t>מדינת ישראל נ' אבו בילאל</w:t>
      </w:r>
      <w:r>
        <w:rPr>
          <w:rtl/>
        </w:rPr>
        <w:t xml:space="preserve"> (פורסם בנבו, 1.12.2013) נגזרו על הנאשם שישה חודשי עבודות שירות בגין נשיאת נשק, עבירות רכב והפרעה לשוטר במילוי תפקידו. </w:t>
      </w:r>
    </w:p>
    <w:p w14:paraId="6773E399" w14:textId="77777777" w:rsidR="00112913" w:rsidRDefault="00112913">
      <w:pPr>
        <w:spacing w:line="360" w:lineRule="auto"/>
        <w:jc w:val="both"/>
        <w:rPr>
          <w:rtl/>
        </w:rPr>
      </w:pPr>
    </w:p>
    <w:p w14:paraId="63EF5FFD" w14:textId="77777777" w:rsidR="00112913" w:rsidRDefault="004903DB">
      <w:pPr>
        <w:spacing w:line="360" w:lineRule="auto"/>
        <w:jc w:val="both"/>
        <w:rPr>
          <w:rtl/>
        </w:rPr>
      </w:pPr>
      <w:r>
        <w:rPr>
          <w:rtl/>
        </w:rPr>
        <w:t>ב</w:t>
      </w:r>
      <w:hyperlink r:id="rId27" w:history="1">
        <w:r w:rsidRPr="004903DB">
          <w:rPr>
            <w:color w:val="0000FF"/>
            <w:u w:val="single"/>
            <w:rtl/>
          </w:rPr>
          <w:t>ת"פ (מחוזי חי') 18409-01-09</w:t>
        </w:r>
      </w:hyperlink>
      <w:r>
        <w:rPr>
          <w:rtl/>
        </w:rPr>
        <w:t xml:space="preserve"> </w:t>
      </w:r>
      <w:r>
        <w:rPr>
          <w:b/>
          <w:bCs/>
          <w:rtl/>
        </w:rPr>
        <w:t>מדינת ישראל נ' אבו שנדי</w:t>
      </w:r>
      <w:r>
        <w:rPr>
          <w:rtl/>
        </w:rPr>
        <w:t xml:space="preserve"> (פורסם בנבו, 4.6.2009), נגזרו על הנאשם שבעה חודשי מאסר בפועל בגין החזקת נשק ונשיאת נשק. </w:t>
      </w:r>
    </w:p>
    <w:p w14:paraId="71424CF7" w14:textId="77777777" w:rsidR="00112913" w:rsidRDefault="00112913">
      <w:pPr>
        <w:spacing w:line="360" w:lineRule="auto"/>
        <w:jc w:val="both"/>
        <w:rPr>
          <w:rtl/>
        </w:rPr>
      </w:pPr>
    </w:p>
    <w:p w14:paraId="178F9AB1" w14:textId="77777777" w:rsidR="00112913" w:rsidRDefault="004903DB">
      <w:pPr>
        <w:bidi w:val="0"/>
        <w:rPr>
          <w:rtl/>
        </w:rPr>
      </w:pPr>
      <w:r>
        <w:rPr>
          <w:rtl/>
        </w:rPr>
        <w:br w:type="page"/>
      </w:r>
    </w:p>
    <w:p w14:paraId="7B2E2E9F" w14:textId="77777777" w:rsidR="00112913" w:rsidRDefault="004903DB">
      <w:pPr>
        <w:spacing w:line="360" w:lineRule="auto"/>
        <w:jc w:val="both"/>
        <w:rPr>
          <w:rtl/>
        </w:rPr>
      </w:pPr>
      <w:r>
        <w:rPr>
          <w:rtl/>
        </w:rPr>
        <w:t>ב</w:t>
      </w:r>
      <w:hyperlink r:id="rId28" w:history="1">
        <w:r w:rsidRPr="004903DB">
          <w:rPr>
            <w:color w:val="0000FF"/>
            <w:u w:val="single"/>
            <w:rtl/>
          </w:rPr>
          <w:t>ת"פ (מחוזי חי') 5000-12</w:t>
        </w:r>
      </w:hyperlink>
      <w:r>
        <w:rPr>
          <w:rtl/>
        </w:rPr>
        <w:t xml:space="preserve"> </w:t>
      </w:r>
      <w:r>
        <w:rPr>
          <w:b/>
          <w:bCs/>
          <w:rtl/>
        </w:rPr>
        <w:t>מדינת ישראל נ' פלוני</w:t>
      </w:r>
      <w:r>
        <w:rPr>
          <w:rtl/>
        </w:rPr>
        <w:t xml:space="preserve"> (פורסם בנבו, 24.6.2013) נגזרו על הנאשם (צעיר בן 21) 6 חודשי עבודות שירות בגין נשיאת נשק. </w:t>
      </w:r>
    </w:p>
    <w:p w14:paraId="35BF7E0D" w14:textId="77777777" w:rsidR="00112913" w:rsidRDefault="00112913">
      <w:pPr>
        <w:spacing w:line="360" w:lineRule="auto"/>
        <w:jc w:val="both"/>
        <w:rPr>
          <w:rtl/>
        </w:rPr>
      </w:pPr>
    </w:p>
    <w:p w14:paraId="0E538EF8" w14:textId="77777777" w:rsidR="00112913" w:rsidRDefault="004903DB">
      <w:pPr>
        <w:spacing w:line="360" w:lineRule="auto"/>
        <w:jc w:val="both"/>
        <w:rPr>
          <w:rtl/>
        </w:rPr>
      </w:pPr>
      <w:r>
        <w:rPr>
          <w:rtl/>
        </w:rPr>
        <w:t xml:space="preserve">בנוסף לכל אלו, אין להתעלם מכך שמידת אשמו של הנאשם ביחס לאחר היא פחותה, ובכל הנוגע לעבירה של נשיאת נשק, היא יוחסה לו אך ורק מכוח הידיעה. לפיכך יש לקחת זאת בחשבון.  </w:t>
      </w:r>
    </w:p>
    <w:p w14:paraId="36A07631" w14:textId="77777777" w:rsidR="00112913" w:rsidRDefault="004903DB">
      <w:pPr>
        <w:spacing w:line="360" w:lineRule="auto"/>
        <w:jc w:val="both"/>
        <w:rPr>
          <w:rtl/>
        </w:rPr>
      </w:pPr>
      <w:r>
        <w:rPr>
          <w:rFonts w:hint="cs"/>
          <w:rtl/>
        </w:rPr>
        <w:t xml:space="preserve">עם זאת </w:t>
      </w:r>
      <w:r>
        <w:rPr>
          <w:rtl/>
        </w:rPr>
        <w:t>יש לקחת בחשבון הוא כי לעבירה העיקרית של נשיאת נשק מתלווה עבירה לא פחות חמ</w:t>
      </w:r>
      <w:r>
        <w:rPr>
          <w:rFonts w:hint="cs"/>
          <w:rtl/>
        </w:rPr>
        <w:t>ו</w:t>
      </w:r>
      <w:r>
        <w:rPr>
          <w:rtl/>
        </w:rPr>
        <w:t>רה</w:t>
      </w:r>
      <w:r>
        <w:rPr>
          <w:rFonts w:hint="cs"/>
          <w:rtl/>
        </w:rPr>
        <w:t>,</w:t>
      </w:r>
      <w:r>
        <w:rPr>
          <w:rtl/>
        </w:rPr>
        <w:t xml:space="preserve"> שעניינה איומים.</w:t>
      </w:r>
      <w:r>
        <w:rPr>
          <w:rFonts w:hint="cs"/>
          <w:rtl/>
        </w:rPr>
        <w:t xml:space="preserve"> חומרת ביצוע האיום, במקרה זה, היא במדרג הגבוה של העבירה מאחר והאיום בוצע באמצעות נשק וזאת כאשר הנאשם כבר מודע הן לעצם החזקת הנשק והן לאופן בו שבוצע בו שימוש זמן קצר קודם לכן, על כל המשתמע מכך.  </w:t>
      </w:r>
    </w:p>
    <w:p w14:paraId="44E3152F" w14:textId="77777777" w:rsidR="00112913" w:rsidRDefault="00112913">
      <w:pPr>
        <w:spacing w:line="360" w:lineRule="auto"/>
        <w:jc w:val="both"/>
        <w:rPr>
          <w:rtl/>
        </w:rPr>
      </w:pPr>
    </w:p>
    <w:p w14:paraId="56B08EAE" w14:textId="77777777" w:rsidR="00112913" w:rsidRDefault="004903DB">
      <w:pPr>
        <w:spacing w:line="360" w:lineRule="auto"/>
        <w:jc w:val="both"/>
        <w:rPr>
          <w:rtl/>
        </w:rPr>
      </w:pPr>
      <w:r>
        <w:rPr>
          <w:b/>
          <w:bCs/>
          <w:rtl/>
        </w:rPr>
        <w:t xml:space="preserve">לסיכום </w:t>
      </w:r>
      <w:r>
        <w:rPr>
          <w:rtl/>
        </w:rPr>
        <w:t>– בהתאם לעקרון ההלימה, שהוא העיקרון המנחה בבואנו לקבוע את מתחם הענישה ובהת</w:t>
      </w:r>
      <w:r>
        <w:rPr>
          <w:rFonts w:hint="cs"/>
          <w:rtl/>
        </w:rPr>
        <w:t>א</w:t>
      </w:r>
      <w:r>
        <w:rPr>
          <w:rtl/>
        </w:rPr>
        <w:t xml:space="preserve">ם לדברים לעיל, נראה כי יש להעמיד את הרף התחתון של מתחם הענישה על שישה חודשי מאסר בעבודות שירות, ולהעמיד את הרף הגבוה על </w:t>
      </w:r>
      <w:r>
        <w:rPr>
          <w:rFonts w:hint="cs"/>
          <w:rtl/>
        </w:rPr>
        <w:t>24</w:t>
      </w:r>
      <w:r>
        <w:rPr>
          <w:rtl/>
        </w:rPr>
        <w:t xml:space="preserve"> חודשי מאסר בפועל. </w:t>
      </w:r>
    </w:p>
    <w:p w14:paraId="4E5E848C" w14:textId="77777777" w:rsidR="00112913" w:rsidRDefault="00112913">
      <w:pPr>
        <w:spacing w:line="360" w:lineRule="auto"/>
        <w:jc w:val="both"/>
        <w:rPr>
          <w:rtl/>
        </w:rPr>
      </w:pPr>
    </w:p>
    <w:p w14:paraId="1B0FD8D0" w14:textId="77777777" w:rsidR="00112913" w:rsidRDefault="004903DB">
      <w:pPr>
        <w:spacing w:line="360" w:lineRule="auto"/>
        <w:jc w:val="both"/>
        <w:rPr>
          <w:b/>
          <w:bCs/>
          <w:u w:val="single"/>
          <w:rtl/>
        </w:rPr>
      </w:pPr>
      <w:r>
        <w:rPr>
          <w:rFonts w:hint="cs"/>
          <w:b/>
          <w:bCs/>
          <w:u w:val="single"/>
          <w:rtl/>
        </w:rPr>
        <w:t>קביעת העונש ונסיבות שאינן קשורות בביצוע העבירה</w:t>
      </w:r>
      <w:r>
        <w:rPr>
          <w:b/>
          <w:bCs/>
          <w:u w:val="single"/>
          <w:rtl/>
        </w:rPr>
        <w:t>:</w:t>
      </w:r>
    </w:p>
    <w:p w14:paraId="49FD50E5" w14:textId="77777777" w:rsidR="00112913" w:rsidRDefault="004903DB">
      <w:pPr>
        <w:spacing w:line="360" w:lineRule="auto"/>
        <w:jc w:val="both"/>
        <w:rPr>
          <w:rtl/>
        </w:rPr>
      </w:pPr>
      <w:r>
        <w:rPr>
          <w:rtl/>
        </w:rPr>
        <w:t xml:space="preserve">כאמור לעיל, בבואנו לקבוע את העונש בתוך מתחם הענישה, יש לשקול את נסיבותיו האישיות של הנאשם. </w:t>
      </w:r>
    </w:p>
    <w:p w14:paraId="161536EA" w14:textId="77777777" w:rsidR="00112913" w:rsidRDefault="00112913">
      <w:pPr>
        <w:spacing w:line="360" w:lineRule="auto"/>
        <w:jc w:val="both"/>
        <w:rPr>
          <w:rtl/>
        </w:rPr>
      </w:pPr>
    </w:p>
    <w:p w14:paraId="46E85AB1" w14:textId="77777777" w:rsidR="00112913" w:rsidRDefault="004903DB">
      <w:pPr>
        <w:spacing w:line="360" w:lineRule="auto"/>
        <w:jc w:val="both"/>
        <w:rPr>
          <w:rtl/>
        </w:rPr>
      </w:pPr>
      <w:r>
        <w:rPr>
          <w:rtl/>
        </w:rPr>
        <w:t>במקרה דנן, מדובר הנאשם צעיר יחסית (בן 23 בעת האירוע), שעבד בעבודה סדירה טרם האירוע, לאחר שסיים בית ספר תיכון עם בגרות מלאה. כפי שעולה מטענות בא-כוחו, הנאשם מתגורר יחד אמו, שעברה תקופה קשה מבחינה רפואית ונס</w:t>
      </w:r>
      <w:r>
        <w:rPr>
          <w:rFonts w:hint="cs"/>
          <w:rtl/>
        </w:rPr>
        <w:t>מ</w:t>
      </w:r>
      <w:r>
        <w:rPr>
          <w:rtl/>
        </w:rPr>
        <w:t xml:space="preserve">כת על עזרתו של הנאשם. עוד עולה כי הנאשם מפרנס את עצמו ואת אמו, ואין עוד מפרנסים לבית. אחיו האחרים גרים מחוץ לבית ובמרוחק </w:t>
      </w:r>
      <w:r>
        <w:rPr>
          <w:rFonts w:hint="cs"/>
          <w:rtl/>
        </w:rPr>
        <w:t>מ</w:t>
      </w:r>
      <w:r>
        <w:rPr>
          <w:rtl/>
        </w:rPr>
        <w:t>עיר מגוריהם של הנאשם ואמו, ואין בידיהם לסייע פיזית לאם.</w:t>
      </w:r>
    </w:p>
    <w:p w14:paraId="5AEC0E2B" w14:textId="77777777" w:rsidR="00112913" w:rsidRDefault="00112913">
      <w:pPr>
        <w:spacing w:line="360" w:lineRule="auto"/>
        <w:jc w:val="both"/>
        <w:rPr>
          <w:rtl/>
        </w:rPr>
      </w:pPr>
    </w:p>
    <w:p w14:paraId="2CE8679B" w14:textId="77777777" w:rsidR="00112913" w:rsidRDefault="004903DB">
      <w:pPr>
        <w:spacing w:line="360" w:lineRule="auto"/>
        <w:jc w:val="both"/>
        <w:rPr>
          <w:b/>
          <w:bCs/>
          <w:u w:val="single"/>
          <w:rtl/>
        </w:rPr>
      </w:pPr>
      <w:r>
        <w:rPr>
          <w:b/>
          <w:bCs/>
          <w:u w:val="single"/>
          <w:rtl/>
        </w:rPr>
        <w:t>סיכום הענישה וגזר הדין</w:t>
      </w:r>
    </w:p>
    <w:p w14:paraId="6ADB72EF" w14:textId="77777777" w:rsidR="00112913" w:rsidRDefault="004903DB">
      <w:pPr>
        <w:spacing w:line="360" w:lineRule="auto"/>
        <w:jc w:val="both"/>
        <w:rPr>
          <w:rtl/>
        </w:rPr>
      </w:pPr>
      <w:r>
        <w:rPr>
          <w:rtl/>
        </w:rPr>
        <w:t>בהתאם לעקרונות ולדברים שנקבעו לעיל, החלטתי להטיל על הנאשם את העונשים הבאים:</w:t>
      </w:r>
    </w:p>
    <w:p w14:paraId="7FD51B8E" w14:textId="77777777" w:rsidR="00112913" w:rsidRDefault="00112913">
      <w:pPr>
        <w:spacing w:line="360" w:lineRule="auto"/>
        <w:jc w:val="both"/>
        <w:rPr>
          <w:rtl/>
        </w:rPr>
      </w:pPr>
    </w:p>
    <w:p w14:paraId="2D8F039C" w14:textId="77777777" w:rsidR="00112913" w:rsidRDefault="004903DB">
      <w:pPr>
        <w:spacing w:line="360" w:lineRule="auto"/>
        <w:jc w:val="both"/>
        <w:rPr>
          <w:rtl/>
        </w:rPr>
      </w:pPr>
      <w:r>
        <w:rPr>
          <w:rFonts w:hint="cs"/>
          <w:rtl/>
        </w:rPr>
        <w:t xml:space="preserve">10 </w:t>
      </w:r>
      <w:r>
        <w:rPr>
          <w:rtl/>
        </w:rPr>
        <w:t xml:space="preserve">חודשי מאסר לריצוי בפועל </w:t>
      </w:r>
      <w:r>
        <w:rPr>
          <w:rFonts w:hint="cs"/>
          <w:rtl/>
        </w:rPr>
        <w:t>שמניינם מיום 30.1.2014, מועד מעצרו</w:t>
      </w:r>
      <w:r>
        <w:rPr>
          <w:rtl/>
        </w:rPr>
        <w:t xml:space="preserve">. </w:t>
      </w:r>
    </w:p>
    <w:p w14:paraId="628A363C" w14:textId="77777777" w:rsidR="00112913" w:rsidRDefault="00112913">
      <w:pPr>
        <w:spacing w:line="360" w:lineRule="auto"/>
        <w:jc w:val="both"/>
        <w:rPr>
          <w:rtl/>
        </w:rPr>
      </w:pPr>
    </w:p>
    <w:p w14:paraId="6B4F8F55" w14:textId="77777777" w:rsidR="00112913" w:rsidRDefault="004903DB">
      <w:pPr>
        <w:spacing w:line="360" w:lineRule="auto"/>
        <w:jc w:val="both"/>
        <w:rPr>
          <w:rtl/>
        </w:rPr>
      </w:pPr>
      <w:r>
        <w:rPr>
          <w:rFonts w:hint="cs"/>
          <w:rtl/>
        </w:rPr>
        <w:t xml:space="preserve">10 </w:t>
      </w:r>
      <w:r>
        <w:rPr>
          <w:rtl/>
        </w:rPr>
        <w:t>חודשי מאסר על תנאי</w:t>
      </w:r>
      <w:r>
        <w:rPr>
          <w:rFonts w:hint="cs"/>
          <w:rtl/>
        </w:rPr>
        <w:t>,</w:t>
      </w:r>
      <w:r>
        <w:rPr>
          <w:rtl/>
        </w:rPr>
        <w:t xml:space="preserve"> והתנאי ש</w:t>
      </w:r>
      <w:r>
        <w:rPr>
          <w:rFonts w:hint="cs"/>
          <w:rtl/>
        </w:rPr>
        <w:t xml:space="preserve">הנאשם </w:t>
      </w:r>
      <w:r>
        <w:rPr>
          <w:rtl/>
        </w:rPr>
        <w:t>לא יעבור עביר</w:t>
      </w:r>
      <w:r>
        <w:rPr>
          <w:rFonts w:hint="cs"/>
          <w:rtl/>
        </w:rPr>
        <w:t>ה</w:t>
      </w:r>
      <w:r>
        <w:rPr>
          <w:rtl/>
        </w:rPr>
        <w:t xml:space="preserve"> </w:t>
      </w:r>
      <w:r>
        <w:rPr>
          <w:rFonts w:hint="cs"/>
          <w:rtl/>
        </w:rPr>
        <w:t>ב</w:t>
      </w:r>
      <w:r>
        <w:rPr>
          <w:rtl/>
        </w:rPr>
        <w:t xml:space="preserve">נשק </w:t>
      </w:r>
      <w:r>
        <w:rPr>
          <w:rFonts w:hint="cs"/>
          <w:rtl/>
        </w:rPr>
        <w:t>וזאת ב</w:t>
      </w:r>
      <w:r>
        <w:rPr>
          <w:rtl/>
        </w:rPr>
        <w:t>תוך שלוש שנים מ</w:t>
      </w:r>
      <w:r>
        <w:rPr>
          <w:rFonts w:hint="cs"/>
          <w:rtl/>
        </w:rPr>
        <w:t>ה</w:t>
      </w:r>
      <w:r>
        <w:rPr>
          <w:rtl/>
        </w:rPr>
        <w:t xml:space="preserve">יום </w:t>
      </w:r>
      <w:r>
        <w:rPr>
          <w:rFonts w:hint="cs"/>
          <w:rtl/>
        </w:rPr>
        <w:t>ויורשע בגינן</w:t>
      </w:r>
      <w:r>
        <w:rPr>
          <w:rtl/>
        </w:rPr>
        <w:t>.</w:t>
      </w:r>
    </w:p>
    <w:p w14:paraId="663AB387" w14:textId="77777777" w:rsidR="00112913" w:rsidRDefault="00112913">
      <w:pPr>
        <w:spacing w:line="360" w:lineRule="auto"/>
        <w:jc w:val="both"/>
        <w:rPr>
          <w:rtl/>
        </w:rPr>
      </w:pPr>
    </w:p>
    <w:p w14:paraId="7506216C" w14:textId="77777777" w:rsidR="00112913" w:rsidRDefault="004903DB">
      <w:pPr>
        <w:spacing w:line="360" w:lineRule="auto"/>
        <w:jc w:val="both"/>
        <w:rPr>
          <w:rtl/>
        </w:rPr>
      </w:pPr>
      <w:r>
        <w:rPr>
          <w:rFonts w:hint="cs"/>
          <w:rtl/>
        </w:rPr>
        <w:t xml:space="preserve">4 חודשי מאסר על תנאי והתנאי הוא שהנאשם לא יעבור בתוך שלוש שנים מהיום עבירת איומים וכן כל עבירת אלימות ויורשע בגינה.  </w:t>
      </w:r>
      <w:r>
        <w:rPr>
          <w:rtl/>
        </w:rPr>
        <w:t xml:space="preserve"> </w:t>
      </w:r>
    </w:p>
    <w:p w14:paraId="073D3535" w14:textId="77777777" w:rsidR="00112913" w:rsidRDefault="00112913">
      <w:pPr>
        <w:spacing w:line="360" w:lineRule="auto"/>
        <w:jc w:val="both"/>
        <w:rPr>
          <w:rtl/>
        </w:rPr>
      </w:pPr>
    </w:p>
    <w:p w14:paraId="522EE73A" w14:textId="77777777" w:rsidR="00112913" w:rsidRDefault="004903DB">
      <w:pPr>
        <w:spacing w:line="360" w:lineRule="auto"/>
        <w:jc w:val="both"/>
        <w:rPr>
          <w:rtl/>
        </w:rPr>
      </w:pPr>
      <w:r>
        <w:rPr>
          <w:rFonts w:hint="cs"/>
          <w:rtl/>
        </w:rPr>
        <w:t xml:space="preserve">בשים לב למצבה הכלכלי של משפחת הנאשם לא גזרתי על הנאשם לשלם קנס כספי. </w:t>
      </w:r>
    </w:p>
    <w:p w14:paraId="6C698604" w14:textId="77777777" w:rsidR="00112913" w:rsidRDefault="00112913">
      <w:pPr>
        <w:spacing w:line="360" w:lineRule="auto"/>
        <w:jc w:val="both"/>
        <w:rPr>
          <w:rtl/>
        </w:rPr>
      </w:pPr>
    </w:p>
    <w:p w14:paraId="27474183" w14:textId="77777777" w:rsidR="00112913" w:rsidRDefault="004903DB">
      <w:pPr>
        <w:spacing w:line="360" w:lineRule="auto"/>
        <w:jc w:val="both"/>
        <w:rPr>
          <w:b/>
          <w:bCs/>
          <w:u w:val="single"/>
        </w:rPr>
      </w:pPr>
      <w:r>
        <w:rPr>
          <w:b/>
          <w:bCs/>
          <w:u w:val="single"/>
          <w:rtl/>
        </w:rPr>
        <w:t xml:space="preserve">זכות ערעור לבית המשפט בעליון תוך 45 ימים מהיום. </w:t>
      </w:r>
    </w:p>
    <w:p w14:paraId="73A91461" w14:textId="77777777" w:rsidR="00112913" w:rsidRPr="004903DB" w:rsidRDefault="004903DB">
      <w:pPr>
        <w:spacing w:line="360" w:lineRule="auto"/>
        <w:rPr>
          <w:color w:val="FFFFFF"/>
          <w:sz w:val="2"/>
          <w:szCs w:val="2"/>
          <w:rtl/>
        </w:rPr>
      </w:pPr>
      <w:r w:rsidRPr="004903DB">
        <w:rPr>
          <w:color w:val="FFFFFF"/>
          <w:sz w:val="2"/>
          <w:szCs w:val="2"/>
          <w:rtl/>
        </w:rPr>
        <w:t>5129371</w:t>
      </w:r>
    </w:p>
    <w:tbl>
      <w:tblPr>
        <w:bidiVisual/>
        <w:tblW w:w="0" w:type="auto"/>
        <w:jc w:val="right"/>
        <w:tblLook w:val="01E0" w:firstRow="1" w:lastRow="1" w:firstColumn="1" w:lastColumn="1" w:noHBand="0" w:noVBand="0"/>
      </w:tblPr>
      <w:tblGrid>
        <w:gridCol w:w="2834"/>
      </w:tblGrid>
      <w:tr w:rsidR="00112913" w14:paraId="19D99B26" w14:textId="77777777">
        <w:trPr>
          <w:jc w:val="right"/>
        </w:trPr>
        <w:tc>
          <w:tcPr>
            <w:tcW w:w="2834" w:type="dxa"/>
            <w:tcBorders>
              <w:top w:val="nil"/>
              <w:left w:val="nil"/>
              <w:bottom w:val="single" w:sz="4" w:space="0" w:color="auto"/>
              <w:right w:val="nil"/>
            </w:tcBorders>
            <w:vAlign w:val="center"/>
          </w:tcPr>
          <w:p w14:paraId="387FCC9E" w14:textId="77777777" w:rsidR="00112913" w:rsidRDefault="004903DB">
            <w:pPr>
              <w:jc w:val="center"/>
              <w:rPr>
                <w:rFonts w:ascii="Courier New" w:hAnsi="Courier New"/>
                <w:b/>
                <w:bCs/>
              </w:rPr>
            </w:pPr>
            <w:r w:rsidRPr="004903DB">
              <w:rPr>
                <w:rFonts w:ascii="Arial" w:hAnsi="Arial"/>
                <w:color w:val="FFFFFF"/>
                <w:sz w:val="2"/>
                <w:szCs w:val="2"/>
                <w:rtl/>
              </w:rPr>
              <w:t>54678313</w:t>
            </w:r>
            <w:r>
              <w:rPr>
                <w:rFonts w:ascii="Arial" w:hAnsi="Arial"/>
                <w:rtl/>
              </w:rPr>
              <w:t xml:space="preserve">ניתן היום, ד' סיוון תשע"ד, 02 יוני 2014, במעמד הצדדים ובאי כוחם. </w:t>
            </w:r>
          </w:p>
        </w:tc>
      </w:tr>
      <w:tr w:rsidR="00112913" w14:paraId="45081494" w14:textId="77777777">
        <w:trPr>
          <w:jc w:val="right"/>
        </w:trPr>
        <w:tc>
          <w:tcPr>
            <w:tcW w:w="2834" w:type="dxa"/>
            <w:tcBorders>
              <w:top w:val="single" w:sz="4" w:space="0" w:color="auto"/>
              <w:left w:val="nil"/>
              <w:bottom w:val="nil"/>
              <w:right w:val="nil"/>
            </w:tcBorders>
          </w:tcPr>
          <w:p w14:paraId="4C21BACC" w14:textId="77777777" w:rsidR="00112913" w:rsidRDefault="004903DB">
            <w:pPr>
              <w:jc w:val="center"/>
              <w:rPr>
                <w:b/>
                <w:bCs/>
                <w:noProof/>
                <w:sz w:val="28"/>
              </w:rPr>
            </w:pPr>
            <w:r>
              <w:rPr>
                <w:rFonts w:hint="cs"/>
                <w:b/>
                <w:bCs/>
                <w:sz w:val="28"/>
                <w:rtl/>
              </w:rPr>
              <w:t>ר' שפירא, ס. נשיא</w:t>
            </w:r>
          </w:p>
        </w:tc>
      </w:tr>
    </w:tbl>
    <w:p w14:paraId="620A3DE4" w14:textId="77777777" w:rsidR="00112913" w:rsidRDefault="00112913">
      <w:pPr>
        <w:rPr>
          <w:rtl/>
        </w:rPr>
      </w:pPr>
    </w:p>
    <w:p w14:paraId="3DF542A6" w14:textId="77777777" w:rsidR="00112913" w:rsidRDefault="00112913">
      <w:pPr>
        <w:spacing w:line="360" w:lineRule="auto"/>
        <w:jc w:val="both"/>
        <w:rPr>
          <w:rFonts w:ascii="Arial" w:hAnsi="Arial"/>
        </w:rPr>
      </w:pPr>
    </w:p>
    <w:p w14:paraId="050AA696" w14:textId="77777777" w:rsidR="004903DB" w:rsidRPr="004903DB" w:rsidRDefault="004903DB" w:rsidP="004903DB">
      <w:pPr>
        <w:keepNext/>
        <w:rPr>
          <w:rFonts w:ascii="David" w:hAnsi="David"/>
          <w:color w:val="000000"/>
          <w:sz w:val="22"/>
          <w:szCs w:val="22"/>
          <w:rtl/>
        </w:rPr>
      </w:pPr>
    </w:p>
    <w:p w14:paraId="04A57886" w14:textId="77777777" w:rsidR="004903DB" w:rsidRPr="004903DB" w:rsidRDefault="004903DB" w:rsidP="004903DB">
      <w:pPr>
        <w:keepNext/>
        <w:rPr>
          <w:rFonts w:ascii="David" w:hAnsi="David"/>
          <w:color w:val="000000"/>
          <w:sz w:val="22"/>
          <w:szCs w:val="22"/>
          <w:rtl/>
        </w:rPr>
      </w:pPr>
      <w:r w:rsidRPr="004903DB">
        <w:rPr>
          <w:rFonts w:ascii="David" w:hAnsi="David"/>
          <w:color w:val="000000"/>
          <w:sz w:val="22"/>
          <w:szCs w:val="22"/>
          <w:rtl/>
        </w:rPr>
        <w:t>רון שפירא 54678313</w:t>
      </w:r>
    </w:p>
    <w:p w14:paraId="5B0D70B7" w14:textId="77777777" w:rsidR="004903DB" w:rsidRDefault="004903DB" w:rsidP="004903DB">
      <w:r w:rsidRPr="004903DB">
        <w:rPr>
          <w:color w:val="000000"/>
          <w:rtl/>
        </w:rPr>
        <w:t>נוסח מסמך זה כפוף לשינויי ניסוח ועריכה</w:t>
      </w:r>
    </w:p>
    <w:p w14:paraId="2DA9F3A0" w14:textId="77777777" w:rsidR="004903DB" w:rsidRDefault="004903DB" w:rsidP="004903DB">
      <w:pPr>
        <w:rPr>
          <w:rtl/>
        </w:rPr>
      </w:pPr>
    </w:p>
    <w:p w14:paraId="6BF3FE1D" w14:textId="77777777" w:rsidR="004903DB" w:rsidRDefault="004903DB" w:rsidP="004903DB">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r w:rsidR="00B642BD">
        <w:rPr>
          <w:rFonts w:hint="cs"/>
          <w:color w:val="0000FF"/>
          <w:u w:val="single"/>
          <w:rtl/>
        </w:rPr>
        <w:t xml:space="preserve"> </w:t>
      </w:r>
    </w:p>
    <w:p w14:paraId="0A689932" w14:textId="77777777" w:rsidR="00112913" w:rsidRPr="004903DB" w:rsidRDefault="00112913" w:rsidP="004903DB">
      <w:pPr>
        <w:jc w:val="center"/>
        <w:rPr>
          <w:color w:val="0000FF"/>
          <w:u w:val="single"/>
        </w:rPr>
      </w:pPr>
    </w:p>
    <w:sectPr w:rsidR="00112913" w:rsidRPr="004903DB" w:rsidSect="004903DB">
      <w:headerReference w:type="even" r:id="rId30"/>
      <w:headerReference w:type="default" r:id="rId31"/>
      <w:footerReference w:type="even" r:id="rId32"/>
      <w:footerReference w:type="default" r:id="rId33"/>
      <w:pgSz w:w="11907" w:h="16840" w:code="9"/>
      <w:pgMar w:top="1701" w:right="1701" w:bottom="1276"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E519F0" w14:textId="77777777" w:rsidR="00E9637E" w:rsidRPr="00B53F04" w:rsidRDefault="00E9637E">
      <w:pPr>
        <w:rPr>
          <w:rFonts w:cs="Arial"/>
          <w:szCs w:val="20"/>
        </w:rPr>
      </w:pPr>
      <w:r>
        <w:separator/>
      </w:r>
    </w:p>
  </w:endnote>
  <w:endnote w:type="continuationSeparator" w:id="0">
    <w:p w14:paraId="1C9D78BF" w14:textId="77777777" w:rsidR="00E9637E" w:rsidRPr="00B53F04" w:rsidRDefault="00E9637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E0C60" w14:textId="77777777" w:rsidR="004903DB" w:rsidRDefault="004903DB" w:rsidP="004903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1AD9A5D" w14:textId="77777777" w:rsidR="00112913" w:rsidRPr="004903DB" w:rsidRDefault="004903DB" w:rsidP="004903DB">
    <w:pPr>
      <w:pStyle w:val="a5"/>
      <w:pBdr>
        <w:top w:val="single" w:sz="4" w:space="1" w:color="auto"/>
        <w:between w:val="single" w:sz="4" w:space="0" w:color="auto"/>
      </w:pBdr>
      <w:spacing w:after="60"/>
      <w:jc w:val="center"/>
      <w:rPr>
        <w:rFonts w:ascii="FrankRuehl" w:hAnsi="FrankRuehl" w:cs="FrankRuehl"/>
        <w:color w:val="000000"/>
      </w:rPr>
    </w:pPr>
    <w:r w:rsidRPr="004903D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6A926" w14:textId="77777777" w:rsidR="004903DB" w:rsidRDefault="004903DB" w:rsidP="004903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B4775">
      <w:rPr>
        <w:rFonts w:ascii="FrankRuehl" w:hAnsi="FrankRuehl" w:cs="FrankRuehl"/>
        <w:noProof/>
        <w:rtl/>
      </w:rPr>
      <w:t>2</w:t>
    </w:r>
    <w:r>
      <w:rPr>
        <w:rFonts w:ascii="FrankRuehl" w:hAnsi="FrankRuehl" w:cs="FrankRuehl"/>
        <w:rtl/>
      </w:rPr>
      <w:fldChar w:fldCharType="end"/>
    </w:r>
  </w:p>
  <w:p w14:paraId="294413B6" w14:textId="77777777" w:rsidR="00112913" w:rsidRPr="004903DB" w:rsidRDefault="004903DB" w:rsidP="004903DB">
    <w:pPr>
      <w:pStyle w:val="a5"/>
      <w:pBdr>
        <w:top w:val="single" w:sz="4" w:space="1" w:color="auto"/>
        <w:between w:val="single" w:sz="4" w:space="0" w:color="auto"/>
      </w:pBdr>
      <w:spacing w:after="60"/>
      <w:jc w:val="center"/>
      <w:rPr>
        <w:rFonts w:ascii="FrankRuehl" w:hAnsi="FrankRuehl" w:cs="FrankRuehl"/>
        <w:color w:val="000000"/>
      </w:rPr>
    </w:pPr>
    <w:r w:rsidRPr="004903DB">
      <w:rPr>
        <w:rFonts w:ascii="FrankRuehl" w:hAnsi="FrankRuehl" w:cs="FrankRuehl"/>
        <w:color w:val="000000"/>
      </w:rPr>
      <w:pict w14:anchorId="4249DF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D5FC3A" w14:textId="77777777" w:rsidR="00E9637E" w:rsidRPr="00B53F04" w:rsidRDefault="00E9637E">
      <w:pPr>
        <w:rPr>
          <w:rFonts w:cs="Arial"/>
          <w:szCs w:val="20"/>
        </w:rPr>
      </w:pPr>
      <w:r>
        <w:separator/>
      </w:r>
    </w:p>
  </w:footnote>
  <w:footnote w:type="continuationSeparator" w:id="0">
    <w:p w14:paraId="3E8A00F9" w14:textId="77777777" w:rsidR="00E9637E" w:rsidRPr="00B53F04" w:rsidRDefault="00E9637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0E270" w14:textId="77777777" w:rsidR="004903DB" w:rsidRPr="004903DB" w:rsidRDefault="004903DB" w:rsidP="004903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23537-02-14</w:t>
    </w:r>
    <w:r>
      <w:rPr>
        <w:rFonts w:ascii="David" w:hAnsi="David"/>
        <w:color w:val="000000"/>
        <w:sz w:val="22"/>
        <w:szCs w:val="22"/>
        <w:rtl/>
      </w:rPr>
      <w:tab/>
      <w:t xml:space="preserve"> מדינת ישראל נ' מואייד עטר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C1240" w14:textId="77777777" w:rsidR="004903DB" w:rsidRPr="004903DB" w:rsidRDefault="004903DB" w:rsidP="004903D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23537-02-14</w:t>
    </w:r>
    <w:r>
      <w:rPr>
        <w:rFonts w:ascii="David" w:hAnsi="David"/>
        <w:color w:val="000000"/>
        <w:sz w:val="22"/>
        <w:szCs w:val="22"/>
        <w:rtl/>
      </w:rPr>
      <w:tab/>
      <w:t xml:space="preserve"> מדינת ישראל נ' מואייד עטר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2913"/>
    <w:rsid w:val="000D0FCC"/>
    <w:rsid w:val="00112913"/>
    <w:rsid w:val="00242827"/>
    <w:rsid w:val="00281FE0"/>
    <w:rsid w:val="004903DB"/>
    <w:rsid w:val="004B4775"/>
    <w:rsid w:val="006202E2"/>
    <w:rsid w:val="00827F6A"/>
    <w:rsid w:val="00B642BD"/>
    <w:rsid w:val="00E963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CB41157"/>
  <w15:chartTrackingRefBased/>
  <w15:docId w15:val="{C0B85689-867B-4719-8017-AA4B2AC9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291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112913"/>
    <w:pPr>
      <w:tabs>
        <w:tab w:val="center" w:pos="4153"/>
        <w:tab w:val="right" w:pos="8306"/>
      </w:tabs>
    </w:pPr>
  </w:style>
  <w:style w:type="paragraph" w:styleId="a5">
    <w:name w:val="footer"/>
    <w:basedOn w:val="a"/>
    <w:rsid w:val="00112913"/>
    <w:pPr>
      <w:tabs>
        <w:tab w:val="center" w:pos="4153"/>
        <w:tab w:val="right" w:pos="8306"/>
      </w:tabs>
    </w:pPr>
  </w:style>
  <w:style w:type="character" w:styleId="a6">
    <w:name w:val="page number"/>
    <w:basedOn w:val="a0"/>
    <w:rsid w:val="00112913"/>
  </w:style>
  <w:style w:type="character" w:customStyle="1" w:styleId="a4">
    <w:name w:val="כותרת עליונה תו"/>
    <w:link w:val="a3"/>
    <w:rsid w:val="00112913"/>
    <w:rPr>
      <w:rFonts w:cs="David"/>
      <w:sz w:val="24"/>
      <w:szCs w:val="24"/>
      <w:lang w:val="en-US" w:eastAsia="en-US" w:bidi="he-IL"/>
    </w:rPr>
  </w:style>
  <w:style w:type="character" w:styleId="Hyperlink">
    <w:name w:val="Hyperlink"/>
    <w:rsid w:val="004903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case/5969313" TargetMode="External"/><Relationship Id="rId26" Type="http://schemas.openxmlformats.org/officeDocument/2006/relationships/hyperlink" Target="http://www.nevo.co.il/case/6276336" TargetMode="External"/><Relationship Id="rId3" Type="http://schemas.openxmlformats.org/officeDocument/2006/relationships/webSettings" Target="webSettings.xml"/><Relationship Id="rId21" Type="http://schemas.openxmlformats.org/officeDocument/2006/relationships/hyperlink" Target="http://www.nevo.co.il/case/5887664" TargetMode="External"/><Relationship Id="rId34" Type="http://schemas.openxmlformats.org/officeDocument/2006/relationships/fontTable" Target="fontTable.xml"/><Relationship Id="rId7" Type="http://schemas.openxmlformats.org/officeDocument/2006/relationships/hyperlink" Target="http://www.nevo.co.il/law/70301/29"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5887664"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case/6018516" TargetMode="External"/><Relationship Id="rId20"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24" Type="http://schemas.openxmlformats.org/officeDocument/2006/relationships/hyperlink" Target="http://www.nevo.co.il/links/psika/?link=&#1489;&#1513;%20625/82&amp;Pvol=&#1500;&#1494;"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case/5573417" TargetMode="External"/><Relationship Id="rId23" Type="http://schemas.openxmlformats.org/officeDocument/2006/relationships/hyperlink" Target="http://www.nevo.co.il/case/6169310" TargetMode="External"/><Relationship Id="rId28" Type="http://schemas.openxmlformats.org/officeDocument/2006/relationships/hyperlink" Target="http://www.nevo.co.il/links/psika/?NEWPROC=&#1514;&#1508;&amp;NEWPARTA=5000&amp;NEWPARTC=12" TargetMode="External"/><Relationship Id="rId10" Type="http://schemas.openxmlformats.org/officeDocument/2006/relationships/hyperlink" Target="http://www.nevo.co.il/law/70301/144.b" TargetMode="External"/><Relationship Id="rId19" Type="http://schemas.openxmlformats.org/officeDocument/2006/relationships/hyperlink" Target="http://www.nevo.co.il/case/6473037"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92" TargetMode="External"/><Relationship Id="rId14" Type="http://schemas.openxmlformats.org/officeDocument/2006/relationships/hyperlink" Target="http://www.nevo.co.il/law/70301/29" TargetMode="External"/><Relationship Id="rId22" Type="http://schemas.openxmlformats.org/officeDocument/2006/relationships/hyperlink" Target="http://www.nevo.co.il/case/5852404" TargetMode="External"/><Relationship Id="rId27" Type="http://schemas.openxmlformats.org/officeDocument/2006/relationships/hyperlink" Target="http://www.nevo.co.il/case/526440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1978</Words>
  <Characters>9893</Characters>
  <Application>Microsoft Office Word</Application>
  <DocSecurity>0</DocSecurity>
  <Lines>82</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11848</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100271598</vt:i4>
      </vt:variant>
      <vt:variant>
        <vt:i4>66</vt:i4>
      </vt:variant>
      <vt:variant>
        <vt:i4>0</vt:i4>
      </vt:variant>
      <vt:variant>
        <vt:i4>5</vt:i4>
      </vt:variant>
      <vt:variant>
        <vt:lpwstr>http://www.nevo.co.il/links/psika/?NEWPROC=תפ&amp;NEWPARTA=5000&amp;NEWPARTC=12</vt:lpwstr>
      </vt:variant>
      <vt:variant>
        <vt:lpwstr/>
      </vt:variant>
      <vt:variant>
        <vt:i4>3211378</vt:i4>
      </vt:variant>
      <vt:variant>
        <vt:i4>63</vt:i4>
      </vt:variant>
      <vt:variant>
        <vt:i4>0</vt:i4>
      </vt:variant>
      <vt:variant>
        <vt:i4>5</vt:i4>
      </vt:variant>
      <vt:variant>
        <vt:lpwstr>http://www.nevo.co.il/case/5264406</vt:lpwstr>
      </vt:variant>
      <vt:variant>
        <vt:lpwstr/>
      </vt:variant>
      <vt:variant>
        <vt:i4>3407987</vt:i4>
      </vt:variant>
      <vt:variant>
        <vt:i4>60</vt:i4>
      </vt:variant>
      <vt:variant>
        <vt:i4>0</vt:i4>
      </vt:variant>
      <vt:variant>
        <vt:i4>5</vt:i4>
      </vt:variant>
      <vt:variant>
        <vt:lpwstr>http://www.nevo.co.il/case/6276336</vt:lpwstr>
      </vt:variant>
      <vt:variant>
        <vt:lpwstr/>
      </vt:variant>
      <vt:variant>
        <vt:i4>4128893</vt:i4>
      </vt:variant>
      <vt:variant>
        <vt:i4>57</vt:i4>
      </vt:variant>
      <vt:variant>
        <vt:i4>0</vt:i4>
      </vt:variant>
      <vt:variant>
        <vt:i4>5</vt:i4>
      </vt:variant>
      <vt:variant>
        <vt:lpwstr>http://www.nevo.co.il/case/5887664</vt:lpwstr>
      </vt:variant>
      <vt:variant>
        <vt:lpwstr/>
      </vt:variant>
      <vt:variant>
        <vt:i4>2295219</vt:i4>
      </vt:variant>
      <vt:variant>
        <vt:i4>54</vt:i4>
      </vt:variant>
      <vt:variant>
        <vt:i4>0</vt:i4>
      </vt:variant>
      <vt:variant>
        <vt:i4>5</vt:i4>
      </vt:variant>
      <vt:variant>
        <vt:lpwstr>http://www.nevo.co.il/links/psika/?link=בש 625/82&amp;Pvol=לז</vt:lpwstr>
      </vt:variant>
      <vt:variant>
        <vt:lpwstr/>
      </vt:variant>
      <vt:variant>
        <vt:i4>3342461</vt:i4>
      </vt:variant>
      <vt:variant>
        <vt:i4>51</vt:i4>
      </vt:variant>
      <vt:variant>
        <vt:i4>0</vt:i4>
      </vt:variant>
      <vt:variant>
        <vt:i4>5</vt:i4>
      </vt:variant>
      <vt:variant>
        <vt:lpwstr>http://www.nevo.co.il/case/6169310</vt:lpwstr>
      </vt:variant>
      <vt:variant>
        <vt:lpwstr/>
      </vt:variant>
      <vt:variant>
        <vt:i4>3145854</vt:i4>
      </vt:variant>
      <vt:variant>
        <vt:i4>48</vt:i4>
      </vt:variant>
      <vt:variant>
        <vt:i4>0</vt:i4>
      </vt:variant>
      <vt:variant>
        <vt:i4>5</vt:i4>
      </vt:variant>
      <vt:variant>
        <vt:lpwstr>http://www.nevo.co.il/case/5852404</vt:lpwstr>
      </vt:variant>
      <vt:variant>
        <vt:lpwstr/>
      </vt:variant>
      <vt:variant>
        <vt:i4>4128893</vt:i4>
      </vt:variant>
      <vt:variant>
        <vt:i4>45</vt:i4>
      </vt:variant>
      <vt:variant>
        <vt:i4>0</vt:i4>
      </vt:variant>
      <vt:variant>
        <vt:i4>5</vt:i4>
      </vt:variant>
      <vt:variant>
        <vt:lpwstr>http://www.nevo.co.il/case/5887664</vt:lpwstr>
      </vt:variant>
      <vt:variant>
        <vt:lpwstr/>
      </vt:variant>
      <vt:variant>
        <vt:i4>7995492</vt:i4>
      </vt:variant>
      <vt:variant>
        <vt:i4>42</vt:i4>
      </vt:variant>
      <vt:variant>
        <vt:i4>0</vt:i4>
      </vt:variant>
      <vt:variant>
        <vt:i4>5</vt:i4>
      </vt:variant>
      <vt:variant>
        <vt:lpwstr>http://www.nevo.co.il/law/70301</vt:lpwstr>
      </vt:variant>
      <vt:variant>
        <vt:lpwstr/>
      </vt:variant>
      <vt:variant>
        <vt:i4>3539056</vt:i4>
      </vt:variant>
      <vt:variant>
        <vt:i4>39</vt:i4>
      </vt:variant>
      <vt:variant>
        <vt:i4>0</vt:i4>
      </vt:variant>
      <vt:variant>
        <vt:i4>5</vt:i4>
      </vt:variant>
      <vt:variant>
        <vt:lpwstr>http://www.nevo.co.il/case/6473037</vt:lpwstr>
      </vt:variant>
      <vt:variant>
        <vt:lpwstr/>
      </vt:variant>
      <vt:variant>
        <vt:i4>3342453</vt:i4>
      </vt:variant>
      <vt:variant>
        <vt:i4>36</vt:i4>
      </vt:variant>
      <vt:variant>
        <vt:i4>0</vt:i4>
      </vt:variant>
      <vt:variant>
        <vt:i4>5</vt:i4>
      </vt:variant>
      <vt:variant>
        <vt:lpwstr>http://www.nevo.co.il/case/5969313</vt:lpwstr>
      </vt:variant>
      <vt:variant>
        <vt:lpwstr/>
      </vt:variant>
      <vt:variant>
        <vt:i4>7995492</vt:i4>
      </vt:variant>
      <vt:variant>
        <vt:i4>33</vt:i4>
      </vt:variant>
      <vt:variant>
        <vt:i4>0</vt:i4>
      </vt:variant>
      <vt:variant>
        <vt:i4>5</vt:i4>
      </vt:variant>
      <vt:variant>
        <vt:lpwstr>http://www.nevo.co.il/law/70301</vt:lpwstr>
      </vt:variant>
      <vt:variant>
        <vt:lpwstr/>
      </vt:variant>
      <vt:variant>
        <vt:i4>3407997</vt:i4>
      </vt:variant>
      <vt:variant>
        <vt:i4>30</vt:i4>
      </vt:variant>
      <vt:variant>
        <vt:i4>0</vt:i4>
      </vt:variant>
      <vt:variant>
        <vt:i4>5</vt:i4>
      </vt:variant>
      <vt:variant>
        <vt:lpwstr>http://www.nevo.co.il/case/6018516</vt:lpwstr>
      </vt:variant>
      <vt:variant>
        <vt:lpwstr/>
      </vt:variant>
      <vt:variant>
        <vt:i4>3211379</vt:i4>
      </vt:variant>
      <vt:variant>
        <vt:i4>27</vt:i4>
      </vt:variant>
      <vt:variant>
        <vt:i4>0</vt:i4>
      </vt:variant>
      <vt:variant>
        <vt:i4>5</vt:i4>
      </vt:variant>
      <vt:variant>
        <vt:lpwstr>http://www.nevo.co.il/case/5573417</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7077988</vt:i4>
      </vt:variant>
      <vt:variant>
        <vt:i4>21</vt:i4>
      </vt:variant>
      <vt:variant>
        <vt:i4>0</vt:i4>
      </vt:variant>
      <vt:variant>
        <vt:i4>5</vt:i4>
      </vt:variant>
      <vt:variant>
        <vt:lpwstr>http://www.nevo.co.il/law/70301/192</vt:lpwstr>
      </vt:variant>
      <vt:variant>
        <vt:lpwstr/>
      </vt:variant>
      <vt:variant>
        <vt:i4>7995492</vt:i4>
      </vt:variant>
      <vt:variant>
        <vt:i4>18</vt:i4>
      </vt:variant>
      <vt:variant>
        <vt:i4>0</vt:i4>
      </vt:variant>
      <vt:variant>
        <vt:i4>5</vt:i4>
      </vt:variant>
      <vt:variant>
        <vt:lpwstr>http://www.nevo.co.il/law/70301</vt:lpwstr>
      </vt:variant>
      <vt:variant>
        <vt:lpwstr/>
      </vt:variant>
      <vt:variant>
        <vt:i4>7077991</vt:i4>
      </vt:variant>
      <vt:variant>
        <vt:i4>15</vt:i4>
      </vt:variant>
      <vt:variant>
        <vt:i4>0</vt:i4>
      </vt:variant>
      <vt:variant>
        <vt:i4>5</vt:i4>
      </vt:variant>
      <vt:variant>
        <vt:lpwstr>http://www.nevo.co.il/law/70301/29</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7077988</vt:i4>
      </vt:variant>
      <vt:variant>
        <vt:i4>9</vt:i4>
      </vt:variant>
      <vt:variant>
        <vt:i4>0</vt:i4>
      </vt:variant>
      <vt:variant>
        <vt:i4>5</vt:i4>
      </vt:variant>
      <vt:variant>
        <vt:lpwstr>http://www.nevo.co.il/law/70301/192</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2025-01-19T15:52:00Z</dcterms:created>
  <dcterms:modified xsi:type="dcterms:W3CDTF">2025-01-19T15:52:00Z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23537</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מואייד עטר</vt:lpwstr>
  </property>
  <property fmtid="{D5CDD505-2E9C-101B-9397-08002B2CF9AE}" pid="10" name="JUDGE">
    <vt:lpwstr>רון שפירא</vt:lpwstr>
  </property>
  <property fmtid="{D5CDD505-2E9C-101B-9397-08002B2CF9AE}" pid="11" name="CITY">
    <vt:lpwstr>חי'</vt:lpwstr>
  </property>
  <property fmtid="{D5CDD505-2E9C-101B-9397-08002B2CF9AE}" pid="12" name="DATE">
    <vt:lpwstr>20140602</vt:lpwstr>
  </property>
  <property fmtid="{D5CDD505-2E9C-101B-9397-08002B2CF9AE}" pid="13" name="TYPE_N_DATE">
    <vt:lpwstr>39020140602</vt:lpwstr>
  </property>
  <property fmtid="{D5CDD505-2E9C-101B-9397-08002B2CF9AE}" pid="14" name="WORDNUMPAGES">
    <vt:lpwstr>8</vt:lpwstr>
  </property>
  <property fmtid="{D5CDD505-2E9C-101B-9397-08002B2CF9AE}" pid="15" name="TYPE_ABS_DATE">
    <vt:lpwstr>390020140602</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5573417;6018516;5969313;6473037;5887664:2;5852404;6169310;6276336;5264406</vt:lpwstr>
  </property>
  <property fmtid="{D5CDD505-2E9C-101B-9397-08002B2CF9AE}" pid="36" name="LAWLISTTMP1">
    <vt:lpwstr>70301/144.b;029:2;192</vt:lpwstr>
  </property>
</Properties>
</file>