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435AF" w:rsidRPr="006E6662" w14:paraId="36B84C6C" w14:textId="77777777">
        <w:trPr>
          <w:trHeight w:hRule="exact" w:val="418"/>
          <w:jc w:val="center"/>
        </w:trPr>
        <w:tc>
          <w:tcPr>
            <w:tcW w:w="8721" w:type="dxa"/>
            <w:gridSpan w:val="2"/>
          </w:tcPr>
          <w:p w14:paraId="58184913" w14:textId="77777777" w:rsidR="009435AF" w:rsidRPr="006E6662" w:rsidRDefault="006E6662">
            <w:pPr>
              <w:pStyle w:val="a3"/>
              <w:jc w:val="center"/>
              <w:rPr>
                <w:rFonts w:ascii="Tahoma" w:hAnsi="Tahoma" w:cs="Tahoma"/>
                <w:b/>
                <w:bCs/>
                <w:noProof w:val="0"/>
                <w:color w:val="000080"/>
                <w:rtl/>
              </w:rPr>
            </w:pPr>
            <w:r w:rsidRPr="006E6662">
              <w:rPr>
                <w:rFonts w:ascii="Tahoma" w:hAnsi="Tahoma" w:cs="Tahoma"/>
                <w:b/>
                <w:bCs/>
                <w:noProof w:val="0"/>
                <w:color w:val="000080"/>
                <w:rtl/>
              </w:rPr>
              <w:t>בית המשפט המחוזי בחיפה</w:t>
            </w:r>
          </w:p>
        </w:tc>
      </w:tr>
      <w:tr w:rsidR="009435AF" w:rsidRPr="006E6662" w14:paraId="3B333A46" w14:textId="77777777">
        <w:trPr>
          <w:trHeight w:val="337"/>
          <w:jc w:val="center"/>
        </w:trPr>
        <w:tc>
          <w:tcPr>
            <w:tcW w:w="5047" w:type="dxa"/>
          </w:tcPr>
          <w:p w14:paraId="5758A200" w14:textId="77777777" w:rsidR="009435AF" w:rsidRPr="006E6662" w:rsidRDefault="009435AF">
            <w:pPr>
              <w:rPr>
                <w:b/>
                <w:bCs/>
                <w:noProof w:val="0"/>
                <w:sz w:val="26"/>
                <w:szCs w:val="26"/>
                <w:rtl/>
              </w:rPr>
            </w:pPr>
          </w:p>
        </w:tc>
        <w:tc>
          <w:tcPr>
            <w:tcW w:w="3674" w:type="dxa"/>
          </w:tcPr>
          <w:p w14:paraId="7E4BC0E0" w14:textId="77777777" w:rsidR="009435AF" w:rsidRPr="006E6662" w:rsidRDefault="006E6662">
            <w:pPr>
              <w:pStyle w:val="a3"/>
              <w:jc w:val="right"/>
              <w:rPr>
                <w:b/>
                <w:bCs/>
                <w:noProof w:val="0"/>
                <w:sz w:val="26"/>
                <w:szCs w:val="26"/>
                <w:rtl/>
              </w:rPr>
            </w:pPr>
            <w:r w:rsidRPr="006E6662">
              <w:rPr>
                <w:rFonts w:hint="cs"/>
                <w:b/>
                <w:bCs/>
                <w:noProof w:val="0"/>
                <w:sz w:val="26"/>
                <w:szCs w:val="26"/>
                <w:rtl/>
              </w:rPr>
              <w:t>18 ספטמבר 2014</w:t>
            </w:r>
          </w:p>
        </w:tc>
      </w:tr>
      <w:tr w:rsidR="009435AF" w:rsidRPr="006E6662" w14:paraId="4130046E" w14:textId="77777777">
        <w:trPr>
          <w:trHeight w:val="337"/>
          <w:jc w:val="center"/>
        </w:trPr>
        <w:tc>
          <w:tcPr>
            <w:tcW w:w="8721" w:type="dxa"/>
            <w:gridSpan w:val="2"/>
          </w:tcPr>
          <w:p w14:paraId="374F74A9" w14:textId="77777777" w:rsidR="009435AF" w:rsidRPr="006E6662" w:rsidRDefault="006E6662">
            <w:pPr>
              <w:rPr>
                <w:b/>
                <w:bCs/>
                <w:noProof w:val="0"/>
                <w:sz w:val="26"/>
                <w:szCs w:val="26"/>
                <w:rtl/>
              </w:rPr>
            </w:pPr>
            <w:r w:rsidRPr="006E6662">
              <w:rPr>
                <w:b/>
                <w:bCs/>
                <w:noProof w:val="0"/>
                <w:sz w:val="26"/>
                <w:szCs w:val="26"/>
                <w:rtl/>
              </w:rPr>
              <w:t>תפ"ח 2811-02-14 מדינת ישראל נ' מאדי(עציר)</w:t>
            </w:r>
          </w:p>
          <w:p w14:paraId="7E3B3A14" w14:textId="77777777" w:rsidR="009435AF" w:rsidRPr="006E6662" w:rsidRDefault="009435AF">
            <w:pPr>
              <w:rPr>
                <w:rtl/>
              </w:rPr>
            </w:pPr>
          </w:p>
        </w:tc>
      </w:tr>
    </w:tbl>
    <w:p w14:paraId="6A26D0D7" w14:textId="77777777" w:rsidR="009435AF" w:rsidRPr="006E6662" w:rsidRDefault="006E6662">
      <w:pPr>
        <w:pStyle w:val="a3"/>
        <w:rPr>
          <w:noProof w:val="0"/>
          <w:rtl/>
        </w:rPr>
      </w:pPr>
      <w:r w:rsidRPr="006E6662">
        <w:rPr>
          <w:noProof w:val="0"/>
          <w:rtl/>
        </w:rPr>
        <w:t xml:space="preserve"> </w:t>
      </w:r>
    </w:p>
    <w:p w14:paraId="6E26C2FC" w14:textId="77777777" w:rsidR="009435AF" w:rsidRPr="006E6662" w:rsidRDefault="009435AF">
      <w:pPr>
        <w:rPr>
          <w:rtl/>
        </w:rPr>
      </w:pPr>
    </w:p>
    <w:tbl>
      <w:tblPr>
        <w:bidiVisual/>
        <w:tblW w:w="8802" w:type="dxa"/>
        <w:tblInd w:w="-28" w:type="dxa"/>
        <w:tblLook w:val="01E0" w:firstRow="1" w:lastRow="1" w:firstColumn="1" w:lastColumn="1" w:noHBand="0" w:noVBand="0"/>
      </w:tblPr>
      <w:tblGrid>
        <w:gridCol w:w="2880"/>
        <w:gridCol w:w="5839"/>
        <w:gridCol w:w="83"/>
      </w:tblGrid>
      <w:tr w:rsidR="009435AF" w:rsidRPr="006E6662" w14:paraId="5947545D" w14:textId="77777777">
        <w:trPr>
          <w:gridAfter w:val="1"/>
          <w:wAfter w:w="55" w:type="dxa"/>
        </w:trPr>
        <w:tc>
          <w:tcPr>
            <w:tcW w:w="8719" w:type="dxa"/>
            <w:gridSpan w:val="2"/>
          </w:tcPr>
          <w:p w14:paraId="6013398D" w14:textId="77777777" w:rsidR="009435AF" w:rsidRPr="006E6662" w:rsidRDefault="006E6662">
            <w:pPr>
              <w:spacing w:line="360" w:lineRule="auto"/>
              <w:rPr>
                <w:b/>
                <w:bCs/>
                <w:sz w:val="26"/>
                <w:szCs w:val="26"/>
                <w:rtl/>
              </w:rPr>
            </w:pPr>
            <w:bookmarkStart w:id="0" w:name="_GoBack"/>
            <w:bookmarkEnd w:id="0"/>
            <w:r w:rsidRPr="006E6662">
              <w:rPr>
                <w:rFonts w:hint="cs"/>
                <w:b/>
                <w:bCs/>
                <w:sz w:val="26"/>
                <w:szCs w:val="26"/>
                <w:rtl/>
              </w:rPr>
              <w:t>בפני הרכב כב' השופטים:</w:t>
            </w:r>
          </w:p>
          <w:p w14:paraId="5C93C7BD" w14:textId="77777777" w:rsidR="009435AF" w:rsidRPr="006E6662" w:rsidRDefault="006E6662">
            <w:pPr>
              <w:spacing w:line="360" w:lineRule="auto"/>
              <w:rPr>
                <w:rStyle w:val="TimesNewRomanTimesNewRoman"/>
                <w:rtl/>
              </w:rPr>
            </w:pPr>
            <w:r w:rsidRPr="006E6662">
              <w:rPr>
                <w:rStyle w:val="TimesNewRomanTimesNewRoman"/>
                <w:rFonts w:hint="cs"/>
                <w:rtl/>
              </w:rPr>
              <w:t>רון שפירא, סגן נשיא [אב"ד]</w:t>
            </w:r>
          </w:p>
          <w:p w14:paraId="2C627E9E" w14:textId="77777777" w:rsidR="009435AF" w:rsidRPr="006E6662" w:rsidRDefault="006E6662">
            <w:pPr>
              <w:spacing w:line="360" w:lineRule="auto"/>
              <w:rPr>
                <w:rStyle w:val="TimesNewRomanTimesNewRoman"/>
                <w:rtl/>
              </w:rPr>
            </w:pPr>
            <w:r w:rsidRPr="006E6662">
              <w:rPr>
                <w:rStyle w:val="TimesNewRomanTimesNewRoman"/>
                <w:rFonts w:hint="cs"/>
                <w:rtl/>
              </w:rPr>
              <w:t>אברהם אליקים</w:t>
            </w:r>
          </w:p>
          <w:p w14:paraId="59A04EE2" w14:textId="77777777" w:rsidR="009435AF" w:rsidRPr="006E6662" w:rsidRDefault="006E6662">
            <w:pPr>
              <w:spacing w:line="360" w:lineRule="auto"/>
              <w:rPr>
                <w:rStyle w:val="TimesNewRomanTimesNewRoman"/>
                <w:rtl/>
              </w:rPr>
            </w:pPr>
            <w:r w:rsidRPr="006E6662">
              <w:rPr>
                <w:rStyle w:val="TimesNewRomanTimesNewRoman"/>
                <w:rFonts w:hint="cs"/>
                <w:rtl/>
              </w:rPr>
              <w:t>בטינה טאובר</w:t>
            </w:r>
          </w:p>
          <w:p w14:paraId="75FF2BFC" w14:textId="77777777" w:rsidR="009435AF" w:rsidRPr="006E6662" w:rsidRDefault="006E6662">
            <w:r w:rsidRPr="006E6662">
              <w:rPr>
                <w:rStyle w:val="TimesNewRomanTimesNewRoman"/>
                <w:rFonts w:hint="cs"/>
                <w:rtl/>
              </w:rPr>
              <w:t xml:space="preserve"> </w:t>
            </w:r>
          </w:p>
        </w:tc>
      </w:tr>
      <w:tr w:rsidR="009435AF" w:rsidRPr="006E6662" w14:paraId="33026C50" w14:textId="77777777">
        <w:tc>
          <w:tcPr>
            <w:tcW w:w="2880" w:type="dxa"/>
          </w:tcPr>
          <w:p w14:paraId="207C4A54" w14:textId="77777777" w:rsidR="009435AF" w:rsidRPr="006E6662" w:rsidRDefault="006E6662">
            <w:pPr>
              <w:ind w:left="26"/>
              <w:rPr>
                <w:b/>
                <w:bCs/>
                <w:sz w:val="26"/>
                <w:szCs w:val="26"/>
              </w:rPr>
            </w:pPr>
            <w:bookmarkStart w:id="1" w:name="FirstAppellant"/>
            <w:bookmarkStart w:id="2" w:name="LastJudge"/>
            <w:bookmarkEnd w:id="2"/>
            <w:r w:rsidRPr="006E6662">
              <w:rPr>
                <w:rFonts w:hint="cs"/>
                <w:b/>
                <w:bCs/>
                <w:sz w:val="26"/>
                <w:szCs w:val="26"/>
                <w:rtl/>
              </w:rPr>
              <w:t>המאשימה</w:t>
            </w:r>
          </w:p>
        </w:tc>
        <w:tc>
          <w:tcPr>
            <w:tcW w:w="5922" w:type="dxa"/>
            <w:gridSpan w:val="2"/>
          </w:tcPr>
          <w:p w14:paraId="5B3C4A7C" w14:textId="77777777" w:rsidR="009435AF" w:rsidRPr="006E6662" w:rsidRDefault="006E6662">
            <w:pPr>
              <w:rPr>
                <w:b/>
                <w:bCs/>
                <w:sz w:val="26"/>
                <w:szCs w:val="26"/>
              </w:rPr>
            </w:pPr>
            <w:r w:rsidRPr="006E6662">
              <w:rPr>
                <w:rFonts w:hint="cs"/>
                <w:b/>
                <w:bCs/>
                <w:sz w:val="26"/>
                <w:szCs w:val="26"/>
                <w:rtl/>
              </w:rPr>
              <w:t>מדינת ישראל</w:t>
            </w:r>
          </w:p>
        </w:tc>
      </w:tr>
      <w:bookmarkEnd w:id="1"/>
      <w:tr w:rsidR="009435AF" w:rsidRPr="006E6662" w14:paraId="039A75F3" w14:textId="77777777">
        <w:tc>
          <w:tcPr>
            <w:tcW w:w="8802" w:type="dxa"/>
            <w:gridSpan w:val="3"/>
          </w:tcPr>
          <w:p w14:paraId="7F01F6CD" w14:textId="77777777" w:rsidR="009435AF" w:rsidRPr="006E6662" w:rsidRDefault="009435AF">
            <w:pPr>
              <w:jc w:val="center"/>
              <w:rPr>
                <w:rFonts w:ascii="Arial" w:hAnsi="Arial"/>
                <w:b/>
                <w:bCs/>
                <w:sz w:val="26"/>
                <w:szCs w:val="26"/>
                <w:rtl/>
              </w:rPr>
            </w:pPr>
          </w:p>
          <w:p w14:paraId="09660A17" w14:textId="77777777" w:rsidR="009435AF" w:rsidRPr="006E6662" w:rsidRDefault="006E6662">
            <w:pPr>
              <w:jc w:val="center"/>
              <w:rPr>
                <w:rFonts w:ascii="Arial" w:hAnsi="Arial"/>
                <w:b/>
                <w:bCs/>
                <w:sz w:val="26"/>
                <w:szCs w:val="26"/>
                <w:rtl/>
              </w:rPr>
            </w:pPr>
            <w:r w:rsidRPr="006E6662">
              <w:rPr>
                <w:rFonts w:ascii="Arial" w:hAnsi="Arial" w:hint="cs"/>
                <w:b/>
                <w:bCs/>
                <w:sz w:val="26"/>
                <w:szCs w:val="26"/>
                <w:rtl/>
              </w:rPr>
              <w:t>נגד</w:t>
            </w:r>
          </w:p>
          <w:p w14:paraId="2A9DD253" w14:textId="77777777" w:rsidR="009435AF" w:rsidRPr="006E6662" w:rsidRDefault="009435AF">
            <w:pPr>
              <w:jc w:val="center"/>
              <w:rPr>
                <w:rFonts w:ascii="Arial" w:hAnsi="Arial"/>
                <w:b/>
                <w:bCs/>
                <w:sz w:val="26"/>
                <w:szCs w:val="26"/>
              </w:rPr>
            </w:pPr>
          </w:p>
        </w:tc>
      </w:tr>
      <w:tr w:rsidR="009435AF" w:rsidRPr="006E6662" w14:paraId="63A0EE40" w14:textId="77777777">
        <w:tc>
          <w:tcPr>
            <w:tcW w:w="2880" w:type="dxa"/>
          </w:tcPr>
          <w:p w14:paraId="57AB9CCE" w14:textId="77777777" w:rsidR="009435AF" w:rsidRPr="006E6662" w:rsidRDefault="006E6662">
            <w:pPr>
              <w:ind w:left="26"/>
              <w:rPr>
                <w:b/>
                <w:bCs/>
                <w:sz w:val="26"/>
                <w:szCs w:val="26"/>
              </w:rPr>
            </w:pPr>
            <w:r w:rsidRPr="006E6662">
              <w:rPr>
                <w:rFonts w:hint="cs"/>
                <w:b/>
                <w:bCs/>
                <w:sz w:val="26"/>
                <w:szCs w:val="26"/>
                <w:rtl/>
              </w:rPr>
              <w:t>הנאשם</w:t>
            </w:r>
          </w:p>
        </w:tc>
        <w:tc>
          <w:tcPr>
            <w:tcW w:w="5922" w:type="dxa"/>
            <w:gridSpan w:val="2"/>
          </w:tcPr>
          <w:p w14:paraId="6DAB6725" w14:textId="77777777" w:rsidR="009435AF" w:rsidRPr="006E6662" w:rsidRDefault="006E6662">
            <w:pPr>
              <w:rPr>
                <w:b/>
                <w:bCs/>
                <w:sz w:val="26"/>
                <w:szCs w:val="26"/>
              </w:rPr>
            </w:pPr>
            <w:r w:rsidRPr="006E6662">
              <w:rPr>
                <w:rFonts w:hint="cs"/>
                <w:b/>
                <w:bCs/>
                <w:sz w:val="26"/>
                <w:szCs w:val="26"/>
                <w:rtl/>
              </w:rPr>
              <w:t>עומר מאדי, ת"ז 203707039</w:t>
            </w:r>
          </w:p>
        </w:tc>
      </w:tr>
    </w:tbl>
    <w:p w14:paraId="2FE0F82D" w14:textId="77777777" w:rsidR="009435AF" w:rsidRPr="006E6662" w:rsidRDefault="009435AF"/>
    <w:p w14:paraId="649D918A" w14:textId="77777777" w:rsidR="002641A7" w:rsidRPr="002641A7" w:rsidRDefault="002641A7" w:rsidP="002641A7">
      <w:pPr>
        <w:spacing w:after="120" w:line="240" w:lineRule="exact"/>
        <w:ind w:left="283" w:hanging="283"/>
        <w:jc w:val="both"/>
        <w:rPr>
          <w:rFonts w:ascii="FrankRuehl" w:hAnsi="FrankRuehl" w:cs="FrankRuehl"/>
          <w:rtl/>
        </w:rPr>
      </w:pPr>
      <w:bookmarkStart w:id="3" w:name="LawTable"/>
      <w:bookmarkEnd w:id="3"/>
      <w:r w:rsidRPr="002641A7">
        <w:rPr>
          <w:rFonts w:ascii="FrankRuehl" w:hAnsi="FrankRuehl" w:cs="FrankRuehl"/>
          <w:rtl/>
        </w:rPr>
        <w:t xml:space="preserve">חקיקה שאוזכרה: </w:t>
      </w:r>
    </w:p>
    <w:p w14:paraId="0BE54802" w14:textId="77777777" w:rsidR="002641A7" w:rsidRPr="002641A7" w:rsidRDefault="002641A7" w:rsidP="002641A7">
      <w:pPr>
        <w:spacing w:after="120" w:line="240" w:lineRule="exact"/>
        <w:ind w:left="283" w:hanging="283"/>
        <w:jc w:val="both"/>
        <w:rPr>
          <w:rFonts w:ascii="FrankRuehl" w:hAnsi="FrankRuehl" w:cs="FrankRuehl"/>
          <w:color w:val="0000FF"/>
          <w:u w:val="single"/>
          <w:rtl/>
        </w:rPr>
      </w:pPr>
      <w:hyperlink r:id="rId7" w:history="1">
        <w:r w:rsidRPr="002641A7">
          <w:rPr>
            <w:rStyle w:val="Hyperlink"/>
            <w:rFonts w:ascii="FrankRuehl" w:hAnsi="FrankRuehl" w:cs="FrankRuehl"/>
            <w:rtl/>
          </w:rPr>
          <w:t>חוק העונשין, תשל"ז-1977</w:t>
        </w:r>
      </w:hyperlink>
      <w:r w:rsidRPr="002641A7">
        <w:rPr>
          <w:rFonts w:ascii="FrankRuehl" w:hAnsi="FrankRuehl" w:cs="FrankRuehl"/>
          <w:color w:val="0000FF"/>
          <w:u w:val="single"/>
          <w:rtl/>
        </w:rPr>
        <w:t xml:space="preserve">: סע'  </w:t>
      </w:r>
      <w:hyperlink r:id="rId8" w:history="1">
        <w:r w:rsidRPr="002641A7">
          <w:rPr>
            <w:rStyle w:val="Hyperlink"/>
            <w:rFonts w:ascii="FrankRuehl" w:hAnsi="FrankRuehl" w:cs="FrankRuehl"/>
          </w:rPr>
          <w:t>29</w:t>
        </w:r>
      </w:hyperlink>
      <w:r w:rsidRPr="002641A7">
        <w:rPr>
          <w:rFonts w:ascii="FrankRuehl" w:hAnsi="FrankRuehl" w:cs="FrankRuehl"/>
          <w:color w:val="0000FF"/>
          <w:u w:val="single"/>
          <w:rtl/>
        </w:rPr>
        <w:t xml:space="preserve">, </w:t>
      </w:r>
      <w:hyperlink r:id="rId9" w:history="1">
        <w:r w:rsidRPr="002641A7">
          <w:rPr>
            <w:rStyle w:val="Hyperlink"/>
            <w:rFonts w:ascii="FrankRuehl" w:hAnsi="FrankRuehl" w:cs="FrankRuehl"/>
          </w:rPr>
          <w:t>40</w:t>
        </w:r>
        <w:r w:rsidRPr="002641A7">
          <w:rPr>
            <w:rStyle w:val="Hyperlink"/>
            <w:rFonts w:ascii="FrankRuehl" w:hAnsi="FrankRuehl" w:cs="FrankRuehl"/>
            <w:rtl/>
          </w:rPr>
          <w:t>ב</w:t>
        </w:r>
        <w:r w:rsidRPr="002641A7">
          <w:rPr>
            <w:rStyle w:val="Hyperlink"/>
            <w:rFonts w:ascii="FrankRuehl" w:hAnsi="FrankRuehl" w:cs="FrankRuehl"/>
          </w:rPr>
          <w:t>'</w:t>
        </w:r>
      </w:hyperlink>
      <w:r w:rsidRPr="002641A7">
        <w:rPr>
          <w:rFonts w:ascii="FrankRuehl" w:hAnsi="FrankRuehl" w:cs="FrankRuehl"/>
          <w:color w:val="0000FF"/>
          <w:u w:val="single"/>
          <w:rtl/>
        </w:rPr>
        <w:t xml:space="preserve">, </w:t>
      </w:r>
      <w:hyperlink r:id="rId10" w:history="1">
        <w:r w:rsidRPr="002641A7">
          <w:rPr>
            <w:rStyle w:val="Hyperlink"/>
            <w:rFonts w:ascii="FrankRuehl" w:hAnsi="FrankRuehl" w:cs="FrankRuehl"/>
          </w:rPr>
          <w:t>40</w:t>
        </w:r>
        <w:r w:rsidRPr="002641A7">
          <w:rPr>
            <w:rStyle w:val="Hyperlink"/>
            <w:rFonts w:ascii="FrankRuehl" w:hAnsi="FrankRuehl" w:cs="FrankRuehl"/>
            <w:rtl/>
          </w:rPr>
          <w:t>ט</w:t>
        </w:r>
        <w:r w:rsidRPr="002641A7">
          <w:rPr>
            <w:rStyle w:val="Hyperlink"/>
            <w:rFonts w:ascii="FrankRuehl" w:hAnsi="FrankRuehl" w:cs="FrankRuehl"/>
          </w:rPr>
          <w:t>'</w:t>
        </w:r>
      </w:hyperlink>
      <w:r w:rsidRPr="002641A7">
        <w:rPr>
          <w:rFonts w:ascii="FrankRuehl" w:hAnsi="FrankRuehl" w:cs="FrankRuehl"/>
          <w:color w:val="0000FF"/>
          <w:u w:val="single"/>
          <w:rtl/>
        </w:rPr>
        <w:t xml:space="preserve">, </w:t>
      </w:r>
      <w:hyperlink r:id="rId11" w:history="1">
        <w:r w:rsidRPr="002641A7">
          <w:rPr>
            <w:rStyle w:val="Hyperlink"/>
            <w:rFonts w:ascii="FrankRuehl" w:hAnsi="FrankRuehl" w:cs="FrankRuehl"/>
          </w:rPr>
          <w:t>77</w:t>
        </w:r>
      </w:hyperlink>
      <w:r w:rsidRPr="002641A7">
        <w:rPr>
          <w:rFonts w:ascii="FrankRuehl" w:hAnsi="FrankRuehl" w:cs="FrankRuehl"/>
          <w:color w:val="0000FF"/>
          <w:u w:val="single"/>
          <w:rtl/>
        </w:rPr>
        <w:t xml:space="preserve">, </w:t>
      </w:r>
      <w:hyperlink r:id="rId12" w:history="1">
        <w:r w:rsidRPr="002641A7">
          <w:rPr>
            <w:rStyle w:val="Hyperlink"/>
            <w:rFonts w:ascii="FrankRuehl" w:hAnsi="FrankRuehl" w:cs="FrankRuehl"/>
          </w:rPr>
          <w:t>144(</w:t>
        </w:r>
        <w:r w:rsidRPr="002641A7">
          <w:rPr>
            <w:rStyle w:val="Hyperlink"/>
            <w:rFonts w:ascii="FrankRuehl" w:hAnsi="FrankRuehl" w:cs="FrankRuehl"/>
            <w:rtl/>
          </w:rPr>
          <w:t>ב</w:t>
        </w:r>
        <w:r w:rsidRPr="002641A7">
          <w:rPr>
            <w:rStyle w:val="Hyperlink"/>
            <w:rFonts w:ascii="FrankRuehl" w:hAnsi="FrankRuehl" w:cs="FrankRuehl"/>
          </w:rPr>
          <w:t>)</w:t>
        </w:r>
      </w:hyperlink>
      <w:r w:rsidRPr="002641A7">
        <w:rPr>
          <w:rFonts w:ascii="FrankRuehl" w:hAnsi="FrankRuehl" w:cs="FrankRuehl"/>
          <w:color w:val="0000FF"/>
          <w:u w:val="single"/>
          <w:rtl/>
        </w:rPr>
        <w:t xml:space="preserve">, </w:t>
      </w:r>
      <w:hyperlink r:id="rId13" w:history="1">
        <w:r w:rsidRPr="002641A7">
          <w:rPr>
            <w:rStyle w:val="Hyperlink"/>
            <w:rFonts w:ascii="FrankRuehl" w:hAnsi="FrankRuehl" w:cs="FrankRuehl"/>
          </w:rPr>
          <w:t>192</w:t>
        </w:r>
      </w:hyperlink>
      <w:r w:rsidRPr="002641A7">
        <w:rPr>
          <w:rFonts w:ascii="FrankRuehl" w:hAnsi="FrankRuehl" w:cs="FrankRuehl"/>
          <w:color w:val="0000FF"/>
          <w:u w:val="single"/>
          <w:rtl/>
        </w:rPr>
        <w:t xml:space="preserve">, </w:t>
      </w:r>
      <w:hyperlink r:id="rId14" w:history="1">
        <w:r w:rsidRPr="002641A7">
          <w:rPr>
            <w:rStyle w:val="Hyperlink"/>
            <w:rFonts w:ascii="FrankRuehl" w:hAnsi="FrankRuehl" w:cs="FrankRuehl"/>
          </w:rPr>
          <w:t>298</w:t>
        </w:r>
      </w:hyperlink>
      <w:r w:rsidRPr="002641A7">
        <w:rPr>
          <w:rFonts w:ascii="FrankRuehl" w:hAnsi="FrankRuehl" w:cs="FrankRuehl"/>
          <w:color w:val="0000FF"/>
          <w:u w:val="single"/>
          <w:rtl/>
        </w:rPr>
        <w:t xml:space="preserve">, </w:t>
      </w:r>
      <w:hyperlink r:id="rId15" w:history="1">
        <w:r w:rsidRPr="002641A7">
          <w:rPr>
            <w:rStyle w:val="Hyperlink"/>
            <w:rFonts w:ascii="FrankRuehl" w:hAnsi="FrankRuehl" w:cs="FrankRuehl"/>
          </w:rPr>
          <w:t>300(</w:t>
        </w:r>
        <w:r w:rsidRPr="002641A7">
          <w:rPr>
            <w:rStyle w:val="Hyperlink"/>
            <w:rFonts w:ascii="FrankRuehl" w:hAnsi="FrankRuehl" w:cs="FrankRuehl"/>
            <w:rtl/>
          </w:rPr>
          <w:t>א)(2</w:t>
        </w:r>
        <w:r w:rsidRPr="002641A7">
          <w:rPr>
            <w:rStyle w:val="Hyperlink"/>
            <w:rFonts w:ascii="FrankRuehl" w:hAnsi="FrankRuehl" w:cs="FrankRuehl"/>
          </w:rPr>
          <w:t>)</w:t>
        </w:r>
      </w:hyperlink>
      <w:r w:rsidRPr="002641A7">
        <w:rPr>
          <w:rFonts w:ascii="FrankRuehl" w:hAnsi="FrankRuehl" w:cs="FrankRuehl"/>
          <w:color w:val="0000FF"/>
          <w:u w:val="single"/>
          <w:rtl/>
        </w:rPr>
        <w:t xml:space="preserve">, </w:t>
      </w:r>
      <w:hyperlink r:id="rId16" w:history="1">
        <w:r w:rsidRPr="002641A7">
          <w:rPr>
            <w:rStyle w:val="Hyperlink"/>
            <w:rFonts w:ascii="FrankRuehl" w:hAnsi="FrankRuehl" w:cs="FrankRuehl"/>
          </w:rPr>
          <w:t>301</w:t>
        </w:r>
      </w:hyperlink>
      <w:r w:rsidRPr="002641A7">
        <w:rPr>
          <w:rFonts w:ascii="FrankRuehl" w:hAnsi="FrankRuehl" w:cs="FrankRuehl"/>
          <w:color w:val="0000FF"/>
          <w:u w:val="single"/>
          <w:rtl/>
        </w:rPr>
        <w:t xml:space="preserve">, </w:t>
      </w:r>
      <w:hyperlink r:id="rId17" w:history="1">
        <w:r w:rsidRPr="002641A7">
          <w:rPr>
            <w:rStyle w:val="Hyperlink"/>
            <w:rFonts w:ascii="FrankRuehl" w:hAnsi="FrankRuehl" w:cs="FrankRuehl"/>
          </w:rPr>
          <w:t>40</w:t>
        </w:r>
        <w:r w:rsidRPr="002641A7">
          <w:rPr>
            <w:rStyle w:val="Hyperlink"/>
            <w:rFonts w:ascii="FrankRuehl" w:hAnsi="FrankRuehl" w:cs="FrankRuehl"/>
            <w:rtl/>
          </w:rPr>
          <w:t>יב</w:t>
        </w:r>
      </w:hyperlink>
    </w:p>
    <w:p w14:paraId="76082547" w14:textId="77777777" w:rsidR="002641A7" w:rsidRPr="002641A7" w:rsidRDefault="002641A7" w:rsidP="002641A7">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9435AF" w14:paraId="15FD4C95" w14:textId="77777777">
        <w:trPr>
          <w:jc w:val="center"/>
        </w:trPr>
        <w:tc>
          <w:tcPr>
            <w:tcW w:w="8820" w:type="dxa"/>
          </w:tcPr>
          <w:p w14:paraId="318B099B" w14:textId="77777777" w:rsidR="006E6662" w:rsidRPr="006E6662" w:rsidRDefault="006E6662" w:rsidP="006E6662">
            <w:pPr>
              <w:bidi w:val="0"/>
              <w:jc w:val="center"/>
              <w:rPr>
                <w:rFonts w:ascii="Arial" w:hAnsi="Arial"/>
                <w:b/>
                <w:bCs/>
                <w:noProof w:val="0"/>
                <w:sz w:val="28"/>
                <w:szCs w:val="28"/>
                <w:u w:val="single"/>
                <w:rtl/>
              </w:rPr>
            </w:pPr>
            <w:bookmarkStart w:id="4" w:name="LawTable_End"/>
            <w:bookmarkStart w:id="5" w:name="PsakDin" w:colFirst="0" w:colLast="0"/>
            <w:bookmarkEnd w:id="4"/>
            <w:r w:rsidRPr="006E6662">
              <w:rPr>
                <w:rFonts w:ascii="Arial" w:hAnsi="Arial"/>
                <w:b/>
                <w:bCs/>
                <w:noProof w:val="0"/>
                <w:sz w:val="28"/>
                <w:szCs w:val="28"/>
                <w:u w:val="single"/>
                <w:rtl/>
              </w:rPr>
              <w:t>גזר דין</w:t>
            </w:r>
          </w:p>
          <w:p w14:paraId="3DFC600B" w14:textId="77777777" w:rsidR="009435AF" w:rsidRPr="006E6662" w:rsidRDefault="009435AF" w:rsidP="006E6662">
            <w:pPr>
              <w:bidi w:val="0"/>
              <w:jc w:val="center"/>
              <w:rPr>
                <w:rFonts w:ascii="Arial" w:hAnsi="Arial"/>
                <w:b/>
                <w:bCs/>
                <w:noProof w:val="0"/>
                <w:sz w:val="28"/>
                <w:szCs w:val="28"/>
                <w:u w:val="single"/>
              </w:rPr>
            </w:pPr>
          </w:p>
        </w:tc>
      </w:tr>
      <w:bookmarkEnd w:id="5"/>
    </w:tbl>
    <w:p w14:paraId="316FA7A7" w14:textId="77777777" w:rsidR="009435AF" w:rsidRDefault="009435AF">
      <w:pPr>
        <w:spacing w:line="360" w:lineRule="auto"/>
        <w:jc w:val="both"/>
        <w:rPr>
          <w:rFonts w:ascii="Arial" w:hAnsi="Arial"/>
          <w:noProof w:val="0"/>
          <w:rtl/>
        </w:rPr>
      </w:pPr>
    </w:p>
    <w:p w14:paraId="237F7C00" w14:textId="77777777" w:rsidR="009435AF" w:rsidRDefault="006E6662">
      <w:pPr>
        <w:spacing w:line="360" w:lineRule="auto"/>
        <w:rPr>
          <w:rtl/>
        </w:rPr>
      </w:pPr>
      <w:r>
        <w:rPr>
          <w:rFonts w:hint="cs"/>
          <w:b/>
          <w:bCs/>
          <w:u w:val="single"/>
          <w:rtl/>
        </w:rPr>
        <w:t>השופט א' אליקים</w:t>
      </w:r>
      <w:r>
        <w:rPr>
          <w:rFonts w:hint="cs"/>
          <w:rtl/>
        </w:rPr>
        <w:t>:</w:t>
      </w:r>
    </w:p>
    <w:p w14:paraId="6CC4C6AB" w14:textId="77777777" w:rsidR="009435AF" w:rsidRDefault="009435AF">
      <w:pPr>
        <w:spacing w:line="360" w:lineRule="auto"/>
        <w:ind w:left="360" w:firstLine="360"/>
        <w:rPr>
          <w:u w:val="single"/>
          <w:rtl/>
        </w:rPr>
      </w:pPr>
    </w:p>
    <w:p w14:paraId="54067093" w14:textId="77777777" w:rsidR="009435AF" w:rsidRDefault="006E6662">
      <w:pPr>
        <w:spacing w:line="360" w:lineRule="auto"/>
        <w:ind w:left="360" w:firstLine="360"/>
        <w:rPr>
          <w:u w:val="single"/>
        </w:rPr>
      </w:pPr>
      <w:r>
        <w:rPr>
          <w:rFonts w:hint="cs"/>
          <w:u w:val="single"/>
          <w:rtl/>
        </w:rPr>
        <w:t>מבוא</w:t>
      </w:r>
    </w:p>
    <w:p w14:paraId="1619AB52" w14:textId="77777777" w:rsidR="009435AF" w:rsidRDefault="006E6662">
      <w:pPr>
        <w:numPr>
          <w:ilvl w:val="0"/>
          <w:numId w:val="1"/>
        </w:numPr>
        <w:spacing w:line="360" w:lineRule="auto"/>
        <w:jc w:val="both"/>
      </w:pPr>
      <w:bookmarkStart w:id="6" w:name="ABSTRACT_START"/>
      <w:bookmarkEnd w:id="6"/>
      <w:r>
        <w:rPr>
          <w:rFonts w:hint="cs"/>
          <w:rtl/>
        </w:rPr>
        <w:t xml:space="preserve">בתום פרשת התביעה הגיעו הצדדים להסדר טיעון לפיו תוקן כתב האישום בשנית (סומן ב1), הנאשם הודה באמור בו והורשע בביצוע עבירות של הריגה-עבירה לפי </w:t>
      </w:r>
      <w:hyperlink r:id="rId18" w:history="1">
        <w:r w:rsidR="002641A7" w:rsidRPr="002641A7">
          <w:rPr>
            <w:rStyle w:val="Hyperlink"/>
            <w:rFonts w:hint="eastAsia"/>
            <w:rtl/>
          </w:rPr>
          <w:t>סעיף</w:t>
        </w:r>
        <w:r w:rsidR="002641A7" w:rsidRPr="002641A7">
          <w:rPr>
            <w:rStyle w:val="Hyperlink"/>
            <w:rtl/>
          </w:rPr>
          <w:t xml:space="preserve"> 298</w:t>
        </w:r>
      </w:hyperlink>
      <w:r>
        <w:rPr>
          <w:rFonts w:hint="cs"/>
          <w:rtl/>
        </w:rPr>
        <w:t xml:space="preserve"> ל</w:t>
      </w:r>
      <w:hyperlink r:id="rId19" w:history="1">
        <w:r w:rsidRPr="006E6662">
          <w:rPr>
            <w:color w:val="0000FF"/>
            <w:u w:val="single"/>
            <w:rtl/>
          </w:rPr>
          <w:t>חוק העונשין</w:t>
        </w:r>
      </w:hyperlink>
      <w:r>
        <w:rPr>
          <w:rFonts w:hint="cs"/>
          <w:rtl/>
        </w:rPr>
        <w:t xml:space="preserve">, התשל"ז-1977 (להלן-החוק), נשיאה והובלה של נשק שלא כדין-עבירה לפי </w:t>
      </w:r>
      <w:hyperlink r:id="rId20" w:history="1">
        <w:r w:rsidR="002641A7" w:rsidRPr="002641A7">
          <w:rPr>
            <w:rStyle w:val="Hyperlink"/>
            <w:rFonts w:hint="eastAsia"/>
            <w:rtl/>
          </w:rPr>
          <w:t>סעיף</w:t>
        </w:r>
        <w:r w:rsidR="002641A7" w:rsidRPr="002641A7">
          <w:rPr>
            <w:rStyle w:val="Hyperlink"/>
            <w:rtl/>
          </w:rPr>
          <w:t xml:space="preserve"> 144(ב)</w:t>
        </w:r>
      </w:hyperlink>
      <w:r>
        <w:rPr>
          <w:rFonts w:hint="cs"/>
          <w:rtl/>
        </w:rPr>
        <w:t xml:space="preserve"> רישא+</w:t>
      </w:r>
      <w:hyperlink r:id="rId21" w:history="1">
        <w:r w:rsidR="002641A7" w:rsidRPr="002641A7">
          <w:rPr>
            <w:rStyle w:val="Hyperlink"/>
            <w:rtl/>
          </w:rPr>
          <w:t>29</w:t>
        </w:r>
      </w:hyperlink>
      <w:r>
        <w:rPr>
          <w:rFonts w:hint="cs"/>
          <w:rtl/>
        </w:rPr>
        <w:t xml:space="preserve"> לחוק ואיומים-עבירה לפי </w:t>
      </w:r>
      <w:hyperlink r:id="rId22" w:history="1">
        <w:r w:rsidR="002641A7" w:rsidRPr="002641A7">
          <w:rPr>
            <w:rStyle w:val="Hyperlink"/>
            <w:rFonts w:hint="eastAsia"/>
            <w:rtl/>
          </w:rPr>
          <w:t>סעיף</w:t>
        </w:r>
        <w:r w:rsidR="002641A7" w:rsidRPr="002641A7">
          <w:rPr>
            <w:rStyle w:val="Hyperlink"/>
            <w:rtl/>
          </w:rPr>
          <w:t xml:space="preserve"> 192</w:t>
        </w:r>
      </w:hyperlink>
      <w:r>
        <w:rPr>
          <w:rFonts w:hint="cs"/>
          <w:rtl/>
        </w:rPr>
        <w:t xml:space="preserve"> ו-</w:t>
      </w:r>
      <w:hyperlink r:id="rId23" w:history="1">
        <w:r w:rsidR="002641A7" w:rsidRPr="002641A7">
          <w:rPr>
            <w:rStyle w:val="Hyperlink"/>
            <w:rtl/>
          </w:rPr>
          <w:t>29</w:t>
        </w:r>
      </w:hyperlink>
      <w:r>
        <w:rPr>
          <w:rFonts w:hint="cs"/>
          <w:rtl/>
        </w:rPr>
        <w:t xml:space="preserve"> לחוק.</w:t>
      </w:r>
    </w:p>
    <w:p w14:paraId="71CE1C30" w14:textId="77777777" w:rsidR="009435AF" w:rsidRDefault="009435AF">
      <w:pPr>
        <w:spacing w:line="360" w:lineRule="auto"/>
        <w:ind w:left="360"/>
        <w:jc w:val="both"/>
      </w:pPr>
      <w:bookmarkStart w:id="7" w:name="ABSTRACT_END"/>
      <w:bookmarkEnd w:id="7"/>
    </w:p>
    <w:p w14:paraId="0B1C4E82" w14:textId="77777777" w:rsidR="009435AF" w:rsidRDefault="006E6662">
      <w:pPr>
        <w:spacing w:line="360" w:lineRule="auto"/>
        <w:ind w:left="720"/>
        <w:jc w:val="both"/>
      </w:pPr>
      <w:r>
        <w:rPr>
          <w:rFonts w:hint="cs"/>
          <w:rtl/>
        </w:rPr>
        <w:t>ההסדר נעשה בכתב (סומן ב2), ולפיו הוסכם כי המאשימה תבקש להטיל על הנאשם מאסר בפועל של 26 שנים בנוסף למאסר על תנאי ופיצויים למשפחת הקרבן וההגנה תבקש להטיל על הנאשם מאסר בפועל של 19 שנים ביחד עם מאסר על תנאי.</w:t>
      </w:r>
    </w:p>
    <w:p w14:paraId="57FC8873" w14:textId="77777777" w:rsidR="009435AF" w:rsidRDefault="009435AF">
      <w:pPr>
        <w:spacing w:line="360" w:lineRule="auto"/>
        <w:ind w:left="720"/>
        <w:jc w:val="both"/>
        <w:rPr>
          <w:rtl/>
        </w:rPr>
      </w:pPr>
    </w:p>
    <w:p w14:paraId="0E0B7899" w14:textId="77777777" w:rsidR="009435AF" w:rsidRDefault="006E6662">
      <w:pPr>
        <w:spacing w:line="360" w:lineRule="auto"/>
        <w:ind w:left="720"/>
        <w:jc w:val="both"/>
      </w:pPr>
      <w:r>
        <w:rPr>
          <w:rFonts w:hint="cs"/>
          <w:rtl/>
        </w:rPr>
        <w:t>עוד הוסכם כי המאשימה במסגרת טיעוניה תפנה את בית המשפט לדיסק מצלמות האבטחה בו מתועד הירי (מוצג ת/113) ונמסר כי ההסכם נעשה בידיעת משפחת הקרבן.</w:t>
      </w:r>
    </w:p>
    <w:p w14:paraId="691E50BC" w14:textId="77777777" w:rsidR="009435AF" w:rsidRDefault="009435AF">
      <w:pPr>
        <w:spacing w:line="360" w:lineRule="auto"/>
        <w:ind w:left="720"/>
        <w:jc w:val="both"/>
        <w:rPr>
          <w:rtl/>
        </w:rPr>
      </w:pPr>
    </w:p>
    <w:p w14:paraId="4B0C1D41" w14:textId="77777777" w:rsidR="009435AF" w:rsidRDefault="006E6662">
      <w:pPr>
        <w:numPr>
          <w:ilvl w:val="0"/>
          <w:numId w:val="1"/>
        </w:numPr>
        <w:spacing w:line="360" w:lineRule="auto"/>
        <w:jc w:val="both"/>
      </w:pPr>
      <w:r>
        <w:rPr>
          <w:rFonts w:hint="cs"/>
          <w:rtl/>
        </w:rPr>
        <w:t xml:space="preserve">על פי עובדות כתב האישום המתוקן בהן הודה הנאשם, בעקבות ריב בין מואייד עטר (להלן- מואייד) ואדם נוסף, בלילה שבין 2.1.2014 ל-3.1.2014 הצטייד הנאשם באקדח ותחמושת, אותם נשא והוביל, הלך עם מואייד למקום בו שהו אנשים שונים וביניהם הקרבן שהגיע </w:t>
      </w:r>
      <w:r>
        <w:rPr>
          <w:rFonts w:hint="cs"/>
          <w:rtl/>
        </w:rPr>
        <w:lastRenderedPageBreak/>
        <w:t xml:space="preserve">לשם כדי לגבש "סולחה" בין הצדדים לריב. הנאשם החזיק את האקדח הטעון בשתי ידים המושטות לפנים, משהבחינו בכך האנשים, הם החלו להימלט מהמקום, אולם הנאשם רדף אחריהם בריצה במהלכה ירה לעברם 17 יריות. </w:t>
      </w:r>
    </w:p>
    <w:p w14:paraId="2ACB221A" w14:textId="77777777" w:rsidR="009435AF" w:rsidRDefault="006E6662">
      <w:pPr>
        <w:spacing w:line="360" w:lineRule="auto"/>
        <w:ind w:left="720"/>
        <w:jc w:val="both"/>
      </w:pPr>
      <w:r>
        <w:rPr>
          <w:rFonts w:hint="cs"/>
          <w:rtl/>
        </w:rPr>
        <w:t>כתוצאה מהיריות חדר קליע לראשו של הקרבן, וגרם לפציעתו הקשה. הקרבן אושפז בבית חולים ונפטר ביום 27.2.2014.</w:t>
      </w:r>
    </w:p>
    <w:p w14:paraId="4DE810F7" w14:textId="77777777" w:rsidR="009435AF" w:rsidRDefault="006E6662">
      <w:pPr>
        <w:spacing w:line="360" w:lineRule="auto"/>
        <w:ind w:left="720"/>
        <w:jc w:val="both"/>
      </w:pPr>
      <w:r>
        <w:rPr>
          <w:rFonts w:hint="cs"/>
          <w:rtl/>
        </w:rPr>
        <w:t>בעת הימלטות הנאשם ומואייד מהמקום הם הבחינו באחיינו של הקרבן, מואייד אמר לנאשם שיפגע בו והנאשם כיוון לעברו את האקדח ובכך איים עליו בפגיעה בגופו.</w:t>
      </w:r>
    </w:p>
    <w:p w14:paraId="5ADFC58C" w14:textId="77777777" w:rsidR="009435AF" w:rsidRDefault="009435AF">
      <w:pPr>
        <w:spacing w:line="360" w:lineRule="auto"/>
        <w:ind w:left="720"/>
        <w:jc w:val="both"/>
        <w:rPr>
          <w:rtl/>
        </w:rPr>
      </w:pPr>
    </w:p>
    <w:p w14:paraId="55AA6253" w14:textId="77777777" w:rsidR="009435AF" w:rsidRDefault="006E6662">
      <w:pPr>
        <w:numPr>
          <w:ilvl w:val="0"/>
          <w:numId w:val="1"/>
        </w:numPr>
        <w:spacing w:line="360" w:lineRule="auto"/>
        <w:jc w:val="both"/>
      </w:pPr>
      <w:r>
        <w:rPr>
          <w:rFonts w:hint="cs"/>
          <w:rtl/>
        </w:rPr>
        <w:t>בתחילה הוגשו כתבי אישום נפרדים נגד הנאשם ונגד מואייד, (ת.פ. 2811-02-14 ו</w:t>
      </w:r>
      <w:hyperlink r:id="rId24" w:history="1">
        <w:r w:rsidRPr="006E6662">
          <w:rPr>
            <w:color w:val="0000FF"/>
            <w:u w:val="single"/>
            <w:rtl/>
          </w:rPr>
          <w:t>ת.פ. 23537-02-14</w:t>
        </w:r>
      </w:hyperlink>
      <w:r>
        <w:rPr>
          <w:rFonts w:hint="cs"/>
          <w:rtl/>
        </w:rPr>
        <w:t xml:space="preserve">) שאוחדו לאחר מכן. כתב האישום הראשון הוגש בטרם פטירתו של הקרבן, ובו יוחסה לנאשם עבירה של ניסיון לרצח, ולנאשם ולמואייד יוחסו כשותפים, עבירות של נשיאה והובלה של נשק שלא כדין ואיומים. לאחר פטירת הקרבן תוקן כתב האישום והעבירה של ניסיון לרצח הומרה לעבירת רצח, עבירה לפי </w:t>
      </w:r>
      <w:hyperlink r:id="rId25" w:history="1">
        <w:r w:rsidR="002641A7" w:rsidRPr="002641A7">
          <w:rPr>
            <w:rStyle w:val="Hyperlink"/>
            <w:rFonts w:hint="eastAsia"/>
            <w:rtl/>
          </w:rPr>
          <w:t>סעיף</w:t>
        </w:r>
        <w:r w:rsidR="002641A7" w:rsidRPr="002641A7">
          <w:rPr>
            <w:rStyle w:val="Hyperlink"/>
            <w:rtl/>
          </w:rPr>
          <w:t xml:space="preserve"> 300(א)(2)</w:t>
        </w:r>
      </w:hyperlink>
      <w:r>
        <w:rPr>
          <w:rFonts w:hint="cs"/>
          <w:rtl/>
        </w:rPr>
        <w:t xml:space="preserve"> ו-</w:t>
      </w:r>
      <w:hyperlink r:id="rId26" w:history="1">
        <w:r w:rsidR="002641A7" w:rsidRPr="002641A7">
          <w:rPr>
            <w:rStyle w:val="Hyperlink"/>
            <w:rtl/>
          </w:rPr>
          <w:t>301</w:t>
        </w:r>
      </w:hyperlink>
      <w:r>
        <w:rPr>
          <w:rFonts w:hint="cs"/>
          <w:rtl/>
        </w:rPr>
        <w:t xml:space="preserve"> לחוק וכחלק מהסדר הטיעון תוקן כתב האישום בשנית ועבירת הרצח הומרה בעבירת הריגה.</w:t>
      </w:r>
    </w:p>
    <w:p w14:paraId="048AFB86" w14:textId="77777777" w:rsidR="009435AF" w:rsidRDefault="006E6662">
      <w:pPr>
        <w:spacing w:line="360" w:lineRule="auto"/>
        <w:ind w:left="360"/>
        <w:jc w:val="both"/>
      </w:pPr>
      <w:r>
        <w:rPr>
          <w:rFonts w:hint="cs"/>
          <w:rtl/>
        </w:rPr>
        <w:t xml:space="preserve"> </w:t>
      </w:r>
    </w:p>
    <w:p w14:paraId="62DFF056" w14:textId="77777777" w:rsidR="009435AF" w:rsidRDefault="006E6662">
      <w:pPr>
        <w:spacing w:line="360" w:lineRule="auto"/>
        <w:ind w:left="720"/>
        <w:jc w:val="both"/>
        <w:rPr>
          <w:rtl/>
        </w:rPr>
      </w:pPr>
      <w:r>
        <w:rPr>
          <w:rFonts w:hint="cs"/>
          <w:rtl/>
        </w:rPr>
        <w:t>סמוך לאחר תחילת שמיעת הראיות הודה מואייד בעובדות כתב אישום מתוקן כחלק מהסדר טיעון שלא כלל הסכמה לעונש, כתבי האישום הופרדו וענינו נדון בפני חברי, סגן הנשיא רון שפירא כדן יחיד, ביום 2.6.2014 נגזר דינו של מואייד, בגין העבירות של נשיאה והובלה של נשק שלא כדין ואיומים. נוכח היותו שותף למעשים שפורטו לעיל, הוטלו עליו 10 חודשי מאסר בפועל בנוסף למאסרים על תנאי.</w:t>
      </w:r>
    </w:p>
    <w:p w14:paraId="4413F6F9" w14:textId="77777777" w:rsidR="009435AF" w:rsidRDefault="009435AF">
      <w:pPr>
        <w:spacing w:line="360" w:lineRule="auto"/>
        <w:ind w:left="360" w:firstLine="360"/>
        <w:rPr>
          <w:u w:val="single"/>
        </w:rPr>
      </w:pPr>
    </w:p>
    <w:p w14:paraId="4CF67F3B" w14:textId="77777777" w:rsidR="009435AF" w:rsidRDefault="006E6662">
      <w:pPr>
        <w:spacing w:line="360" w:lineRule="auto"/>
        <w:ind w:left="360" w:firstLine="360"/>
        <w:rPr>
          <w:u w:val="single"/>
          <w:rtl/>
        </w:rPr>
      </w:pPr>
      <w:r>
        <w:rPr>
          <w:rFonts w:hint="cs"/>
          <w:u w:val="single"/>
          <w:rtl/>
        </w:rPr>
        <w:t>ראיות לעונש</w:t>
      </w:r>
    </w:p>
    <w:p w14:paraId="277BCCEE" w14:textId="77777777" w:rsidR="009435AF" w:rsidRDefault="006E6662">
      <w:pPr>
        <w:spacing w:line="360" w:lineRule="auto"/>
        <w:ind w:left="720"/>
        <w:jc w:val="both"/>
      </w:pPr>
      <w:r>
        <w:rPr>
          <w:rFonts w:hint="cs"/>
          <w:rtl/>
        </w:rPr>
        <w:t xml:space="preserve">במסגרת הטעון לעונש הוצג גיליון הרישום הפלילי של הנאשם (ת/126) לפיו לנאשם רישום פלילי ללא הרשעה, בבית משפט לנוער משנת 2007 עת היה כבן 15 בגין שימוש ברכב ללא רשות ונהיגה ללא רשיון, והרשעה באיומים כלפי אשתו והיזק לרכוש בזדון, מיום 9.6.2013 בבית משפט השלום בעכו במסגרת </w:t>
      </w:r>
      <w:hyperlink r:id="rId27" w:history="1">
        <w:r w:rsidRPr="006E6662">
          <w:rPr>
            <w:color w:val="0000FF"/>
            <w:u w:val="single"/>
            <w:rtl/>
          </w:rPr>
          <w:t>ת.פ. 47716-05-13</w:t>
        </w:r>
      </w:hyperlink>
      <w:r>
        <w:rPr>
          <w:rFonts w:hint="cs"/>
          <w:rtl/>
        </w:rPr>
        <w:t xml:space="preserve">, בגינו נדון הנאשם ל-45 ימי מאסר ולשלושה חודשי מאסר על תנאי. </w:t>
      </w:r>
    </w:p>
    <w:p w14:paraId="53719FC6" w14:textId="77777777" w:rsidR="009435AF" w:rsidRDefault="006E6662">
      <w:pPr>
        <w:spacing w:line="360" w:lineRule="auto"/>
        <w:ind w:left="720"/>
        <w:jc w:val="both"/>
        <w:rPr>
          <w:rtl/>
        </w:rPr>
      </w:pPr>
      <w:r>
        <w:rPr>
          <w:rFonts w:hint="cs"/>
          <w:rtl/>
        </w:rPr>
        <w:t>ב"כ הנאשם הגיש את גזר הדין שניתן נגד מואייד בתיק האחר ושני מסמכים רפואיים שקשורים לנאשם, (נ/6, נ/7).</w:t>
      </w:r>
    </w:p>
    <w:p w14:paraId="490B5C8D" w14:textId="77777777" w:rsidR="009435AF" w:rsidRDefault="009435AF">
      <w:pPr>
        <w:spacing w:line="360" w:lineRule="auto"/>
        <w:ind w:left="720"/>
        <w:jc w:val="both"/>
        <w:rPr>
          <w:rtl/>
        </w:rPr>
      </w:pPr>
    </w:p>
    <w:p w14:paraId="53EA5D18" w14:textId="77777777" w:rsidR="009435AF" w:rsidRDefault="006E6662">
      <w:pPr>
        <w:spacing w:line="360" w:lineRule="auto"/>
        <w:ind w:left="360" w:firstLine="360"/>
        <w:rPr>
          <w:u w:val="single"/>
          <w:rtl/>
        </w:rPr>
      </w:pPr>
      <w:r>
        <w:rPr>
          <w:rFonts w:hint="cs"/>
          <w:u w:val="single"/>
          <w:rtl/>
        </w:rPr>
        <w:t xml:space="preserve">תסקיר שירות המבחן ותסקיר נפגעי העבירה </w:t>
      </w:r>
    </w:p>
    <w:p w14:paraId="610253AF" w14:textId="77777777" w:rsidR="009435AF" w:rsidRDefault="006E6662">
      <w:pPr>
        <w:numPr>
          <w:ilvl w:val="0"/>
          <w:numId w:val="1"/>
        </w:numPr>
        <w:spacing w:line="360" w:lineRule="auto"/>
        <w:jc w:val="both"/>
      </w:pPr>
      <w:r>
        <w:rPr>
          <w:rFonts w:hint="cs"/>
          <w:rtl/>
        </w:rPr>
        <w:t>על פי תסקיר שירות המבחן, (תס/1) העריכה קצינת המבחן כי קיימת רמת סיכון גבוהה להישנות עבירות דומות בעתיד, המליצה להטיל עליו ענישה של מאסר בפועל שתהווה גורם מרתיע ומציב גבולות לעתיד ובנוסף המליצה לרשויות שב"ס לבחון התאמת הנאשם לטפול כדי להפחית הסיכון להישנות מעשיו לאחר שחרורו.</w:t>
      </w:r>
    </w:p>
    <w:p w14:paraId="315144FB" w14:textId="77777777" w:rsidR="009435AF" w:rsidRDefault="009435AF">
      <w:pPr>
        <w:spacing w:line="360" w:lineRule="auto"/>
        <w:ind w:left="360"/>
        <w:jc w:val="both"/>
      </w:pPr>
    </w:p>
    <w:p w14:paraId="15D013F3" w14:textId="77777777" w:rsidR="009435AF" w:rsidRDefault="006E6662">
      <w:pPr>
        <w:numPr>
          <w:ilvl w:val="0"/>
          <w:numId w:val="1"/>
        </w:numPr>
        <w:spacing w:line="360" w:lineRule="auto"/>
        <w:jc w:val="both"/>
      </w:pPr>
      <w:r>
        <w:rPr>
          <w:rFonts w:hint="cs"/>
          <w:rtl/>
        </w:rPr>
        <w:t xml:space="preserve">תסקיר מפורט מאוד בענין נפגעי העבירה (תס/2) חשף בפנינו את פרטי משפחתו העניפה של המנוח, אשר היה נשוי לשתי נשים, לראשונה נישא בנישואים דתיים ולהם 4 ילדים </w:t>
      </w:r>
      <w:r>
        <w:rPr>
          <w:rFonts w:hint="cs"/>
          <w:rtl/>
        </w:rPr>
        <w:lastRenderedPageBreak/>
        <w:t>(בגילאים 3,8,13,15) ולשניה נישא בנישואים אזרחיים ולהם שני ילדים (בני שנה ורבע ושנתיים ושבעה חודשים). למנוח 9 אחים ואחיות גדולים ממנו שגם לגביהם התייחסו עורכות התסקיר בפירוט. על פי התסקיר משפחת המנוח מרגישה כי הוא נרצח על לא עוול בכפו ובני המשפחה חווים את הפגיעה הנפשית בעוצמות מאוד חזקות. האבל המשפחתי מאופיין בחוויה של קשיי תפקוד, ולהערכת עורכות התסקיר, תהליך עיבוד הטראומה, השכול והאבל טרם החל אצל אף אחד מהנפגעים, הם עדיין לא קבלו מענה טיפולי, עובדה העלולה להביא להחרפתם של סימפטומים פוסט טראומטיים בעיקר בקרב שתי נשותיו והילדים הרכים בשנים.</w:t>
      </w:r>
    </w:p>
    <w:p w14:paraId="6A99FEAE" w14:textId="77777777" w:rsidR="009435AF" w:rsidRDefault="009435AF">
      <w:pPr>
        <w:spacing w:line="360" w:lineRule="auto"/>
        <w:ind w:left="360"/>
        <w:jc w:val="both"/>
      </w:pPr>
    </w:p>
    <w:p w14:paraId="30CC5C43" w14:textId="77777777" w:rsidR="009435AF" w:rsidRDefault="006E6662">
      <w:pPr>
        <w:spacing w:line="360" w:lineRule="auto"/>
        <w:ind w:left="360" w:firstLine="360"/>
        <w:rPr>
          <w:u w:val="single"/>
        </w:rPr>
      </w:pPr>
      <w:r>
        <w:rPr>
          <w:rFonts w:hint="cs"/>
          <w:u w:val="single"/>
          <w:rtl/>
        </w:rPr>
        <w:t>תמצית טענות הצדדים</w:t>
      </w:r>
    </w:p>
    <w:p w14:paraId="2AFC4444" w14:textId="77777777" w:rsidR="009435AF" w:rsidRDefault="006E6662">
      <w:pPr>
        <w:numPr>
          <w:ilvl w:val="0"/>
          <w:numId w:val="1"/>
        </w:numPr>
        <w:spacing w:line="360" w:lineRule="auto"/>
        <w:jc w:val="both"/>
      </w:pPr>
      <w:r>
        <w:rPr>
          <w:rFonts w:hint="cs"/>
          <w:rtl/>
        </w:rPr>
        <w:t>המאשימה לא נקבה במתחם עונש הולם בטיעוניה, ביקשה לגזור על הנאשם בהתאם להסדר הטיעון את העונש המקסימלי הקבוע בצידה של עבירת ההריגה, דהיינו 20 שנות מאסר ובמצטבר עונש של 6 שנות מאסר בגין עבירות הנשק והאיומים באופן שירצה הנאשם 26 שנות מאסר בפועל, בנוסף למאסר על תנאי ופיצויים למשפחת המנוח בסכום מירבי נוכח המתתו של המנוח, בהתאם לפסקי דין אליהם הפנתה.</w:t>
      </w:r>
    </w:p>
    <w:p w14:paraId="2AD3BAF2" w14:textId="77777777" w:rsidR="009435AF" w:rsidRDefault="009435AF">
      <w:pPr>
        <w:spacing w:line="360" w:lineRule="auto"/>
        <w:ind w:left="720"/>
        <w:jc w:val="both"/>
      </w:pPr>
    </w:p>
    <w:p w14:paraId="17B7B261" w14:textId="77777777" w:rsidR="009435AF" w:rsidRDefault="006E6662">
      <w:pPr>
        <w:spacing w:line="360" w:lineRule="auto"/>
        <w:ind w:left="720"/>
        <w:jc w:val="both"/>
        <w:rPr>
          <w:rtl/>
        </w:rPr>
      </w:pPr>
      <w:r>
        <w:rPr>
          <w:rFonts w:hint="cs"/>
          <w:rtl/>
        </w:rPr>
        <w:t xml:space="preserve">בטיעוניה בכתב ובעל פה שמה ב"כ המאשימה דגש על חומרת מעשיו של הנאשם שכונו על ידה "פיגוע פלילי בלבה של עיר", תוך הפנייה לדיסק מצלמות האבטחה ת/113 המתעד את מנוסת האנשים ומרדף הנאשם אחריהם באופן שסיכן סיכון ממשי את חיי המנוח וחיי הנמלטים. עבירת ההריגה בה הורשע היתה לטענתה על סף עבירת רצח, הנאשם תכנן היטב את מעשיו ולאחר הפגיעה בקרבן גם איים לפגוע באחיינו. </w:t>
      </w:r>
    </w:p>
    <w:p w14:paraId="7D42EC41" w14:textId="77777777" w:rsidR="009435AF" w:rsidRDefault="006E6662">
      <w:pPr>
        <w:spacing w:line="360" w:lineRule="auto"/>
        <w:ind w:left="720"/>
        <w:jc w:val="both"/>
        <w:rPr>
          <w:rtl/>
        </w:rPr>
      </w:pPr>
      <w:r>
        <w:rPr>
          <w:rFonts w:hint="cs"/>
          <w:rtl/>
        </w:rPr>
        <w:t>באשר לעבירות בנשק והאיומים עונשו צריך להיות לטענתה חמור מעונשו של מואייד שנדון ל-10 חודשי מאסר, בשל חלקו הדומיננטי של הנאשם, לתמיכה בטענותיה הפנתה לפסקי דין בהן הוטלו במסגרת הסדרי טעון עונשים של 23 ו-27 שנות מאסר בפועל.</w:t>
      </w:r>
    </w:p>
    <w:p w14:paraId="0B6E8296" w14:textId="77777777" w:rsidR="009435AF" w:rsidRDefault="009435AF">
      <w:pPr>
        <w:spacing w:line="360" w:lineRule="auto"/>
        <w:ind w:left="720"/>
        <w:jc w:val="both"/>
        <w:rPr>
          <w:rtl/>
        </w:rPr>
      </w:pPr>
    </w:p>
    <w:p w14:paraId="29946978" w14:textId="77777777" w:rsidR="009435AF" w:rsidRDefault="006E6662">
      <w:pPr>
        <w:spacing w:line="360" w:lineRule="auto"/>
        <w:ind w:left="720"/>
        <w:jc w:val="both"/>
        <w:rPr>
          <w:rtl/>
        </w:rPr>
      </w:pPr>
      <w:r>
        <w:rPr>
          <w:rFonts w:hint="cs"/>
          <w:rtl/>
        </w:rPr>
        <w:t>למרות שתלוי ועומד נגד ההנאשם עונש של 3 חודשי מאסר על תנאי בגין עבירת איומים, היא לא ביקשה להפעילו (סעיף 10 לטיעונים בכתב) מאחר ונתון זה לא מצא ביטוי בהסדר הטעון, אך היא ביקשה להביאו בחשבון כנתון רלוונטי לגזירת הדין. עוד יצוין כי בטיעוניה ביקשה שלא להתייחס לדברי הנאשם בפני עורכת תסקיר שירות המבחן לענין נסיבות ביצוע העבירה, שלא מצאו ביטויים בעובדות כתב האישום המתוקן או בהסדר הטעון.</w:t>
      </w:r>
    </w:p>
    <w:p w14:paraId="3D9EE42E" w14:textId="77777777" w:rsidR="009435AF" w:rsidRDefault="009435AF">
      <w:pPr>
        <w:spacing w:line="360" w:lineRule="auto"/>
        <w:ind w:left="720"/>
        <w:jc w:val="both"/>
        <w:rPr>
          <w:rtl/>
        </w:rPr>
      </w:pPr>
    </w:p>
    <w:p w14:paraId="13A48C69" w14:textId="77777777" w:rsidR="009435AF" w:rsidRDefault="006E6662">
      <w:pPr>
        <w:numPr>
          <w:ilvl w:val="0"/>
          <w:numId w:val="1"/>
        </w:numPr>
        <w:spacing w:line="360" w:lineRule="auto"/>
        <w:jc w:val="both"/>
      </w:pPr>
      <w:r>
        <w:rPr>
          <w:rFonts w:hint="cs"/>
          <w:rtl/>
        </w:rPr>
        <w:t>הסנגור ביקש לאמץ את הסדר הטיעון להתייחס לכל העבירות כארוע אחד ולהטיל על הנאשם עונש של 19 שנות מאסר בפועל ביחד עם מאסר על תנאי ולא מעבר לכך.</w:t>
      </w:r>
    </w:p>
    <w:p w14:paraId="2AAB4780" w14:textId="77777777" w:rsidR="009435AF" w:rsidRDefault="006E6662">
      <w:pPr>
        <w:spacing w:line="360" w:lineRule="auto"/>
        <w:ind w:left="720"/>
        <w:jc w:val="both"/>
      </w:pPr>
      <w:r>
        <w:rPr>
          <w:rFonts w:hint="cs"/>
          <w:rtl/>
        </w:rPr>
        <w:t xml:space="preserve">בטיעוניו שם דגש על נסיבותיו האישיות הקשות של הנאשם, צעיר כבן 22 שנה, אביו נפטר כשהנאשם היה בן 6, הנאשם גדל בתנאי עוני קשים, בסביבה עבריינית, נאלץ לשהות בפנימיה. הנאשם התחתן בגיל 19 ויש לו ילד בן שנתיים, אך מערכת היחסים עם אשתו התערערה, השפיעה על מצבו הנפשי והוא פנה לקבל טפולים רפואיים כמתואר במסמכים שהציג ולפני כשנה נפרד מאשתו. </w:t>
      </w:r>
    </w:p>
    <w:p w14:paraId="07E2CB8D" w14:textId="77777777" w:rsidR="009435AF" w:rsidRDefault="006E6662">
      <w:pPr>
        <w:spacing w:line="360" w:lineRule="auto"/>
        <w:ind w:left="720"/>
        <w:jc w:val="both"/>
      </w:pPr>
      <w:r>
        <w:rPr>
          <w:rFonts w:hint="cs"/>
          <w:rtl/>
        </w:rPr>
        <w:t xml:space="preserve">הוא ביקש לזקוף לזכות הנאשם את הודאתו בהזדמנות הראשונה בביצוע עבירת הריגה, ניהול משפט בצורה ענינית, רק כדי לסתור את האשמתו בעבירת רצח. הביע חרטה עמוקה ואמפטיה למשפחת הקרבן ועברו הפלילי אינו מכביד. </w:t>
      </w:r>
    </w:p>
    <w:p w14:paraId="22A78FBB" w14:textId="77777777" w:rsidR="009435AF" w:rsidRDefault="009435AF">
      <w:pPr>
        <w:spacing w:line="360" w:lineRule="auto"/>
        <w:ind w:left="720"/>
        <w:jc w:val="both"/>
        <w:rPr>
          <w:rtl/>
        </w:rPr>
      </w:pPr>
    </w:p>
    <w:p w14:paraId="1141B28E" w14:textId="77777777" w:rsidR="009435AF" w:rsidRDefault="006E6662">
      <w:pPr>
        <w:spacing w:line="360" w:lineRule="auto"/>
        <w:ind w:left="720"/>
        <w:jc w:val="both"/>
      </w:pPr>
      <w:r>
        <w:rPr>
          <w:rFonts w:hint="cs"/>
          <w:rtl/>
        </w:rPr>
        <w:t>בהסכמת המאשימה הפנה לעדותו של ראש הצח"מ נימר באדר שאישר כי אחיינו של הנאשם, נורה, כפעולת נקם כדי להעניש את הנאשם על מעשיו. ירי שהביא לפחד אצל משפחת הנאשם, עוד הוסיף כי מתסקיר נפגעי העבירה עולות "פנטזיות לנקום בנאשם". בעקבות ארועים אלו נערכה סולחה שאחד מתנאיה היה שמשפחת הנאשם תנדה אותו, לא תסייע לו כלכלית ולא תבקר אותו ובפועל כך היא פועלת, כך שהנאשם איבד את כל עולמו, ואת כל משפחתו, אין מי שיסייע ויעזור לו בתקופת המאסר.</w:t>
      </w:r>
    </w:p>
    <w:p w14:paraId="206BBF37" w14:textId="77777777" w:rsidR="009435AF" w:rsidRDefault="009435AF">
      <w:pPr>
        <w:spacing w:line="360" w:lineRule="auto"/>
        <w:ind w:left="720"/>
        <w:jc w:val="both"/>
        <w:rPr>
          <w:rtl/>
        </w:rPr>
      </w:pPr>
    </w:p>
    <w:p w14:paraId="60935B59" w14:textId="77777777" w:rsidR="009435AF" w:rsidRDefault="006E6662">
      <w:pPr>
        <w:spacing w:line="360" w:lineRule="auto"/>
        <w:ind w:left="720"/>
        <w:jc w:val="both"/>
        <w:rPr>
          <w:rtl/>
        </w:rPr>
      </w:pPr>
      <w:r>
        <w:rPr>
          <w:rFonts w:hint="cs"/>
          <w:rtl/>
        </w:rPr>
        <w:t>בהתחשב בעונש המקסימלי הקבוע בחוק בגין עבירת ההריגה-20 שנות מאסר ובמתחם המקסימלי שנקבע בגין העבירות בהן הורשע מואייד- 2 שנות מאסר, הרי שהעונש המקסימלי בתיק זה צריך לעמוד על 22 שנות מאסר ובהתחשב בנסיבותיו האישיות של הנאשם, יש להטיל עליו 19 שנות מאסר שאף הוא עונש חמור.</w:t>
      </w:r>
    </w:p>
    <w:p w14:paraId="10245248" w14:textId="77777777" w:rsidR="009435AF" w:rsidRDefault="009435AF">
      <w:pPr>
        <w:spacing w:line="360" w:lineRule="auto"/>
        <w:ind w:left="720"/>
        <w:jc w:val="both"/>
        <w:rPr>
          <w:rtl/>
        </w:rPr>
      </w:pPr>
    </w:p>
    <w:p w14:paraId="5C754BAD" w14:textId="77777777" w:rsidR="009435AF" w:rsidRDefault="006E6662">
      <w:pPr>
        <w:spacing w:line="360" w:lineRule="auto"/>
        <w:ind w:left="720"/>
        <w:jc w:val="both"/>
      </w:pPr>
      <w:r>
        <w:rPr>
          <w:rFonts w:hint="cs"/>
          <w:rtl/>
        </w:rPr>
        <w:t>בתום הטעונים הביע הנאשם חרטה על מעשיו, אמפטיה למשפחת הקרבן וצער על הנזק שגרם לבנו בן השנתיים.</w:t>
      </w:r>
    </w:p>
    <w:p w14:paraId="1AE51C8B" w14:textId="77777777" w:rsidR="009435AF" w:rsidRDefault="009435AF">
      <w:pPr>
        <w:spacing w:line="360" w:lineRule="auto"/>
        <w:ind w:left="720"/>
        <w:jc w:val="both"/>
        <w:rPr>
          <w:rtl/>
        </w:rPr>
      </w:pPr>
    </w:p>
    <w:p w14:paraId="6284BB2A" w14:textId="77777777" w:rsidR="009435AF" w:rsidRDefault="006E6662">
      <w:pPr>
        <w:spacing w:line="360" w:lineRule="auto"/>
        <w:ind w:left="360" w:firstLine="360"/>
        <w:rPr>
          <w:u w:val="single"/>
        </w:rPr>
      </w:pPr>
      <w:r>
        <w:rPr>
          <w:rFonts w:hint="cs"/>
          <w:u w:val="single"/>
          <w:rtl/>
        </w:rPr>
        <w:t>דיון</w:t>
      </w:r>
    </w:p>
    <w:p w14:paraId="190D1CB7" w14:textId="77777777" w:rsidR="009435AF" w:rsidRDefault="006E6662">
      <w:pPr>
        <w:spacing w:line="360" w:lineRule="auto"/>
        <w:ind w:left="720"/>
        <w:jc w:val="both"/>
        <w:rPr>
          <w:rFonts w:hAnsi="David"/>
          <w:color w:val="000000"/>
        </w:rPr>
      </w:pPr>
      <w:r>
        <w:rPr>
          <w:rFonts w:hAnsi="David" w:hint="cs"/>
          <w:color w:val="000000"/>
          <w:rtl/>
        </w:rPr>
        <w:t>במקרה זה חל תיקון 113 לחוק שקבע כי "</w:t>
      </w:r>
      <w:r>
        <w:rPr>
          <w:rFonts w:hint="cs"/>
          <w:rtl/>
        </w:rPr>
        <w:t>העיקרון המנחה בענישה הוא קיומו של יחס הולם בין חומרת מעשה העבירה בנסיבותיו ומידת אשמו של הנאשם ובין סוג ומידת העונש המוטל עלי</w:t>
      </w:r>
      <w:r>
        <w:rPr>
          <w:rFonts w:hAnsi="David" w:hint="cs"/>
          <w:color w:val="000000"/>
          <w:rtl/>
        </w:rPr>
        <w:t>ו" (</w:t>
      </w:r>
      <w:hyperlink r:id="rId28" w:history="1">
        <w:r w:rsidR="002641A7" w:rsidRPr="002641A7">
          <w:rPr>
            <w:rStyle w:val="Hyperlink"/>
            <w:rFonts w:hAnsi="David" w:hint="eastAsia"/>
            <w:rtl/>
          </w:rPr>
          <w:t>סעיף</w:t>
        </w:r>
        <w:r w:rsidR="002641A7" w:rsidRPr="002641A7">
          <w:rPr>
            <w:rStyle w:val="Hyperlink"/>
            <w:rFonts w:hAnsi="David"/>
            <w:rtl/>
          </w:rPr>
          <w:t xml:space="preserve"> 40ב'</w:t>
        </w:r>
      </w:hyperlink>
      <w:r>
        <w:rPr>
          <w:rFonts w:hAnsi="David" w:hint="cs"/>
          <w:color w:val="000000"/>
          <w:rtl/>
        </w:rPr>
        <w:t xml:space="preserve"> לחוק).</w:t>
      </w:r>
    </w:p>
    <w:p w14:paraId="271365E2" w14:textId="77777777" w:rsidR="009435AF" w:rsidRDefault="009435AF">
      <w:pPr>
        <w:spacing w:line="360" w:lineRule="auto"/>
        <w:ind w:left="720"/>
        <w:jc w:val="both"/>
        <w:rPr>
          <w:rFonts w:hAnsi="David"/>
          <w:color w:val="000000"/>
          <w:rtl/>
        </w:rPr>
      </w:pPr>
    </w:p>
    <w:p w14:paraId="2E385AEE" w14:textId="77777777" w:rsidR="009435AF" w:rsidRDefault="006E6662">
      <w:pPr>
        <w:spacing w:line="360" w:lineRule="auto"/>
        <w:ind w:left="360" w:firstLine="360"/>
        <w:rPr>
          <w:rFonts w:hAnsi="Arial"/>
          <w:u w:val="single"/>
          <w:rtl/>
        </w:rPr>
      </w:pPr>
      <w:r>
        <w:rPr>
          <w:rFonts w:hint="cs"/>
          <w:u w:val="single"/>
          <w:rtl/>
        </w:rPr>
        <w:t>אקדמת מילין</w:t>
      </w:r>
    </w:p>
    <w:p w14:paraId="43052F68" w14:textId="77777777" w:rsidR="009435AF" w:rsidRDefault="006E6662">
      <w:pPr>
        <w:spacing w:line="360" w:lineRule="auto"/>
        <w:ind w:left="720"/>
        <w:jc w:val="both"/>
        <w:rPr>
          <w:rtl/>
        </w:rPr>
      </w:pPr>
      <w:r>
        <w:rPr>
          <w:rFonts w:hint="cs"/>
          <w:rtl/>
        </w:rPr>
        <w:t xml:space="preserve">הצדדים הגיעו להסדר טיעון, על פיו תוקנו עובדות כתב האישום ובנוסף הוסכם כי המאשימה תוכל להסתמך על ת/113 בטיעוניה והנאשם יוכל להסתמך בטיעוניו על עדות נימר באדר בקשר לפעולות גמול שנעשו נגד הנאשם. מעבר לכך אין בכוונתי להתייחס לטיעונים שעלו או היו ניסיונות להעלותם בקשר לנסיבות אחרות לבצוע העבירות ובכלל זה אין בכוונתי להתייחס לאמירות הנאשם בפני שירות המבחן החורגות ממסגרת זו, ראו לענין זה את האמור </w:t>
      </w:r>
      <w:hyperlink r:id="rId29" w:history="1">
        <w:r w:rsidR="002641A7" w:rsidRPr="002641A7">
          <w:rPr>
            <w:rStyle w:val="Hyperlink"/>
            <w:rFonts w:hint="eastAsia"/>
            <w:rtl/>
          </w:rPr>
          <w:t>בסעיף</w:t>
        </w:r>
        <w:r w:rsidR="002641A7" w:rsidRPr="002641A7">
          <w:rPr>
            <w:rStyle w:val="Hyperlink"/>
            <w:rtl/>
          </w:rPr>
          <w:t xml:space="preserve"> 40יב</w:t>
        </w:r>
      </w:hyperlink>
      <w:r>
        <w:rPr>
          <w:rFonts w:hint="cs"/>
          <w:rtl/>
        </w:rPr>
        <w:t xml:space="preserve"> סיפא לחוק ואת פסק דינו של כב' השופט אליקים רובינשטיין מיום 17.7.2014:</w:t>
      </w:r>
    </w:p>
    <w:p w14:paraId="38F8858B" w14:textId="77777777" w:rsidR="009435AF" w:rsidRDefault="006E6662">
      <w:pPr>
        <w:ind w:left="1440" w:right="539"/>
        <w:jc w:val="both"/>
        <w:rPr>
          <w:rtl/>
        </w:rPr>
      </w:pPr>
      <w:r>
        <w:rPr>
          <w:rFonts w:hint="cs"/>
          <w:rtl/>
        </w:rPr>
        <w:t>"מן הראוי שבית המשפט הגוזר את עונשו של נאשם שהודה בכתב אישום לצורך הסדר טיעון, לא יעשה שימוש בפרטים ועובדות שאינם נכללים במפורש בכתב האישום (</w:t>
      </w:r>
      <w:hyperlink r:id="rId30" w:history="1">
        <w:r w:rsidRPr="006E6662">
          <w:rPr>
            <w:color w:val="0000FF"/>
            <w:u w:val="single"/>
            <w:rtl/>
          </w:rPr>
          <w:t>ע"פ 264/81</w:t>
        </w:r>
      </w:hyperlink>
      <w:r>
        <w:rPr>
          <w:rFonts w:hint="cs"/>
          <w:rtl/>
        </w:rPr>
        <w:t xml:space="preserve"> </w:t>
      </w:r>
      <w:r>
        <w:rPr>
          <w:rFonts w:hint="cs"/>
          <w:b/>
          <w:bCs/>
          <w:rtl/>
        </w:rPr>
        <w:t>לוי נ' מדינת ישראל</w:t>
      </w:r>
      <w:r>
        <w:rPr>
          <w:rFonts w:hint="cs"/>
          <w:rtl/>
        </w:rPr>
        <w:t xml:space="preserve"> (1981) (להלן עניין לוי); </w:t>
      </w:r>
      <w:hyperlink r:id="rId31" w:history="1">
        <w:r w:rsidRPr="006E6662">
          <w:rPr>
            <w:color w:val="0000FF"/>
            <w:u w:val="single"/>
            <w:rtl/>
          </w:rPr>
          <w:t>ע"פ 1604/08</w:t>
        </w:r>
      </w:hyperlink>
      <w:r>
        <w:rPr>
          <w:rFonts w:hint="cs"/>
          <w:rtl/>
        </w:rPr>
        <w:t xml:space="preserve"> </w:t>
      </w:r>
      <w:r>
        <w:rPr>
          <w:rFonts w:hint="cs"/>
          <w:b/>
          <w:bCs/>
          <w:rtl/>
        </w:rPr>
        <w:t>אוספוב נ' מדינת ישראל</w:t>
      </w:r>
      <w:r>
        <w:rPr>
          <w:rFonts w:hint="cs"/>
          <w:rtl/>
        </w:rPr>
        <w:t xml:space="preserve"> (2008); </w:t>
      </w:r>
      <w:hyperlink r:id="rId32" w:history="1">
        <w:r w:rsidRPr="006E6662">
          <w:rPr>
            <w:color w:val="0000FF"/>
            <w:u w:val="single"/>
            <w:rtl/>
          </w:rPr>
          <w:t>ע"פ 329/13</w:t>
        </w:r>
      </w:hyperlink>
      <w:r>
        <w:rPr>
          <w:rFonts w:hint="cs"/>
          <w:rtl/>
        </w:rPr>
        <w:t xml:space="preserve"> </w:t>
      </w:r>
      <w:r>
        <w:rPr>
          <w:rFonts w:hint="cs"/>
          <w:b/>
          <w:bCs/>
          <w:rtl/>
        </w:rPr>
        <w:t>ורגס נ' מדינת ישראל</w:t>
      </w:r>
      <w:r>
        <w:rPr>
          <w:rFonts w:hint="cs"/>
          <w:rtl/>
        </w:rPr>
        <w:t xml:space="preserve"> (2014) (להלן עניין ורגס); </w:t>
      </w:r>
      <w:hyperlink r:id="rId33" w:history="1">
        <w:r w:rsidRPr="006E6662">
          <w:rPr>
            <w:color w:val="0000FF"/>
            <w:u w:val="single"/>
            <w:rtl/>
          </w:rPr>
          <w:t>ע"פ 4907/12</w:t>
        </w:r>
      </w:hyperlink>
      <w:r>
        <w:rPr>
          <w:rFonts w:hint="cs"/>
          <w:rtl/>
        </w:rPr>
        <w:t xml:space="preserve"> </w:t>
      </w:r>
      <w:r>
        <w:rPr>
          <w:rFonts w:hint="cs"/>
          <w:b/>
          <w:bCs/>
          <w:rtl/>
        </w:rPr>
        <w:t>מרעי נ' מדינת ישראל</w:t>
      </w:r>
      <w:r>
        <w:rPr>
          <w:rFonts w:hint="cs"/>
          <w:rtl/>
        </w:rPr>
        <w:t xml:space="preserve"> (להלן עניין מרעי))...רוצה לומר: להסדר טיעון משקל ומעמד משלו. וכתב האישום המתוקן הוא ככלל ראשית ואחרית לגזר הדין", </w:t>
      </w:r>
    </w:p>
    <w:p w14:paraId="3127FA64" w14:textId="77777777" w:rsidR="009435AF" w:rsidRDefault="006E6662">
      <w:pPr>
        <w:ind w:left="1440" w:right="544"/>
        <w:jc w:val="both"/>
        <w:rPr>
          <w:rtl/>
        </w:rPr>
      </w:pPr>
      <w:hyperlink r:id="rId34" w:history="1">
        <w:r w:rsidRPr="006E6662">
          <w:rPr>
            <w:color w:val="0000FF"/>
            <w:u w:val="single"/>
            <w:rtl/>
          </w:rPr>
          <w:t>ע"פ 677/14</w:t>
        </w:r>
      </w:hyperlink>
      <w:r>
        <w:rPr>
          <w:rFonts w:hint="cs"/>
          <w:rtl/>
        </w:rPr>
        <w:t xml:space="preserve"> </w:t>
      </w:r>
      <w:r>
        <w:rPr>
          <w:rFonts w:hint="cs"/>
          <w:b/>
          <w:bCs/>
          <w:rtl/>
        </w:rPr>
        <w:t>דנקנר נגד מדינת ישראל</w:t>
      </w:r>
      <w:r>
        <w:rPr>
          <w:rFonts w:hint="cs"/>
          <w:rtl/>
        </w:rPr>
        <w:t xml:space="preserve"> (17.7.2014). </w:t>
      </w:r>
    </w:p>
    <w:p w14:paraId="65BDA073" w14:textId="77777777" w:rsidR="009435AF" w:rsidRDefault="009435AF">
      <w:pPr>
        <w:pStyle w:val="Ruller50"/>
        <w:spacing w:line="360" w:lineRule="auto"/>
        <w:ind w:right="540"/>
        <w:rPr>
          <w:rFonts w:cs="David"/>
          <w:sz w:val="24"/>
          <w:szCs w:val="24"/>
          <w:rtl/>
        </w:rPr>
      </w:pPr>
    </w:p>
    <w:p w14:paraId="36C1389D" w14:textId="77777777" w:rsidR="009435AF" w:rsidRDefault="006E6662">
      <w:pPr>
        <w:spacing w:line="360" w:lineRule="auto"/>
        <w:ind w:left="360" w:firstLine="360"/>
        <w:rPr>
          <w:u w:val="single"/>
          <w:rtl/>
        </w:rPr>
      </w:pPr>
      <w:r>
        <w:rPr>
          <w:rFonts w:hint="cs"/>
          <w:u w:val="single"/>
          <w:rtl/>
        </w:rPr>
        <w:t>מתחם העונש ההולם</w:t>
      </w:r>
    </w:p>
    <w:p w14:paraId="2DA5BAE6" w14:textId="77777777" w:rsidR="009435AF" w:rsidRDefault="006E6662">
      <w:pPr>
        <w:numPr>
          <w:ilvl w:val="0"/>
          <w:numId w:val="1"/>
        </w:numPr>
        <w:spacing w:line="360" w:lineRule="auto"/>
        <w:jc w:val="both"/>
        <w:outlineLvl w:val="0"/>
        <w:rPr>
          <w:rFonts w:hAnsi="David"/>
          <w:color w:val="000000"/>
          <w:rtl/>
        </w:rPr>
      </w:pPr>
      <w:r>
        <w:rPr>
          <w:rFonts w:hAnsi="David" w:hint="cs"/>
          <w:color w:val="000000"/>
          <w:rtl/>
        </w:rPr>
        <w:t>למרות שמדובר בהסדר טיעון הכולל טווח ענישה שבין 19 ל-26 שנות מאסר, עדיין יש לקבוע מתחם עונש הולם, ראו לענין זה פסק דינו של כב' השופט חנן מלצר:</w:t>
      </w:r>
    </w:p>
    <w:p w14:paraId="49FFD78E" w14:textId="77777777" w:rsidR="009435AF" w:rsidRDefault="006E6662">
      <w:pPr>
        <w:ind w:left="1440" w:right="540"/>
        <w:jc w:val="both"/>
        <w:outlineLvl w:val="0"/>
        <w:rPr>
          <w:rFonts w:hAnsi="Arial"/>
        </w:rPr>
      </w:pPr>
      <w:r>
        <w:rPr>
          <w:rFonts w:hint="cs"/>
          <w:rtl/>
        </w:rPr>
        <w:t>"הסדר טיעון במסגרתו נקבע לעתים טווח ענישה מוסכם, הינו הסכם בין רשויות התביעה לבין נאשם, כאשר בית המשפט איננו, כידוע, צד להסכם זה</w:t>
      </w:r>
      <w:r>
        <w:rPr>
          <w:rFonts w:hAnsi="David" w:hint="cs"/>
          <w:color w:val="000000"/>
          <w:rtl/>
        </w:rPr>
        <w:t>...</w:t>
      </w:r>
      <w:r>
        <w:rPr>
          <w:rFonts w:hint="cs"/>
          <w:rtl/>
        </w:rPr>
        <w:t xml:space="preserve"> מתחם ענישה לעומת זאת, הינו קביעה נורמטיבית של בית המשפט באשר לטווח הענישה הראוי</w:t>
      </w:r>
      <w:r>
        <w:rPr>
          <w:rFonts w:hAnsi="David" w:hint="cs"/>
          <w:color w:val="000000"/>
          <w:rtl/>
        </w:rPr>
        <w:t>...</w:t>
      </w:r>
      <w:r>
        <w:rPr>
          <w:rFonts w:hint="cs"/>
          <w:rtl/>
        </w:rPr>
        <w:t>בהקשר זה מוסכמת עלי גישתו של פרופ' אורן גזל, הגורס כך: "במקרים שיש בהם ספק אם ההסדר עומד במבחני האיזון, מצווה כיום בית המשפט לקבוע הן את מתחם הענישה ואת העונש בתוך המתחם שהיה נקבע אלמלא היה הסדר, על פי נסיבות שאינן קשורות בביצוע העבירה. לאחר מכן עליו להשוות את העונש המוסכם לזה שצפוי היה להיות מוטל על נאשם ללא ההסדר, כדי לבחון מה מידת ההקלה שהנאשם זכה לה ולהכריע אם הקלה זו עומדת במבחן האיזון. כאשר יאושר טווח ענישה מוסכם בדרך זו, יקבע בית המשפט בשלב השלישי את העונש המדויק בתוך הטווח בהתחשב במלוא שיקולי הענישה, כמו גם בהסדר הטיעון ובאינטרס הציבורי שהוביל לעריכתו".</w:t>
      </w:r>
    </w:p>
    <w:p w14:paraId="76FD3FCB" w14:textId="77777777" w:rsidR="009435AF" w:rsidRDefault="006E6662">
      <w:pPr>
        <w:ind w:left="1440" w:right="720"/>
        <w:jc w:val="both"/>
        <w:rPr>
          <w:rtl/>
        </w:rPr>
      </w:pPr>
      <w:hyperlink r:id="rId35" w:history="1">
        <w:r w:rsidRPr="006E6662">
          <w:rPr>
            <w:color w:val="0000FF"/>
            <w:u w:val="single"/>
            <w:rtl/>
          </w:rPr>
          <w:t>ע"פ 512/13</w:t>
        </w:r>
      </w:hyperlink>
      <w:r>
        <w:rPr>
          <w:rFonts w:hint="cs"/>
          <w:rtl/>
        </w:rPr>
        <w:t xml:space="preserve"> </w:t>
      </w:r>
      <w:r>
        <w:rPr>
          <w:rFonts w:hint="cs"/>
          <w:b/>
          <w:bCs/>
          <w:rtl/>
        </w:rPr>
        <w:t>פלוני נגד מדינת ישראל</w:t>
      </w:r>
      <w:r>
        <w:rPr>
          <w:rFonts w:hint="cs"/>
          <w:rtl/>
        </w:rPr>
        <w:t xml:space="preserve"> (4.12.2013). </w:t>
      </w:r>
    </w:p>
    <w:p w14:paraId="6C854D73" w14:textId="77777777" w:rsidR="009435AF" w:rsidRDefault="009435AF">
      <w:pPr>
        <w:spacing w:line="360" w:lineRule="auto"/>
        <w:ind w:left="1440" w:right="720"/>
        <w:jc w:val="both"/>
        <w:rPr>
          <w:rtl/>
        </w:rPr>
      </w:pPr>
    </w:p>
    <w:p w14:paraId="50F9149C" w14:textId="77777777" w:rsidR="009435AF" w:rsidRDefault="006E6662">
      <w:pPr>
        <w:numPr>
          <w:ilvl w:val="0"/>
          <w:numId w:val="1"/>
        </w:numPr>
        <w:spacing w:line="360" w:lineRule="auto"/>
        <w:jc w:val="both"/>
        <w:rPr>
          <w:rtl/>
        </w:rPr>
      </w:pPr>
      <w:r>
        <w:rPr>
          <w:rFonts w:hint="cs"/>
          <w:rtl/>
        </w:rPr>
        <w:t>לאחר ניתוח טענות הצדדים מקובלת עלי עמדת הסנגור (ולמעשה גם עמדת המאשימה) ואני סבור כי יש לראות במכלול הנסיבות אירוע אחד בו בוצעו שלושת העבירות בהן הורשע הנאשם. מדובר בתוכנית עבריינית אחת, לנוכח סמיכות הזמנים ורצף הארועים, כך גם קבע חברי כב' סגן הנשיא השופט רון שפירא בגזר דין בעניינו של מואייד בקשר לאותן עבירות בנשק ואיומים ולכן אקבע מתחם עונש הולם אחד לכל שלושת העבירות.</w:t>
      </w:r>
    </w:p>
    <w:p w14:paraId="7E988ACC" w14:textId="77777777" w:rsidR="009435AF" w:rsidRDefault="009435AF">
      <w:pPr>
        <w:spacing w:line="360" w:lineRule="auto"/>
        <w:ind w:left="360"/>
        <w:jc w:val="both"/>
      </w:pPr>
    </w:p>
    <w:p w14:paraId="3D11A40E" w14:textId="77777777" w:rsidR="009435AF" w:rsidRDefault="006E6662">
      <w:pPr>
        <w:numPr>
          <w:ilvl w:val="0"/>
          <w:numId w:val="1"/>
        </w:numPr>
        <w:spacing w:line="360" w:lineRule="auto"/>
        <w:jc w:val="both"/>
      </w:pPr>
      <w:r>
        <w:rPr>
          <w:rFonts w:hint="cs"/>
          <w:rtl/>
        </w:rPr>
        <w:t>במקרה זה פגע הנאשם בצורה קשה מאוד במספר ערכים חברתיים, הערך המקודש של חיי אדם, שלום הציבור ובטחונו.</w:t>
      </w:r>
    </w:p>
    <w:p w14:paraId="68CF6EF2" w14:textId="77777777" w:rsidR="009435AF" w:rsidRDefault="006E6662">
      <w:pPr>
        <w:spacing w:line="360" w:lineRule="auto"/>
        <w:ind w:left="720"/>
        <w:jc w:val="both"/>
      </w:pPr>
      <w:r>
        <w:rPr>
          <w:rFonts w:hint="cs"/>
          <w:rtl/>
        </w:rPr>
        <w:t>באשר למדיניות הענישה הנהוגה במקרים כגון זה שבהם מדובר בעבירת הריגה הנמצאת על סיפה של עבירת הרצח והיחס בין העונש המתאים לעונש המירבי אפנה לפסק דינו של כב' השופט יורם דנציגר שאישר באותו מקרה עונש של 20 שנה שהוטל על הנאשמים בגין עבירת הריגה:</w:t>
      </w:r>
    </w:p>
    <w:p w14:paraId="78E02D27" w14:textId="77777777" w:rsidR="009435AF" w:rsidRDefault="006E6662">
      <w:pPr>
        <w:pStyle w:val="Ruller50"/>
        <w:ind w:left="1440" w:right="539"/>
        <w:rPr>
          <w:rFonts w:cs="David"/>
          <w:sz w:val="24"/>
          <w:szCs w:val="24"/>
        </w:rPr>
      </w:pPr>
      <w:r>
        <w:rPr>
          <w:rFonts w:cs="David" w:hint="cs"/>
          <w:sz w:val="24"/>
          <w:szCs w:val="24"/>
          <w:rtl/>
        </w:rPr>
        <w:t>"אכן, ככלל, העונשים הקבועים בצד העבירות ב</w:t>
      </w:r>
      <w:hyperlink r:id="rId36" w:history="1">
        <w:r w:rsidRPr="006E6662">
          <w:rPr>
            <w:rFonts w:cs="David"/>
            <w:color w:val="0000FF"/>
            <w:sz w:val="24"/>
            <w:szCs w:val="24"/>
            <w:u w:val="single"/>
            <w:rtl/>
          </w:rPr>
          <w:t>חוק העונשין</w:t>
        </w:r>
      </w:hyperlink>
      <w:r>
        <w:rPr>
          <w:rFonts w:cs="David" w:hint="cs"/>
          <w:sz w:val="24"/>
          <w:szCs w:val="24"/>
          <w:rtl/>
        </w:rPr>
        <w:t xml:space="preserve"> הם עונשים מרביים ("עונשי מקסימום"). בתי המשפט אינם מטילים בדרך כלל עונשים מרביים על הנאשמים הבאים לפניהם...הטעם לכך, הוא שמלאכת גזירת עונשו של נאשם מבוססת על יישומם של עקרונות שונים מתחום דיני הענישה, והחשוב שבהם הוא עקרון הענישה האינדיבידואלית, המביא בחשבון גם את נסיבותיו האישיות של הנאשם, ובכלל זאת: גילו, עברו הפלילי, אירועים קשים שהשפיעו על מהלך חיו ושעיצבו את דמותו ועוד נתונים שונים...כך למשל, אישר בית משפט זה ב</w:t>
      </w:r>
      <w:hyperlink r:id="rId37" w:history="1">
        <w:r w:rsidRPr="006E6662">
          <w:rPr>
            <w:rFonts w:cs="David"/>
            <w:color w:val="0000FF"/>
            <w:sz w:val="24"/>
            <w:szCs w:val="24"/>
            <w:u w:val="single"/>
            <w:rtl/>
          </w:rPr>
          <w:t>ע"פ 1456/01 חדד נ' מדינת ישראל, פ"ד נו</w:t>
        </w:r>
      </w:hyperlink>
      <w:r>
        <w:rPr>
          <w:rFonts w:cs="David" w:hint="cs"/>
          <w:sz w:val="24"/>
          <w:szCs w:val="24"/>
          <w:rtl/>
        </w:rPr>
        <w:t>(1) 609 (2001) (להלן: עניין</w:t>
      </w:r>
      <w:r>
        <w:rPr>
          <w:rFonts w:cs="David" w:hint="cs"/>
          <w:b/>
          <w:spacing w:val="0"/>
          <w:sz w:val="24"/>
          <w:szCs w:val="24"/>
          <w:rtl/>
        </w:rPr>
        <w:t xml:space="preserve"> חדד</w:t>
      </w:r>
      <w:r>
        <w:rPr>
          <w:rFonts w:cs="David" w:hint="cs"/>
          <w:sz w:val="24"/>
          <w:szCs w:val="24"/>
          <w:rtl/>
        </w:rPr>
        <w:t>) עונש מרבי של 20 שנות מאסר בגין הריגה, בין היתר לאור הנימוק כי רק כפסע היה בין הנאשם לבין הרשעה בעבירת רצח...גם ב</w:t>
      </w:r>
      <w:hyperlink r:id="rId38" w:history="1">
        <w:r w:rsidRPr="006E6662">
          <w:rPr>
            <w:rFonts w:cs="David"/>
            <w:color w:val="0000FF"/>
            <w:sz w:val="24"/>
            <w:szCs w:val="24"/>
            <w:u w:val="single"/>
            <w:rtl/>
          </w:rPr>
          <w:t>ע"פ 7147/96 אזואלוס נ' מדינת ישראל, פ"ד נב</w:t>
        </w:r>
      </w:hyperlink>
      <w:r>
        <w:rPr>
          <w:rFonts w:cs="David" w:hint="cs"/>
          <w:sz w:val="24"/>
          <w:szCs w:val="24"/>
          <w:rtl/>
        </w:rPr>
        <w:t xml:space="preserve">(2) 412 (1998) (להלן: עניין </w:t>
      </w:r>
      <w:r>
        <w:rPr>
          <w:rFonts w:cs="David" w:hint="cs"/>
          <w:b/>
          <w:spacing w:val="0"/>
          <w:sz w:val="24"/>
          <w:szCs w:val="24"/>
          <w:rtl/>
        </w:rPr>
        <w:t>אזואלס</w:t>
      </w:r>
      <w:r>
        <w:rPr>
          <w:rFonts w:cs="David" w:hint="cs"/>
          <w:sz w:val="24"/>
          <w:szCs w:val="24"/>
          <w:rtl/>
        </w:rPr>
        <w:t xml:space="preserve">) הודגש כי מקום בו המרחק בין הרשעה בהריגה לבין הרשעה ברצח הוא כפסע "מן הראוי שעונשו של המערער יתקרב לעונש המרבי", </w:t>
      </w:r>
      <w:hyperlink r:id="rId39" w:history="1">
        <w:r w:rsidRPr="006E6662">
          <w:rPr>
            <w:rFonts w:cs="David"/>
            <w:color w:val="0000FF"/>
            <w:sz w:val="24"/>
            <w:szCs w:val="24"/>
            <w:u w:val="single"/>
            <w:rtl/>
          </w:rPr>
          <w:t>ע"פ 6294/11</w:t>
        </w:r>
      </w:hyperlink>
      <w:r>
        <w:rPr>
          <w:rFonts w:cs="David" w:hint="cs"/>
          <w:sz w:val="24"/>
          <w:szCs w:val="24"/>
          <w:rtl/>
        </w:rPr>
        <w:t xml:space="preserve">, </w:t>
      </w:r>
      <w:hyperlink r:id="rId40" w:history="1">
        <w:r w:rsidRPr="006E6662">
          <w:rPr>
            <w:rFonts w:cs="David"/>
            <w:color w:val="0000FF"/>
            <w:sz w:val="24"/>
            <w:szCs w:val="24"/>
            <w:u w:val="single"/>
            <w:rtl/>
          </w:rPr>
          <w:t>ע"פ 6295/11</w:t>
        </w:r>
      </w:hyperlink>
      <w:r>
        <w:rPr>
          <w:rFonts w:cs="David" w:hint="cs"/>
          <w:sz w:val="24"/>
          <w:szCs w:val="24"/>
          <w:rtl/>
        </w:rPr>
        <w:t xml:space="preserve"> ו</w:t>
      </w:r>
      <w:hyperlink r:id="rId41" w:history="1">
        <w:r w:rsidRPr="006E6662">
          <w:rPr>
            <w:rFonts w:cs="David"/>
            <w:color w:val="0000FF"/>
            <w:sz w:val="24"/>
            <w:szCs w:val="24"/>
            <w:u w:val="single"/>
            <w:rtl/>
          </w:rPr>
          <w:t>ע"פ 6367/11</w:t>
        </w:r>
      </w:hyperlink>
      <w:r>
        <w:rPr>
          <w:rFonts w:cs="David" w:hint="cs"/>
          <w:sz w:val="24"/>
          <w:szCs w:val="24"/>
          <w:rtl/>
        </w:rPr>
        <w:t xml:space="preserve"> </w:t>
      </w:r>
      <w:r>
        <w:rPr>
          <w:rFonts w:cs="David" w:hint="cs"/>
          <w:b/>
          <w:bCs/>
          <w:sz w:val="24"/>
          <w:szCs w:val="24"/>
          <w:rtl/>
        </w:rPr>
        <w:t>פלוני נגד מדינת ישראל</w:t>
      </w:r>
      <w:r>
        <w:rPr>
          <w:rFonts w:cs="David" w:hint="cs"/>
          <w:sz w:val="24"/>
          <w:szCs w:val="24"/>
          <w:rtl/>
        </w:rPr>
        <w:t xml:space="preserve"> (20.2.2014).</w:t>
      </w:r>
    </w:p>
    <w:p w14:paraId="4B3118F1" w14:textId="77777777" w:rsidR="009435AF" w:rsidRDefault="009435AF">
      <w:pPr>
        <w:pStyle w:val="Ruller50"/>
        <w:spacing w:line="360" w:lineRule="auto"/>
        <w:rPr>
          <w:rFonts w:cs="David"/>
          <w:sz w:val="24"/>
          <w:szCs w:val="24"/>
          <w:rtl/>
        </w:rPr>
      </w:pPr>
    </w:p>
    <w:p w14:paraId="3596C56B" w14:textId="77777777" w:rsidR="009435AF" w:rsidRDefault="006E6662">
      <w:pPr>
        <w:spacing w:line="360" w:lineRule="auto"/>
        <w:ind w:left="720"/>
        <w:jc w:val="both"/>
        <w:rPr>
          <w:rtl/>
        </w:rPr>
      </w:pPr>
      <w:r>
        <w:rPr>
          <w:rFonts w:hint="cs"/>
          <w:rtl/>
        </w:rPr>
        <w:t xml:space="preserve">הערך החברתי המוגן באמצעות האיסור על נשיאת נשק ואיסור על איומים הוא בטחון האדם והציבור וכן שלמות הגוף, והנאשם במעשיו גרם לפגיעה בערכים מוגנים אלו. באשר למדיניות הענישה בעבירות בנשק ואיומים בנסיבותיו של תיק זה אפנה למדיניות הענישה כמתואר בגזר דינו של מואייד. </w:t>
      </w:r>
    </w:p>
    <w:p w14:paraId="74207AFA" w14:textId="77777777" w:rsidR="009435AF" w:rsidRDefault="009435AF">
      <w:pPr>
        <w:spacing w:line="360" w:lineRule="auto"/>
        <w:ind w:left="720"/>
        <w:jc w:val="both"/>
        <w:rPr>
          <w:rtl/>
        </w:rPr>
      </w:pPr>
    </w:p>
    <w:p w14:paraId="1D1AB23F" w14:textId="77777777" w:rsidR="009435AF" w:rsidRDefault="006E6662">
      <w:pPr>
        <w:spacing w:line="360" w:lineRule="auto"/>
        <w:ind w:left="720"/>
        <w:jc w:val="both"/>
        <w:rPr>
          <w:rtl/>
        </w:rPr>
      </w:pPr>
      <w:r>
        <w:rPr>
          <w:rFonts w:hint="cs"/>
          <w:rtl/>
        </w:rPr>
        <w:t>לענין נסיבות הקשורות בביצוע העבירה (</w:t>
      </w:r>
      <w:hyperlink r:id="rId42" w:history="1">
        <w:r w:rsidR="002641A7" w:rsidRPr="002641A7">
          <w:rPr>
            <w:rStyle w:val="Hyperlink"/>
            <w:rFonts w:hint="eastAsia"/>
            <w:rtl/>
          </w:rPr>
          <w:t>סעיף</w:t>
        </w:r>
        <w:r w:rsidR="002641A7" w:rsidRPr="002641A7">
          <w:rPr>
            <w:rStyle w:val="Hyperlink"/>
            <w:rtl/>
          </w:rPr>
          <w:t xml:space="preserve"> 40ט'</w:t>
        </w:r>
      </w:hyperlink>
      <w:r>
        <w:rPr>
          <w:rFonts w:hint="cs"/>
          <w:rtl/>
        </w:rPr>
        <w:t xml:space="preserve"> לחוק), מעשיו של הנאשם היו מתוכננים לפרטי פרטים, הוא הצטייד באקדח ותחמושת, הלך לחפש עם מואייד את עמיתו לריב, רדף אחרי האנשים הנמלטים, תוך שהוא יורה 17 יריות מבלי להפסיק גם שלאחר שהם החלו לברוח, רץ אחריהם והמשיך לירות. הנאשם היה הגורם הדומיננטי בארוע, הוא הצטייד בנשק והוא גם עשה בו שימוש. כתוצאה ממעשיו נגרם מותו של המנוח ואסון כבד למשפחתו המורחבת, ורק בנס לא נגרם נזק לנפגעים נוספים שנכחו במקום, ליבה של עיר ("סמוך למבנה חנויות ברחוב", סעיף 3 לכתב האישום המתוקן).</w:t>
      </w:r>
    </w:p>
    <w:p w14:paraId="2434E43E" w14:textId="77777777" w:rsidR="009435AF" w:rsidRDefault="009435AF">
      <w:pPr>
        <w:spacing w:line="360" w:lineRule="auto"/>
        <w:ind w:left="720"/>
        <w:jc w:val="both"/>
        <w:rPr>
          <w:rtl/>
        </w:rPr>
      </w:pPr>
    </w:p>
    <w:p w14:paraId="1C24F1B2" w14:textId="77777777" w:rsidR="009435AF" w:rsidRDefault="006E6662">
      <w:pPr>
        <w:numPr>
          <w:ilvl w:val="0"/>
          <w:numId w:val="1"/>
        </w:numPr>
        <w:spacing w:line="360" w:lineRule="auto"/>
        <w:jc w:val="both"/>
      </w:pPr>
      <w:r>
        <w:rPr>
          <w:rFonts w:hint="cs"/>
          <w:rtl/>
        </w:rPr>
        <w:t xml:space="preserve">בהתחשב בערכים החברתיים שנפגעו מביצוע העבירות, במידת הפגיעה בהם, במדיניות הענישה הנהוגה ובנסיבות הקשורות בביצוע העבירה אני סבור כי טווחי הענישה עליהם הסכימו הצדדים בהסדר הטיעון משקפים נאמנה את טווח העונש ההולם העומד במקרה זה על מאסר בפועל במתחם שבין 19 ל-26 שנות מאסר. </w:t>
      </w:r>
    </w:p>
    <w:p w14:paraId="505904F7" w14:textId="77777777" w:rsidR="009435AF" w:rsidRDefault="009435AF">
      <w:pPr>
        <w:spacing w:line="360" w:lineRule="auto"/>
        <w:ind w:left="360"/>
      </w:pPr>
    </w:p>
    <w:p w14:paraId="022066A1" w14:textId="77777777" w:rsidR="009435AF" w:rsidRDefault="006E6662">
      <w:pPr>
        <w:spacing w:line="360" w:lineRule="auto"/>
        <w:ind w:left="360" w:firstLine="360"/>
        <w:rPr>
          <w:u w:val="single"/>
        </w:rPr>
      </w:pPr>
      <w:r>
        <w:rPr>
          <w:rFonts w:hint="cs"/>
          <w:u w:val="single"/>
          <w:rtl/>
        </w:rPr>
        <w:t>העונש המתאים</w:t>
      </w:r>
    </w:p>
    <w:p w14:paraId="300DDB5F" w14:textId="77777777" w:rsidR="009435AF" w:rsidRDefault="006E6662">
      <w:pPr>
        <w:numPr>
          <w:ilvl w:val="0"/>
          <w:numId w:val="1"/>
        </w:numPr>
        <w:spacing w:line="360" w:lineRule="auto"/>
        <w:jc w:val="both"/>
        <w:rPr>
          <w:u w:val="single"/>
          <w:rtl/>
        </w:rPr>
      </w:pPr>
      <w:r>
        <w:rPr>
          <w:rFonts w:hint="cs"/>
          <w:rtl/>
        </w:rPr>
        <w:t>לא עומדת על הפרק שאלת שיקום, שירות המבחן העריך כי הנאשם זקוק לרכישת כלים להתמודדות, אותם יוכל לרכוש בהליך טפולי במסגרת שירות בתי הסוהר.</w:t>
      </w:r>
    </w:p>
    <w:p w14:paraId="1EA59DCA" w14:textId="77777777" w:rsidR="009435AF" w:rsidRDefault="006E6662">
      <w:pPr>
        <w:spacing w:line="360" w:lineRule="auto"/>
        <w:ind w:left="360"/>
        <w:jc w:val="both"/>
        <w:rPr>
          <w:u w:val="single"/>
        </w:rPr>
      </w:pPr>
      <w:r>
        <w:rPr>
          <w:rFonts w:hint="cs"/>
          <w:rtl/>
        </w:rPr>
        <w:t xml:space="preserve"> </w:t>
      </w:r>
    </w:p>
    <w:p w14:paraId="52A3036E" w14:textId="77777777" w:rsidR="009435AF" w:rsidRDefault="006E6662">
      <w:pPr>
        <w:numPr>
          <w:ilvl w:val="0"/>
          <w:numId w:val="1"/>
        </w:numPr>
        <w:spacing w:line="360" w:lineRule="auto"/>
        <w:jc w:val="both"/>
      </w:pPr>
      <w:r>
        <w:rPr>
          <w:rFonts w:hint="cs"/>
          <w:rtl/>
        </w:rPr>
        <w:t>הנאשם צעיר כבן 22, פרוד מאשתו, אב לילד כבן שנתיים, צפוי לשאת בעונש מאסר לתקופה ארוכה, עובדה שתפגע קשות בבנו הצעיר. הנאשם נטל אחריות על מעשיו, הודה בביצוע ההריגה כבר בעת חקירתו במשטרה. חווה כעת נידוי כדברי סנגורו בשל הסכם סולחה שחייב את משפחתו לנתק כל קשר עימו.</w:t>
      </w:r>
    </w:p>
    <w:p w14:paraId="52C783E1" w14:textId="77777777" w:rsidR="009435AF" w:rsidRDefault="009435AF">
      <w:pPr>
        <w:spacing w:line="360" w:lineRule="auto"/>
        <w:ind w:left="360"/>
        <w:jc w:val="both"/>
      </w:pPr>
    </w:p>
    <w:p w14:paraId="4B1B1E50" w14:textId="77777777" w:rsidR="009435AF" w:rsidRDefault="006E6662">
      <w:pPr>
        <w:numPr>
          <w:ilvl w:val="0"/>
          <w:numId w:val="1"/>
        </w:numPr>
        <w:spacing w:line="360" w:lineRule="auto"/>
        <w:jc w:val="both"/>
      </w:pPr>
      <w:r>
        <w:rPr>
          <w:rFonts w:hint="cs"/>
          <w:rtl/>
        </w:rPr>
        <w:t>בהתחשב בחומרת המעשים ובטווחי הענישה בהתאם להסדר הטיעון המקובלים עליי, ובעונש של 10 חודשי מאסר שהוטל על שותפו לחלק מהעבירות מואייד, אני סבור כי העונש המתאים צריך לעמוד על 21 שנות מאסר בפועל בנוסף למאסרים על תנאי ופיצוי משפחת הקרבן.</w:t>
      </w:r>
    </w:p>
    <w:p w14:paraId="6A66B927" w14:textId="77777777" w:rsidR="009435AF" w:rsidRDefault="009435AF">
      <w:pPr>
        <w:spacing w:line="360" w:lineRule="auto"/>
        <w:ind w:left="360"/>
        <w:jc w:val="both"/>
      </w:pPr>
    </w:p>
    <w:p w14:paraId="01DA020F" w14:textId="77777777" w:rsidR="009435AF" w:rsidRDefault="006E6662">
      <w:pPr>
        <w:spacing w:line="360" w:lineRule="auto"/>
        <w:ind w:left="360" w:firstLine="360"/>
        <w:jc w:val="both"/>
        <w:rPr>
          <w:u w:val="single"/>
        </w:rPr>
      </w:pPr>
      <w:r>
        <w:rPr>
          <w:rFonts w:hint="cs"/>
          <w:u w:val="single"/>
          <w:rtl/>
        </w:rPr>
        <w:t>פיצוי</w:t>
      </w:r>
    </w:p>
    <w:p w14:paraId="238DBAB7" w14:textId="77777777" w:rsidR="009435AF" w:rsidRDefault="006E6662">
      <w:pPr>
        <w:numPr>
          <w:ilvl w:val="0"/>
          <w:numId w:val="1"/>
        </w:numPr>
        <w:spacing w:line="360" w:lineRule="auto"/>
        <w:jc w:val="both"/>
      </w:pPr>
      <w:r>
        <w:rPr>
          <w:rFonts w:hint="cs"/>
          <w:rtl/>
        </w:rPr>
        <w:t xml:space="preserve">כמתואר בתסקיר נפגעי העבירה, מותו של המנוח גרם נזק לנפגעים רבים, לשתי נשותיו, לששת ילדיהם ולתשעת אחיו ואחיותיו באופן ישיר ולבני המשפחה הנוספים, כולם ראו בקרבן מקור תמיכה ועזרה וכולם חשים כיום באובדן כבד שלא ניתן לתיקון. </w:t>
      </w:r>
    </w:p>
    <w:p w14:paraId="0F40B9FB" w14:textId="77777777" w:rsidR="009435AF" w:rsidRDefault="006E6662">
      <w:pPr>
        <w:spacing w:line="360" w:lineRule="auto"/>
        <w:ind w:left="720"/>
        <w:jc w:val="both"/>
      </w:pPr>
      <w:r>
        <w:rPr>
          <w:rFonts w:hint="cs"/>
          <w:rtl/>
        </w:rPr>
        <w:t xml:space="preserve">עוד חשוב לציין כמתואר בתסקיר הנ"ל, את התקופה הקשה שעברה על בני המשפחה מיום 3.1.2014 עת נפצע הקרבן פציעות קשות ועד ליום פטירתו 27.2.2014, כל אותה תקופה הם שהו לצידו בבית חולים. </w:t>
      </w:r>
    </w:p>
    <w:p w14:paraId="412B7ED7" w14:textId="77777777" w:rsidR="009435AF" w:rsidRDefault="006E6662">
      <w:pPr>
        <w:spacing w:line="360" w:lineRule="auto"/>
        <w:jc w:val="both"/>
        <w:rPr>
          <w:rtl/>
        </w:rPr>
      </w:pPr>
      <w:r>
        <w:rPr>
          <w:rFonts w:hint="cs"/>
          <w:rtl/>
        </w:rPr>
        <w:tab/>
        <w:t xml:space="preserve">לענין גובה הפיצוי והסמכות לפצות כל אחד מהנפגעים אפנה </w:t>
      </w:r>
      <w:hyperlink r:id="rId43" w:history="1">
        <w:r w:rsidR="002641A7" w:rsidRPr="002641A7">
          <w:rPr>
            <w:rStyle w:val="Hyperlink"/>
            <w:rFonts w:hint="eastAsia"/>
            <w:rtl/>
          </w:rPr>
          <w:t>לסעיף</w:t>
        </w:r>
        <w:r w:rsidR="002641A7" w:rsidRPr="002641A7">
          <w:rPr>
            <w:rStyle w:val="Hyperlink"/>
            <w:rtl/>
          </w:rPr>
          <w:t xml:space="preserve"> 77</w:t>
        </w:r>
      </w:hyperlink>
      <w:r>
        <w:rPr>
          <w:rFonts w:hint="cs"/>
          <w:rtl/>
        </w:rPr>
        <w:t xml:space="preserve"> לחוק:</w:t>
      </w:r>
    </w:p>
    <w:p w14:paraId="3CADE1D6" w14:textId="77777777" w:rsidR="009435AF" w:rsidRDefault="006E6662">
      <w:pPr>
        <w:ind w:left="1440" w:right="539" w:hanging="690"/>
        <w:jc w:val="both"/>
        <w:rPr>
          <w:rtl/>
        </w:rPr>
      </w:pPr>
      <w:r>
        <w:rPr>
          <w:rFonts w:hint="cs"/>
          <w:rtl/>
        </w:rPr>
        <w:t xml:space="preserve"> "(א)</w:t>
      </w:r>
      <w:r>
        <w:rPr>
          <w:rFonts w:hint="cs"/>
          <w:rtl/>
        </w:rPr>
        <w:tab/>
        <w:t>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w:t>
      </w:r>
    </w:p>
    <w:p w14:paraId="75BD9F83" w14:textId="77777777" w:rsidR="009435AF" w:rsidRDefault="006E6662">
      <w:pPr>
        <w:ind w:left="1440" w:right="539" w:hanging="510"/>
        <w:jc w:val="both"/>
        <w:rPr>
          <w:rtl/>
        </w:rPr>
      </w:pPr>
      <w:r>
        <w:rPr>
          <w:rFonts w:hint="cs"/>
          <w:rtl/>
        </w:rPr>
        <w:t>(ב)</w:t>
      </w:r>
      <w:r>
        <w:rPr>
          <w:rFonts w:hint="cs"/>
          <w:rtl/>
        </w:rPr>
        <w:tab/>
        <w:t>קביעת הפיצויים לפי סעיף זה תהא לפי ערך הנזק או הסבל שנגרמו, ביום ביצוע העבירה או ביום מתן ההחלטה על הפיצויים, הכל לפי הגדול יותר".</w:t>
      </w:r>
    </w:p>
    <w:p w14:paraId="069D5D74" w14:textId="77777777" w:rsidR="009435AF" w:rsidRDefault="009435AF">
      <w:pPr>
        <w:spacing w:line="360" w:lineRule="auto"/>
        <w:ind w:left="720"/>
        <w:jc w:val="both"/>
        <w:rPr>
          <w:rtl/>
        </w:rPr>
      </w:pPr>
    </w:p>
    <w:p w14:paraId="5E16DE2A" w14:textId="77777777" w:rsidR="009435AF" w:rsidRDefault="006E6662">
      <w:pPr>
        <w:spacing w:line="360" w:lineRule="auto"/>
        <w:ind w:left="720"/>
        <w:jc w:val="both"/>
        <w:rPr>
          <w:rtl/>
        </w:rPr>
      </w:pPr>
      <w:r>
        <w:rPr>
          <w:rFonts w:hint="cs"/>
          <w:rtl/>
        </w:rPr>
        <w:t xml:space="preserve">יכולותיו הכלכליות של הנאשם אינן מהוות שיקול בקביעת שיעור הפיצוי לטובת משפחת המנוח (ראו לענין זה </w:t>
      </w:r>
      <w:hyperlink r:id="rId44" w:history="1">
        <w:r w:rsidRPr="006E6662">
          <w:rPr>
            <w:color w:val="0000FF"/>
            <w:u w:val="single"/>
            <w:rtl/>
          </w:rPr>
          <w:t>ע"פ 329/13</w:t>
        </w:r>
      </w:hyperlink>
      <w:r>
        <w:rPr>
          <w:rFonts w:hint="cs"/>
          <w:rtl/>
        </w:rPr>
        <w:t xml:space="preserve"> </w:t>
      </w:r>
      <w:r>
        <w:rPr>
          <w:rFonts w:hint="cs"/>
          <w:b/>
          <w:bCs/>
          <w:rtl/>
        </w:rPr>
        <w:t>ורגס נגד מדינת ישראל</w:t>
      </w:r>
      <w:r>
        <w:rPr>
          <w:rFonts w:hint="cs"/>
          <w:rtl/>
        </w:rPr>
        <w:t xml:space="preserve">, 9.3.2014). </w:t>
      </w:r>
    </w:p>
    <w:p w14:paraId="2E55E5D9" w14:textId="77777777" w:rsidR="009435AF" w:rsidRDefault="009435AF">
      <w:pPr>
        <w:bidi w:val="0"/>
        <w:rPr>
          <w:rtl/>
        </w:rPr>
      </w:pPr>
    </w:p>
    <w:p w14:paraId="305F8196" w14:textId="77777777" w:rsidR="009435AF" w:rsidRDefault="006E6662">
      <w:pPr>
        <w:spacing w:line="360" w:lineRule="auto"/>
        <w:ind w:left="720"/>
        <w:jc w:val="both"/>
        <w:rPr>
          <w:rtl/>
        </w:rPr>
      </w:pPr>
      <w:r>
        <w:rPr>
          <w:rFonts w:hint="cs"/>
          <w:rtl/>
        </w:rPr>
        <w:t>בנסיבותיו של תיק זה, בהתחשב בנתונים השונים הייחודיים לכל קבוצת נפגעים אני סבור כי יש לפסוק לכל אחת מנשותיו של המנוח את הסכום המקסימאלי הקבוע בחוק -</w:t>
      </w:r>
      <w:r>
        <w:rPr>
          <w:rtl/>
        </w:rPr>
        <w:br/>
      </w:r>
      <w:r>
        <w:rPr>
          <w:rFonts w:hint="cs"/>
          <w:rtl/>
        </w:rPr>
        <w:t>258,000 ש"ח כפיצוי עבורה ועבור ילדיו הקטינים של המנוח. מבלי לגרוע מזכותם של נפגעים אלו או הנפגעים האחרים לתבוע פיצוי על מלוא נזקיהם בהליך מתאים אחר.</w:t>
      </w:r>
    </w:p>
    <w:p w14:paraId="5AFB2378" w14:textId="77777777" w:rsidR="009435AF" w:rsidRDefault="006E6662">
      <w:pPr>
        <w:spacing w:line="360" w:lineRule="auto"/>
        <w:ind w:left="720"/>
        <w:jc w:val="both"/>
        <w:rPr>
          <w:rtl/>
        </w:rPr>
      </w:pPr>
      <w:r>
        <w:rPr>
          <w:rFonts w:hint="cs"/>
          <w:rtl/>
        </w:rPr>
        <w:t xml:space="preserve"> </w:t>
      </w:r>
    </w:p>
    <w:p w14:paraId="6F8C9379" w14:textId="77777777" w:rsidR="009435AF" w:rsidRDefault="006E6662">
      <w:pPr>
        <w:spacing w:line="360" w:lineRule="auto"/>
        <w:ind w:left="720" w:hanging="357"/>
        <w:jc w:val="both"/>
        <w:rPr>
          <w:u w:val="single"/>
        </w:rPr>
      </w:pPr>
      <w:r>
        <w:rPr>
          <w:rFonts w:hint="cs"/>
          <w:rtl/>
        </w:rPr>
        <w:t>16.</w:t>
      </w:r>
      <w:r>
        <w:rPr>
          <w:rFonts w:hint="cs"/>
          <w:rtl/>
        </w:rPr>
        <w:tab/>
      </w:r>
      <w:r>
        <w:rPr>
          <w:rFonts w:hint="cs"/>
          <w:u w:val="single"/>
          <w:rtl/>
        </w:rPr>
        <w:t>סיכום</w:t>
      </w:r>
    </w:p>
    <w:p w14:paraId="7F0283D6" w14:textId="77777777" w:rsidR="009435AF" w:rsidRDefault="006E6662">
      <w:pPr>
        <w:spacing w:line="360" w:lineRule="auto"/>
        <w:ind w:left="360" w:firstLine="360"/>
      </w:pPr>
      <w:r>
        <w:rPr>
          <w:rFonts w:hint="cs"/>
          <w:rtl/>
        </w:rPr>
        <w:t>לאור האמור לעיל אמליץ לחבריי להטיל על הנאשם את העונשים הבאים:</w:t>
      </w:r>
    </w:p>
    <w:p w14:paraId="1E88A4C0" w14:textId="77777777" w:rsidR="009435AF" w:rsidRDefault="006E6662">
      <w:pPr>
        <w:spacing w:line="360" w:lineRule="auto"/>
        <w:ind w:left="360" w:firstLine="360"/>
        <w:rPr>
          <w:rtl/>
        </w:rPr>
      </w:pPr>
      <w:r>
        <w:rPr>
          <w:rFonts w:hint="cs"/>
          <w:u w:val="single"/>
          <w:rtl/>
        </w:rPr>
        <w:t>21</w:t>
      </w:r>
      <w:r>
        <w:rPr>
          <w:rFonts w:hint="cs"/>
          <w:rtl/>
        </w:rPr>
        <w:t xml:space="preserve"> שנות מאסר בפועל. </w:t>
      </w:r>
    </w:p>
    <w:p w14:paraId="7B2524E6" w14:textId="77777777" w:rsidR="009435AF" w:rsidRDefault="006E6662">
      <w:pPr>
        <w:spacing w:line="360" w:lineRule="auto"/>
        <w:ind w:left="720"/>
        <w:jc w:val="both"/>
      </w:pPr>
      <w:r>
        <w:rPr>
          <w:rFonts w:hint="cs"/>
          <w:u w:val="single"/>
          <w:rtl/>
        </w:rPr>
        <w:t>10</w:t>
      </w:r>
      <w:r>
        <w:rPr>
          <w:rFonts w:hint="cs"/>
          <w:rtl/>
        </w:rPr>
        <w:t xml:space="preserve"> חודשי מאסר על תנאי, והתנאי שהנאשם לא יעבור עבירה בנשק וזאת בתוך שלוש שנים ויורשע </w:t>
      </w:r>
      <w:r>
        <w:rPr>
          <w:rStyle w:val="default"/>
          <w:rFonts w:hint="cs"/>
          <w:rtl/>
        </w:rPr>
        <w:t xml:space="preserve">בשל עבירה כזאת תוך תקופת התנאי או לאחריה. </w:t>
      </w:r>
    </w:p>
    <w:p w14:paraId="5B0592E0" w14:textId="77777777" w:rsidR="009435AF" w:rsidRDefault="006E6662">
      <w:pPr>
        <w:spacing w:line="360" w:lineRule="auto"/>
        <w:ind w:left="720"/>
        <w:jc w:val="both"/>
      </w:pPr>
      <w:r>
        <w:rPr>
          <w:rFonts w:hint="cs"/>
          <w:u w:val="single"/>
          <w:rtl/>
        </w:rPr>
        <w:t>4</w:t>
      </w:r>
      <w:r>
        <w:rPr>
          <w:rFonts w:hint="cs"/>
          <w:rtl/>
        </w:rPr>
        <w:t xml:space="preserve"> חודשי מאסר על תנאי והתנאי הוא שהנאשם לא יעבור בתוך שלוש שנים עבירת איומים וכן כל עבירת אלימות </w:t>
      </w:r>
      <w:r>
        <w:rPr>
          <w:rStyle w:val="default"/>
          <w:rFonts w:hint="cs"/>
          <w:rtl/>
        </w:rPr>
        <w:t>כזאת תוך תקופת התנאי או לאחריה</w:t>
      </w:r>
      <w:r>
        <w:rPr>
          <w:rFonts w:hint="cs"/>
          <w:rtl/>
        </w:rPr>
        <w:t>.</w:t>
      </w:r>
    </w:p>
    <w:p w14:paraId="7FE07702" w14:textId="77777777" w:rsidR="009435AF" w:rsidRDefault="006E6662">
      <w:pPr>
        <w:spacing w:line="360" w:lineRule="auto"/>
        <w:ind w:left="720"/>
        <w:jc w:val="both"/>
        <w:rPr>
          <w:rtl/>
        </w:rPr>
      </w:pPr>
      <w:r>
        <w:rPr>
          <w:rFonts w:hint="cs"/>
          <w:rtl/>
        </w:rPr>
        <w:t>הפעלת עונש מאסר על תנאי של 3 חודשים שניתן ביום 9.6.2013 בבית משפט השלום בעכו ב</w:t>
      </w:r>
      <w:hyperlink r:id="rId45" w:history="1">
        <w:r w:rsidRPr="006E6662">
          <w:rPr>
            <w:color w:val="0000FF"/>
            <w:u w:val="single"/>
            <w:rtl/>
          </w:rPr>
          <w:t>ת.פ. 47716-05-13</w:t>
        </w:r>
      </w:hyperlink>
      <w:r>
        <w:rPr>
          <w:rFonts w:hint="cs"/>
          <w:rtl/>
        </w:rPr>
        <w:t xml:space="preserve">. מאחר והמאשימה לא ביקשה להפעיל את העונש המותנה והפעלתו לא נכללה בהסדר הטעון, אמליץ לחבריי כי הוא יופעל בחופף למאסר שהוטל בתיק זה כך שבסה"כ ישא הנאשם בעונש של </w:t>
      </w:r>
      <w:r>
        <w:rPr>
          <w:rFonts w:hint="cs"/>
          <w:u w:val="single"/>
          <w:rtl/>
        </w:rPr>
        <w:t>21</w:t>
      </w:r>
      <w:r>
        <w:rPr>
          <w:rFonts w:hint="cs"/>
          <w:rtl/>
        </w:rPr>
        <w:t xml:space="preserve"> שנות מאסר, שתחילתם מיום מעצרו של הנאשם, 8.1.2014.</w:t>
      </w:r>
    </w:p>
    <w:p w14:paraId="61428D8C" w14:textId="77777777" w:rsidR="009435AF" w:rsidRDefault="009435AF">
      <w:pPr>
        <w:spacing w:line="360" w:lineRule="auto"/>
        <w:ind w:left="720"/>
        <w:jc w:val="both"/>
        <w:rPr>
          <w:rtl/>
        </w:rPr>
      </w:pPr>
    </w:p>
    <w:p w14:paraId="513D1D95" w14:textId="77777777" w:rsidR="009435AF" w:rsidRDefault="006E6662">
      <w:pPr>
        <w:spacing w:line="360" w:lineRule="auto"/>
        <w:ind w:left="720" w:hanging="360"/>
        <w:jc w:val="both"/>
      </w:pPr>
      <w:r>
        <w:rPr>
          <w:rFonts w:hint="cs"/>
          <w:rtl/>
        </w:rPr>
        <w:t xml:space="preserve">17. אני מחייב את הנאשם לשלם </w:t>
      </w:r>
      <w:r>
        <w:rPr>
          <w:rFonts w:hint="cs"/>
          <w:u w:val="single"/>
          <w:rtl/>
        </w:rPr>
        <w:t>לכל אחת</w:t>
      </w:r>
      <w:r>
        <w:rPr>
          <w:rFonts w:hint="cs"/>
          <w:rtl/>
        </w:rPr>
        <w:t xml:space="preserve"> מנשות הקרבן, ענוד ואנג'אם עבורה ועבור ילדיה, פיצוי כולל בסכום של 258,000 ש"ח שיופקד בקופת בית משפט (ובסה"כ 516,000 ש"ח) עד לא יאוחר מיום 1.1.2015, לאחר מכן ישא הפרשי הצמדה וריבית עד ליום התשלום בפועל. במידה ויופקד חלק מהסכום, מחצית ממנו תועבר לכל אחת מנשות הקרבן.</w:t>
      </w:r>
    </w:p>
    <w:p w14:paraId="30A4C249" w14:textId="77777777" w:rsidR="009435AF" w:rsidRDefault="006E6662">
      <w:pPr>
        <w:spacing w:line="360" w:lineRule="auto"/>
        <w:ind w:left="720"/>
        <w:jc w:val="both"/>
      </w:pPr>
      <w:r>
        <w:rPr>
          <w:rFonts w:hint="cs"/>
          <w:rtl/>
        </w:rPr>
        <w:t xml:space="preserve">המאשימה תמסור למזכירות בית המשפט את הפרטים הדרושים לצורך ביצוע התשלום ובכלל זה את פרטי חשבון הבנק של נשות הקרבן. </w:t>
      </w:r>
    </w:p>
    <w:p w14:paraId="3BBE263D" w14:textId="77777777" w:rsidR="009435AF" w:rsidRDefault="009435AF">
      <w:pPr>
        <w:spacing w:line="360" w:lineRule="auto"/>
        <w:ind w:left="720"/>
        <w:rPr>
          <w:rtl/>
        </w:rPr>
      </w:pPr>
    </w:p>
    <w:p w14:paraId="08CDC316" w14:textId="77777777" w:rsidR="009435AF" w:rsidRDefault="006E6662">
      <w:pPr>
        <w:spacing w:line="360" w:lineRule="auto"/>
        <w:ind w:left="720"/>
        <w:jc w:val="both"/>
        <w:rPr>
          <w:rtl/>
        </w:rPr>
      </w:pPr>
      <w:r>
        <w:rPr>
          <w:rFonts w:hint="cs"/>
          <w:rtl/>
        </w:rPr>
        <w:t>אציע לחבריי להפנות את תשומת לב שירות בתי הסוהר להמלצת שירות המבחן לפיה יש לבחון התאמתו של הנאשם לטיפול לשם הפחתת הסיכון להישנות מעשיו בעתיד.</w:t>
      </w:r>
    </w:p>
    <w:p w14:paraId="58C1DD0F" w14:textId="77777777" w:rsidR="009435AF" w:rsidRDefault="009435AF">
      <w:pPr>
        <w:spacing w:line="360" w:lineRule="auto"/>
        <w:ind w:left="720"/>
        <w:jc w:val="both"/>
      </w:pPr>
    </w:p>
    <w:tbl>
      <w:tblPr>
        <w:bidiVisual/>
        <w:tblW w:w="0" w:type="auto"/>
        <w:jc w:val="right"/>
        <w:tblLook w:val="01E0" w:firstRow="1" w:lastRow="1" w:firstColumn="1" w:lastColumn="1" w:noHBand="0" w:noVBand="0"/>
      </w:tblPr>
      <w:tblGrid>
        <w:gridCol w:w="2406"/>
      </w:tblGrid>
      <w:tr w:rsidR="009435AF" w14:paraId="6518EF78" w14:textId="77777777">
        <w:trPr>
          <w:jc w:val="right"/>
        </w:trPr>
        <w:tc>
          <w:tcPr>
            <w:tcW w:w="2406" w:type="dxa"/>
            <w:tcBorders>
              <w:top w:val="nil"/>
              <w:left w:val="nil"/>
              <w:bottom w:val="single" w:sz="4" w:space="0" w:color="auto"/>
              <w:right w:val="nil"/>
            </w:tcBorders>
            <w:vAlign w:val="center"/>
          </w:tcPr>
          <w:p w14:paraId="204A7FE3" w14:textId="77777777" w:rsidR="009435AF" w:rsidRDefault="009435AF">
            <w:pPr>
              <w:jc w:val="center"/>
              <w:rPr>
                <w:rFonts w:ascii="Courier New" w:hAnsi="Courier New"/>
                <w:b/>
                <w:bCs/>
              </w:rPr>
            </w:pPr>
          </w:p>
        </w:tc>
      </w:tr>
      <w:tr w:rsidR="009435AF" w14:paraId="2628B724" w14:textId="77777777">
        <w:trPr>
          <w:jc w:val="right"/>
        </w:trPr>
        <w:tc>
          <w:tcPr>
            <w:tcW w:w="2406" w:type="dxa"/>
            <w:tcBorders>
              <w:top w:val="single" w:sz="4" w:space="0" w:color="auto"/>
              <w:left w:val="nil"/>
              <w:bottom w:val="nil"/>
              <w:right w:val="nil"/>
            </w:tcBorders>
          </w:tcPr>
          <w:p w14:paraId="08A7BDCB" w14:textId="77777777" w:rsidR="009435AF" w:rsidRDefault="006E6662">
            <w:pPr>
              <w:jc w:val="center"/>
              <w:rPr>
                <w:b/>
                <w:bCs/>
              </w:rPr>
            </w:pPr>
            <w:r>
              <w:rPr>
                <w:rFonts w:hint="cs"/>
                <w:b/>
                <w:bCs/>
                <w:rtl/>
              </w:rPr>
              <w:t>אברהם אליקים, שופט</w:t>
            </w:r>
          </w:p>
        </w:tc>
      </w:tr>
    </w:tbl>
    <w:p w14:paraId="0306A1DF" w14:textId="77777777" w:rsidR="009435AF" w:rsidRDefault="009435AF">
      <w:pPr>
        <w:spacing w:line="360" w:lineRule="auto"/>
        <w:jc w:val="both"/>
        <w:rPr>
          <w:rFonts w:ascii="Arial" w:hAnsi="Arial"/>
          <w:noProof w:val="0"/>
          <w:rtl/>
        </w:rPr>
      </w:pPr>
    </w:p>
    <w:p w14:paraId="307C878F" w14:textId="77777777" w:rsidR="009435AF" w:rsidRDefault="009435AF">
      <w:pPr>
        <w:bidi w:val="0"/>
        <w:rPr>
          <w:rFonts w:ascii="Arial" w:hAnsi="Arial"/>
          <w:noProof w:val="0"/>
          <w:rtl/>
        </w:rPr>
      </w:pPr>
    </w:p>
    <w:p w14:paraId="34693E7C" w14:textId="77777777" w:rsidR="009435AF" w:rsidRDefault="006E6662">
      <w:pPr>
        <w:spacing w:line="360" w:lineRule="auto"/>
        <w:jc w:val="both"/>
        <w:rPr>
          <w:rtl/>
        </w:rPr>
      </w:pPr>
      <w:r>
        <w:rPr>
          <w:rFonts w:ascii="Arial" w:hAnsi="Arial" w:hint="cs"/>
          <w:b/>
          <w:bCs/>
          <w:noProof w:val="0"/>
          <w:u w:val="single"/>
          <w:rtl/>
        </w:rPr>
        <w:t>השופט ר' שפירא, סגן נשיא [אב"ד]</w:t>
      </w:r>
      <w:r>
        <w:rPr>
          <w:rFonts w:hint="cs"/>
          <w:rtl/>
        </w:rPr>
        <w:t>:</w:t>
      </w:r>
    </w:p>
    <w:p w14:paraId="448EFB1B" w14:textId="77777777" w:rsidR="009435AF" w:rsidRDefault="006E6662">
      <w:pPr>
        <w:spacing w:line="360" w:lineRule="auto"/>
        <w:jc w:val="both"/>
        <w:rPr>
          <w:rtl/>
        </w:rPr>
      </w:pPr>
      <w:r>
        <w:rPr>
          <w:rFonts w:hint="cs"/>
          <w:rtl/>
        </w:rPr>
        <w:t>אני מסכים.</w:t>
      </w:r>
    </w:p>
    <w:p w14:paraId="3C440F67" w14:textId="77777777" w:rsidR="009435AF" w:rsidRDefault="009435AF">
      <w:pPr>
        <w:spacing w:line="360" w:lineRule="auto"/>
        <w:jc w:val="both"/>
        <w:rPr>
          <w:rtl/>
        </w:rPr>
      </w:pPr>
    </w:p>
    <w:tbl>
      <w:tblPr>
        <w:bidiVisual/>
        <w:tblW w:w="0" w:type="auto"/>
        <w:jc w:val="right"/>
        <w:tblLook w:val="01E0" w:firstRow="1" w:lastRow="1" w:firstColumn="1" w:lastColumn="1" w:noHBand="0" w:noVBand="0"/>
      </w:tblPr>
      <w:tblGrid>
        <w:gridCol w:w="2834"/>
      </w:tblGrid>
      <w:tr w:rsidR="009435AF" w14:paraId="69205CDC" w14:textId="77777777">
        <w:trPr>
          <w:jc w:val="right"/>
        </w:trPr>
        <w:tc>
          <w:tcPr>
            <w:tcW w:w="2834" w:type="dxa"/>
            <w:tcBorders>
              <w:top w:val="nil"/>
              <w:left w:val="nil"/>
              <w:bottom w:val="single" w:sz="4" w:space="0" w:color="auto"/>
              <w:right w:val="nil"/>
            </w:tcBorders>
            <w:vAlign w:val="center"/>
          </w:tcPr>
          <w:p w14:paraId="1A0FBF08" w14:textId="77777777" w:rsidR="009435AF" w:rsidRDefault="009435AF">
            <w:pPr>
              <w:jc w:val="center"/>
              <w:rPr>
                <w:rFonts w:ascii="Courier New" w:hAnsi="Courier New"/>
                <w:b/>
                <w:bCs/>
              </w:rPr>
            </w:pPr>
          </w:p>
        </w:tc>
      </w:tr>
      <w:tr w:rsidR="009435AF" w14:paraId="0A6AAF3D" w14:textId="77777777">
        <w:trPr>
          <w:jc w:val="right"/>
        </w:trPr>
        <w:tc>
          <w:tcPr>
            <w:tcW w:w="2834" w:type="dxa"/>
            <w:tcBorders>
              <w:top w:val="single" w:sz="4" w:space="0" w:color="auto"/>
              <w:left w:val="nil"/>
              <w:bottom w:val="nil"/>
              <w:right w:val="nil"/>
            </w:tcBorders>
          </w:tcPr>
          <w:p w14:paraId="199764A7" w14:textId="77777777" w:rsidR="009435AF" w:rsidRDefault="006E6662">
            <w:pPr>
              <w:jc w:val="center"/>
              <w:rPr>
                <w:b/>
                <w:bCs/>
                <w:rtl/>
              </w:rPr>
            </w:pPr>
            <w:r>
              <w:rPr>
                <w:rFonts w:hint="cs"/>
                <w:b/>
                <w:bCs/>
                <w:rtl/>
              </w:rPr>
              <w:t>רון שפירא, סגן נשיא</w:t>
            </w:r>
          </w:p>
          <w:p w14:paraId="5FFD1064" w14:textId="77777777" w:rsidR="009435AF" w:rsidRDefault="006E6662">
            <w:pPr>
              <w:jc w:val="center"/>
              <w:rPr>
                <w:b/>
                <w:bCs/>
              </w:rPr>
            </w:pPr>
            <w:r>
              <w:rPr>
                <w:rFonts w:hint="cs"/>
                <w:b/>
                <w:bCs/>
                <w:rtl/>
              </w:rPr>
              <w:t>[אב"ד]</w:t>
            </w:r>
          </w:p>
        </w:tc>
      </w:tr>
    </w:tbl>
    <w:p w14:paraId="39D161A5" w14:textId="77777777" w:rsidR="009435AF" w:rsidRDefault="009435AF">
      <w:pPr>
        <w:spacing w:line="360" w:lineRule="auto"/>
        <w:jc w:val="both"/>
        <w:rPr>
          <w:rtl/>
        </w:rPr>
      </w:pPr>
    </w:p>
    <w:p w14:paraId="309BD068" w14:textId="77777777" w:rsidR="009435AF" w:rsidRDefault="006E6662">
      <w:pPr>
        <w:spacing w:line="360" w:lineRule="auto"/>
        <w:jc w:val="both"/>
        <w:rPr>
          <w:rtl/>
        </w:rPr>
      </w:pPr>
      <w:r>
        <w:rPr>
          <w:rFonts w:hint="cs"/>
          <w:b/>
          <w:bCs/>
          <w:u w:val="single"/>
          <w:rtl/>
        </w:rPr>
        <w:t>השופטת ב' טאובר</w:t>
      </w:r>
      <w:r>
        <w:rPr>
          <w:rFonts w:hint="cs"/>
          <w:rtl/>
        </w:rPr>
        <w:t>:</w:t>
      </w:r>
    </w:p>
    <w:p w14:paraId="6496FAF9" w14:textId="77777777" w:rsidR="009435AF" w:rsidRDefault="006E6662">
      <w:pPr>
        <w:spacing w:line="360" w:lineRule="auto"/>
        <w:jc w:val="both"/>
        <w:rPr>
          <w:rtl/>
        </w:rPr>
      </w:pPr>
      <w:r>
        <w:rPr>
          <w:rFonts w:hint="cs"/>
          <w:rtl/>
        </w:rPr>
        <w:t xml:space="preserve">אני מסכימה. </w:t>
      </w:r>
    </w:p>
    <w:tbl>
      <w:tblPr>
        <w:bidiVisual/>
        <w:tblW w:w="0" w:type="auto"/>
        <w:jc w:val="right"/>
        <w:tblLook w:val="01E0" w:firstRow="1" w:lastRow="1" w:firstColumn="1" w:lastColumn="1" w:noHBand="0" w:noVBand="0"/>
      </w:tblPr>
      <w:tblGrid>
        <w:gridCol w:w="2576"/>
      </w:tblGrid>
      <w:tr w:rsidR="009435AF" w14:paraId="68AEFE7E" w14:textId="77777777">
        <w:trPr>
          <w:jc w:val="right"/>
        </w:trPr>
        <w:tc>
          <w:tcPr>
            <w:tcW w:w="2576" w:type="dxa"/>
            <w:tcBorders>
              <w:top w:val="nil"/>
              <w:left w:val="nil"/>
              <w:bottom w:val="single" w:sz="4" w:space="0" w:color="auto"/>
              <w:right w:val="nil"/>
            </w:tcBorders>
            <w:vAlign w:val="center"/>
          </w:tcPr>
          <w:p w14:paraId="0F271074" w14:textId="77777777" w:rsidR="009435AF" w:rsidRDefault="009435AF">
            <w:pPr>
              <w:jc w:val="center"/>
              <w:rPr>
                <w:rFonts w:ascii="Courier New" w:hAnsi="Courier New"/>
                <w:b/>
                <w:bCs/>
              </w:rPr>
            </w:pPr>
          </w:p>
        </w:tc>
      </w:tr>
      <w:tr w:rsidR="009435AF" w14:paraId="10DFCFA2" w14:textId="77777777">
        <w:trPr>
          <w:jc w:val="right"/>
        </w:trPr>
        <w:tc>
          <w:tcPr>
            <w:tcW w:w="2576" w:type="dxa"/>
            <w:tcBorders>
              <w:top w:val="single" w:sz="4" w:space="0" w:color="auto"/>
              <w:left w:val="nil"/>
              <w:bottom w:val="nil"/>
              <w:right w:val="nil"/>
            </w:tcBorders>
          </w:tcPr>
          <w:p w14:paraId="1C660523" w14:textId="77777777" w:rsidR="009435AF" w:rsidRDefault="006E6662">
            <w:pPr>
              <w:jc w:val="center"/>
              <w:rPr>
                <w:b/>
                <w:bCs/>
              </w:rPr>
            </w:pPr>
            <w:r>
              <w:rPr>
                <w:rFonts w:hint="cs"/>
                <w:b/>
                <w:bCs/>
                <w:rtl/>
              </w:rPr>
              <w:t>בטינה טאובר, שופטת</w:t>
            </w:r>
          </w:p>
        </w:tc>
      </w:tr>
    </w:tbl>
    <w:p w14:paraId="752D2B00" w14:textId="77777777" w:rsidR="009435AF" w:rsidRDefault="009435AF">
      <w:pPr>
        <w:spacing w:line="360" w:lineRule="auto"/>
        <w:jc w:val="both"/>
        <w:rPr>
          <w:rFonts w:ascii="Arial" w:hAnsi="Arial"/>
          <w:noProof w:val="0"/>
          <w:rtl/>
        </w:rPr>
      </w:pPr>
    </w:p>
    <w:p w14:paraId="60D7A532" w14:textId="77777777" w:rsidR="009435AF" w:rsidRDefault="006E6662">
      <w:pPr>
        <w:spacing w:line="360" w:lineRule="auto"/>
        <w:jc w:val="both"/>
        <w:rPr>
          <w:rFonts w:ascii="Arial" w:hAnsi="Arial"/>
          <w:b/>
          <w:bCs/>
          <w:noProof w:val="0"/>
          <w:rtl/>
        </w:rPr>
      </w:pPr>
      <w:r>
        <w:rPr>
          <w:rFonts w:ascii="Arial" w:hAnsi="Arial" w:hint="cs"/>
          <w:b/>
          <w:bCs/>
          <w:noProof w:val="0"/>
          <w:rtl/>
        </w:rPr>
        <w:t>הוחלט כאמור בסעיפים 16-17 לגזר דינו של השופט אליקים.</w:t>
      </w:r>
    </w:p>
    <w:p w14:paraId="4BE9554A" w14:textId="77777777" w:rsidR="009435AF" w:rsidRPr="006E6662" w:rsidRDefault="006E6662">
      <w:pPr>
        <w:spacing w:line="360" w:lineRule="auto"/>
        <w:jc w:val="both"/>
        <w:rPr>
          <w:rFonts w:ascii="Arial" w:hAnsi="Arial"/>
          <w:noProof w:val="0"/>
          <w:color w:val="FFFFFF"/>
          <w:sz w:val="2"/>
          <w:szCs w:val="2"/>
          <w:rtl/>
        </w:rPr>
      </w:pPr>
      <w:r w:rsidRPr="006E6662">
        <w:rPr>
          <w:rFonts w:ascii="Arial" w:hAnsi="Arial"/>
          <w:noProof w:val="0"/>
          <w:color w:val="FFFFFF"/>
          <w:sz w:val="2"/>
          <w:szCs w:val="2"/>
          <w:rtl/>
        </w:rPr>
        <w:t>5129371</w:t>
      </w:r>
      <w:r w:rsidRPr="006E6662">
        <w:rPr>
          <w:rFonts w:ascii="Arial" w:hAnsi="Arial" w:hint="cs"/>
          <w:noProof w:val="0"/>
          <w:color w:val="FFFFFF"/>
          <w:sz w:val="2"/>
          <w:szCs w:val="2"/>
          <w:rtl/>
        </w:rPr>
        <w:t xml:space="preserve"> </w:t>
      </w:r>
    </w:p>
    <w:tbl>
      <w:tblPr>
        <w:bidiVisual/>
        <w:tblW w:w="0" w:type="auto"/>
        <w:tblLook w:val="01E0" w:firstRow="1" w:lastRow="1" w:firstColumn="1" w:lastColumn="1" w:noHBand="0" w:noVBand="0"/>
      </w:tblPr>
      <w:tblGrid>
        <w:gridCol w:w="2834"/>
        <w:gridCol w:w="360"/>
        <w:gridCol w:w="2406"/>
        <w:gridCol w:w="346"/>
        <w:gridCol w:w="2576"/>
      </w:tblGrid>
      <w:tr w:rsidR="009435AF" w14:paraId="33BC12D3" w14:textId="77777777">
        <w:tc>
          <w:tcPr>
            <w:tcW w:w="2834" w:type="dxa"/>
            <w:tcBorders>
              <w:top w:val="nil"/>
              <w:left w:val="nil"/>
              <w:bottom w:val="single" w:sz="4" w:space="0" w:color="auto"/>
              <w:right w:val="nil"/>
            </w:tcBorders>
            <w:vAlign w:val="center"/>
          </w:tcPr>
          <w:p w14:paraId="5179E7D3" w14:textId="77777777" w:rsidR="009435AF" w:rsidRDefault="006E6662">
            <w:pPr>
              <w:jc w:val="center"/>
              <w:rPr>
                <w:rFonts w:ascii="Courier New" w:hAnsi="Courier New"/>
                <w:b/>
                <w:bCs/>
              </w:rPr>
            </w:pPr>
            <w:r w:rsidRPr="006E6662">
              <w:rPr>
                <w:rFonts w:ascii="Arial" w:hAnsi="Arial"/>
                <w:noProof w:val="0"/>
                <w:color w:val="FFFFFF"/>
                <w:sz w:val="2"/>
                <w:szCs w:val="2"/>
                <w:rtl/>
              </w:rPr>
              <w:t>54678313</w:t>
            </w:r>
            <w:r>
              <w:rPr>
                <w:rFonts w:ascii="Arial" w:hAnsi="Arial"/>
                <w:noProof w:val="0"/>
                <w:rtl/>
              </w:rPr>
              <w:t xml:space="preserve">ניתן היום, כ"ג אלול תשע"ד, 18 ספטמבר 2014, במעמד הצדדים ובאי כוחם. </w:t>
            </w:r>
          </w:p>
        </w:tc>
        <w:tc>
          <w:tcPr>
            <w:tcW w:w="360" w:type="dxa"/>
            <w:vAlign w:val="center"/>
          </w:tcPr>
          <w:p w14:paraId="4CBF71BA" w14:textId="77777777" w:rsidR="009435AF" w:rsidRDefault="009435AF">
            <w:pPr>
              <w:jc w:val="center"/>
              <w:rPr>
                <w:rFonts w:ascii="Courier New" w:hAnsi="Courier New"/>
                <w:b/>
                <w:bCs/>
              </w:rPr>
            </w:pPr>
          </w:p>
        </w:tc>
        <w:tc>
          <w:tcPr>
            <w:tcW w:w="2406" w:type="dxa"/>
            <w:tcBorders>
              <w:top w:val="nil"/>
              <w:left w:val="nil"/>
              <w:bottom w:val="single" w:sz="4" w:space="0" w:color="auto"/>
              <w:right w:val="nil"/>
            </w:tcBorders>
            <w:vAlign w:val="center"/>
          </w:tcPr>
          <w:p w14:paraId="677AD1DF" w14:textId="77777777" w:rsidR="009435AF" w:rsidRDefault="009435AF">
            <w:pPr>
              <w:jc w:val="center"/>
              <w:rPr>
                <w:rFonts w:ascii="Courier New" w:hAnsi="Courier New"/>
                <w:b/>
                <w:bCs/>
              </w:rPr>
            </w:pPr>
          </w:p>
        </w:tc>
        <w:tc>
          <w:tcPr>
            <w:tcW w:w="346" w:type="dxa"/>
            <w:vAlign w:val="center"/>
          </w:tcPr>
          <w:p w14:paraId="6DD24807" w14:textId="77777777" w:rsidR="009435AF" w:rsidRDefault="009435AF">
            <w:pPr>
              <w:jc w:val="center"/>
              <w:rPr>
                <w:rFonts w:ascii="Courier New" w:hAnsi="Courier New"/>
                <w:b/>
                <w:bCs/>
              </w:rPr>
            </w:pPr>
          </w:p>
        </w:tc>
        <w:tc>
          <w:tcPr>
            <w:tcW w:w="2576" w:type="dxa"/>
            <w:tcBorders>
              <w:top w:val="nil"/>
              <w:left w:val="nil"/>
              <w:bottom w:val="single" w:sz="4" w:space="0" w:color="auto"/>
              <w:right w:val="nil"/>
            </w:tcBorders>
            <w:vAlign w:val="center"/>
          </w:tcPr>
          <w:p w14:paraId="37222396" w14:textId="77777777" w:rsidR="009435AF" w:rsidRDefault="009435AF">
            <w:pPr>
              <w:jc w:val="center"/>
              <w:rPr>
                <w:rFonts w:ascii="Courier New" w:hAnsi="Courier New"/>
                <w:b/>
                <w:bCs/>
              </w:rPr>
            </w:pPr>
          </w:p>
        </w:tc>
      </w:tr>
      <w:tr w:rsidR="009435AF" w14:paraId="397BE2C4" w14:textId="77777777">
        <w:tc>
          <w:tcPr>
            <w:tcW w:w="2834" w:type="dxa"/>
            <w:tcBorders>
              <w:top w:val="single" w:sz="4" w:space="0" w:color="auto"/>
              <w:left w:val="nil"/>
              <w:bottom w:val="nil"/>
              <w:right w:val="nil"/>
            </w:tcBorders>
          </w:tcPr>
          <w:p w14:paraId="512B009E" w14:textId="77777777" w:rsidR="009435AF" w:rsidRDefault="006E6662">
            <w:pPr>
              <w:jc w:val="center"/>
              <w:rPr>
                <w:b/>
                <w:bCs/>
                <w:rtl/>
              </w:rPr>
            </w:pPr>
            <w:r>
              <w:rPr>
                <w:rFonts w:hint="cs"/>
                <w:b/>
                <w:bCs/>
                <w:rtl/>
              </w:rPr>
              <w:t>רון שפירא, סגן נשיא</w:t>
            </w:r>
          </w:p>
          <w:p w14:paraId="79C390AD" w14:textId="77777777" w:rsidR="009435AF" w:rsidRDefault="006E6662">
            <w:pPr>
              <w:jc w:val="center"/>
              <w:rPr>
                <w:b/>
                <w:bCs/>
              </w:rPr>
            </w:pPr>
            <w:r>
              <w:rPr>
                <w:rFonts w:hint="cs"/>
                <w:b/>
                <w:bCs/>
                <w:rtl/>
              </w:rPr>
              <w:t>[אב"ד]</w:t>
            </w:r>
          </w:p>
        </w:tc>
        <w:tc>
          <w:tcPr>
            <w:tcW w:w="360" w:type="dxa"/>
          </w:tcPr>
          <w:p w14:paraId="5E923089" w14:textId="77777777" w:rsidR="009435AF" w:rsidRDefault="009435AF">
            <w:pPr>
              <w:jc w:val="center"/>
              <w:rPr>
                <w:b/>
                <w:bCs/>
              </w:rPr>
            </w:pPr>
          </w:p>
        </w:tc>
        <w:tc>
          <w:tcPr>
            <w:tcW w:w="2406" w:type="dxa"/>
            <w:tcBorders>
              <w:top w:val="single" w:sz="4" w:space="0" w:color="auto"/>
              <w:left w:val="nil"/>
              <w:bottom w:val="nil"/>
              <w:right w:val="nil"/>
            </w:tcBorders>
          </w:tcPr>
          <w:p w14:paraId="295CE2FE" w14:textId="77777777" w:rsidR="009435AF" w:rsidRDefault="006E6662">
            <w:pPr>
              <w:jc w:val="center"/>
              <w:rPr>
                <w:b/>
                <w:bCs/>
              </w:rPr>
            </w:pPr>
            <w:r>
              <w:rPr>
                <w:rFonts w:hint="cs"/>
                <w:b/>
                <w:bCs/>
                <w:rtl/>
              </w:rPr>
              <w:t>אברהם אליקים, שופט</w:t>
            </w:r>
          </w:p>
        </w:tc>
        <w:tc>
          <w:tcPr>
            <w:tcW w:w="346" w:type="dxa"/>
          </w:tcPr>
          <w:p w14:paraId="6B7D0156" w14:textId="77777777" w:rsidR="009435AF" w:rsidRDefault="009435AF">
            <w:pPr>
              <w:jc w:val="center"/>
              <w:rPr>
                <w:b/>
                <w:bCs/>
              </w:rPr>
            </w:pPr>
          </w:p>
        </w:tc>
        <w:tc>
          <w:tcPr>
            <w:tcW w:w="2576" w:type="dxa"/>
            <w:tcBorders>
              <w:top w:val="single" w:sz="4" w:space="0" w:color="auto"/>
              <w:left w:val="nil"/>
              <w:bottom w:val="nil"/>
              <w:right w:val="nil"/>
            </w:tcBorders>
          </w:tcPr>
          <w:p w14:paraId="35A942FE" w14:textId="77777777" w:rsidR="009435AF" w:rsidRDefault="006E6662">
            <w:pPr>
              <w:jc w:val="center"/>
              <w:rPr>
                <w:b/>
                <w:bCs/>
              </w:rPr>
            </w:pPr>
            <w:r>
              <w:rPr>
                <w:rFonts w:hint="cs"/>
                <w:b/>
                <w:bCs/>
                <w:rtl/>
              </w:rPr>
              <w:t>בטינה טאובר, שופטת</w:t>
            </w:r>
          </w:p>
        </w:tc>
      </w:tr>
    </w:tbl>
    <w:p w14:paraId="60B74088" w14:textId="77777777" w:rsidR="009435AF" w:rsidRPr="002641A7" w:rsidRDefault="002641A7">
      <w:pPr>
        <w:spacing w:line="360" w:lineRule="auto"/>
        <w:jc w:val="both"/>
        <w:rPr>
          <w:rFonts w:ascii="Arial" w:hAnsi="Arial"/>
          <w:noProof w:val="0"/>
          <w:color w:val="FFFFFF"/>
          <w:sz w:val="2"/>
          <w:szCs w:val="2"/>
          <w:rtl/>
        </w:rPr>
      </w:pPr>
      <w:r w:rsidRPr="002641A7">
        <w:rPr>
          <w:rFonts w:ascii="Arial" w:hAnsi="Arial"/>
          <w:noProof w:val="0"/>
          <w:color w:val="FFFFFF"/>
          <w:sz w:val="2"/>
          <w:szCs w:val="2"/>
          <w:rtl/>
        </w:rPr>
        <w:t>5129371</w:t>
      </w:r>
    </w:p>
    <w:p w14:paraId="71339E9C" w14:textId="77777777" w:rsidR="006E6662" w:rsidRPr="002641A7" w:rsidRDefault="002641A7" w:rsidP="006E6662">
      <w:pPr>
        <w:keepNext/>
        <w:rPr>
          <w:rFonts w:ascii="David" w:hAnsi="David"/>
          <w:color w:val="FFFFFF"/>
          <w:sz w:val="2"/>
          <w:szCs w:val="2"/>
          <w:rtl/>
        </w:rPr>
      </w:pPr>
      <w:r w:rsidRPr="002641A7">
        <w:rPr>
          <w:rFonts w:ascii="David" w:hAnsi="David"/>
          <w:color w:val="FFFFFF"/>
          <w:sz w:val="2"/>
          <w:szCs w:val="2"/>
          <w:rtl/>
        </w:rPr>
        <w:t>54678313</w:t>
      </w:r>
    </w:p>
    <w:p w14:paraId="6458B484" w14:textId="77777777" w:rsidR="002641A7" w:rsidRPr="002641A7" w:rsidRDefault="002641A7" w:rsidP="002641A7">
      <w:pPr>
        <w:keepNext/>
        <w:rPr>
          <w:rFonts w:ascii="David" w:hAnsi="David"/>
          <w:color w:val="000000"/>
          <w:sz w:val="22"/>
          <w:szCs w:val="22"/>
          <w:rtl/>
        </w:rPr>
      </w:pPr>
    </w:p>
    <w:p w14:paraId="3A1210E2" w14:textId="77777777" w:rsidR="002641A7" w:rsidRPr="002641A7" w:rsidRDefault="002641A7" w:rsidP="002641A7">
      <w:pPr>
        <w:keepNext/>
        <w:rPr>
          <w:rFonts w:ascii="David" w:hAnsi="David"/>
          <w:color w:val="000000"/>
          <w:sz w:val="22"/>
          <w:szCs w:val="22"/>
          <w:rtl/>
        </w:rPr>
      </w:pPr>
      <w:r w:rsidRPr="002641A7">
        <w:rPr>
          <w:rFonts w:ascii="David" w:hAnsi="David"/>
          <w:color w:val="000000"/>
          <w:sz w:val="22"/>
          <w:szCs w:val="22"/>
          <w:rtl/>
        </w:rPr>
        <w:t>רון שפירא 54678313-/</w:t>
      </w:r>
    </w:p>
    <w:p w14:paraId="621E7B47" w14:textId="77777777" w:rsidR="002641A7" w:rsidRPr="006E6662" w:rsidRDefault="002641A7" w:rsidP="002641A7">
      <w:pPr>
        <w:rPr>
          <w:color w:val="0000FF"/>
          <w:u w:val="single"/>
        </w:rPr>
      </w:pPr>
      <w:r w:rsidRPr="002641A7">
        <w:rPr>
          <w:color w:val="000000"/>
          <w:u w:val="single"/>
          <w:rtl/>
        </w:rPr>
        <w:t>נוסח מסמך זה כפוף לשינויי ניסוח ועריכה</w:t>
      </w:r>
    </w:p>
    <w:p w14:paraId="466C3014" w14:textId="77777777" w:rsidR="006E6662" w:rsidRDefault="006E6662" w:rsidP="006E6662">
      <w:pPr>
        <w:rPr>
          <w:rtl/>
        </w:rPr>
      </w:pPr>
    </w:p>
    <w:p w14:paraId="3F7D4E93" w14:textId="77777777" w:rsidR="006E6662" w:rsidRDefault="006E6662" w:rsidP="006E6662">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453C390A" w14:textId="77777777" w:rsidR="002641A7" w:rsidRPr="002641A7" w:rsidRDefault="002641A7">
      <w:pPr>
        <w:rPr>
          <w:rFonts w:ascii="David" w:hAnsi="David"/>
          <w:color w:val="000000"/>
          <w:sz w:val="22"/>
          <w:szCs w:val="22"/>
          <w:rtl/>
        </w:rPr>
      </w:pPr>
    </w:p>
    <w:sectPr w:rsidR="002641A7" w:rsidRPr="002641A7" w:rsidSect="002641A7">
      <w:headerReference w:type="even" r:id="rId47"/>
      <w:headerReference w:type="default" r:id="rId48"/>
      <w:footerReference w:type="even" r:id="rId49"/>
      <w:footerReference w:type="default" r:id="rId5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1B0E2" w14:textId="77777777" w:rsidR="00DB2BCF" w:rsidRDefault="00DB2BCF">
      <w:r>
        <w:separator/>
      </w:r>
    </w:p>
  </w:endnote>
  <w:endnote w:type="continuationSeparator" w:id="0">
    <w:p w14:paraId="4A15ADC5" w14:textId="77777777" w:rsidR="00DB2BCF" w:rsidRDefault="00DB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4BCD3" w14:textId="77777777" w:rsidR="002641A7" w:rsidRDefault="002641A7" w:rsidP="002641A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86CB0F0" w14:textId="77777777" w:rsidR="006E6662" w:rsidRPr="002641A7" w:rsidRDefault="002641A7" w:rsidP="002641A7">
    <w:pPr>
      <w:pStyle w:val="a4"/>
      <w:pBdr>
        <w:top w:val="single" w:sz="4" w:space="1" w:color="auto"/>
        <w:between w:val="single" w:sz="4" w:space="0" w:color="auto"/>
      </w:pBdr>
      <w:spacing w:after="60"/>
      <w:jc w:val="center"/>
      <w:rPr>
        <w:rFonts w:ascii="FrankRuehl" w:hAnsi="FrankRuehl" w:cs="FrankRuehl"/>
        <w:color w:val="000000"/>
      </w:rPr>
    </w:pPr>
    <w:r w:rsidRPr="002641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E456" w14:textId="77777777" w:rsidR="002641A7" w:rsidRDefault="002641A7" w:rsidP="002641A7">
    <w:pPr>
      <w:pStyle w:val="a4"/>
      <w:jc w:val="center"/>
      <w:rPr>
        <w:rStyle w:val="a5"/>
        <w:rFonts w:ascii="FrankRuehl" w:hAnsi="FrankRuehl" w:cs="FrankRuehl"/>
        <w:rt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B1704B">
      <w:rPr>
        <w:rStyle w:val="a5"/>
        <w:rFonts w:ascii="FrankRuehl" w:hAnsi="FrankRuehl" w:cs="FrankRuehl"/>
        <w:rtl/>
      </w:rPr>
      <w:t>8</w:t>
    </w:r>
    <w:r>
      <w:rPr>
        <w:rStyle w:val="a5"/>
        <w:rFonts w:ascii="FrankRuehl" w:hAnsi="FrankRuehl" w:cs="FrankRuehl"/>
        <w:rtl/>
      </w:rPr>
      <w:fldChar w:fldCharType="end"/>
    </w:r>
  </w:p>
  <w:p w14:paraId="48DBBD24" w14:textId="77777777" w:rsidR="009435AF" w:rsidRPr="002641A7" w:rsidRDefault="002641A7" w:rsidP="002641A7">
    <w:pPr>
      <w:pStyle w:val="a4"/>
      <w:pBdr>
        <w:top w:val="single" w:sz="4" w:space="1" w:color="auto"/>
        <w:between w:val="single" w:sz="4" w:space="0" w:color="auto"/>
      </w:pBdr>
      <w:spacing w:after="60"/>
      <w:jc w:val="center"/>
      <w:rPr>
        <w:rStyle w:val="a5"/>
        <w:rFonts w:ascii="FrankRuehl" w:hAnsi="FrankRuehl" w:cs="FrankRuehl"/>
        <w:color w:val="000000"/>
      </w:rPr>
    </w:pPr>
    <w:r w:rsidRPr="002641A7">
      <w:rPr>
        <w:rStyle w:val="a5"/>
        <w:rFonts w:ascii="FrankRuehl" w:hAnsi="FrankRuehl" w:cs="FrankRuehl"/>
        <w:color w:val="000000"/>
      </w:rPr>
      <w:pict w14:anchorId="5DAD1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09FED" w14:textId="77777777" w:rsidR="00DB2BCF" w:rsidRDefault="00DB2BCF">
      <w:r>
        <w:separator/>
      </w:r>
    </w:p>
  </w:footnote>
  <w:footnote w:type="continuationSeparator" w:id="0">
    <w:p w14:paraId="568B8B2B" w14:textId="77777777" w:rsidR="00DB2BCF" w:rsidRDefault="00DB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5A483" w14:textId="77777777" w:rsidR="006E6662" w:rsidRPr="002641A7" w:rsidRDefault="002641A7" w:rsidP="00264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2811-02-14</w:t>
    </w:r>
    <w:r>
      <w:rPr>
        <w:rFonts w:ascii="David" w:hAnsi="David"/>
        <w:color w:val="000000"/>
        <w:sz w:val="22"/>
        <w:szCs w:val="22"/>
        <w:rtl/>
      </w:rPr>
      <w:tab/>
      <w:t xml:space="preserve"> מדינת ישראל נ' עומר מאדי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E1A1" w14:textId="77777777" w:rsidR="006E6662" w:rsidRPr="002641A7" w:rsidRDefault="002641A7" w:rsidP="002641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2811-02-14</w:t>
    </w:r>
    <w:r>
      <w:rPr>
        <w:rFonts w:ascii="David" w:hAnsi="David"/>
        <w:color w:val="000000"/>
        <w:sz w:val="22"/>
        <w:szCs w:val="22"/>
        <w:rtl/>
      </w:rPr>
      <w:tab/>
      <w:t xml:space="preserve"> מדינת ישראל נ' עומר מאדי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EB2A36D4"/>
    <w:lvl w:ilvl="0" w:tplc="BFC8D8E2">
      <w:start w:val="1"/>
      <w:numFmt w:val="decimal"/>
      <w:lvlText w:val="%1."/>
      <w:lvlJc w:val="left"/>
      <w:pPr>
        <w:tabs>
          <w:tab w:val="num" w:pos="720"/>
        </w:tabs>
        <w:ind w:left="720" w:hanging="360"/>
      </w:pPr>
      <w:rPr>
        <w:lang w:bidi="he-IL"/>
      </w:r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4611258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35AF"/>
    <w:rsid w:val="002641A7"/>
    <w:rsid w:val="006E6662"/>
    <w:rsid w:val="009435AF"/>
    <w:rsid w:val="00B1704B"/>
    <w:rsid w:val="00DB2BCF"/>
    <w:rsid w:val="00DE554B"/>
    <w:rsid w:val="00E11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F535CD"/>
  <w15:chartTrackingRefBased/>
  <w15:docId w15:val="{BCB94235-312F-4FCD-931C-98D3774E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35AF"/>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435AF"/>
    <w:pPr>
      <w:tabs>
        <w:tab w:val="center" w:pos="4153"/>
        <w:tab w:val="right" w:pos="8306"/>
      </w:tabs>
    </w:pPr>
  </w:style>
  <w:style w:type="paragraph" w:styleId="a4">
    <w:name w:val="footer"/>
    <w:basedOn w:val="a"/>
    <w:rsid w:val="009435AF"/>
    <w:pPr>
      <w:tabs>
        <w:tab w:val="center" w:pos="4153"/>
        <w:tab w:val="right" w:pos="8306"/>
      </w:tabs>
    </w:pPr>
  </w:style>
  <w:style w:type="character" w:styleId="a5">
    <w:name w:val="page number"/>
    <w:basedOn w:val="a0"/>
    <w:rsid w:val="009435AF"/>
  </w:style>
  <w:style w:type="character" w:customStyle="1" w:styleId="TimesNewRomanTimesNewRoman">
    <w:name w:val="סגנון (לטיני) Times New Roman (עברית ושפות אחרות) Times New Roman..."/>
    <w:basedOn w:val="a0"/>
    <w:rsid w:val="009435AF"/>
    <w:rPr>
      <w:rFonts w:ascii="Times New Roman" w:hAnsi="Times New Roman" w:cs="David" w:hint="default"/>
      <w:b/>
      <w:bCs/>
      <w:sz w:val="26"/>
      <w:szCs w:val="26"/>
    </w:rPr>
  </w:style>
  <w:style w:type="character" w:customStyle="1" w:styleId="Ruller5">
    <w:name w:val="Ruller5 תו"/>
    <w:basedOn w:val="a0"/>
    <w:link w:val="Ruller50"/>
    <w:locked/>
    <w:rsid w:val="009435AF"/>
    <w:rPr>
      <w:rFonts w:ascii="Arial TUR" w:hAnsi="Arial TUR"/>
      <w:spacing w:val="10"/>
      <w:sz w:val="22"/>
      <w:szCs w:val="28"/>
      <w:lang w:bidi="he-IL"/>
    </w:rPr>
  </w:style>
  <w:style w:type="paragraph" w:customStyle="1" w:styleId="Ruller50">
    <w:name w:val="Ruller5"/>
    <w:basedOn w:val="a"/>
    <w:link w:val="Ruller5"/>
    <w:rsid w:val="009435AF"/>
    <w:pPr>
      <w:overflowPunct w:val="0"/>
      <w:adjustRightInd w:val="0"/>
      <w:ind w:left="1642" w:right="1282"/>
      <w:jc w:val="both"/>
    </w:pPr>
    <w:rPr>
      <w:rFonts w:ascii="Arial TUR" w:hAnsi="Arial TUR" w:cs="Times New Roman"/>
      <w:noProof w:val="0"/>
      <w:spacing w:val="10"/>
      <w:sz w:val="22"/>
      <w:szCs w:val="28"/>
    </w:rPr>
  </w:style>
  <w:style w:type="character" w:customStyle="1" w:styleId="default">
    <w:name w:val="default"/>
    <w:basedOn w:val="a0"/>
    <w:rsid w:val="009435AF"/>
    <w:rPr>
      <w:rFonts w:ascii="Times New Roman" w:hAnsi="Times New Roman" w:cs="Times New Roman" w:hint="default"/>
      <w:sz w:val="26"/>
      <w:szCs w:val="26"/>
    </w:rPr>
  </w:style>
  <w:style w:type="character" w:styleId="a6">
    <w:name w:val="line number"/>
    <w:basedOn w:val="a0"/>
    <w:rsid w:val="009435AF"/>
  </w:style>
  <w:style w:type="character" w:styleId="Hyperlink">
    <w:name w:val="Hyperlink"/>
    <w:basedOn w:val="a0"/>
    <w:rsid w:val="006E6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298" TargetMode="External"/><Relationship Id="rId26" Type="http://schemas.openxmlformats.org/officeDocument/2006/relationships/hyperlink" Target="http://www.nevo.co.il/law/70301/301" TargetMode="External"/><Relationship Id="rId39" Type="http://schemas.openxmlformats.org/officeDocument/2006/relationships/hyperlink" Target="http://www.nevo.co.il/case/5594098"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11273152" TargetMode="External"/><Relationship Id="rId42" Type="http://schemas.openxmlformats.org/officeDocument/2006/relationships/hyperlink" Target="http://www.nevo.co.il/law/70301/40i"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01" TargetMode="External"/><Relationship Id="rId29" Type="http://schemas.openxmlformats.org/officeDocument/2006/relationships/hyperlink" Target="http://www.nevo.co.il/law/70301/40jb" TargetMode="External"/><Relationship Id="rId11" Type="http://schemas.openxmlformats.org/officeDocument/2006/relationships/hyperlink" Target="http://www.nevo.co.il/law/70301/77" TargetMode="External"/><Relationship Id="rId24" Type="http://schemas.openxmlformats.org/officeDocument/2006/relationships/hyperlink" Target="http://www.nevo.co.il/case/11312959" TargetMode="External"/><Relationship Id="rId32" Type="http://schemas.openxmlformats.org/officeDocument/2006/relationships/hyperlink" Target="http://www.nevo.co.il/case/5568851" TargetMode="External"/><Relationship Id="rId37" Type="http://schemas.openxmlformats.org/officeDocument/2006/relationships/hyperlink" Target="http://www.nevo.co.il/case/5770174" TargetMode="External"/><Relationship Id="rId40" Type="http://schemas.openxmlformats.org/officeDocument/2006/relationships/hyperlink" Target="http://www.nevo.co.il/case/5594080" TargetMode="External"/><Relationship Id="rId45" Type="http://schemas.openxmlformats.org/officeDocument/2006/relationships/hyperlink" Target="http://www.nevo.co.il/case/7892572" TargetMode="External"/><Relationship Id="rId5" Type="http://schemas.openxmlformats.org/officeDocument/2006/relationships/footnotes" Target="footnotes.xml"/><Relationship Id="rId15" Type="http://schemas.openxmlformats.org/officeDocument/2006/relationships/hyperlink" Target="http://www.nevo.co.il/law/70301/300.a.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40b"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79841" TargetMode="External"/><Relationship Id="rId44" Type="http://schemas.openxmlformats.org/officeDocument/2006/relationships/hyperlink" Target="http://www.nevo.co.il/case/556885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98"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7892572" TargetMode="External"/><Relationship Id="rId30" Type="http://schemas.openxmlformats.org/officeDocument/2006/relationships/hyperlink" Target="http://www.nevo.co.il/case/17916775" TargetMode="External"/><Relationship Id="rId35" Type="http://schemas.openxmlformats.org/officeDocument/2006/relationships/hyperlink" Target="http://www.nevo.co.il/case/5569233" TargetMode="External"/><Relationship Id="rId43" Type="http://schemas.openxmlformats.org/officeDocument/2006/relationships/hyperlink" Target="http://www.nevo.co.il/law/70301/77" TargetMode="External"/><Relationship Id="rId48"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300.a.2." TargetMode="External"/><Relationship Id="rId33" Type="http://schemas.openxmlformats.org/officeDocument/2006/relationships/hyperlink" Target="http://www.nevo.co.il/links/psika/?link=&#1506;&#1508;%204907/12" TargetMode="External"/><Relationship Id="rId38" Type="http://schemas.openxmlformats.org/officeDocument/2006/relationships/hyperlink" Target="http://www.nevo.co.il/case/589186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559409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2881</Words>
  <Characters>14405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17252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3735673</vt:i4>
      </vt:variant>
      <vt:variant>
        <vt:i4>114</vt:i4>
      </vt:variant>
      <vt:variant>
        <vt:i4>0</vt:i4>
      </vt:variant>
      <vt:variant>
        <vt:i4>5</vt:i4>
      </vt:variant>
      <vt:variant>
        <vt:lpwstr>http://www.nevo.co.il/case/7892572</vt:lpwstr>
      </vt:variant>
      <vt:variant>
        <vt:lpwstr/>
      </vt:variant>
      <vt:variant>
        <vt:i4>3801212</vt:i4>
      </vt:variant>
      <vt:variant>
        <vt:i4>111</vt:i4>
      </vt:variant>
      <vt:variant>
        <vt:i4>0</vt:i4>
      </vt:variant>
      <vt:variant>
        <vt:i4>5</vt:i4>
      </vt:variant>
      <vt:variant>
        <vt:lpwstr>http://www.nevo.co.il/case/5568851</vt:lpwstr>
      </vt:variant>
      <vt:variant>
        <vt:lpwstr/>
      </vt:variant>
      <vt:variant>
        <vt:i4>6422626</vt:i4>
      </vt:variant>
      <vt:variant>
        <vt:i4>108</vt:i4>
      </vt:variant>
      <vt:variant>
        <vt:i4>0</vt:i4>
      </vt:variant>
      <vt:variant>
        <vt:i4>5</vt:i4>
      </vt:variant>
      <vt:variant>
        <vt:lpwstr>http://www.nevo.co.il/law/70301/77</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3473532</vt:i4>
      </vt:variant>
      <vt:variant>
        <vt:i4>102</vt:i4>
      </vt:variant>
      <vt:variant>
        <vt:i4>0</vt:i4>
      </vt:variant>
      <vt:variant>
        <vt:i4>5</vt:i4>
      </vt:variant>
      <vt:variant>
        <vt:lpwstr>http://www.nevo.co.il/case/5594099</vt:lpwstr>
      </vt:variant>
      <vt:variant>
        <vt:lpwstr/>
      </vt:variant>
      <vt:variant>
        <vt:i4>3932285</vt:i4>
      </vt:variant>
      <vt:variant>
        <vt:i4>99</vt:i4>
      </vt:variant>
      <vt:variant>
        <vt:i4>0</vt:i4>
      </vt:variant>
      <vt:variant>
        <vt:i4>5</vt:i4>
      </vt:variant>
      <vt:variant>
        <vt:lpwstr>http://www.nevo.co.il/case/5594080</vt:lpwstr>
      </vt:variant>
      <vt:variant>
        <vt:lpwstr/>
      </vt:variant>
      <vt:variant>
        <vt:i4>3407996</vt:i4>
      </vt:variant>
      <vt:variant>
        <vt:i4>96</vt:i4>
      </vt:variant>
      <vt:variant>
        <vt:i4>0</vt:i4>
      </vt:variant>
      <vt:variant>
        <vt:i4>5</vt:i4>
      </vt:variant>
      <vt:variant>
        <vt:lpwstr>http://www.nevo.co.il/case/5594098</vt:lpwstr>
      </vt:variant>
      <vt:variant>
        <vt:lpwstr/>
      </vt:variant>
      <vt:variant>
        <vt:i4>3604603</vt:i4>
      </vt:variant>
      <vt:variant>
        <vt:i4>93</vt:i4>
      </vt:variant>
      <vt:variant>
        <vt:i4>0</vt:i4>
      </vt:variant>
      <vt:variant>
        <vt:i4>5</vt:i4>
      </vt:variant>
      <vt:variant>
        <vt:lpwstr>http://www.nevo.co.il/case/5891863</vt:lpwstr>
      </vt:variant>
      <vt:variant>
        <vt:lpwstr/>
      </vt:variant>
      <vt:variant>
        <vt:i4>3604596</vt:i4>
      </vt:variant>
      <vt:variant>
        <vt:i4>90</vt:i4>
      </vt:variant>
      <vt:variant>
        <vt:i4>0</vt:i4>
      </vt:variant>
      <vt:variant>
        <vt:i4>5</vt:i4>
      </vt:variant>
      <vt:variant>
        <vt:lpwstr>http://www.nevo.co.il/case/5770174</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3276923</vt:i4>
      </vt:variant>
      <vt:variant>
        <vt:i4>84</vt:i4>
      </vt:variant>
      <vt:variant>
        <vt:i4>0</vt:i4>
      </vt:variant>
      <vt:variant>
        <vt:i4>5</vt:i4>
      </vt:variant>
      <vt:variant>
        <vt:lpwstr>http://www.nevo.co.il/case/5569233</vt:lpwstr>
      </vt:variant>
      <vt:variant>
        <vt:lpwstr/>
      </vt:variant>
      <vt:variant>
        <vt:i4>3473523</vt:i4>
      </vt:variant>
      <vt:variant>
        <vt:i4>81</vt:i4>
      </vt:variant>
      <vt:variant>
        <vt:i4>0</vt:i4>
      </vt:variant>
      <vt:variant>
        <vt:i4>5</vt:i4>
      </vt:variant>
      <vt:variant>
        <vt:lpwstr>http://www.nevo.co.il/case/11273152</vt:lpwstr>
      </vt:variant>
      <vt:variant>
        <vt:lpwstr/>
      </vt:variant>
      <vt:variant>
        <vt:i4>99354034</vt:i4>
      </vt:variant>
      <vt:variant>
        <vt:i4>78</vt:i4>
      </vt:variant>
      <vt:variant>
        <vt:i4>0</vt:i4>
      </vt:variant>
      <vt:variant>
        <vt:i4>5</vt:i4>
      </vt:variant>
      <vt:variant>
        <vt:lpwstr>http://www.nevo.co.il/links/psika/?link=עפ 4907/12</vt:lpwstr>
      </vt:variant>
      <vt:variant>
        <vt:lpwstr/>
      </vt:variant>
      <vt:variant>
        <vt:i4>3801212</vt:i4>
      </vt:variant>
      <vt:variant>
        <vt:i4>75</vt:i4>
      </vt:variant>
      <vt:variant>
        <vt:i4>0</vt:i4>
      </vt:variant>
      <vt:variant>
        <vt:i4>5</vt:i4>
      </vt:variant>
      <vt:variant>
        <vt:lpwstr>http://www.nevo.co.il/case/5568851</vt:lpwstr>
      </vt:variant>
      <vt:variant>
        <vt:lpwstr/>
      </vt:variant>
      <vt:variant>
        <vt:i4>3866750</vt:i4>
      </vt:variant>
      <vt:variant>
        <vt:i4>72</vt:i4>
      </vt:variant>
      <vt:variant>
        <vt:i4>0</vt:i4>
      </vt:variant>
      <vt:variant>
        <vt:i4>5</vt:i4>
      </vt:variant>
      <vt:variant>
        <vt:lpwstr>http://www.nevo.co.il/case/5779841</vt:lpwstr>
      </vt:variant>
      <vt:variant>
        <vt:lpwstr/>
      </vt:variant>
      <vt:variant>
        <vt:i4>3735669</vt:i4>
      </vt:variant>
      <vt:variant>
        <vt:i4>69</vt:i4>
      </vt:variant>
      <vt:variant>
        <vt:i4>0</vt:i4>
      </vt:variant>
      <vt:variant>
        <vt:i4>5</vt:i4>
      </vt:variant>
      <vt:variant>
        <vt:lpwstr>http://www.nevo.co.il/case/17916775</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3735673</vt:i4>
      </vt:variant>
      <vt:variant>
        <vt:i4>60</vt:i4>
      </vt:variant>
      <vt:variant>
        <vt:i4>0</vt:i4>
      </vt:variant>
      <vt:variant>
        <vt:i4>5</vt:i4>
      </vt:variant>
      <vt:variant>
        <vt:lpwstr>http://www.nevo.co.il/case/7892572</vt:lpwstr>
      </vt:variant>
      <vt:variant>
        <vt:lpwstr/>
      </vt:variant>
      <vt:variant>
        <vt:i4>6619238</vt:i4>
      </vt:variant>
      <vt:variant>
        <vt:i4>57</vt:i4>
      </vt:variant>
      <vt:variant>
        <vt:i4>0</vt:i4>
      </vt:variant>
      <vt:variant>
        <vt:i4>5</vt:i4>
      </vt:variant>
      <vt:variant>
        <vt:lpwstr>http://www.nevo.co.il/law/70301/301</vt:lpwstr>
      </vt:variant>
      <vt:variant>
        <vt:lpwstr/>
      </vt:variant>
      <vt:variant>
        <vt:i4>4915205</vt:i4>
      </vt:variant>
      <vt:variant>
        <vt:i4>54</vt:i4>
      </vt:variant>
      <vt:variant>
        <vt:i4>0</vt:i4>
      </vt:variant>
      <vt:variant>
        <vt:i4>5</vt:i4>
      </vt:variant>
      <vt:variant>
        <vt:lpwstr>http://www.nevo.co.il/law/70301/300.a.2.</vt:lpwstr>
      </vt:variant>
      <vt:variant>
        <vt:lpwstr/>
      </vt:variant>
      <vt:variant>
        <vt:i4>3473533</vt:i4>
      </vt:variant>
      <vt:variant>
        <vt:i4>51</vt:i4>
      </vt:variant>
      <vt:variant>
        <vt:i4>0</vt:i4>
      </vt:variant>
      <vt:variant>
        <vt:i4>5</vt:i4>
      </vt:variant>
      <vt:variant>
        <vt:lpwstr>http://www.nevo.co.il/case/11312959</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6357042</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http://www.nevo.co.il/law/70301/298</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6619238</vt:i4>
      </vt:variant>
      <vt:variant>
        <vt:i4>27</vt:i4>
      </vt:variant>
      <vt:variant>
        <vt:i4>0</vt:i4>
      </vt:variant>
      <vt:variant>
        <vt:i4>5</vt:i4>
      </vt:variant>
      <vt:variant>
        <vt:lpwstr>http://www.nevo.co.il/law/70301/301</vt:lpwstr>
      </vt:variant>
      <vt:variant>
        <vt:lpwstr/>
      </vt:variant>
      <vt:variant>
        <vt:i4>4915205</vt:i4>
      </vt:variant>
      <vt:variant>
        <vt:i4>24</vt:i4>
      </vt:variant>
      <vt:variant>
        <vt:i4>0</vt:i4>
      </vt:variant>
      <vt:variant>
        <vt:i4>5</vt:i4>
      </vt:variant>
      <vt:variant>
        <vt:lpwstr>http://www.nevo.co.il/law/70301/300.a.2.</vt:lpwstr>
      </vt:variant>
      <vt:variant>
        <vt:lpwstr/>
      </vt:variant>
      <vt:variant>
        <vt:i4>7077991</vt:i4>
      </vt:variant>
      <vt:variant>
        <vt:i4>21</vt:i4>
      </vt:variant>
      <vt:variant>
        <vt:i4>0</vt:i4>
      </vt:variant>
      <vt:variant>
        <vt:i4>5</vt:i4>
      </vt:variant>
      <vt:variant>
        <vt:lpwstr>http://www.nevo.co.il/law/70301/298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6357042</vt:i4>
      </vt:variant>
      <vt:variant>
        <vt:i4>15</vt:i4>
      </vt:variant>
      <vt:variant>
        <vt:i4>0</vt:i4>
      </vt:variant>
      <vt:variant>
        <vt:i4>5</vt:i4>
      </vt:variant>
      <vt:variant>
        <vt:lpwstr>http://www.nevo.co.il/law/70301/144.b.</vt:lpwstr>
      </vt:variant>
      <vt:variant>
        <vt:lpwstr/>
      </vt:variant>
      <vt:variant>
        <vt:i4>6422626</vt:i4>
      </vt:variant>
      <vt:variant>
        <vt:i4>12</vt:i4>
      </vt:variant>
      <vt:variant>
        <vt:i4>0</vt:i4>
      </vt:variant>
      <vt:variant>
        <vt:i4>5</vt:i4>
      </vt:variant>
      <vt:variant>
        <vt:lpwstr>http://www.nevo.co.il/law/70301/77</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2811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עומר מאדי</vt:lpwstr>
  </property>
  <property fmtid="{D5CDD505-2E9C-101B-9397-08002B2CF9AE}" pid="10" name="JUDGE">
    <vt:lpwstr>רון שפירא;אברהם אליקים;בטינה טאובר</vt:lpwstr>
  </property>
  <property fmtid="{D5CDD505-2E9C-101B-9397-08002B2CF9AE}" pid="11" name="CITY">
    <vt:lpwstr>חי'</vt:lpwstr>
  </property>
  <property fmtid="{D5CDD505-2E9C-101B-9397-08002B2CF9AE}" pid="12" name="DATE">
    <vt:lpwstr>20140918</vt:lpwstr>
  </property>
  <property fmtid="{D5CDD505-2E9C-101B-9397-08002B2CF9AE}" pid="13" name="TYPE_N_DATE">
    <vt:lpwstr>39020140918</vt:lpwstr>
  </property>
  <property fmtid="{D5CDD505-2E9C-101B-9397-08002B2CF9AE}" pid="14" name="CASESLISTTMP1">
    <vt:lpwstr>11312959;7892572:2;17916775;5779841;5568851:2;11273152;5569233;5770174;5891863;5594098;5594080;5594099</vt:lpwstr>
  </property>
  <property fmtid="{D5CDD505-2E9C-101B-9397-08002B2CF9AE}" pid="15" name="CASENOTES1">
    <vt:lpwstr>ProcID=133;209&amp;PartA=4907&amp;PartC=12</vt:lpwstr>
  </property>
  <property fmtid="{D5CDD505-2E9C-101B-9397-08002B2CF9AE}" pid="16" name="WORDNUMPAGES">
    <vt:lpwstr>8</vt:lpwstr>
  </property>
  <property fmtid="{D5CDD505-2E9C-101B-9397-08002B2CF9AE}" pid="17" name="TYPE_ABS_DATE">
    <vt:lpwstr>390020140918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70301/298;144.b.;029:2;192;300.a.2.;301;040b;40jb;040i;077</vt:lpwstr>
  </property>
</Properties>
</file>