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76E74" w:rsidRPr="00FA4E9C" w14:paraId="2C374017" w14:textId="77777777">
        <w:trPr>
          <w:trHeight w:hRule="exact" w:val="418"/>
          <w:jc w:val="center"/>
        </w:trPr>
        <w:tc>
          <w:tcPr>
            <w:tcW w:w="8721" w:type="dxa"/>
            <w:gridSpan w:val="2"/>
          </w:tcPr>
          <w:p w14:paraId="5CE08410" w14:textId="77777777" w:rsidR="00E76E74" w:rsidRPr="00FA4E9C" w:rsidRDefault="00FA4E9C">
            <w:pPr>
              <w:pStyle w:val="a3"/>
              <w:jc w:val="center"/>
              <w:rPr>
                <w:rFonts w:ascii="Tahoma" w:hAnsi="Tahoma" w:cs="Tahoma"/>
                <w:color w:val="000080"/>
                <w:rtl/>
              </w:rPr>
            </w:pPr>
            <w:bookmarkStart w:id="0" w:name="LastJudge"/>
            <w:r w:rsidRPr="00FA4E9C">
              <w:rPr>
                <w:rFonts w:ascii="Tahoma" w:hAnsi="Tahoma" w:cs="Tahoma"/>
                <w:b/>
                <w:bCs/>
                <w:color w:val="000080"/>
                <w:rtl/>
              </w:rPr>
              <w:t>בית המשפט המחוזי בחיפה</w:t>
            </w:r>
          </w:p>
        </w:tc>
      </w:tr>
      <w:tr w:rsidR="00E76E74" w:rsidRPr="00FA4E9C" w14:paraId="2BD9524B" w14:textId="77777777">
        <w:trPr>
          <w:trHeight w:val="337"/>
          <w:jc w:val="center"/>
        </w:trPr>
        <w:tc>
          <w:tcPr>
            <w:tcW w:w="5054" w:type="dxa"/>
          </w:tcPr>
          <w:p w14:paraId="5EA289DF" w14:textId="77777777" w:rsidR="00E76E74" w:rsidRPr="00FA4E9C" w:rsidRDefault="00FA4E9C">
            <w:pPr>
              <w:rPr>
                <w:rFonts w:cs="FrankRuehl"/>
                <w:sz w:val="28"/>
                <w:szCs w:val="28"/>
                <w:rtl/>
              </w:rPr>
            </w:pPr>
            <w:r w:rsidRPr="00FA4E9C">
              <w:rPr>
                <w:rFonts w:cs="FrankRuehl"/>
                <w:sz w:val="28"/>
                <w:szCs w:val="28"/>
                <w:rtl/>
              </w:rPr>
              <w:t>ת"פ</w:t>
            </w:r>
            <w:r w:rsidRPr="00FA4E9C">
              <w:rPr>
                <w:rFonts w:cs="FrankRuehl" w:hint="cs"/>
                <w:sz w:val="28"/>
                <w:szCs w:val="28"/>
                <w:rtl/>
              </w:rPr>
              <w:t xml:space="preserve"> </w:t>
            </w:r>
            <w:r w:rsidRPr="00FA4E9C">
              <w:rPr>
                <w:rFonts w:cs="FrankRuehl"/>
                <w:sz w:val="28"/>
                <w:szCs w:val="28"/>
                <w:rtl/>
              </w:rPr>
              <w:t>3451-02-14</w:t>
            </w:r>
            <w:r w:rsidRPr="00FA4E9C">
              <w:rPr>
                <w:rFonts w:cs="FrankRuehl" w:hint="cs"/>
                <w:sz w:val="28"/>
                <w:szCs w:val="28"/>
                <w:rtl/>
              </w:rPr>
              <w:t xml:space="preserve"> </w:t>
            </w:r>
            <w:r w:rsidRPr="00FA4E9C">
              <w:rPr>
                <w:rFonts w:cs="FrankRuehl"/>
                <w:sz w:val="28"/>
                <w:szCs w:val="28"/>
                <w:rtl/>
              </w:rPr>
              <w:t>מדינת ישראל נ' עבד אלעאל</w:t>
            </w:r>
          </w:p>
          <w:p w14:paraId="1C900FD9" w14:textId="77777777" w:rsidR="00E76E74" w:rsidRPr="00FA4E9C" w:rsidRDefault="00E76E74">
            <w:pPr>
              <w:pStyle w:val="a3"/>
              <w:rPr>
                <w:rFonts w:cs="FrankRuehl"/>
                <w:sz w:val="28"/>
                <w:szCs w:val="28"/>
                <w:rtl/>
              </w:rPr>
            </w:pPr>
          </w:p>
        </w:tc>
        <w:tc>
          <w:tcPr>
            <w:tcW w:w="3667" w:type="dxa"/>
          </w:tcPr>
          <w:p w14:paraId="5DBCB785" w14:textId="77777777" w:rsidR="00E76E74" w:rsidRPr="00FA4E9C" w:rsidRDefault="00E76E74">
            <w:pPr>
              <w:pStyle w:val="a3"/>
              <w:jc w:val="right"/>
              <w:rPr>
                <w:rFonts w:cs="FrankRuehl"/>
                <w:sz w:val="28"/>
                <w:szCs w:val="28"/>
                <w:rtl/>
              </w:rPr>
            </w:pPr>
          </w:p>
        </w:tc>
      </w:tr>
    </w:tbl>
    <w:p w14:paraId="4B36CD14" w14:textId="77777777" w:rsidR="00E76E74" w:rsidRPr="00FA4E9C" w:rsidRDefault="00FA4E9C">
      <w:pPr>
        <w:pStyle w:val="a3"/>
        <w:rPr>
          <w:rtl/>
        </w:rPr>
      </w:pPr>
      <w:r w:rsidRPr="00FA4E9C">
        <w:rPr>
          <w:rFonts w:hint="cs"/>
          <w:rtl/>
        </w:rPr>
        <w:t xml:space="preserve"> </w:t>
      </w:r>
    </w:p>
    <w:p w14:paraId="10665D32" w14:textId="77777777" w:rsidR="00E76E74" w:rsidRPr="00FA4E9C" w:rsidRDefault="00E76E74">
      <w:pPr>
        <w:spacing w:line="360" w:lineRule="auto"/>
        <w:jc w:val="both"/>
        <w:rPr>
          <w:rFonts w:ascii="Arial" w:hAnsi="Arial"/>
        </w:rPr>
      </w:pPr>
    </w:p>
    <w:tbl>
      <w:tblPr>
        <w:bidiVisual/>
        <w:tblW w:w="8802" w:type="dxa"/>
        <w:tblInd w:w="-28" w:type="dxa"/>
        <w:tblLook w:val="01E0" w:firstRow="1" w:lastRow="1" w:firstColumn="1" w:lastColumn="1" w:noHBand="0" w:noVBand="0"/>
      </w:tblPr>
      <w:tblGrid>
        <w:gridCol w:w="2880"/>
        <w:gridCol w:w="5839"/>
        <w:gridCol w:w="83"/>
      </w:tblGrid>
      <w:tr w:rsidR="00E76E74" w:rsidRPr="00FA4E9C" w14:paraId="4AA32AE4" w14:textId="77777777">
        <w:trPr>
          <w:gridAfter w:val="1"/>
          <w:wAfter w:w="55" w:type="dxa"/>
        </w:trPr>
        <w:tc>
          <w:tcPr>
            <w:tcW w:w="8719" w:type="dxa"/>
            <w:gridSpan w:val="2"/>
          </w:tcPr>
          <w:p w14:paraId="42121457" w14:textId="77777777" w:rsidR="00E76E74" w:rsidRPr="00FA4E9C" w:rsidRDefault="00FA4E9C">
            <w:pPr>
              <w:spacing w:line="360" w:lineRule="auto"/>
              <w:rPr>
                <w:b/>
                <w:bCs/>
                <w:sz w:val="26"/>
                <w:szCs w:val="26"/>
              </w:rPr>
            </w:pPr>
            <w:r w:rsidRPr="00FA4E9C">
              <w:rPr>
                <w:rFonts w:hint="cs"/>
                <w:b/>
                <w:bCs/>
                <w:sz w:val="26"/>
                <w:szCs w:val="26"/>
                <w:rtl/>
              </w:rPr>
              <w:t>בפני כב' ה</w:t>
            </w:r>
            <w:r w:rsidRPr="00FA4E9C">
              <w:rPr>
                <w:rFonts w:hint="cs"/>
                <w:rtl/>
              </w:rPr>
              <w:t>שופט אברהם אליקים</w:t>
            </w:r>
            <w:r w:rsidRPr="00FA4E9C">
              <w:rPr>
                <w:rStyle w:val="TimesNewRomanTimesNewRoman"/>
                <w:rFonts w:hint="cs"/>
                <w:rtl/>
              </w:rPr>
              <w:t xml:space="preserve"> </w:t>
            </w:r>
          </w:p>
        </w:tc>
      </w:tr>
      <w:tr w:rsidR="00E76E74" w:rsidRPr="00FA4E9C" w14:paraId="3C8FF39D" w14:textId="77777777">
        <w:tc>
          <w:tcPr>
            <w:tcW w:w="2880" w:type="dxa"/>
          </w:tcPr>
          <w:p w14:paraId="70B14C22" w14:textId="77777777" w:rsidR="00E76E74" w:rsidRPr="00FA4E9C" w:rsidRDefault="00FA4E9C">
            <w:pPr>
              <w:ind w:left="26"/>
              <w:rPr>
                <w:b/>
                <w:bCs/>
                <w:sz w:val="26"/>
                <w:szCs w:val="26"/>
              </w:rPr>
            </w:pPr>
            <w:bookmarkStart w:id="1" w:name="FirstAppellant"/>
            <w:r w:rsidRPr="00FA4E9C">
              <w:rPr>
                <w:rFonts w:hint="cs"/>
                <w:b/>
                <w:bCs/>
                <w:sz w:val="26"/>
                <w:szCs w:val="26"/>
                <w:rtl/>
              </w:rPr>
              <w:t>ה</w:t>
            </w:r>
            <w:r w:rsidRPr="00FA4E9C">
              <w:rPr>
                <w:rFonts w:hint="cs"/>
                <w:rtl/>
              </w:rPr>
              <w:t>מאשימה</w:t>
            </w:r>
          </w:p>
        </w:tc>
        <w:tc>
          <w:tcPr>
            <w:tcW w:w="5922" w:type="dxa"/>
            <w:gridSpan w:val="2"/>
          </w:tcPr>
          <w:p w14:paraId="5CC2B65A" w14:textId="77777777" w:rsidR="00E76E74" w:rsidRPr="00FA4E9C" w:rsidRDefault="00FA4E9C">
            <w:pPr>
              <w:rPr>
                <w:b/>
                <w:bCs/>
                <w:sz w:val="26"/>
                <w:szCs w:val="26"/>
                <w:rtl/>
              </w:rPr>
            </w:pPr>
            <w:r w:rsidRPr="00FA4E9C">
              <w:rPr>
                <w:rFonts w:hint="cs"/>
                <w:rtl/>
              </w:rPr>
              <w:t>מדינת ישראל</w:t>
            </w:r>
          </w:p>
          <w:p w14:paraId="34DA7A3B" w14:textId="77777777" w:rsidR="00E76E74" w:rsidRPr="00FA4E9C" w:rsidRDefault="00E76E74">
            <w:pPr>
              <w:rPr>
                <w:b/>
                <w:bCs/>
                <w:sz w:val="26"/>
                <w:szCs w:val="26"/>
              </w:rPr>
            </w:pPr>
          </w:p>
        </w:tc>
      </w:tr>
      <w:bookmarkEnd w:id="1"/>
      <w:tr w:rsidR="00E76E74" w:rsidRPr="00FA4E9C" w14:paraId="50F08197" w14:textId="77777777">
        <w:tc>
          <w:tcPr>
            <w:tcW w:w="8802" w:type="dxa"/>
            <w:gridSpan w:val="3"/>
          </w:tcPr>
          <w:p w14:paraId="7981A121" w14:textId="77777777" w:rsidR="00E76E74" w:rsidRPr="00FA4E9C" w:rsidRDefault="00FA4E9C">
            <w:pPr>
              <w:jc w:val="center"/>
              <w:rPr>
                <w:rFonts w:ascii="Arial" w:hAnsi="Arial"/>
                <w:b/>
                <w:bCs/>
                <w:sz w:val="26"/>
                <w:szCs w:val="26"/>
                <w:rtl/>
              </w:rPr>
            </w:pPr>
            <w:r w:rsidRPr="00FA4E9C">
              <w:rPr>
                <w:rFonts w:ascii="Arial" w:hAnsi="Arial" w:hint="cs"/>
                <w:b/>
                <w:bCs/>
                <w:sz w:val="26"/>
                <w:szCs w:val="26"/>
                <w:rtl/>
              </w:rPr>
              <w:t>נגד</w:t>
            </w:r>
          </w:p>
          <w:p w14:paraId="7D0F59AF" w14:textId="77777777" w:rsidR="00E76E74" w:rsidRPr="00FA4E9C" w:rsidRDefault="00E76E74">
            <w:pPr>
              <w:jc w:val="center"/>
              <w:rPr>
                <w:rFonts w:ascii="Arial" w:hAnsi="Arial"/>
                <w:b/>
                <w:bCs/>
                <w:sz w:val="26"/>
                <w:szCs w:val="26"/>
              </w:rPr>
            </w:pPr>
          </w:p>
        </w:tc>
      </w:tr>
      <w:tr w:rsidR="00E76E74" w:rsidRPr="00FA4E9C" w14:paraId="57432F6C" w14:textId="77777777">
        <w:tc>
          <w:tcPr>
            <w:tcW w:w="2880" w:type="dxa"/>
          </w:tcPr>
          <w:p w14:paraId="35A850CD" w14:textId="77777777" w:rsidR="00E76E74" w:rsidRPr="00FA4E9C" w:rsidRDefault="00FA4E9C">
            <w:pPr>
              <w:ind w:left="26"/>
              <w:rPr>
                <w:b/>
                <w:bCs/>
                <w:sz w:val="26"/>
                <w:szCs w:val="26"/>
              </w:rPr>
            </w:pPr>
            <w:r w:rsidRPr="00FA4E9C">
              <w:rPr>
                <w:rFonts w:hint="cs"/>
                <w:b/>
                <w:bCs/>
                <w:sz w:val="26"/>
                <w:szCs w:val="26"/>
                <w:rtl/>
              </w:rPr>
              <w:t>ה</w:t>
            </w:r>
            <w:r w:rsidRPr="00FA4E9C">
              <w:rPr>
                <w:rFonts w:hint="cs"/>
                <w:rtl/>
              </w:rPr>
              <w:t>נאשם</w:t>
            </w:r>
          </w:p>
        </w:tc>
        <w:tc>
          <w:tcPr>
            <w:tcW w:w="5922" w:type="dxa"/>
            <w:gridSpan w:val="2"/>
          </w:tcPr>
          <w:p w14:paraId="1530A53D" w14:textId="77777777" w:rsidR="00E76E74" w:rsidRPr="00FA4E9C" w:rsidRDefault="00FA4E9C" w:rsidP="00C46D1E">
            <w:pPr>
              <w:rPr>
                <w:b/>
                <w:bCs/>
                <w:sz w:val="26"/>
                <w:szCs w:val="26"/>
                <w:rtl/>
              </w:rPr>
            </w:pPr>
            <w:r w:rsidRPr="00FA4E9C">
              <w:rPr>
                <w:rFonts w:hint="cs"/>
                <w:rtl/>
              </w:rPr>
              <w:t xml:space="preserve">עלי עבד אלעאל (עציר) ת.ז. </w:t>
            </w:r>
          </w:p>
          <w:p w14:paraId="063FC3B2" w14:textId="77777777" w:rsidR="00E76E74" w:rsidRPr="00FA4E9C" w:rsidRDefault="00E76E74">
            <w:pPr>
              <w:rPr>
                <w:b/>
                <w:bCs/>
                <w:sz w:val="26"/>
                <w:szCs w:val="26"/>
              </w:rPr>
            </w:pPr>
          </w:p>
        </w:tc>
      </w:tr>
    </w:tbl>
    <w:p w14:paraId="477F1F12" w14:textId="77777777" w:rsidR="00C46D1E" w:rsidRDefault="00C46D1E">
      <w:pPr>
        <w:rPr>
          <w:rtl/>
        </w:rPr>
      </w:pPr>
      <w:bookmarkStart w:id="2" w:name="LawTable"/>
      <w:bookmarkEnd w:id="2"/>
    </w:p>
    <w:p w14:paraId="72D7D166" w14:textId="77777777" w:rsidR="00C46D1E" w:rsidRPr="00C46D1E" w:rsidRDefault="00C46D1E" w:rsidP="00C46D1E">
      <w:pPr>
        <w:spacing w:after="120" w:line="240" w:lineRule="exact"/>
        <w:ind w:left="283" w:hanging="283"/>
        <w:jc w:val="both"/>
        <w:rPr>
          <w:rFonts w:ascii="FrankRuehl" w:hAnsi="FrankRuehl" w:cs="FrankRuehl"/>
          <w:rtl/>
        </w:rPr>
      </w:pPr>
    </w:p>
    <w:p w14:paraId="5C892A6B" w14:textId="77777777" w:rsidR="00C46D1E" w:rsidRPr="00C46D1E" w:rsidRDefault="00C46D1E" w:rsidP="00C46D1E">
      <w:pPr>
        <w:spacing w:after="120" w:line="240" w:lineRule="exact"/>
        <w:ind w:left="283" w:hanging="283"/>
        <w:jc w:val="both"/>
        <w:rPr>
          <w:rFonts w:ascii="FrankRuehl" w:hAnsi="FrankRuehl" w:cs="FrankRuehl"/>
          <w:rtl/>
        </w:rPr>
      </w:pPr>
      <w:r w:rsidRPr="00C46D1E">
        <w:rPr>
          <w:rFonts w:ascii="FrankRuehl" w:hAnsi="FrankRuehl" w:cs="FrankRuehl"/>
          <w:rtl/>
        </w:rPr>
        <w:t xml:space="preserve">חקיקה שאוזכרה: </w:t>
      </w:r>
    </w:p>
    <w:p w14:paraId="152D2829" w14:textId="77777777" w:rsidR="00C46D1E" w:rsidRPr="00C46D1E" w:rsidRDefault="00C46D1E" w:rsidP="00C46D1E">
      <w:pPr>
        <w:spacing w:after="120" w:line="240" w:lineRule="exact"/>
        <w:ind w:left="283" w:hanging="283"/>
        <w:jc w:val="both"/>
        <w:rPr>
          <w:rFonts w:ascii="FrankRuehl" w:hAnsi="FrankRuehl" w:cs="FrankRuehl"/>
          <w:rtl/>
        </w:rPr>
      </w:pPr>
      <w:hyperlink r:id="rId7" w:history="1">
        <w:r w:rsidRPr="00C46D1E">
          <w:rPr>
            <w:rFonts w:ascii="FrankRuehl" w:hAnsi="FrankRuehl" w:cs="FrankRuehl"/>
            <w:color w:val="0000FF"/>
            <w:u w:val="single"/>
            <w:rtl/>
          </w:rPr>
          <w:t>חוק העונשין, תשל"ז-1977</w:t>
        </w:r>
      </w:hyperlink>
      <w:r w:rsidRPr="00C46D1E">
        <w:rPr>
          <w:rFonts w:ascii="FrankRuehl" w:hAnsi="FrankRuehl" w:cs="FrankRuehl"/>
          <w:rtl/>
        </w:rPr>
        <w:t xml:space="preserve">: סע'  </w:t>
      </w:r>
      <w:hyperlink r:id="rId8" w:history="1">
        <w:r w:rsidRPr="00C46D1E">
          <w:rPr>
            <w:rFonts w:ascii="FrankRuehl" w:hAnsi="FrankRuehl" w:cs="FrankRuehl"/>
            <w:color w:val="0000FF"/>
            <w:u w:val="single"/>
            <w:rtl/>
          </w:rPr>
          <w:t>40ב').</w:t>
        </w:r>
      </w:hyperlink>
      <w:r w:rsidRPr="00C46D1E">
        <w:rPr>
          <w:rFonts w:ascii="FrankRuehl" w:hAnsi="FrankRuehl" w:cs="FrankRuehl"/>
          <w:rtl/>
        </w:rPr>
        <w:t xml:space="preserve">, </w:t>
      </w:r>
      <w:hyperlink r:id="rId9" w:history="1">
        <w:r w:rsidRPr="00C46D1E">
          <w:rPr>
            <w:rFonts w:ascii="FrankRuehl" w:hAnsi="FrankRuehl" w:cs="FrankRuehl"/>
            <w:color w:val="0000FF"/>
            <w:u w:val="single"/>
            <w:rtl/>
          </w:rPr>
          <w:t>40ט'</w:t>
        </w:r>
      </w:hyperlink>
      <w:r w:rsidRPr="00C46D1E">
        <w:rPr>
          <w:rFonts w:ascii="FrankRuehl" w:hAnsi="FrankRuehl" w:cs="FrankRuehl"/>
          <w:rtl/>
        </w:rPr>
        <w:t xml:space="preserve">, </w:t>
      </w:r>
      <w:hyperlink r:id="rId10" w:history="1">
        <w:r w:rsidRPr="00C46D1E">
          <w:rPr>
            <w:rFonts w:ascii="FrankRuehl" w:hAnsi="FrankRuehl" w:cs="FrankRuehl"/>
            <w:color w:val="0000FF"/>
            <w:u w:val="single"/>
            <w:rtl/>
          </w:rPr>
          <w:t>144(א)</w:t>
        </w:r>
      </w:hyperlink>
      <w:r w:rsidRPr="00C46D1E">
        <w:rPr>
          <w:rFonts w:ascii="FrankRuehl" w:hAnsi="FrankRuehl" w:cs="FrankRuehl"/>
          <w:rtl/>
        </w:rPr>
        <w:t xml:space="preserve">, </w:t>
      </w:r>
      <w:hyperlink r:id="rId11" w:history="1">
        <w:r w:rsidRPr="00C46D1E">
          <w:rPr>
            <w:rFonts w:ascii="FrankRuehl" w:hAnsi="FrankRuehl" w:cs="FrankRuehl"/>
            <w:color w:val="0000FF"/>
            <w:u w:val="single"/>
            <w:rtl/>
          </w:rPr>
          <w:t>(ב)</w:t>
        </w:r>
      </w:hyperlink>
      <w:r w:rsidRPr="00C46D1E">
        <w:rPr>
          <w:rFonts w:ascii="FrankRuehl" w:hAnsi="FrankRuehl" w:cs="FrankRuehl"/>
          <w:rtl/>
        </w:rPr>
        <w:t xml:space="preserve">, </w:t>
      </w:r>
      <w:hyperlink r:id="rId12" w:history="1">
        <w:r w:rsidRPr="00C46D1E">
          <w:rPr>
            <w:rFonts w:ascii="FrankRuehl" w:hAnsi="FrankRuehl" w:cs="FrankRuehl"/>
            <w:color w:val="0000FF"/>
            <w:u w:val="single"/>
            <w:rtl/>
          </w:rPr>
          <w:t>275</w:t>
        </w:r>
      </w:hyperlink>
      <w:r w:rsidRPr="00C46D1E">
        <w:rPr>
          <w:rFonts w:ascii="FrankRuehl" w:hAnsi="FrankRuehl" w:cs="FrankRuehl"/>
          <w:rtl/>
        </w:rPr>
        <w:t xml:space="preserve">, </w:t>
      </w:r>
      <w:hyperlink r:id="rId13" w:history="1">
        <w:r w:rsidRPr="00C46D1E">
          <w:rPr>
            <w:rFonts w:ascii="FrankRuehl" w:hAnsi="FrankRuehl" w:cs="FrankRuehl"/>
            <w:color w:val="0000FF"/>
            <w:u w:val="single"/>
            <w:rtl/>
          </w:rPr>
          <w:t>40יא'</w:t>
        </w:r>
      </w:hyperlink>
      <w:r w:rsidRPr="00C46D1E">
        <w:rPr>
          <w:rFonts w:ascii="FrankRuehl" w:hAnsi="FrankRuehl" w:cs="FrankRuehl"/>
          <w:rtl/>
        </w:rPr>
        <w:t xml:space="preserve">, </w:t>
      </w:r>
      <w:hyperlink r:id="rId14" w:history="1">
        <w:r w:rsidRPr="00C46D1E">
          <w:rPr>
            <w:rFonts w:ascii="FrankRuehl" w:hAnsi="FrankRuehl" w:cs="FrankRuehl"/>
            <w:color w:val="0000FF"/>
            <w:u w:val="single"/>
            <w:rtl/>
          </w:rPr>
          <w:t>40יא(1)</w:t>
        </w:r>
      </w:hyperlink>
    </w:p>
    <w:p w14:paraId="006A65D8" w14:textId="77777777" w:rsidR="00C46D1E" w:rsidRPr="00C46D1E" w:rsidRDefault="00C46D1E" w:rsidP="00C46D1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6E74" w14:paraId="469B3FC2" w14:textId="77777777">
        <w:trPr>
          <w:trHeight w:val="355"/>
          <w:jc w:val="center"/>
        </w:trPr>
        <w:tc>
          <w:tcPr>
            <w:tcW w:w="8820" w:type="dxa"/>
            <w:tcBorders>
              <w:top w:val="nil"/>
              <w:left w:val="nil"/>
              <w:bottom w:val="nil"/>
              <w:right w:val="nil"/>
            </w:tcBorders>
          </w:tcPr>
          <w:p w14:paraId="0CD1C4BF" w14:textId="77777777" w:rsidR="00FA4E9C" w:rsidRPr="00FA4E9C" w:rsidRDefault="00FA4E9C" w:rsidP="00FA4E9C">
            <w:pPr>
              <w:jc w:val="center"/>
              <w:rPr>
                <w:rFonts w:ascii="Arial" w:hAnsi="Arial" w:cs="FrankRuehl"/>
                <w:b/>
                <w:bCs/>
                <w:sz w:val="32"/>
                <w:szCs w:val="32"/>
                <w:u w:val="single"/>
                <w:rtl/>
              </w:rPr>
            </w:pPr>
            <w:bookmarkStart w:id="3" w:name="LawTable_End"/>
            <w:bookmarkStart w:id="4" w:name="PsakDin" w:colFirst="0" w:colLast="0"/>
            <w:bookmarkEnd w:id="0"/>
            <w:bookmarkEnd w:id="3"/>
            <w:r w:rsidRPr="00FA4E9C">
              <w:rPr>
                <w:rFonts w:ascii="Arial" w:hAnsi="Arial" w:cs="FrankRuehl"/>
                <w:b/>
                <w:bCs/>
                <w:sz w:val="32"/>
                <w:szCs w:val="32"/>
                <w:u w:val="single"/>
                <w:rtl/>
              </w:rPr>
              <w:t>גזר דין</w:t>
            </w:r>
          </w:p>
          <w:p w14:paraId="66758C7B" w14:textId="77777777" w:rsidR="00E76E74" w:rsidRPr="00FA4E9C" w:rsidRDefault="00E76E74" w:rsidP="00FA4E9C">
            <w:pPr>
              <w:jc w:val="center"/>
              <w:rPr>
                <w:rFonts w:ascii="Arial" w:hAnsi="Arial" w:cs="FrankRuehl"/>
                <w:bCs/>
                <w:sz w:val="32"/>
                <w:szCs w:val="32"/>
                <w:u w:val="single"/>
                <w:rtl/>
              </w:rPr>
            </w:pPr>
          </w:p>
        </w:tc>
      </w:tr>
      <w:bookmarkEnd w:id="4"/>
    </w:tbl>
    <w:p w14:paraId="4CE9DB61" w14:textId="77777777" w:rsidR="00E76E74" w:rsidRDefault="00E76E74">
      <w:pPr>
        <w:rPr>
          <w:rFonts w:ascii="Arial" w:hAnsi="Arial"/>
          <w:rtl/>
        </w:rPr>
      </w:pPr>
    </w:p>
    <w:p w14:paraId="4291F347" w14:textId="77777777" w:rsidR="00E76E74" w:rsidRDefault="00FA4E9C">
      <w:pPr>
        <w:ind w:left="360" w:firstLine="360"/>
        <w:jc w:val="both"/>
        <w:rPr>
          <w:rFonts w:cs="Miriam"/>
        </w:rPr>
      </w:pPr>
      <w:r>
        <w:rPr>
          <w:rFonts w:cs="Miriam"/>
          <w:rtl/>
        </w:rPr>
        <w:t>מבוא</w:t>
      </w:r>
    </w:p>
    <w:p w14:paraId="742EB8DE" w14:textId="77777777" w:rsidR="00E76E74" w:rsidRDefault="00FA4E9C">
      <w:pPr>
        <w:spacing w:line="360" w:lineRule="auto"/>
        <w:ind w:left="720"/>
        <w:jc w:val="both"/>
        <w:rPr>
          <w:rFonts w:cs="FrankRuehl"/>
          <w:sz w:val="28"/>
          <w:szCs w:val="28"/>
          <w:rtl/>
        </w:rPr>
      </w:pPr>
      <w:bookmarkStart w:id="5" w:name="ABSTRACT_START"/>
      <w:bookmarkEnd w:id="5"/>
      <w:r>
        <w:rPr>
          <w:rFonts w:cs="FrankRuehl"/>
          <w:sz w:val="28"/>
          <w:szCs w:val="28"/>
          <w:rtl/>
        </w:rPr>
        <w:t xml:space="preserve">הנאשם הורשע לאחר שמיעת ראיות בביצוע עבירות בנשק (החזקה, נשיאה והובלה)- עבירה לפי </w:t>
      </w:r>
      <w:hyperlink r:id="rId15" w:history="1">
        <w:r w:rsidR="00C46D1E" w:rsidRPr="00C46D1E">
          <w:rPr>
            <w:rFonts w:cs="FrankRuehl"/>
            <w:color w:val="0000FF"/>
            <w:sz w:val="28"/>
            <w:szCs w:val="28"/>
            <w:u w:val="single"/>
            <w:rtl/>
          </w:rPr>
          <w:t>סעיף 144(א)</w:t>
        </w:r>
      </w:hyperlink>
      <w:r>
        <w:rPr>
          <w:rFonts w:cs="FrankRuehl"/>
          <w:sz w:val="28"/>
          <w:szCs w:val="28"/>
          <w:rtl/>
        </w:rPr>
        <w:t xml:space="preserve"> +</w:t>
      </w:r>
      <w:hyperlink r:id="rId16" w:history="1">
        <w:r w:rsidR="00C46D1E" w:rsidRPr="00C46D1E">
          <w:rPr>
            <w:rFonts w:cs="FrankRuehl"/>
            <w:color w:val="0000FF"/>
            <w:sz w:val="28"/>
            <w:szCs w:val="28"/>
            <w:u w:val="single"/>
            <w:rtl/>
          </w:rPr>
          <w:t>(ב)</w:t>
        </w:r>
      </w:hyperlink>
      <w:r>
        <w:rPr>
          <w:rFonts w:cs="FrankRuehl"/>
          <w:sz w:val="28"/>
          <w:szCs w:val="28"/>
          <w:rtl/>
        </w:rPr>
        <w:t xml:space="preserve"> רישא וסיפא </w:t>
      </w:r>
      <w:r>
        <w:rPr>
          <w:rFonts w:cs="Miriam"/>
          <w:rtl/>
        </w:rPr>
        <w:t>ל</w:t>
      </w:r>
      <w:hyperlink r:id="rId17" w:history="1">
        <w:r w:rsidRPr="00FA4E9C">
          <w:rPr>
            <w:rFonts w:cs="Miriam"/>
            <w:color w:val="0000FF"/>
            <w:u w:val="single"/>
            <w:rtl/>
          </w:rPr>
          <w:t>חוק העונשין</w:t>
        </w:r>
      </w:hyperlink>
      <w:r>
        <w:rPr>
          <w:rFonts w:cs="FrankRuehl"/>
          <w:sz w:val="28"/>
          <w:szCs w:val="28"/>
          <w:rtl/>
        </w:rPr>
        <w:t xml:space="preserve">, התשל"ז- 1977 (להלן- החוק) ועבירה של הפרעה לשוטר בשעת מילוי תפקידו- עבירה לפי </w:t>
      </w:r>
      <w:hyperlink r:id="rId18" w:history="1">
        <w:r w:rsidR="00C46D1E" w:rsidRPr="00C46D1E">
          <w:rPr>
            <w:rFonts w:cs="FrankRuehl"/>
            <w:color w:val="0000FF"/>
            <w:sz w:val="28"/>
            <w:szCs w:val="28"/>
            <w:u w:val="single"/>
            <w:rtl/>
          </w:rPr>
          <w:t>סעיף 275</w:t>
        </w:r>
      </w:hyperlink>
      <w:r>
        <w:rPr>
          <w:rFonts w:cs="FrankRuehl"/>
          <w:sz w:val="28"/>
          <w:szCs w:val="28"/>
          <w:rtl/>
        </w:rPr>
        <w:t xml:space="preserve"> לחוק. </w:t>
      </w:r>
    </w:p>
    <w:p w14:paraId="3F7700D4" w14:textId="77777777" w:rsidR="00E76E74" w:rsidRDefault="00E76E74">
      <w:pPr>
        <w:spacing w:line="360" w:lineRule="auto"/>
        <w:ind w:left="720"/>
        <w:jc w:val="both"/>
        <w:rPr>
          <w:rFonts w:cs="FrankRuehl"/>
          <w:sz w:val="28"/>
          <w:szCs w:val="28"/>
          <w:rtl/>
        </w:rPr>
      </w:pPr>
      <w:bookmarkStart w:id="6" w:name="ABSTRACT_END"/>
      <w:bookmarkEnd w:id="6"/>
    </w:p>
    <w:p w14:paraId="5367994F" w14:textId="77777777" w:rsidR="00E76E74" w:rsidRDefault="00FA4E9C">
      <w:pPr>
        <w:spacing w:line="360" w:lineRule="auto"/>
        <w:ind w:left="720"/>
        <w:jc w:val="both"/>
        <w:rPr>
          <w:rFonts w:cs="FrankRuehl"/>
          <w:sz w:val="28"/>
          <w:szCs w:val="28"/>
          <w:rtl/>
        </w:rPr>
      </w:pPr>
      <w:r>
        <w:rPr>
          <w:rFonts w:cs="FrankRuehl"/>
          <w:sz w:val="28"/>
          <w:szCs w:val="28"/>
          <w:rtl/>
        </w:rPr>
        <w:t xml:space="preserve">על פי הכרעת הדין הוכח מעבר לכל ספק כי ביום 21.1.2014 נהג הנאשם ברכב כשהוא נושא ומחזיק תת- מקלע מאולתר שבתוכו מחסנית וכדורים בתוך תיק שהיה ברכבו, כוח משטרתי שהבחין בנאשם הורה לו לעצור, הנאשם המשיך בנסיעה מהירה, נעצר, יצא מרכבו והחל לברוח עם התיק ובו תת המקלע, המחסנית והכדורים, אותם הטמין במטע זיתים סמוך. </w:t>
      </w:r>
    </w:p>
    <w:p w14:paraId="487152CD" w14:textId="77777777" w:rsidR="00E76E74" w:rsidRDefault="00FA4E9C">
      <w:pPr>
        <w:spacing w:line="360" w:lineRule="auto"/>
        <w:ind w:left="720"/>
        <w:jc w:val="both"/>
        <w:rPr>
          <w:rFonts w:cs="FrankRuehl"/>
          <w:sz w:val="28"/>
          <w:szCs w:val="28"/>
          <w:rtl/>
        </w:rPr>
      </w:pPr>
      <w:r>
        <w:rPr>
          <w:rFonts w:cs="FrankRuehl"/>
          <w:sz w:val="28"/>
          <w:szCs w:val="28"/>
          <w:rtl/>
        </w:rPr>
        <w:t>עוד נקבע כי הנאשם ביצע עבירה של הפרעה לשוטר בשעת מילוי תפקידו, משום שבעת שהורו לו השוטרים לעצור הוא נמלט כאמור מהמקום עם הנשק, בביצוע עבירה זו הודה הנאשם, כבר בשלב מסירת התגובה לכתב האישום.</w:t>
      </w:r>
    </w:p>
    <w:p w14:paraId="3E8259EA" w14:textId="77777777" w:rsidR="00E76E74" w:rsidRDefault="00E76E74">
      <w:pPr>
        <w:spacing w:line="360" w:lineRule="auto"/>
        <w:ind w:left="720"/>
        <w:jc w:val="both"/>
        <w:rPr>
          <w:rFonts w:cs="FrankRuehl"/>
          <w:sz w:val="28"/>
          <w:szCs w:val="28"/>
        </w:rPr>
      </w:pPr>
    </w:p>
    <w:p w14:paraId="29C03EE0" w14:textId="77777777" w:rsidR="00E76E74" w:rsidRDefault="00FA4E9C">
      <w:pPr>
        <w:spacing w:line="360" w:lineRule="auto"/>
        <w:ind w:left="360" w:firstLine="360"/>
        <w:jc w:val="both"/>
        <w:rPr>
          <w:rFonts w:cs="Miriam"/>
        </w:rPr>
      </w:pPr>
      <w:r>
        <w:rPr>
          <w:rFonts w:cs="Miriam"/>
          <w:rtl/>
        </w:rPr>
        <w:t>ראיות לעונש</w:t>
      </w:r>
    </w:p>
    <w:p w14:paraId="4F38DB2F" w14:textId="77777777" w:rsidR="00E76E74" w:rsidRDefault="00FA4E9C">
      <w:pPr>
        <w:spacing w:line="360" w:lineRule="auto"/>
        <w:ind w:left="360" w:firstLine="360"/>
        <w:jc w:val="both"/>
        <w:rPr>
          <w:rFonts w:cs="FrankRuehl"/>
          <w:sz w:val="28"/>
          <w:szCs w:val="28"/>
          <w:rtl/>
        </w:rPr>
      </w:pPr>
      <w:r>
        <w:rPr>
          <w:rFonts w:cs="FrankRuehl"/>
          <w:sz w:val="28"/>
          <w:szCs w:val="28"/>
          <w:rtl/>
        </w:rPr>
        <w:lastRenderedPageBreak/>
        <w:t xml:space="preserve">לא הובאו ראיות לעונש מטעם הצדדים, לנאשם אין רישום פלילי. </w:t>
      </w:r>
    </w:p>
    <w:p w14:paraId="533D82AC" w14:textId="77777777" w:rsidR="00E76E74" w:rsidRDefault="00E76E74">
      <w:pPr>
        <w:spacing w:line="360" w:lineRule="auto"/>
        <w:ind w:left="360" w:firstLine="360"/>
        <w:jc w:val="both"/>
        <w:rPr>
          <w:rFonts w:cs="FrankRuehl"/>
          <w:sz w:val="28"/>
          <w:szCs w:val="28"/>
        </w:rPr>
      </w:pPr>
    </w:p>
    <w:p w14:paraId="79CAF033" w14:textId="77777777" w:rsidR="00E76E74" w:rsidRDefault="00FA4E9C">
      <w:pPr>
        <w:spacing w:line="360" w:lineRule="auto"/>
        <w:ind w:left="360" w:firstLine="360"/>
        <w:jc w:val="both"/>
        <w:rPr>
          <w:rFonts w:cs="Miriam"/>
          <w:rtl/>
        </w:rPr>
      </w:pPr>
      <w:r>
        <w:rPr>
          <w:rFonts w:cs="Miriam"/>
          <w:rtl/>
        </w:rPr>
        <w:t>תמצית טענות הצדדים</w:t>
      </w:r>
    </w:p>
    <w:p w14:paraId="796DCE0F" w14:textId="77777777" w:rsidR="00E76E74" w:rsidRDefault="00FA4E9C">
      <w:pPr>
        <w:numPr>
          <w:ilvl w:val="0"/>
          <w:numId w:val="2"/>
        </w:numPr>
        <w:spacing w:line="360" w:lineRule="auto"/>
        <w:jc w:val="both"/>
        <w:rPr>
          <w:rFonts w:cs="FrankRuehl"/>
          <w:sz w:val="28"/>
          <w:szCs w:val="28"/>
        </w:rPr>
      </w:pPr>
      <w:r>
        <w:rPr>
          <w:rFonts w:cs="FrankRuehl"/>
          <w:sz w:val="28"/>
          <w:szCs w:val="28"/>
          <w:rtl/>
        </w:rPr>
        <w:t xml:space="preserve">ב"כ המאשימה טענה כי שתי העבירות בהן הורשע הנאשם מיוחסות לאירוע אחד מתפתח, מתחם העונש ההולם נע בין 3 עד 5 שנים וכי יש להטיל על הנאשם מאסר בפועל, מאסר על תנאי וקנס. </w:t>
      </w:r>
    </w:p>
    <w:p w14:paraId="04870745" w14:textId="77777777" w:rsidR="00E76E74" w:rsidRDefault="00FA4E9C">
      <w:pPr>
        <w:spacing w:line="360" w:lineRule="auto"/>
        <w:ind w:left="720"/>
        <w:jc w:val="both"/>
        <w:rPr>
          <w:rFonts w:cs="FrankRuehl"/>
          <w:sz w:val="28"/>
          <w:szCs w:val="28"/>
          <w:rtl/>
        </w:rPr>
      </w:pPr>
      <w:r>
        <w:rPr>
          <w:rFonts w:cs="FrankRuehl"/>
          <w:sz w:val="28"/>
          <w:szCs w:val="28"/>
          <w:rtl/>
        </w:rPr>
        <w:t>לטענתה עבירות נשיאה והובלה של נשק הנן עבירות חמורות בשל פגיעתן הרעה בביטחון הציבור ובשלומו ומחמת הסיכון הגבוה בין אם מדובר בסיכון ממשי ובין אם בסיכון פוטנציאלי שיש בהן לחיי אדם. חומרה מיוחדת נודעת בפסיקה לעבירות מסוג זה, שעה ש</w:t>
      </w:r>
      <w:r>
        <w:rPr>
          <w:rFonts w:cs="FrankRuehl" w:hint="cs"/>
          <w:sz w:val="28"/>
          <w:szCs w:val="28"/>
          <w:rtl/>
        </w:rPr>
        <w:t xml:space="preserve">הן </w:t>
      </w:r>
      <w:r>
        <w:rPr>
          <w:rFonts w:cs="FrankRuehl"/>
          <w:sz w:val="28"/>
          <w:szCs w:val="28"/>
          <w:rtl/>
        </w:rPr>
        <w:t>נעשות בנשק שאופיו התקפי, במקרה שלנו נשיאת נשק מאולתר, תת מקלע, כשלצידו מחסנית וכדורים מצוי</w:t>
      </w:r>
      <w:r>
        <w:rPr>
          <w:rFonts w:cs="FrankRuehl" w:hint="cs"/>
          <w:sz w:val="28"/>
          <w:szCs w:val="28"/>
          <w:rtl/>
        </w:rPr>
        <w:t>ה</w:t>
      </w:r>
      <w:r>
        <w:rPr>
          <w:rFonts w:cs="FrankRuehl"/>
          <w:sz w:val="28"/>
          <w:szCs w:val="28"/>
          <w:rtl/>
        </w:rPr>
        <w:t xml:space="preserve"> ברף הגבוה של חומרת החזקה ונשיאה של נשק. אלמנט חומרה נוסף הוא שילוב עבירת הנשק עם עבירת ההפרעה לשוטר בשעת מילוי תפקידו, </w:t>
      </w:r>
      <w:r>
        <w:rPr>
          <w:rFonts w:cs="FrankRuehl" w:hint="cs"/>
          <w:sz w:val="28"/>
          <w:szCs w:val="28"/>
          <w:rtl/>
        </w:rPr>
        <w:t xml:space="preserve">בדרך של </w:t>
      </w:r>
      <w:r>
        <w:rPr>
          <w:rFonts w:cs="FrankRuehl"/>
          <w:sz w:val="28"/>
          <w:szCs w:val="28"/>
          <w:rtl/>
        </w:rPr>
        <w:t>ה</w:t>
      </w:r>
      <w:r>
        <w:rPr>
          <w:rFonts w:cs="FrankRuehl" w:hint="cs"/>
          <w:sz w:val="28"/>
          <w:szCs w:val="28"/>
          <w:rtl/>
        </w:rPr>
        <w:t>י</w:t>
      </w:r>
      <w:r>
        <w:rPr>
          <w:rFonts w:cs="FrankRuehl"/>
          <w:sz w:val="28"/>
          <w:szCs w:val="28"/>
          <w:rtl/>
        </w:rPr>
        <w:t>מלטות מידיה של המשטרה</w:t>
      </w:r>
      <w:r>
        <w:rPr>
          <w:rFonts w:cs="FrankRuehl" w:hint="cs"/>
          <w:sz w:val="28"/>
          <w:szCs w:val="28"/>
          <w:rtl/>
        </w:rPr>
        <w:t xml:space="preserve"> ו</w:t>
      </w:r>
      <w:r>
        <w:rPr>
          <w:rFonts w:cs="FrankRuehl"/>
          <w:sz w:val="28"/>
          <w:szCs w:val="28"/>
          <w:rtl/>
        </w:rPr>
        <w:t>ה</w:t>
      </w:r>
      <w:r>
        <w:rPr>
          <w:rFonts w:cs="FrankRuehl" w:hint="cs"/>
          <w:sz w:val="28"/>
          <w:szCs w:val="28"/>
          <w:rtl/>
        </w:rPr>
        <w:t>י</w:t>
      </w:r>
      <w:r>
        <w:rPr>
          <w:rFonts w:cs="FrankRuehl"/>
          <w:sz w:val="28"/>
          <w:szCs w:val="28"/>
          <w:rtl/>
        </w:rPr>
        <w:t xml:space="preserve">מלטות מהרכב. </w:t>
      </w:r>
    </w:p>
    <w:p w14:paraId="4B2E923F" w14:textId="77777777" w:rsidR="00E76E74" w:rsidRDefault="00E76E74">
      <w:pPr>
        <w:spacing w:line="360" w:lineRule="auto"/>
        <w:ind w:left="720"/>
        <w:jc w:val="both"/>
        <w:rPr>
          <w:rFonts w:cs="FrankRuehl"/>
          <w:sz w:val="28"/>
          <w:szCs w:val="28"/>
        </w:rPr>
      </w:pPr>
    </w:p>
    <w:p w14:paraId="54AD4CDB" w14:textId="77777777" w:rsidR="00E76E74" w:rsidRDefault="00FA4E9C">
      <w:pPr>
        <w:spacing w:line="360" w:lineRule="auto"/>
        <w:ind w:left="720"/>
        <w:jc w:val="both"/>
        <w:rPr>
          <w:rFonts w:cs="FrankRuehl"/>
          <w:sz w:val="28"/>
          <w:szCs w:val="28"/>
          <w:rtl/>
        </w:rPr>
      </w:pPr>
      <w:r>
        <w:rPr>
          <w:rFonts w:cs="FrankRuehl"/>
          <w:sz w:val="28"/>
          <w:szCs w:val="28"/>
          <w:rtl/>
        </w:rPr>
        <w:t xml:space="preserve">לתמיכה בטיעוניה הפנתה לפסקי דין שונים, מהם מסתמנת מגמת החמרה בעבירות מהסוג הזה, העונשים באותם פסקי דין  בעבירות דומות, לפני מספר שנים עמדו על 7,9,10 חודשי מאסר </w:t>
      </w:r>
      <w:r>
        <w:rPr>
          <w:rFonts w:cs="FrankRuehl" w:hint="cs"/>
          <w:sz w:val="28"/>
          <w:szCs w:val="28"/>
          <w:rtl/>
        </w:rPr>
        <w:t xml:space="preserve">בפועל </w:t>
      </w:r>
      <w:r>
        <w:rPr>
          <w:rFonts w:cs="FrankRuehl"/>
          <w:sz w:val="28"/>
          <w:szCs w:val="28"/>
          <w:rtl/>
        </w:rPr>
        <w:t>ובשל מגמ</w:t>
      </w:r>
      <w:r>
        <w:rPr>
          <w:rFonts w:cs="FrankRuehl" w:hint="cs"/>
          <w:sz w:val="28"/>
          <w:szCs w:val="28"/>
          <w:rtl/>
        </w:rPr>
        <w:t xml:space="preserve">ת </w:t>
      </w:r>
      <w:r>
        <w:rPr>
          <w:rFonts w:cs="FrankRuehl"/>
          <w:sz w:val="28"/>
          <w:szCs w:val="28"/>
          <w:rtl/>
        </w:rPr>
        <w:t>ההחמרה בפסקי הדין המאוחרים עמדו למשל על 21 חודשי מאסר.</w:t>
      </w:r>
    </w:p>
    <w:p w14:paraId="176A62D3" w14:textId="77777777" w:rsidR="00E76E74" w:rsidRDefault="00E76E74">
      <w:pPr>
        <w:spacing w:line="360" w:lineRule="auto"/>
        <w:ind w:left="720"/>
        <w:jc w:val="both"/>
        <w:rPr>
          <w:rFonts w:cs="FrankRuehl"/>
          <w:sz w:val="28"/>
          <w:szCs w:val="28"/>
          <w:rtl/>
        </w:rPr>
      </w:pPr>
    </w:p>
    <w:p w14:paraId="675DF664" w14:textId="77777777" w:rsidR="00E76E74" w:rsidRDefault="00FA4E9C">
      <w:pPr>
        <w:spacing w:line="360" w:lineRule="auto"/>
        <w:ind w:left="720"/>
        <w:jc w:val="both"/>
        <w:rPr>
          <w:rFonts w:cs="FrankRuehl"/>
          <w:sz w:val="28"/>
          <w:szCs w:val="28"/>
          <w:rtl/>
        </w:rPr>
      </w:pPr>
      <w:r>
        <w:rPr>
          <w:rFonts w:cs="FrankRuehl"/>
          <w:sz w:val="28"/>
          <w:szCs w:val="28"/>
          <w:rtl/>
        </w:rPr>
        <w:t xml:space="preserve">ב"כ המאשימה הוסיפה כי במקרה זה אין לחרוג ממתחם הענישה מאחר ולא עומד על הפרק שיקול שיקומי. מדובר במי שבצע את מעשיו אגב חיים נורמטיביים לכאורה ואין לראות בו כמי שבעטיו של ניהול הליך פלילי "השתקם".  </w:t>
      </w:r>
    </w:p>
    <w:p w14:paraId="1AC24DF2" w14:textId="77777777" w:rsidR="00E76E74" w:rsidRDefault="00E76E74">
      <w:pPr>
        <w:spacing w:line="360" w:lineRule="auto"/>
        <w:ind w:left="720"/>
        <w:jc w:val="both"/>
        <w:rPr>
          <w:rFonts w:cs="FrankRuehl"/>
          <w:sz w:val="28"/>
          <w:szCs w:val="28"/>
        </w:rPr>
      </w:pPr>
    </w:p>
    <w:p w14:paraId="2B34FACE" w14:textId="77777777" w:rsidR="00E76E74" w:rsidRDefault="00FA4E9C">
      <w:pPr>
        <w:pStyle w:val="ListParagraph"/>
        <w:numPr>
          <w:ilvl w:val="0"/>
          <w:numId w:val="2"/>
        </w:numPr>
        <w:spacing w:line="360" w:lineRule="auto"/>
        <w:jc w:val="both"/>
        <w:rPr>
          <w:rFonts w:cs="FrankRuehl"/>
          <w:sz w:val="28"/>
          <w:szCs w:val="28"/>
        </w:rPr>
      </w:pPr>
      <w:r>
        <w:rPr>
          <w:rFonts w:cs="FrankRuehl"/>
          <w:sz w:val="28"/>
          <w:szCs w:val="28"/>
          <w:rtl/>
        </w:rPr>
        <w:t xml:space="preserve">ב"כ הנאשם טען כי מתחם הענישה ההולם נע בין מאסר המבוצע בעבודות שירות לבין שנתיים מאסר בפועל וביקש להטיל על הנאשם עונש מאסר הקרוב לרף התחתון, מבלי להקל בחומרת  העבירות, אך בשל היות הענישה אינדיבידואלית ונסיבותיו האישיות של הנאשם, יליד 10.1.93, כבן 21 ו-8 חודשים וכבן 21 ו- 11 ימים ביום ביצוע העבירה, הוא נמנה על קבוצה המכונה בגירים צעירים, רווק, בן למשפחה נורמטיבית, עובד ומסייע בפרנסת הבית, מתגורר עם הוריו. </w:t>
      </w:r>
    </w:p>
    <w:p w14:paraId="2A868C06" w14:textId="77777777" w:rsidR="00E76E74" w:rsidRDefault="00FA4E9C">
      <w:pPr>
        <w:pStyle w:val="ListParagraph"/>
        <w:spacing w:line="360" w:lineRule="auto"/>
        <w:jc w:val="both"/>
        <w:rPr>
          <w:rFonts w:cs="FrankRuehl"/>
          <w:sz w:val="28"/>
          <w:szCs w:val="28"/>
        </w:rPr>
      </w:pPr>
      <w:r>
        <w:rPr>
          <w:rFonts w:cs="FrankRuehl"/>
          <w:sz w:val="28"/>
          <w:szCs w:val="28"/>
          <w:rtl/>
        </w:rPr>
        <w:lastRenderedPageBreak/>
        <w:t>הנאשם שהה במעצר 57 ימים, ולאחר מכן שוחרר בתנאים מגבילים. ולכן ההרתעה הושגה בשל שהיית הנאשם למשך כחודשיים במעצר.  בנוסף הבהיר ב"כ הנאשם הבהיר כי הנאשם אכן נהל את משפטו, אך בנושא נקודתי בלבד.</w:t>
      </w:r>
    </w:p>
    <w:p w14:paraId="06B69E32" w14:textId="77777777" w:rsidR="00E76E74" w:rsidRDefault="00E76E74">
      <w:pPr>
        <w:spacing w:line="360" w:lineRule="auto"/>
        <w:ind w:left="720"/>
        <w:jc w:val="both"/>
        <w:rPr>
          <w:rFonts w:cs="FrankRuehl"/>
          <w:sz w:val="28"/>
          <w:szCs w:val="28"/>
          <w:rtl/>
        </w:rPr>
      </w:pPr>
    </w:p>
    <w:p w14:paraId="26DF99BD" w14:textId="77777777" w:rsidR="00E76E74" w:rsidRDefault="00FA4E9C">
      <w:pPr>
        <w:spacing w:line="360" w:lineRule="auto"/>
        <w:ind w:left="720"/>
        <w:jc w:val="both"/>
        <w:rPr>
          <w:rFonts w:cs="FrankRuehl"/>
          <w:sz w:val="28"/>
          <w:szCs w:val="28"/>
          <w:rtl/>
        </w:rPr>
      </w:pPr>
      <w:r>
        <w:rPr>
          <w:rFonts w:cs="FrankRuehl"/>
          <w:sz w:val="28"/>
          <w:szCs w:val="28"/>
          <w:rtl/>
        </w:rPr>
        <w:t>בטיעוניו הדגיש כי שהיית הנאשם תקופה ארוכה בבית הסוהר עלולה להשפיע עליו באופן שלילי, והוסיף כי הנאשם עצמו גם חווה אירועים קשים ולא פשוטים בכפר בו הוא מתגורר וביקש לראות בכך שיקול לקולא, בין השאר הפנה לתיק אחר שהתנהל בפניי, הנאשמים באותו מקרה תקפו את הנאשם וגרמו לו חבלות (</w:t>
      </w:r>
      <w:hyperlink r:id="rId19" w:history="1">
        <w:r w:rsidRPr="00FA4E9C">
          <w:rPr>
            <w:rFonts w:cs="FrankRuehl"/>
            <w:color w:val="0000FF"/>
            <w:sz w:val="28"/>
            <w:szCs w:val="28"/>
            <w:u w:val="single"/>
            <w:rtl/>
          </w:rPr>
          <w:t>ת"פ 15237-06-13</w:t>
        </w:r>
      </w:hyperlink>
      <w:r>
        <w:rPr>
          <w:rFonts w:cs="FrankRuehl"/>
          <w:sz w:val="28"/>
          <w:szCs w:val="28"/>
          <w:rtl/>
        </w:rPr>
        <w:t>).</w:t>
      </w:r>
    </w:p>
    <w:p w14:paraId="6B19BCA0" w14:textId="77777777" w:rsidR="00E76E74" w:rsidRDefault="00FA4E9C">
      <w:pPr>
        <w:spacing w:line="360" w:lineRule="auto"/>
        <w:ind w:left="720"/>
        <w:jc w:val="both"/>
        <w:rPr>
          <w:rFonts w:cs="FrankRuehl"/>
          <w:sz w:val="28"/>
          <w:szCs w:val="28"/>
          <w:rtl/>
        </w:rPr>
      </w:pPr>
      <w:r>
        <w:rPr>
          <w:rFonts w:cs="FrankRuehl"/>
          <w:sz w:val="28"/>
          <w:szCs w:val="28"/>
          <w:rtl/>
        </w:rPr>
        <w:t>לתמיכה בטיעוניו הפנה לפסקי דין שונים בהם הוטלו עונשי מאסר של 12,15,16,18 חודשי מאסר בפועל בגין עבירות דומות.</w:t>
      </w:r>
    </w:p>
    <w:p w14:paraId="55664594" w14:textId="77777777" w:rsidR="00E76E74" w:rsidRDefault="00E76E74">
      <w:pPr>
        <w:spacing w:line="360" w:lineRule="auto"/>
        <w:ind w:left="720"/>
        <w:jc w:val="both"/>
        <w:rPr>
          <w:rFonts w:cs="FrankRuehl"/>
          <w:sz w:val="28"/>
          <w:szCs w:val="28"/>
        </w:rPr>
      </w:pPr>
    </w:p>
    <w:p w14:paraId="4F88178E" w14:textId="77777777" w:rsidR="00E76E74" w:rsidRDefault="00FA4E9C">
      <w:pPr>
        <w:spacing w:line="360" w:lineRule="auto"/>
        <w:ind w:left="720"/>
        <w:jc w:val="both"/>
        <w:rPr>
          <w:rFonts w:cs="FrankRuehl"/>
          <w:sz w:val="28"/>
          <w:szCs w:val="28"/>
          <w:rtl/>
        </w:rPr>
      </w:pPr>
      <w:r>
        <w:rPr>
          <w:rFonts w:cs="FrankRuehl"/>
          <w:sz w:val="28"/>
          <w:szCs w:val="28"/>
          <w:rtl/>
        </w:rPr>
        <w:t xml:space="preserve">הנאשם בתום הטיעונים לעונש, ביקש רחמים. </w:t>
      </w:r>
    </w:p>
    <w:p w14:paraId="32FC85CB" w14:textId="77777777" w:rsidR="00E76E74" w:rsidRDefault="00E76E74">
      <w:pPr>
        <w:spacing w:line="360" w:lineRule="auto"/>
        <w:ind w:left="720"/>
        <w:jc w:val="both"/>
        <w:rPr>
          <w:rFonts w:cs="FrankRuehl"/>
          <w:sz w:val="28"/>
          <w:szCs w:val="28"/>
          <w:rtl/>
        </w:rPr>
      </w:pPr>
    </w:p>
    <w:p w14:paraId="1CA5831B" w14:textId="77777777" w:rsidR="00E76E74" w:rsidRDefault="00FA4E9C">
      <w:pPr>
        <w:spacing w:line="360" w:lineRule="auto"/>
        <w:ind w:left="360" w:firstLine="360"/>
        <w:jc w:val="both"/>
        <w:rPr>
          <w:rFonts w:cs="Miriam"/>
        </w:rPr>
      </w:pPr>
      <w:r>
        <w:rPr>
          <w:rFonts w:cs="Miriam"/>
          <w:rtl/>
        </w:rPr>
        <w:t>דיון</w:t>
      </w:r>
    </w:p>
    <w:p w14:paraId="14A36BCB" w14:textId="77777777" w:rsidR="00E76E74" w:rsidRDefault="00FA4E9C">
      <w:pPr>
        <w:spacing w:line="360" w:lineRule="auto"/>
        <w:ind w:left="720"/>
        <w:jc w:val="both"/>
        <w:rPr>
          <w:rFonts w:cs="FrankRuehl"/>
          <w:color w:val="000000"/>
          <w:sz w:val="28"/>
          <w:szCs w:val="28"/>
          <w:rtl/>
        </w:rPr>
      </w:pPr>
      <w:r>
        <w:rPr>
          <w:rFonts w:cs="FrankRuehl"/>
          <w:color w:val="000000"/>
          <w:sz w:val="28"/>
          <w:szCs w:val="28"/>
          <w:rtl/>
        </w:rPr>
        <w:t>במקרה זה חל תיקון 113 לחוק שקבע כי "</w:t>
      </w:r>
      <w:r>
        <w:rPr>
          <w:rFonts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Pr>
          <w:rFonts w:cs="FrankRuehl"/>
          <w:color w:val="000000"/>
          <w:sz w:val="28"/>
          <w:szCs w:val="28"/>
          <w:rtl/>
        </w:rPr>
        <w:t>ו" (</w:t>
      </w:r>
      <w:hyperlink r:id="rId20" w:history="1">
        <w:r w:rsidR="00C46D1E" w:rsidRPr="00C46D1E">
          <w:rPr>
            <w:rFonts w:cs="FrankRuehl"/>
            <w:color w:val="0000FF"/>
            <w:sz w:val="28"/>
            <w:szCs w:val="28"/>
            <w:u w:val="single"/>
            <w:rtl/>
          </w:rPr>
          <w:t>סעיף 40ב').</w:t>
        </w:r>
      </w:hyperlink>
    </w:p>
    <w:p w14:paraId="5C6AFB13" w14:textId="77777777" w:rsidR="00E76E74" w:rsidRDefault="00E76E74">
      <w:pPr>
        <w:spacing w:line="360" w:lineRule="auto"/>
        <w:ind w:left="720"/>
        <w:jc w:val="both"/>
        <w:rPr>
          <w:rFonts w:cs="FrankRuehl"/>
          <w:color w:val="000000"/>
          <w:sz w:val="28"/>
          <w:szCs w:val="28"/>
          <w:rtl/>
        </w:rPr>
      </w:pPr>
    </w:p>
    <w:p w14:paraId="0F2EE7D0" w14:textId="77777777" w:rsidR="00E76E74" w:rsidRDefault="00FA4E9C">
      <w:pPr>
        <w:spacing w:line="360" w:lineRule="auto"/>
        <w:ind w:left="360" w:firstLine="360"/>
        <w:jc w:val="both"/>
        <w:rPr>
          <w:rFonts w:cs="Miriam"/>
          <w:rtl/>
        </w:rPr>
      </w:pPr>
      <w:r>
        <w:rPr>
          <w:rFonts w:cs="Miriam"/>
          <w:rtl/>
        </w:rPr>
        <w:t>מתחם העונש ההולם</w:t>
      </w:r>
    </w:p>
    <w:p w14:paraId="157FDD39" w14:textId="77777777" w:rsidR="00E76E74" w:rsidRDefault="00FA4E9C">
      <w:pPr>
        <w:numPr>
          <w:ilvl w:val="0"/>
          <w:numId w:val="2"/>
        </w:numPr>
        <w:spacing w:line="360" w:lineRule="auto"/>
        <w:jc w:val="both"/>
        <w:rPr>
          <w:rFonts w:cs="FrankRuehl"/>
          <w:sz w:val="28"/>
          <w:szCs w:val="28"/>
        </w:rPr>
      </w:pPr>
      <w:r>
        <w:rPr>
          <w:rFonts w:cs="FrankRuehl"/>
          <w:sz w:val="28"/>
          <w:szCs w:val="28"/>
          <w:rtl/>
        </w:rPr>
        <w:t>במקרה זה מדובר באירוע אחד, הנאשם נשא והחזיק תת מקלע מאולתר שבתוכו מחסנית וכדורים, כשהבחין בכוח משטרתי המשיך בנסיעה מהירה ברכב בו נהג עד אשר נעצר, הנאשם יצא מרכבו והחל לברוח מהמקום בניסיון לחמוק מהשוטרים בעודו מחזיק ונושא את תת המקלע והתחמושת</w:t>
      </w:r>
      <w:r>
        <w:rPr>
          <w:rFonts w:cs="FrankRuehl" w:hint="cs"/>
          <w:sz w:val="28"/>
          <w:szCs w:val="28"/>
          <w:rtl/>
        </w:rPr>
        <w:t>.</w:t>
      </w:r>
      <w:r>
        <w:rPr>
          <w:rFonts w:cs="FrankRuehl"/>
          <w:sz w:val="28"/>
          <w:szCs w:val="28"/>
          <w:rtl/>
        </w:rPr>
        <w:t xml:space="preserve"> במהלך הבריחה הטמין את תת המקלע והתחמושת במטע זיתים סמוך, מדובר בתכנית עבריינית אחת ויש לקבוע מתחם ענישה הולם אחד. </w:t>
      </w:r>
    </w:p>
    <w:p w14:paraId="65569232" w14:textId="77777777" w:rsidR="00E76E74" w:rsidRDefault="00E76E74">
      <w:pPr>
        <w:spacing w:line="360" w:lineRule="auto"/>
        <w:ind w:left="720"/>
        <w:jc w:val="both"/>
        <w:rPr>
          <w:rFonts w:cs="FrankRuehl"/>
          <w:sz w:val="28"/>
          <w:szCs w:val="28"/>
          <w:rtl/>
        </w:rPr>
      </w:pPr>
    </w:p>
    <w:p w14:paraId="453374BC" w14:textId="77777777" w:rsidR="00E76E74" w:rsidRDefault="00FA4E9C">
      <w:pPr>
        <w:spacing w:line="360" w:lineRule="auto"/>
        <w:ind w:left="720"/>
        <w:jc w:val="both"/>
        <w:rPr>
          <w:rFonts w:cs="FrankRuehl"/>
          <w:sz w:val="28"/>
          <w:szCs w:val="28"/>
          <w:rtl/>
        </w:rPr>
      </w:pPr>
      <w:r>
        <w:rPr>
          <w:rFonts w:cs="FrankRuehl"/>
          <w:sz w:val="28"/>
          <w:szCs w:val="28"/>
          <w:rtl/>
        </w:rPr>
        <w:t xml:space="preserve">במעשיו פגע בשלום הציבור ובטחונו במקרה זה הפגיעה אינה קלה בשל טיבו של הנשק אותו נשא והוביל הנאשם. </w:t>
      </w:r>
    </w:p>
    <w:p w14:paraId="621231B4" w14:textId="77777777" w:rsidR="00E76E74" w:rsidRDefault="00E76E74">
      <w:pPr>
        <w:spacing w:line="360" w:lineRule="auto"/>
        <w:ind w:left="720"/>
        <w:jc w:val="both"/>
        <w:rPr>
          <w:rFonts w:cs="FrankRuehl"/>
          <w:sz w:val="28"/>
          <w:szCs w:val="28"/>
          <w:rtl/>
        </w:rPr>
      </w:pPr>
    </w:p>
    <w:p w14:paraId="6F09A552" w14:textId="77777777" w:rsidR="00E76E74" w:rsidRDefault="00FA4E9C">
      <w:pPr>
        <w:spacing w:line="360" w:lineRule="auto"/>
        <w:ind w:left="720"/>
        <w:jc w:val="both"/>
        <w:rPr>
          <w:rFonts w:cs="FrankRuehl"/>
          <w:sz w:val="28"/>
          <w:szCs w:val="28"/>
          <w:rtl/>
        </w:rPr>
      </w:pPr>
      <w:r>
        <w:rPr>
          <w:rFonts w:cs="FrankRuehl"/>
          <w:sz w:val="28"/>
          <w:szCs w:val="28"/>
          <w:rtl/>
        </w:rPr>
        <w:t xml:space="preserve">אשר למדיניות הענישה, בשנים האחרונות ניכרת מגמת החמרה בעונשי המאסר ככל שמדובר בעבירות נשק: </w:t>
      </w:r>
    </w:p>
    <w:p w14:paraId="6018404F" w14:textId="77777777" w:rsidR="00E76E74" w:rsidRDefault="00FA4E9C">
      <w:pPr>
        <w:spacing w:line="360" w:lineRule="auto"/>
        <w:ind w:left="720"/>
        <w:jc w:val="both"/>
        <w:rPr>
          <w:rFonts w:ascii="Arial TUR" w:hAnsi="Arial TUR" w:cs="FrankRuehl"/>
          <w:spacing w:val="10"/>
          <w:sz w:val="28"/>
          <w:szCs w:val="28"/>
          <w:rtl/>
        </w:rPr>
      </w:pPr>
      <w:r>
        <w:rPr>
          <w:rFonts w:cs="FrankRuehl"/>
          <w:sz w:val="28"/>
          <w:szCs w:val="28"/>
          <w:rtl/>
        </w:rPr>
        <w:t>ב</w:t>
      </w:r>
      <w:hyperlink r:id="rId21" w:history="1">
        <w:r w:rsidRPr="00FA4E9C">
          <w:rPr>
            <w:rFonts w:cs="FrankRuehl"/>
            <w:color w:val="0000FF"/>
            <w:sz w:val="28"/>
            <w:szCs w:val="28"/>
            <w:u w:val="single"/>
            <w:rtl/>
          </w:rPr>
          <w:t>ע"פ  3288/14</w:t>
        </w:r>
      </w:hyperlink>
      <w:r>
        <w:rPr>
          <w:rFonts w:cs="FrankRuehl"/>
          <w:sz w:val="28"/>
          <w:szCs w:val="28"/>
          <w:rtl/>
        </w:rPr>
        <w:t xml:space="preserve"> </w:t>
      </w:r>
      <w:r>
        <w:rPr>
          <w:rFonts w:cs="Miriam"/>
          <w:rtl/>
        </w:rPr>
        <w:t>מדינת ישראל נ' קריספיל</w:t>
      </w:r>
      <w:r>
        <w:rPr>
          <w:rFonts w:cs="FrankRuehl"/>
          <w:sz w:val="28"/>
          <w:szCs w:val="28"/>
          <w:rtl/>
        </w:rPr>
        <w:t xml:space="preserve"> (</w:t>
      </w:r>
      <w:r>
        <w:rPr>
          <w:rFonts w:ascii="Arial TUR" w:hAnsi="Arial TUR" w:cs="FrankRuehl"/>
          <w:spacing w:val="10"/>
          <w:sz w:val="28"/>
          <w:szCs w:val="28"/>
          <w:rtl/>
        </w:rPr>
        <w:t>24.8.2014</w:t>
      </w:r>
      <w:r>
        <w:rPr>
          <w:rFonts w:cs="FrankRuehl"/>
          <w:sz w:val="28"/>
          <w:szCs w:val="28"/>
          <w:rtl/>
        </w:rPr>
        <w:t>), הנאשם הורשע על פי הודאתו בעבירות של החזקת נשק בלא רשות והחזקת נכס החשוד כגנוב, ערעור שהגישה המדינה לבית המשפט העליון התקבל והעונש הוחמר מ-9 חודשי מאסר ל-18 חודשי מאסר בפועל. (באותו מקרה הנאשם היה משוחרר והמשמעות ה</w:t>
      </w:r>
      <w:r>
        <w:rPr>
          <w:rFonts w:cs="FrankRuehl" w:hint="cs"/>
          <w:sz w:val="28"/>
          <w:szCs w:val="28"/>
          <w:rtl/>
        </w:rPr>
        <w:t>י</w:t>
      </w:r>
      <w:r>
        <w:rPr>
          <w:rFonts w:cs="FrankRuehl"/>
          <w:sz w:val="28"/>
          <w:szCs w:val="28"/>
          <w:rtl/>
        </w:rPr>
        <w:t xml:space="preserve">יתה החזרתו אל מאחורי הסורגים). </w:t>
      </w:r>
    </w:p>
    <w:p w14:paraId="1D680AEA" w14:textId="77777777" w:rsidR="00E76E74" w:rsidRDefault="00FA4E9C">
      <w:pPr>
        <w:spacing w:line="360" w:lineRule="auto"/>
        <w:ind w:left="720"/>
        <w:jc w:val="both"/>
        <w:rPr>
          <w:rFonts w:cs="FrankRuehl"/>
          <w:sz w:val="28"/>
          <w:szCs w:val="28"/>
          <w:rtl/>
        </w:rPr>
      </w:pPr>
      <w:r>
        <w:rPr>
          <w:rFonts w:cs="FrankRuehl"/>
          <w:sz w:val="28"/>
          <w:szCs w:val="28"/>
          <w:rtl/>
        </w:rPr>
        <w:t>ב</w:t>
      </w:r>
      <w:hyperlink r:id="rId22" w:history="1">
        <w:r w:rsidRPr="00FA4E9C">
          <w:rPr>
            <w:rFonts w:cs="FrankRuehl"/>
            <w:color w:val="0000FF"/>
            <w:sz w:val="28"/>
            <w:szCs w:val="28"/>
            <w:u w:val="single"/>
            <w:rtl/>
          </w:rPr>
          <w:t>ע"פ 2398/14</w:t>
        </w:r>
      </w:hyperlink>
      <w:r>
        <w:rPr>
          <w:rFonts w:cs="FrankRuehl"/>
          <w:sz w:val="28"/>
          <w:szCs w:val="28"/>
          <w:rtl/>
        </w:rPr>
        <w:t xml:space="preserve"> </w:t>
      </w:r>
      <w:r>
        <w:rPr>
          <w:rFonts w:cs="Miriam"/>
          <w:rtl/>
        </w:rPr>
        <w:t>אלהזייל נ' מדינת ישראל</w:t>
      </w:r>
      <w:r>
        <w:rPr>
          <w:rFonts w:cs="FrankRuehl"/>
          <w:sz w:val="28"/>
          <w:szCs w:val="28"/>
          <w:rtl/>
        </w:rPr>
        <w:t xml:space="preserve"> (8.7.2014) (להלן-</w:t>
      </w:r>
      <w:r>
        <w:rPr>
          <w:rFonts w:cs="Miriam"/>
          <w:rtl/>
        </w:rPr>
        <w:t>ענין אלהזייל</w:t>
      </w:r>
      <w:r>
        <w:rPr>
          <w:rFonts w:cs="FrankRuehl"/>
          <w:sz w:val="28"/>
          <w:szCs w:val="28"/>
          <w:rtl/>
        </w:rPr>
        <w:t>), הנאשם הורשע בעבירה של אחזקת נשק ותחמושת, הנאשם נדון ל- 13 חודשי מאסר בפועל. ערעור שהוגש ל</w:t>
      </w:r>
      <w:r>
        <w:rPr>
          <w:rFonts w:cs="FrankRuehl" w:hint="cs"/>
          <w:sz w:val="28"/>
          <w:szCs w:val="28"/>
          <w:rtl/>
        </w:rPr>
        <w:t>בית המשפט ה</w:t>
      </w:r>
      <w:r>
        <w:rPr>
          <w:rFonts w:cs="FrankRuehl"/>
          <w:sz w:val="28"/>
          <w:szCs w:val="28"/>
          <w:rtl/>
        </w:rPr>
        <w:t xml:space="preserve">עליון נדחה. </w:t>
      </w:r>
    </w:p>
    <w:p w14:paraId="3B778248" w14:textId="77777777" w:rsidR="00E76E74" w:rsidRDefault="00FA4E9C">
      <w:pPr>
        <w:pStyle w:val="Ruller4"/>
        <w:numPr>
          <w:ilvl w:val="0"/>
          <w:numId w:val="0"/>
        </w:numPr>
        <w:tabs>
          <w:tab w:val="left" w:pos="8126"/>
        </w:tabs>
        <w:ind w:left="720"/>
        <w:rPr>
          <w:rFonts w:ascii="Arial" w:hAnsi="Arial"/>
          <w:spacing w:val="0"/>
          <w:sz w:val="28"/>
          <w:rtl/>
        </w:rPr>
      </w:pPr>
      <w:r>
        <w:rPr>
          <w:rFonts w:ascii="Arial" w:hAnsi="Arial"/>
          <w:spacing w:val="0"/>
          <w:sz w:val="28"/>
          <w:rtl/>
        </w:rPr>
        <w:t>ב</w:t>
      </w:r>
      <w:hyperlink r:id="rId23" w:history="1">
        <w:r w:rsidRPr="00FA4E9C">
          <w:rPr>
            <w:rFonts w:ascii="Arial" w:hAnsi="Arial"/>
            <w:color w:val="0000FF"/>
            <w:spacing w:val="0"/>
            <w:sz w:val="28"/>
            <w:u w:val="single"/>
            <w:rtl/>
          </w:rPr>
          <w:t>ע"פ 5323/12</w:t>
        </w:r>
      </w:hyperlink>
      <w:r>
        <w:rPr>
          <w:rFonts w:ascii="Arial" w:hAnsi="Arial"/>
          <w:spacing w:val="0"/>
          <w:sz w:val="28"/>
          <w:rtl/>
        </w:rPr>
        <w:t xml:space="preserve"> </w:t>
      </w:r>
      <w:r>
        <w:rPr>
          <w:rFonts w:ascii="Arial" w:hAnsi="Arial" w:cs="Miriam"/>
          <w:spacing w:val="0"/>
          <w:szCs w:val="24"/>
          <w:rtl/>
        </w:rPr>
        <w:t>אבו ליל נ' מדינת ישראל</w:t>
      </w:r>
      <w:r>
        <w:rPr>
          <w:rFonts w:ascii="Arial" w:hAnsi="Arial"/>
          <w:spacing w:val="0"/>
          <w:sz w:val="28"/>
          <w:rtl/>
        </w:rPr>
        <w:t xml:space="preserve"> (17.6.2014) הנאשם הצטייד ברובה אוטומטי, מחסנית וכדורים, והטמינם בתוך מזוודה בחורשה, ערעור הנאשם בגין עונש של 28 חודשי מאסר (בנוסף להפעלת 8 חודשי מאסר על תנאי נוספים),  נדחה. </w:t>
      </w:r>
    </w:p>
    <w:p w14:paraId="72CDE4BC" w14:textId="77777777" w:rsidR="00E76E74" w:rsidRDefault="00FA4E9C">
      <w:pPr>
        <w:spacing w:line="360" w:lineRule="auto"/>
        <w:ind w:left="720"/>
        <w:jc w:val="both"/>
        <w:rPr>
          <w:rFonts w:cs="FrankRuehl"/>
          <w:sz w:val="28"/>
          <w:szCs w:val="28"/>
          <w:rtl/>
        </w:rPr>
      </w:pPr>
      <w:r>
        <w:rPr>
          <w:rFonts w:cs="FrankRuehl"/>
          <w:sz w:val="28"/>
          <w:szCs w:val="28"/>
          <w:rtl/>
        </w:rPr>
        <w:t>ב</w:t>
      </w:r>
      <w:hyperlink r:id="rId24" w:history="1">
        <w:r w:rsidRPr="00FA4E9C">
          <w:rPr>
            <w:rFonts w:cs="FrankRuehl"/>
            <w:color w:val="0000FF"/>
            <w:sz w:val="28"/>
            <w:szCs w:val="28"/>
            <w:u w:val="single"/>
            <w:rtl/>
          </w:rPr>
          <w:t>ע"פ 4945/13</w:t>
        </w:r>
      </w:hyperlink>
      <w:r>
        <w:rPr>
          <w:rFonts w:cs="FrankRuehl"/>
          <w:sz w:val="28"/>
          <w:szCs w:val="28"/>
          <w:rtl/>
        </w:rPr>
        <w:t xml:space="preserve"> </w:t>
      </w:r>
      <w:r>
        <w:rPr>
          <w:rFonts w:cs="Miriam"/>
          <w:rtl/>
        </w:rPr>
        <w:t>מדינת ישראל נ' סלימאן</w:t>
      </w:r>
      <w:r>
        <w:rPr>
          <w:rFonts w:cs="FrankRuehl"/>
          <w:sz w:val="28"/>
          <w:szCs w:val="28"/>
          <w:rtl/>
        </w:rPr>
        <w:t xml:space="preserve"> (19.1.2014) (להלן-</w:t>
      </w:r>
      <w:r>
        <w:rPr>
          <w:rFonts w:cs="Miriam"/>
          <w:rtl/>
        </w:rPr>
        <w:t>ענין סלימאן)</w:t>
      </w:r>
      <w:r>
        <w:rPr>
          <w:rFonts w:cs="FrankRuehl"/>
          <w:sz w:val="28"/>
          <w:szCs w:val="28"/>
          <w:rtl/>
        </w:rPr>
        <w:t xml:space="preserve"> , הנאשם הורשע בעבירות של רכישה והחזקת נשק, רכישה והחזקת תחמושת, נשיאה והובלת נשק ונשיאה והובלת תחמושת, הפרעה לשוטר במילוי תפקידו, מעשה פזיזות ורשלנות והסתייעות ברכב לביצוע פשע, הנאשם בן 20, נורמטיבי, בית המשפט גזר על הנאשם עונש של 6 חודשי מאסר לריצוי בעבודות שירות לאור סיכויי השיקום והמלצת שירות המבחן, בית המשפט העליון קבע כי מתחם העונש ההולם במקרה כזה אמור לנוע בין 12 ל- 36 חודשי מאסר בפועל, הערעור לעניין העונש נדחה לאור הסיכוי לשיקום. </w:t>
      </w:r>
    </w:p>
    <w:p w14:paraId="5FCD05AB" w14:textId="77777777" w:rsidR="00E76E74" w:rsidRDefault="00E76E74">
      <w:pPr>
        <w:spacing w:line="360" w:lineRule="auto"/>
        <w:ind w:left="720"/>
        <w:jc w:val="both"/>
        <w:rPr>
          <w:rFonts w:cs="FrankRuehl"/>
          <w:sz w:val="28"/>
          <w:szCs w:val="28"/>
          <w:rtl/>
        </w:rPr>
      </w:pPr>
    </w:p>
    <w:p w14:paraId="575F573F" w14:textId="77777777" w:rsidR="00E76E74" w:rsidRDefault="00FA4E9C">
      <w:pPr>
        <w:spacing w:line="360" w:lineRule="auto"/>
        <w:ind w:left="720"/>
        <w:jc w:val="both"/>
        <w:rPr>
          <w:rFonts w:cs="FrankRuehl"/>
          <w:sz w:val="28"/>
          <w:szCs w:val="28"/>
          <w:rtl/>
        </w:rPr>
      </w:pPr>
      <w:r>
        <w:rPr>
          <w:rFonts w:cs="FrankRuehl"/>
          <w:sz w:val="28"/>
          <w:szCs w:val="28"/>
          <w:rtl/>
        </w:rPr>
        <w:t>ב</w:t>
      </w:r>
      <w:hyperlink r:id="rId25" w:history="1">
        <w:r w:rsidRPr="00FA4E9C">
          <w:rPr>
            <w:rFonts w:cs="FrankRuehl"/>
            <w:color w:val="0000FF"/>
            <w:sz w:val="28"/>
            <w:szCs w:val="28"/>
            <w:u w:val="single"/>
            <w:rtl/>
          </w:rPr>
          <w:t>ע"פ 2892/13</w:t>
        </w:r>
      </w:hyperlink>
      <w:r>
        <w:rPr>
          <w:rFonts w:cs="FrankRuehl"/>
          <w:sz w:val="28"/>
          <w:szCs w:val="28"/>
          <w:rtl/>
        </w:rPr>
        <w:t xml:space="preserve"> </w:t>
      </w:r>
      <w:r>
        <w:rPr>
          <w:rFonts w:cs="Miriam"/>
          <w:rtl/>
        </w:rPr>
        <w:t>עודתאללה נ' מדינת ישראל</w:t>
      </w:r>
      <w:r>
        <w:rPr>
          <w:rFonts w:cs="FrankRuehl"/>
          <w:sz w:val="28"/>
          <w:szCs w:val="28"/>
          <w:rtl/>
        </w:rPr>
        <w:t xml:space="preserve"> (29.9.2013), נאשם הוביל ונשא אקדח עם מחסנית ריקה תחת כיסא הנהג ברכב, כשהבחין בחסימה משטרתית, סטה מהנתיב ועצר את הרכב, העונש שהוטל על הנאשם הצעיר עמד על 21 חודשי מאסר בפועל. ערעור שהוגש ל</w:t>
      </w:r>
      <w:r>
        <w:rPr>
          <w:rFonts w:cs="FrankRuehl" w:hint="cs"/>
          <w:sz w:val="28"/>
          <w:szCs w:val="28"/>
          <w:rtl/>
        </w:rPr>
        <w:t>בית המשפט ה</w:t>
      </w:r>
      <w:r>
        <w:rPr>
          <w:rFonts w:cs="FrankRuehl"/>
          <w:sz w:val="28"/>
          <w:szCs w:val="28"/>
          <w:rtl/>
        </w:rPr>
        <w:t xml:space="preserve">עליון נדחה. </w:t>
      </w:r>
    </w:p>
    <w:p w14:paraId="7FA2FBD3" w14:textId="77777777" w:rsidR="00E76E74" w:rsidRDefault="00E76E74">
      <w:pPr>
        <w:spacing w:line="360" w:lineRule="auto"/>
        <w:jc w:val="both"/>
        <w:rPr>
          <w:rFonts w:cs="FrankRuehl"/>
          <w:sz w:val="28"/>
          <w:szCs w:val="28"/>
          <w:rtl/>
        </w:rPr>
      </w:pPr>
    </w:p>
    <w:p w14:paraId="2AA3DC18" w14:textId="77777777" w:rsidR="00E76E74" w:rsidRDefault="00FA4E9C">
      <w:pPr>
        <w:numPr>
          <w:ilvl w:val="0"/>
          <w:numId w:val="2"/>
        </w:numPr>
        <w:spacing w:line="360" w:lineRule="auto"/>
        <w:jc w:val="both"/>
        <w:rPr>
          <w:rFonts w:cs="FrankRuehl"/>
          <w:sz w:val="28"/>
          <w:szCs w:val="28"/>
          <w:rtl/>
        </w:rPr>
      </w:pPr>
      <w:r>
        <w:rPr>
          <w:rFonts w:cs="FrankRuehl"/>
          <w:sz w:val="28"/>
          <w:szCs w:val="28"/>
          <w:rtl/>
        </w:rPr>
        <w:t xml:space="preserve">בענין </w:t>
      </w:r>
      <w:r>
        <w:rPr>
          <w:rFonts w:cs="Miriam"/>
          <w:rtl/>
        </w:rPr>
        <w:t>סלימאן</w:t>
      </w:r>
      <w:r>
        <w:rPr>
          <w:rFonts w:cs="FrankRuehl"/>
          <w:sz w:val="28"/>
          <w:szCs w:val="28"/>
          <w:rtl/>
        </w:rPr>
        <w:t xml:space="preserve"> קבע בית המשפט העליון את מדיניות הענישה הראויה בעבירות אלו:</w:t>
      </w:r>
    </w:p>
    <w:p w14:paraId="6B3F43BB" w14:textId="77777777" w:rsidR="00E76E74" w:rsidRDefault="00FA4E9C">
      <w:pPr>
        <w:ind w:left="1440" w:right="720"/>
        <w:jc w:val="both"/>
        <w:rPr>
          <w:rFonts w:cs="FrankRuehl"/>
          <w:sz w:val="28"/>
          <w:szCs w:val="28"/>
          <w:rtl/>
        </w:rPr>
      </w:pPr>
      <w:r>
        <w:rPr>
          <w:rFonts w:cs="FrankRuehl"/>
          <w:sz w:val="28"/>
          <w:szCs w:val="28"/>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p>
    <w:p w14:paraId="751653EB" w14:textId="77777777" w:rsidR="00E76E74" w:rsidRDefault="00E76E74">
      <w:pPr>
        <w:spacing w:line="360" w:lineRule="auto"/>
        <w:ind w:left="1440" w:right="720"/>
        <w:jc w:val="both"/>
        <w:rPr>
          <w:rFonts w:cs="FrankRuehl"/>
          <w:sz w:val="28"/>
          <w:szCs w:val="28"/>
          <w:rtl/>
        </w:rPr>
      </w:pPr>
    </w:p>
    <w:p w14:paraId="749E494A" w14:textId="77777777" w:rsidR="00E76E74" w:rsidRDefault="00FA4E9C">
      <w:pPr>
        <w:spacing w:line="360" w:lineRule="auto"/>
        <w:jc w:val="both"/>
        <w:rPr>
          <w:rFonts w:cs="FrankRuehl"/>
          <w:sz w:val="28"/>
          <w:szCs w:val="28"/>
          <w:rtl/>
        </w:rPr>
      </w:pPr>
      <w:r>
        <w:rPr>
          <w:rFonts w:cs="FrankRuehl"/>
          <w:sz w:val="28"/>
          <w:szCs w:val="28"/>
          <w:rtl/>
        </w:rPr>
        <w:tab/>
        <w:t xml:space="preserve">ראו גם פסק דינו של כב' השופט י' עמית </w:t>
      </w:r>
      <w:r>
        <w:rPr>
          <w:rFonts w:cs="Miriam"/>
          <w:rtl/>
        </w:rPr>
        <w:t>בענין אלהזייל</w:t>
      </w:r>
      <w:r>
        <w:rPr>
          <w:rFonts w:cs="FrankRuehl"/>
          <w:sz w:val="28"/>
          <w:szCs w:val="28"/>
          <w:rtl/>
        </w:rPr>
        <w:t xml:space="preserve">: </w:t>
      </w:r>
    </w:p>
    <w:p w14:paraId="776EA3E0" w14:textId="77777777" w:rsidR="00E76E74" w:rsidRDefault="00FA4E9C">
      <w:pPr>
        <w:tabs>
          <w:tab w:val="left" w:pos="7586"/>
        </w:tabs>
        <w:ind w:left="1440" w:right="720"/>
        <w:jc w:val="both"/>
        <w:rPr>
          <w:rFonts w:cs="FrankRuehl"/>
          <w:sz w:val="28"/>
          <w:szCs w:val="28"/>
          <w:rtl/>
        </w:rPr>
      </w:pPr>
      <w:r>
        <w:rPr>
          <w:rFonts w:cs="FrankRuehl"/>
          <w:sz w:val="28"/>
          <w:szCs w:val="28"/>
          <w:rtl/>
        </w:rPr>
        <w:t xml:space="preserve">"אחזור ואדגיש את מדיניות ההחמרה בעבירות נשק, שבאה לידי ביטוי בשורה ארוכה של פסקי דין של בית משפט זה בשנים האחרונות...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6A91BC49" w14:textId="77777777" w:rsidR="00E76E74" w:rsidRDefault="00FA4E9C">
      <w:pPr>
        <w:spacing w:line="360" w:lineRule="auto"/>
        <w:jc w:val="both"/>
        <w:rPr>
          <w:rFonts w:cs="FrankRuehl"/>
          <w:sz w:val="28"/>
          <w:szCs w:val="28"/>
          <w:rtl/>
        </w:rPr>
      </w:pPr>
      <w:r>
        <w:rPr>
          <w:rFonts w:cs="FrankRuehl"/>
          <w:sz w:val="28"/>
          <w:szCs w:val="28"/>
          <w:rtl/>
        </w:rPr>
        <w:tab/>
      </w:r>
    </w:p>
    <w:p w14:paraId="73F13CB8" w14:textId="77777777" w:rsidR="00E76E74" w:rsidRDefault="00FA4E9C">
      <w:pPr>
        <w:numPr>
          <w:ilvl w:val="0"/>
          <w:numId w:val="2"/>
        </w:numPr>
        <w:spacing w:line="360" w:lineRule="auto"/>
        <w:jc w:val="both"/>
        <w:rPr>
          <w:rFonts w:cs="FrankRuehl"/>
          <w:sz w:val="28"/>
          <w:szCs w:val="28"/>
        </w:rPr>
      </w:pPr>
      <w:r>
        <w:rPr>
          <w:rFonts w:cs="FrankRuehl"/>
          <w:sz w:val="28"/>
          <w:szCs w:val="28"/>
          <w:rtl/>
        </w:rPr>
        <w:t xml:space="preserve">באשר לנסיבות הקשורות בביצוע העבירה (לפי </w:t>
      </w:r>
      <w:hyperlink r:id="rId26" w:history="1">
        <w:r w:rsidR="00C46D1E" w:rsidRPr="00C46D1E">
          <w:rPr>
            <w:rFonts w:cs="FrankRuehl"/>
            <w:color w:val="0000FF"/>
            <w:sz w:val="28"/>
            <w:szCs w:val="28"/>
            <w:u w:val="single"/>
            <w:rtl/>
          </w:rPr>
          <w:t>סעיף 40ט'</w:t>
        </w:r>
      </w:hyperlink>
      <w:r>
        <w:rPr>
          <w:rFonts w:cs="FrankRuehl"/>
          <w:sz w:val="28"/>
          <w:szCs w:val="28"/>
          <w:rtl/>
        </w:rPr>
        <w:t xml:space="preserve"> לחוק), מאחר ומדובר בעבירות בעלות היבט נקודתי מבחינת הזמן, אין משמעות במקרה זה לשאלת תכנון מוקדם, מובן מאליו כי הנאשם ידע היטב כי הוא מחזיק בתיק ובו תת מקלע מאולתר, מחסנים וכדורים.</w:t>
      </w:r>
    </w:p>
    <w:p w14:paraId="08B356E2" w14:textId="77777777" w:rsidR="00E76E74" w:rsidRDefault="00E76E74">
      <w:pPr>
        <w:spacing w:line="360" w:lineRule="auto"/>
        <w:ind w:left="720"/>
        <w:jc w:val="both"/>
        <w:rPr>
          <w:rFonts w:cs="FrankRuehl"/>
          <w:sz w:val="28"/>
          <w:szCs w:val="28"/>
        </w:rPr>
      </w:pPr>
    </w:p>
    <w:p w14:paraId="6318CF47" w14:textId="77777777" w:rsidR="00E76E74" w:rsidRDefault="00FA4E9C">
      <w:pPr>
        <w:spacing w:line="360" w:lineRule="auto"/>
        <w:ind w:left="720"/>
        <w:jc w:val="both"/>
        <w:rPr>
          <w:rFonts w:cs="FrankRuehl"/>
          <w:sz w:val="28"/>
          <w:szCs w:val="28"/>
          <w:rtl/>
        </w:rPr>
      </w:pPr>
      <w:r>
        <w:rPr>
          <w:rFonts w:cs="FrankRuehl"/>
          <w:sz w:val="28"/>
          <w:szCs w:val="28"/>
          <w:rtl/>
        </w:rPr>
        <w:t>אין ספק כי עבירות הנשק הינן עבירות חמורות, ומיותר להכביר מילים באשר לנזק הצפוי לציבור ולאנשים תמימים, כתוצאה משימוש בנשק או</w:t>
      </w:r>
      <w:r>
        <w:rPr>
          <w:rFonts w:cs="FrankRuehl" w:hint="cs"/>
          <w:sz w:val="28"/>
          <w:szCs w:val="28"/>
          <w:rtl/>
        </w:rPr>
        <w:t>תו</w:t>
      </w:r>
      <w:r>
        <w:rPr>
          <w:rFonts w:cs="FrankRuehl"/>
          <w:sz w:val="28"/>
          <w:szCs w:val="28"/>
          <w:rtl/>
        </w:rPr>
        <w:t xml:space="preserve"> הוביל ונשא הנאשם. עוד חשוב להדגיש כי מדובר בתת מקלע טעון, בו טמון פוטנציאל סיכון גבוה ביותר.</w:t>
      </w:r>
    </w:p>
    <w:p w14:paraId="49D4B2F4" w14:textId="77777777" w:rsidR="00E76E74" w:rsidRDefault="00E76E74">
      <w:pPr>
        <w:spacing w:line="360" w:lineRule="auto"/>
        <w:ind w:left="720"/>
        <w:jc w:val="both"/>
        <w:rPr>
          <w:rFonts w:cs="FrankRuehl"/>
          <w:sz w:val="28"/>
          <w:szCs w:val="28"/>
        </w:rPr>
      </w:pPr>
    </w:p>
    <w:p w14:paraId="7FE22483" w14:textId="77777777" w:rsidR="00E76E74" w:rsidRDefault="00FA4E9C">
      <w:pPr>
        <w:numPr>
          <w:ilvl w:val="0"/>
          <w:numId w:val="2"/>
        </w:numPr>
        <w:spacing w:line="360" w:lineRule="auto"/>
        <w:jc w:val="both"/>
        <w:rPr>
          <w:rFonts w:cs="FrankRuehl"/>
          <w:sz w:val="28"/>
          <w:szCs w:val="28"/>
          <w:u w:val="single"/>
        </w:rPr>
      </w:pPr>
      <w:r>
        <w:rPr>
          <w:rFonts w:cs="FrankRuehl"/>
          <w:sz w:val="28"/>
          <w:szCs w:val="28"/>
          <w:rtl/>
        </w:rPr>
        <w:t xml:space="preserve">בהתחשב בערך החברתי שנפגע מביצוע העבירות, במידת הפגיעה בו, במדיניות הענישה הנהוגה ובנסיבות הקשורות בביצוע העבירות, אני קובע כי העונש ההולם במקרה זה הוא מאסר במתחם שבין </w:t>
      </w:r>
      <w:r>
        <w:rPr>
          <w:rFonts w:cs="FrankRuehl"/>
          <w:sz w:val="28"/>
          <w:szCs w:val="28"/>
          <w:u w:val="single"/>
          <w:rtl/>
        </w:rPr>
        <w:t>12</w:t>
      </w:r>
      <w:r>
        <w:rPr>
          <w:rFonts w:cs="FrankRuehl"/>
          <w:sz w:val="28"/>
          <w:szCs w:val="28"/>
          <w:rtl/>
        </w:rPr>
        <w:t xml:space="preserve"> חודשי מאסר בפועל ל- </w:t>
      </w:r>
      <w:r>
        <w:rPr>
          <w:rFonts w:cs="FrankRuehl"/>
          <w:sz w:val="28"/>
          <w:szCs w:val="28"/>
          <w:u w:val="single"/>
          <w:rtl/>
        </w:rPr>
        <w:t>36</w:t>
      </w:r>
      <w:r>
        <w:rPr>
          <w:rFonts w:cs="FrankRuehl"/>
          <w:sz w:val="28"/>
          <w:szCs w:val="28"/>
          <w:rtl/>
        </w:rPr>
        <w:t xml:space="preserve"> חודשי בפועל, מאסר מותנה וקנס. </w:t>
      </w:r>
    </w:p>
    <w:p w14:paraId="219FA8AF" w14:textId="77777777" w:rsidR="00E76E74" w:rsidRDefault="00E76E74">
      <w:pPr>
        <w:spacing w:line="360" w:lineRule="auto"/>
        <w:jc w:val="both"/>
        <w:rPr>
          <w:rFonts w:cs="FrankRuehl"/>
          <w:sz w:val="28"/>
          <w:szCs w:val="28"/>
          <w:u w:val="single"/>
          <w:rtl/>
        </w:rPr>
      </w:pPr>
    </w:p>
    <w:p w14:paraId="0516F50E" w14:textId="77777777" w:rsidR="00E76E74" w:rsidRDefault="00FA4E9C">
      <w:pPr>
        <w:spacing w:line="360" w:lineRule="auto"/>
        <w:ind w:left="360" w:firstLine="360"/>
        <w:jc w:val="both"/>
        <w:rPr>
          <w:rFonts w:cs="Miriam"/>
          <w:rtl/>
        </w:rPr>
      </w:pPr>
      <w:r>
        <w:rPr>
          <w:rFonts w:cs="Miriam"/>
          <w:rtl/>
        </w:rPr>
        <w:t>העונש המתאים</w:t>
      </w:r>
    </w:p>
    <w:p w14:paraId="5CC3C565" w14:textId="77777777" w:rsidR="00E76E74" w:rsidRDefault="00FA4E9C">
      <w:pPr>
        <w:numPr>
          <w:ilvl w:val="0"/>
          <w:numId w:val="2"/>
        </w:numPr>
        <w:spacing w:line="360" w:lineRule="auto"/>
        <w:jc w:val="both"/>
        <w:rPr>
          <w:rFonts w:cs="FrankRuehl"/>
          <w:sz w:val="28"/>
          <w:szCs w:val="28"/>
        </w:rPr>
      </w:pPr>
      <w:r>
        <w:rPr>
          <w:rFonts w:cs="FrankRuehl"/>
          <w:sz w:val="28"/>
          <w:szCs w:val="28"/>
          <w:rtl/>
        </w:rPr>
        <w:t>הנאשם יליד 10.1.93 כבן 21 ומספר ימים במועד ביצוע העבירה, ללא עבר פלילי, ממשפחה נורמטיבית</w:t>
      </w:r>
      <w:r>
        <w:rPr>
          <w:rFonts w:cs="FrankRuehl" w:hint="cs"/>
          <w:sz w:val="28"/>
          <w:szCs w:val="28"/>
          <w:rtl/>
        </w:rPr>
        <w:t>.</w:t>
      </w:r>
      <w:r>
        <w:rPr>
          <w:rFonts w:cs="FrankRuehl"/>
          <w:sz w:val="28"/>
          <w:szCs w:val="28"/>
          <w:rtl/>
        </w:rPr>
        <w:t xml:space="preserve"> </w:t>
      </w:r>
    </w:p>
    <w:p w14:paraId="5D788D14" w14:textId="77777777" w:rsidR="00E76E74" w:rsidRDefault="00FA4E9C">
      <w:pPr>
        <w:spacing w:line="360" w:lineRule="auto"/>
        <w:ind w:left="720"/>
        <w:jc w:val="both"/>
        <w:rPr>
          <w:rFonts w:cs="FrankRuehl"/>
          <w:sz w:val="28"/>
          <w:szCs w:val="28"/>
          <w:rtl/>
        </w:rPr>
      </w:pPr>
      <w:r>
        <w:rPr>
          <w:rFonts w:cs="FrankRuehl"/>
          <w:sz w:val="28"/>
          <w:szCs w:val="28"/>
          <w:rtl/>
        </w:rPr>
        <w:t>לא עומדת על הפרק שאלת שיקומו של הנאשם, אין חובה במקרה זה לבחינת אפשרות שיקומו של הנאשם באמצעות שירות המבחן, ולא הוצגו מטעמו של הנאשם טענות בדבר סיכויי של ממש כי ישתקם, למעט הטענה המקובלת עליי, כי מאסר</w:t>
      </w:r>
      <w:r>
        <w:rPr>
          <w:rFonts w:cs="FrankRuehl" w:hint="cs"/>
          <w:sz w:val="28"/>
          <w:szCs w:val="28"/>
          <w:rtl/>
        </w:rPr>
        <w:t>ן</w:t>
      </w:r>
      <w:r>
        <w:rPr>
          <w:rFonts w:cs="FrankRuehl"/>
          <w:sz w:val="28"/>
          <w:szCs w:val="28"/>
          <w:rtl/>
        </w:rPr>
        <w:t xml:space="preserve"> מאחורי סורג ובריח של הנאשם, כמו כל </w:t>
      </w:r>
      <w:r>
        <w:rPr>
          <w:rFonts w:cs="FrankRuehl" w:hint="cs"/>
          <w:sz w:val="28"/>
          <w:szCs w:val="28"/>
          <w:rtl/>
        </w:rPr>
        <w:t xml:space="preserve">מאסר של </w:t>
      </w:r>
      <w:r>
        <w:rPr>
          <w:rFonts w:cs="FrankRuehl"/>
          <w:sz w:val="28"/>
          <w:szCs w:val="28"/>
          <w:rtl/>
        </w:rPr>
        <w:t>בחור צעיר בגילו, עלול לפגוע בו.</w:t>
      </w:r>
    </w:p>
    <w:p w14:paraId="74C92CDA" w14:textId="77777777" w:rsidR="00E76E74" w:rsidRDefault="00E76E74">
      <w:pPr>
        <w:spacing w:line="360" w:lineRule="auto"/>
        <w:ind w:left="720"/>
        <w:jc w:val="both"/>
        <w:rPr>
          <w:rFonts w:cs="FrankRuehl"/>
          <w:sz w:val="28"/>
          <w:szCs w:val="28"/>
        </w:rPr>
      </w:pPr>
    </w:p>
    <w:p w14:paraId="64CA994F" w14:textId="77777777" w:rsidR="00E76E74" w:rsidRDefault="00FA4E9C">
      <w:pPr>
        <w:numPr>
          <w:ilvl w:val="0"/>
          <w:numId w:val="2"/>
        </w:numPr>
        <w:spacing w:line="360" w:lineRule="auto"/>
        <w:jc w:val="both"/>
        <w:rPr>
          <w:rFonts w:cs="FrankRuehl"/>
          <w:sz w:val="28"/>
          <w:szCs w:val="28"/>
        </w:rPr>
      </w:pPr>
      <w:r>
        <w:rPr>
          <w:rFonts w:cs="FrankRuehl"/>
          <w:sz w:val="28"/>
          <w:szCs w:val="28"/>
          <w:rtl/>
        </w:rPr>
        <w:t>באשר לנסיבות נוספות שאינן קשורות בביצוע העבירה (</w:t>
      </w:r>
      <w:hyperlink r:id="rId27" w:history="1">
        <w:r w:rsidR="00C46D1E" w:rsidRPr="00C46D1E">
          <w:rPr>
            <w:rFonts w:cs="FrankRuehl"/>
            <w:color w:val="0000FF"/>
            <w:sz w:val="28"/>
            <w:szCs w:val="28"/>
            <w:u w:val="single"/>
            <w:rtl/>
          </w:rPr>
          <w:t>סעיף 40יא'</w:t>
        </w:r>
      </w:hyperlink>
      <w:r>
        <w:rPr>
          <w:rFonts w:cs="FrankRuehl"/>
          <w:sz w:val="28"/>
          <w:szCs w:val="28"/>
          <w:rtl/>
        </w:rPr>
        <w:t xml:space="preserve"> לחוק) , חשוב כאמור להתייחס לגילו הצעיר של הנאשם כבן 21, בעני</w:t>
      </w:r>
      <w:r>
        <w:rPr>
          <w:rFonts w:cs="FrankRuehl" w:hint="cs"/>
          <w:sz w:val="28"/>
          <w:szCs w:val="28"/>
          <w:rtl/>
        </w:rPr>
        <w:t>י</w:t>
      </w:r>
      <w:r>
        <w:rPr>
          <w:rFonts w:cs="FrankRuehl"/>
          <w:sz w:val="28"/>
          <w:szCs w:val="28"/>
          <w:rtl/>
        </w:rPr>
        <w:t xml:space="preserve">ן זה כונה הנאשם ע"י הסנגור בגיר צעיר והגדרתו מקובלת עליי. אמנם </w:t>
      </w:r>
      <w:r>
        <w:rPr>
          <w:rFonts w:cs="FrankRuehl" w:hint="cs"/>
          <w:sz w:val="28"/>
          <w:szCs w:val="28"/>
          <w:rtl/>
        </w:rPr>
        <w:t xml:space="preserve">מעמד </w:t>
      </w:r>
      <w:r>
        <w:rPr>
          <w:rFonts w:cs="FrankRuehl"/>
          <w:sz w:val="28"/>
          <w:szCs w:val="28"/>
          <w:rtl/>
        </w:rPr>
        <w:t>זה טרם הוכרע על ידי בית המשפט העליון ואפנה לדעות השונות של שני שופטי ההרכב ב</w:t>
      </w:r>
      <w:hyperlink r:id="rId28" w:history="1">
        <w:r w:rsidRPr="00FA4E9C">
          <w:rPr>
            <w:rFonts w:cs="FrankRuehl"/>
            <w:color w:val="0000FF"/>
            <w:sz w:val="28"/>
            <w:szCs w:val="28"/>
            <w:u w:val="single"/>
            <w:rtl/>
          </w:rPr>
          <w:t>ע"פ 7661/13</w:t>
        </w:r>
      </w:hyperlink>
      <w:r>
        <w:rPr>
          <w:rFonts w:cs="FrankRuehl"/>
          <w:sz w:val="28"/>
          <w:szCs w:val="28"/>
          <w:rtl/>
        </w:rPr>
        <w:t xml:space="preserve"> 7722/13 א</w:t>
      </w:r>
      <w:r>
        <w:rPr>
          <w:rFonts w:cs="Miriam"/>
          <w:rtl/>
        </w:rPr>
        <w:t>בו-נאסר נגד מדינת ישראל</w:t>
      </w:r>
      <w:r>
        <w:rPr>
          <w:rFonts w:cs="FrankRuehl"/>
          <w:sz w:val="28"/>
          <w:szCs w:val="28"/>
          <w:rtl/>
        </w:rPr>
        <w:t xml:space="preserve"> (21.8.2014), אך גם בהתעלם משאלת מעמדו של בגיר צעיר, חשוב לזכור כי כחלק מגזירת הדין לפי תיקון 113, בעת קביעת העונש המתאים יש להתייחס גם ל"פגיעה של העונש בנאשם, לרבות בשל גילו", (</w:t>
      </w:r>
      <w:hyperlink r:id="rId29" w:history="1">
        <w:r w:rsidR="00C46D1E" w:rsidRPr="00C46D1E">
          <w:rPr>
            <w:rFonts w:cs="FrankRuehl"/>
            <w:color w:val="0000FF"/>
            <w:sz w:val="28"/>
            <w:szCs w:val="28"/>
            <w:u w:val="single"/>
            <w:rtl/>
          </w:rPr>
          <w:t>סעיף 40יא(1)</w:t>
        </w:r>
      </w:hyperlink>
      <w:r>
        <w:rPr>
          <w:rFonts w:cs="FrankRuehl"/>
          <w:sz w:val="28"/>
          <w:szCs w:val="28"/>
          <w:rtl/>
        </w:rPr>
        <w:t xml:space="preserve"> ל</w:t>
      </w:r>
      <w:hyperlink r:id="rId30" w:history="1">
        <w:r w:rsidRPr="00FA4E9C">
          <w:rPr>
            <w:rFonts w:cs="FrankRuehl"/>
            <w:color w:val="0000FF"/>
            <w:sz w:val="28"/>
            <w:szCs w:val="28"/>
            <w:u w:val="single"/>
            <w:rtl/>
          </w:rPr>
          <w:t>חוק העונשין</w:t>
        </w:r>
      </w:hyperlink>
      <w:r>
        <w:rPr>
          <w:rFonts w:cs="FrankRuehl"/>
          <w:sz w:val="28"/>
          <w:szCs w:val="28"/>
          <w:rtl/>
        </w:rPr>
        <w:t>) ובכוונתי לקחת שיקול זה לזכות הנאשם.</w:t>
      </w:r>
    </w:p>
    <w:p w14:paraId="4B685E1D" w14:textId="77777777" w:rsidR="00E76E74" w:rsidRDefault="00E76E74">
      <w:pPr>
        <w:spacing w:line="360" w:lineRule="auto"/>
        <w:ind w:left="720"/>
        <w:jc w:val="both"/>
        <w:rPr>
          <w:rFonts w:cs="FrankRuehl"/>
          <w:sz w:val="28"/>
          <w:szCs w:val="28"/>
        </w:rPr>
      </w:pPr>
    </w:p>
    <w:p w14:paraId="7DEF6662" w14:textId="77777777" w:rsidR="00E76E74" w:rsidRDefault="00FA4E9C">
      <w:pPr>
        <w:spacing w:line="360" w:lineRule="auto"/>
        <w:ind w:left="720"/>
        <w:jc w:val="both"/>
        <w:rPr>
          <w:rFonts w:cs="FrankRuehl"/>
          <w:sz w:val="28"/>
          <w:szCs w:val="28"/>
          <w:rtl/>
        </w:rPr>
      </w:pPr>
      <w:r>
        <w:rPr>
          <w:rFonts w:cs="FrankRuehl"/>
          <w:sz w:val="28"/>
          <w:szCs w:val="28"/>
          <w:rtl/>
        </w:rPr>
        <w:t xml:space="preserve">הנאשם ניהל את משפטו ועובדה זו לא עומדת לחובתו, נהול המשפט היה עניני, נקודתי ונדרשה בחינת ראיות מסוימות  בהתאם לטענות הסנגורים שהיה מקום להעלותן לאור חומר החקירה. </w:t>
      </w:r>
    </w:p>
    <w:p w14:paraId="6437B45C" w14:textId="77777777" w:rsidR="00E76E74" w:rsidRDefault="00E76E74">
      <w:pPr>
        <w:spacing w:line="360" w:lineRule="auto"/>
        <w:ind w:left="720"/>
        <w:jc w:val="both"/>
        <w:rPr>
          <w:rFonts w:cs="FrankRuehl"/>
          <w:sz w:val="28"/>
          <w:szCs w:val="28"/>
        </w:rPr>
      </w:pPr>
    </w:p>
    <w:p w14:paraId="480F29E1" w14:textId="77777777" w:rsidR="00E76E74" w:rsidRDefault="00FA4E9C">
      <w:pPr>
        <w:spacing w:line="360" w:lineRule="auto"/>
        <w:ind w:left="720"/>
        <w:jc w:val="both"/>
        <w:rPr>
          <w:rFonts w:cs="FrankRuehl"/>
          <w:sz w:val="28"/>
          <w:szCs w:val="28"/>
          <w:rtl/>
        </w:rPr>
      </w:pPr>
      <w:r>
        <w:rPr>
          <w:rFonts w:cs="FrankRuehl"/>
          <w:sz w:val="28"/>
          <w:szCs w:val="28"/>
          <w:rtl/>
        </w:rPr>
        <w:t>לנאשם אין עבר פלילי</w:t>
      </w:r>
      <w:r>
        <w:rPr>
          <w:rFonts w:cs="FrankRuehl" w:hint="cs"/>
          <w:sz w:val="28"/>
          <w:szCs w:val="28"/>
          <w:rtl/>
        </w:rPr>
        <w:t xml:space="preserve"> כאמור</w:t>
      </w:r>
      <w:r>
        <w:rPr>
          <w:rFonts w:cs="FrankRuehl"/>
          <w:sz w:val="28"/>
          <w:szCs w:val="28"/>
          <w:rtl/>
        </w:rPr>
        <w:t xml:space="preserve">, משפחתו נורמטיבית והוא עוזר לפרנסת משפחתו ויש לקחת בחשבון גם  את התקופה של חודשיים בה שהה הנאשם במעצר וכי לאחר מכן שוחרר בתנאים מגבילים.  </w:t>
      </w:r>
    </w:p>
    <w:p w14:paraId="08C66B44" w14:textId="77777777" w:rsidR="00E76E74" w:rsidRDefault="00E76E74">
      <w:pPr>
        <w:spacing w:line="360" w:lineRule="auto"/>
        <w:ind w:left="720"/>
        <w:jc w:val="both"/>
        <w:rPr>
          <w:rFonts w:cs="FrankRuehl"/>
          <w:sz w:val="28"/>
          <w:szCs w:val="28"/>
        </w:rPr>
      </w:pPr>
    </w:p>
    <w:p w14:paraId="3F0DD0F7" w14:textId="77777777" w:rsidR="00E76E74" w:rsidRDefault="00FA4E9C">
      <w:pPr>
        <w:spacing w:line="360" w:lineRule="auto"/>
        <w:ind w:left="360" w:firstLine="360"/>
        <w:jc w:val="both"/>
        <w:rPr>
          <w:rFonts w:cs="Miriam"/>
        </w:rPr>
      </w:pPr>
      <w:r>
        <w:rPr>
          <w:rFonts w:cs="Miriam"/>
          <w:rtl/>
        </w:rPr>
        <w:t>סיכום</w:t>
      </w:r>
    </w:p>
    <w:p w14:paraId="10167597" w14:textId="77777777" w:rsidR="00E76E74" w:rsidRDefault="00FA4E9C">
      <w:pPr>
        <w:spacing w:line="360" w:lineRule="auto"/>
        <w:ind w:left="360" w:firstLine="360"/>
        <w:jc w:val="both"/>
        <w:rPr>
          <w:rFonts w:cs="FrankRuehl"/>
          <w:sz w:val="28"/>
          <w:szCs w:val="28"/>
          <w:rtl/>
        </w:rPr>
      </w:pPr>
      <w:r>
        <w:rPr>
          <w:rFonts w:cs="FrankRuehl"/>
          <w:sz w:val="28"/>
          <w:szCs w:val="28"/>
          <w:rtl/>
        </w:rPr>
        <w:t>לאור האמור לעיל אני דן את הנאשם לעונש המתאים הבא:</w:t>
      </w:r>
    </w:p>
    <w:p w14:paraId="48A9DDDF" w14:textId="77777777" w:rsidR="00E76E74" w:rsidRDefault="00FA4E9C">
      <w:pPr>
        <w:spacing w:line="360" w:lineRule="auto"/>
        <w:ind w:left="1080"/>
        <w:jc w:val="both"/>
        <w:rPr>
          <w:rFonts w:cs="FrankRuehl"/>
          <w:sz w:val="28"/>
          <w:szCs w:val="28"/>
        </w:rPr>
      </w:pPr>
      <w:r>
        <w:rPr>
          <w:rFonts w:cs="FrankRuehl"/>
          <w:sz w:val="28"/>
          <w:szCs w:val="28"/>
          <w:rtl/>
        </w:rPr>
        <w:t xml:space="preserve">עונש של 30 חודשי מאסר מתוכם </w:t>
      </w:r>
      <w:r>
        <w:rPr>
          <w:rFonts w:cs="FrankRuehl"/>
          <w:sz w:val="28"/>
          <w:szCs w:val="28"/>
          <w:u w:val="single"/>
          <w:rtl/>
        </w:rPr>
        <w:t>18</w:t>
      </w:r>
      <w:r>
        <w:rPr>
          <w:rFonts w:cs="FrankRuehl"/>
          <w:sz w:val="28"/>
          <w:szCs w:val="28"/>
          <w:rtl/>
        </w:rPr>
        <w:t xml:space="preserve"> חודשי מאסר בפועל והיתרה </w:t>
      </w:r>
      <w:r>
        <w:rPr>
          <w:rFonts w:cs="FrankRuehl"/>
          <w:sz w:val="28"/>
          <w:szCs w:val="28"/>
          <w:u w:val="single"/>
          <w:rtl/>
        </w:rPr>
        <w:t>12</w:t>
      </w:r>
      <w:r>
        <w:rPr>
          <w:rFonts w:cs="FrankRuehl"/>
          <w:sz w:val="28"/>
          <w:szCs w:val="28"/>
          <w:rtl/>
        </w:rPr>
        <w:t xml:space="preserve"> חודשי מאסר על תנאי למשך שנתיים, הנאשם לא ישא את עונש המאסר על תנאי אלא אם יעבור תוך שנתיים עבירה בנשק שהיא פשע ויורשע בשל עבירה כזאת תוך תקופת התנאי או לאחריה. </w:t>
      </w:r>
    </w:p>
    <w:p w14:paraId="37B1A0CF" w14:textId="77777777" w:rsidR="00E76E74" w:rsidRDefault="00FA4E9C">
      <w:pPr>
        <w:spacing w:line="360" w:lineRule="auto"/>
        <w:ind w:left="1080"/>
        <w:jc w:val="both"/>
        <w:rPr>
          <w:rFonts w:cs="FrankRuehl"/>
          <w:sz w:val="28"/>
          <w:szCs w:val="28"/>
          <w:rtl/>
        </w:rPr>
      </w:pPr>
      <w:r>
        <w:rPr>
          <w:rFonts w:cs="FrankRuehl"/>
          <w:sz w:val="28"/>
          <w:szCs w:val="28"/>
          <w:rtl/>
        </w:rPr>
        <w:t xml:space="preserve">מתקופת המאסר ינוכו הימים בהם שהה הנאשם במעצר, מיום 21.1.14 ועד ליום 19.3.14. </w:t>
      </w:r>
    </w:p>
    <w:p w14:paraId="3472F526" w14:textId="77777777" w:rsidR="00E76E74" w:rsidRDefault="00E76E74">
      <w:pPr>
        <w:spacing w:line="360" w:lineRule="auto"/>
        <w:ind w:left="1080"/>
        <w:jc w:val="both"/>
        <w:rPr>
          <w:rFonts w:cs="FrankRuehl"/>
          <w:sz w:val="28"/>
          <w:szCs w:val="28"/>
        </w:rPr>
      </w:pPr>
    </w:p>
    <w:p w14:paraId="39338560" w14:textId="77777777" w:rsidR="00E76E74" w:rsidRDefault="00FA4E9C">
      <w:pPr>
        <w:spacing w:line="360" w:lineRule="auto"/>
        <w:ind w:left="1080"/>
        <w:jc w:val="both"/>
        <w:rPr>
          <w:rFonts w:cs="FrankRuehl"/>
          <w:sz w:val="28"/>
          <w:szCs w:val="28"/>
        </w:rPr>
      </w:pPr>
      <w:r>
        <w:rPr>
          <w:rFonts w:cs="FrankRuehl"/>
          <w:sz w:val="28"/>
          <w:szCs w:val="28"/>
          <w:rtl/>
        </w:rPr>
        <w:t>בשל גילו הצעיר, נסיבות ביצוע העבירות ועונש המאסר לא מצאתי לנכון להטיל על הנאשם קנס.</w:t>
      </w:r>
    </w:p>
    <w:p w14:paraId="08909429" w14:textId="77777777" w:rsidR="00E76E74" w:rsidRDefault="00FA4E9C">
      <w:pPr>
        <w:spacing w:line="360" w:lineRule="auto"/>
        <w:ind w:left="1080"/>
        <w:jc w:val="both"/>
        <w:rPr>
          <w:rFonts w:cs="FrankRuehl"/>
          <w:sz w:val="28"/>
          <w:szCs w:val="28"/>
        </w:rPr>
      </w:pPr>
      <w:r>
        <w:rPr>
          <w:rFonts w:cs="FrankRuehl"/>
          <w:sz w:val="28"/>
          <w:szCs w:val="28"/>
          <w:rtl/>
        </w:rPr>
        <w:t>הנאשם יתייצב למאסרו בבית סוהר ימ"ר קישון ביום 21.10.14 עד השעה 10:00, או על פי החלטת שב"ס, כשברשותו תעודת זהות או דרכון</w:t>
      </w:r>
      <w:r>
        <w:rPr>
          <w:rFonts w:cs="FrankRuehl" w:hint="cs"/>
          <w:sz w:val="28"/>
          <w:szCs w:val="28"/>
          <w:rtl/>
        </w:rPr>
        <w:t>, (מועד ההתיצבות נקבע בהתחשב בחגי תשרי ובמתן אפשרות למיון מוקדם).</w:t>
      </w:r>
    </w:p>
    <w:p w14:paraId="2D90AC08" w14:textId="77777777" w:rsidR="00E76E74" w:rsidRDefault="00FA4E9C">
      <w:pPr>
        <w:spacing w:line="360" w:lineRule="auto"/>
        <w:ind w:left="1080"/>
        <w:jc w:val="both"/>
        <w:rPr>
          <w:rFonts w:cs="FrankRuehl"/>
          <w:sz w:val="28"/>
          <w:szCs w:val="28"/>
        </w:rPr>
      </w:pPr>
      <w:r>
        <w:rPr>
          <w:rFonts w:cs="FrankRuehl"/>
          <w:sz w:val="28"/>
          <w:szCs w:val="28"/>
          <w:rtl/>
        </w:rPr>
        <w:t>על הנאשם לתאם את הכניסה למאסר, כולל האפשרות למיון מוקדם, עם ענף אבחון ומיון של שב"ס, טלפונים: 08-9787377, 08-9787336.</w:t>
      </w:r>
    </w:p>
    <w:p w14:paraId="22247F28" w14:textId="77777777" w:rsidR="00E76E74" w:rsidRDefault="00E76E74">
      <w:pPr>
        <w:spacing w:line="360" w:lineRule="auto"/>
        <w:ind w:left="720"/>
        <w:jc w:val="both"/>
        <w:rPr>
          <w:rFonts w:cs="FrankRuehl"/>
          <w:sz w:val="28"/>
          <w:szCs w:val="28"/>
        </w:rPr>
      </w:pPr>
    </w:p>
    <w:p w14:paraId="6D2EE99C" w14:textId="77777777" w:rsidR="00E76E74" w:rsidRDefault="00FA4E9C">
      <w:pPr>
        <w:spacing w:line="360" w:lineRule="auto"/>
        <w:jc w:val="both"/>
        <w:rPr>
          <w:rFonts w:cs="FrankRuehl"/>
          <w:sz w:val="28"/>
          <w:szCs w:val="28"/>
          <w:rtl/>
        </w:rPr>
      </w:pPr>
      <w:r>
        <w:rPr>
          <w:rFonts w:cs="FrankRuehl"/>
          <w:sz w:val="28"/>
          <w:szCs w:val="28"/>
          <w:rtl/>
        </w:rPr>
        <w:t>זכות ערעור לבית המשפט העליון תוך 45 יום.</w:t>
      </w:r>
    </w:p>
    <w:p w14:paraId="3BC4FBD6" w14:textId="77777777" w:rsidR="00E76E74" w:rsidRDefault="00E76E74">
      <w:pPr>
        <w:spacing w:line="360" w:lineRule="auto"/>
        <w:jc w:val="both"/>
        <w:rPr>
          <w:rFonts w:cs="FrankRuehl"/>
          <w:sz w:val="28"/>
          <w:szCs w:val="28"/>
          <w:rtl/>
        </w:rPr>
      </w:pPr>
    </w:p>
    <w:p w14:paraId="0EFE0574" w14:textId="77777777" w:rsidR="00E76E74" w:rsidRDefault="00E76E74">
      <w:pPr>
        <w:spacing w:line="360" w:lineRule="auto"/>
        <w:jc w:val="both"/>
        <w:rPr>
          <w:rFonts w:cs="FrankRuehl"/>
          <w:sz w:val="28"/>
          <w:szCs w:val="28"/>
          <w:rtl/>
        </w:rPr>
      </w:pPr>
    </w:p>
    <w:p w14:paraId="4223FC45" w14:textId="77777777" w:rsidR="00E76E74" w:rsidRDefault="00E76E74">
      <w:pPr>
        <w:spacing w:line="360" w:lineRule="auto"/>
        <w:jc w:val="both"/>
        <w:rPr>
          <w:rFonts w:cs="FrankRuehl"/>
          <w:sz w:val="28"/>
          <w:szCs w:val="28"/>
        </w:rPr>
      </w:pPr>
    </w:p>
    <w:p w14:paraId="7991C7B1" w14:textId="77777777" w:rsidR="00E76E74" w:rsidRDefault="00E76E74">
      <w:pPr>
        <w:spacing w:line="360" w:lineRule="auto"/>
        <w:rPr>
          <w:rFonts w:ascii="Arial" w:hAnsi="Arial" w:cs="FrankRuehl"/>
          <w:sz w:val="28"/>
          <w:szCs w:val="28"/>
          <w:rtl/>
        </w:rPr>
      </w:pPr>
    </w:p>
    <w:p w14:paraId="68A6CF54" w14:textId="77777777" w:rsidR="00E76E74" w:rsidRDefault="00E76E74">
      <w:pPr>
        <w:spacing w:line="360" w:lineRule="auto"/>
        <w:rPr>
          <w:rFonts w:cs="FrankRuehl"/>
          <w:sz w:val="28"/>
          <w:szCs w:val="28"/>
          <w:rtl/>
        </w:rPr>
      </w:pPr>
    </w:p>
    <w:p w14:paraId="626CB76F" w14:textId="77777777" w:rsidR="00E76E74" w:rsidRDefault="00E76E74">
      <w:pPr>
        <w:rPr>
          <w:rtl/>
        </w:rPr>
      </w:pPr>
    </w:p>
    <w:p w14:paraId="7FC60911" w14:textId="77777777" w:rsidR="00E76E74" w:rsidRDefault="00E76E74">
      <w:pPr>
        <w:rPr>
          <w:rtl/>
        </w:rPr>
      </w:pPr>
    </w:p>
    <w:p w14:paraId="6B56D905" w14:textId="77777777" w:rsidR="00E76E74" w:rsidRDefault="00E76E74">
      <w:pPr>
        <w:rPr>
          <w:rtl/>
        </w:rPr>
      </w:pPr>
    </w:p>
    <w:p w14:paraId="7DD07ACA" w14:textId="77777777" w:rsidR="00E76E74" w:rsidRDefault="00E76E74">
      <w:pPr>
        <w:rPr>
          <w:rtl/>
        </w:rPr>
      </w:pPr>
    </w:p>
    <w:p w14:paraId="42039FD4" w14:textId="77777777" w:rsidR="00E76E74" w:rsidRDefault="00E76E74">
      <w:pPr>
        <w:rPr>
          <w:rtl/>
        </w:rPr>
      </w:pPr>
    </w:p>
    <w:p w14:paraId="20175904" w14:textId="77777777" w:rsidR="00E76E74" w:rsidRDefault="00E76E74">
      <w:pPr>
        <w:rPr>
          <w:rtl/>
        </w:rPr>
      </w:pPr>
    </w:p>
    <w:p w14:paraId="3ABEAF7E" w14:textId="77777777" w:rsidR="00E76E74" w:rsidRDefault="00E76E74">
      <w:pPr>
        <w:rPr>
          <w:rtl/>
        </w:rPr>
      </w:pPr>
    </w:p>
    <w:p w14:paraId="405F41BA" w14:textId="77777777" w:rsidR="00E76E74" w:rsidRDefault="00FA4E9C">
      <w:pPr>
        <w:spacing w:line="360" w:lineRule="auto"/>
        <w:jc w:val="both"/>
        <w:rPr>
          <w:rFonts w:ascii="Arial" w:hAnsi="Arial"/>
        </w:rPr>
      </w:pPr>
      <w:r w:rsidRPr="00FA4E9C">
        <w:rPr>
          <w:rFonts w:ascii="Arial" w:hAnsi="Arial"/>
          <w:color w:val="FFFFFF"/>
          <w:sz w:val="2"/>
          <w:szCs w:val="2"/>
          <w:rtl/>
        </w:rPr>
        <w:t>5129371</w:t>
      </w:r>
      <w:r>
        <w:rPr>
          <w:rFonts w:ascii="Arial" w:hAnsi="Arial"/>
          <w:rtl/>
        </w:rPr>
        <w:t xml:space="preserve">ניתן היום,  כ"ח אלול תשע"ד, 23 ספטמבר 2014, בנוכחות ב"כ המאשימה עו"ד שטיינשניד, </w:t>
      </w:r>
      <w:r>
        <w:rPr>
          <w:rFonts w:ascii="Arial" w:hAnsi="Arial" w:hint="cs"/>
          <w:rtl/>
        </w:rPr>
        <w:t xml:space="preserve">הסנגורים עו"ד סבן </w:t>
      </w:r>
      <w:bookmarkStart w:id="7" w:name="_GoBack"/>
      <w:bookmarkEnd w:id="7"/>
      <w:r>
        <w:rPr>
          <w:rFonts w:ascii="Arial" w:hAnsi="Arial" w:hint="cs"/>
          <w:rtl/>
        </w:rPr>
        <w:t>והנאשם בעצמו</w:t>
      </w:r>
      <w:r>
        <w:rPr>
          <w:rFonts w:ascii="Arial" w:hAnsi="Arial"/>
          <w:rtl/>
        </w:rPr>
        <w:t>.</w:t>
      </w:r>
    </w:p>
    <w:p w14:paraId="216944F4" w14:textId="77777777" w:rsidR="00E76E74" w:rsidRPr="00FA4E9C" w:rsidRDefault="00FA4E9C">
      <w:pPr>
        <w:rPr>
          <w:rFonts w:cs="FrankRuehl"/>
          <w:color w:val="FFFFFF"/>
          <w:sz w:val="2"/>
          <w:szCs w:val="2"/>
          <w:rtl/>
        </w:rPr>
      </w:pPr>
      <w:r w:rsidRPr="00FA4E9C">
        <w:rPr>
          <w:rFonts w:cs="FrankRuehl"/>
          <w:color w:val="FFFFFF"/>
          <w:sz w:val="2"/>
          <w:szCs w:val="2"/>
          <w:rtl/>
        </w:rPr>
        <w:t>54678313</w:t>
      </w:r>
    </w:p>
    <w:p w14:paraId="5E8709F3" w14:textId="77777777" w:rsidR="00E76E74" w:rsidRDefault="00FA4E9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9589CA" w14:textId="77777777" w:rsidR="00E76E74" w:rsidRDefault="00E76E74">
      <w:pPr>
        <w:jc w:val="center"/>
        <w:rPr>
          <w:rFonts w:ascii="Arial" w:hAnsi="Arial" w:cs="FrankRuehl"/>
          <w:sz w:val="28"/>
          <w:szCs w:val="28"/>
          <w:rtl/>
        </w:rPr>
      </w:pPr>
    </w:p>
    <w:p w14:paraId="6CD3F467" w14:textId="77777777" w:rsidR="00E76E74" w:rsidRDefault="00E76E74">
      <w:pPr>
        <w:rPr>
          <w:rFonts w:cs="FrankRuehl"/>
          <w:sz w:val="28"/>
          <w:szCs w:val="28"/>
          <w:rtl/>
        </w:rPr>
      </w:pPr>
    </w:p>
    <w:p w14:paraId="1A541486" w14:textId="77777777" w:rsidR="00E76E74" w:rsidRDefault="00E76E74">
      <w:pPr>
        <w:pStyle w:val="a3"/>
        <w:jc w:val="center"/>
        <w:rPr>
          <w:rtl/>
        </w:rPr>
      </w:pPr>
    </w:p>
    <w:p w14:paraId="26A40AF5" w14:textId="77777777" w:rsidR="00FA4E9C" w:rsidRPr="00FA4E9C" w:rsidRDefault="00FA4E9C" w:rsidP="00FA4E9C">
      <w:pPr>
        <w:keepNext/>
        <w:rPr>
          <w:rFonts w:ascii="David" w:hAnsi="David"/>
          <w:color w:val="000000"/>
          <w:sz w:val="22"/>
          <w:szCs w:val="22"/>
          <w:rtl/>
        </w:rPr>
      </w:pPr>
    </w:p>
    <w:p w14:paraId="7E452E45" w14:textId="77777777" w:rsidR="00FA4E9C" w:rsidRPr="00FA4E9C" w:rsidRDefault="00FA4E9C" w:rsidP="00FA4E9C">
      <w:pPr>
        <w:keepNext/>
        <w:rPr>
          <w:rFonts w:ascii="David" w:hAnsi="David"/>
          <w:color w:val="000000"/>
          <w:sz w:val="22"/>
          <w:szCs w:val="22"/>
          <w:rtl/>
        </w:rPr>
      </w:pPr>
      <w:r w:rsidRPr="00FA4E9C">
        <w:rPr>
          <w:rFonts w:ascii="David" w:hAnsi="David"/>
          <w:color w:val="000000"/>
          <w:sz w:val="22"/>
          <w:szCs w:val="22"/>
          <w:rtl/>
        </w:rPr>
        <w:t>אברהם אליקים 54678313</w:t>
      </w:r>
    </w:p>
    <w:p w14:paraId="3F0D0208" w14:textId="77777777" w:rsidR="00FA4E9C" w:rsidRDefault="00FA4E9C" w:rsidP="00FA4E9C">
      <w:r w:rsidRPr="00FA4E9C">
        <w:rPr>
          <w:color w:val="000000"/>
          <w:rtl/>
        </w:rPr>
        <w:t>נוסח מסמך זה כפוף לשינויי ניסוח ועריכה</w:t>
      </w:r>
    </w:p>
    <w:p w14:paraId="7113B536" w14:textId="77777777" w:rsidR="00FA4E9C" w:rsidRDefault="00FA4E9C" w:rsidP="00FA4E9C">
      <w:pPr>
        <w:rPr>
          <w:rtl/>
        </w:rPr>
      </w:pPr>
    </w:p>
    <w:p w14:paraId="1C1BBD53" w14:textId="77777777" w:rsidR="00FA4E9C" w:rsidRDefault="00FA4E9C" w:rsidP="00FA4E9C">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6F3AD16C" w14:textId="77777777" w:rsidR="00E76E74" w:rsidRPr="00FA4E9C" w:rsidRDefault="00E76E74" w:rsidP="00FA4E9C">
      <w:pPr>
        <w:jc w:val="center"/>
        <w:rPr>
          <w:color w:val="0000FF"/>
          <w:u w:val="single"/>
        </w:rPr>
      </w:pPr>
    </w:p>
    <w:sectPr w:rsidR="00E76E74" w:rsidRPr="00FA4E9C" w:rsidSect="00FA4E9C">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A403F" w14:textId="77777777" w:rsidR="00101B98" w:rsidRPr="00013E0E" w:rsidRDefault="00101B98">
      <w:pPr>
        <w:rPr>
          <w:rFonts w:cs="Arial"/>
          <w:szCs w:val="20"/>
        </w:rPr>
      </w:pPr>
      <w:r>
        <w:separator/>
      </w:r>
    </w:p>
  </w:endnote>
  <w:endnote w:type="continuationSeparator" w:id="0">
    <w:p w14:paraId="3F973FFD" w14:textId="77777777" w:rsidR="00101B98" w:rsidRPr="00013E0E" w:rsidRDefault="00101B9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8838E" w14:textId="77777777" w:rsidR="00FA4E9C" w:rsidRDefault="00FA4E9C" w:rsidP="00FA4E9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8B99A0" w14:textId="77777777" w:rsidR="00E76E74" w:rsidRPr="00FA4E9C" w:rsidRDefault="00FA4E9C" w:rsidP="00FA4E9C">
    <w:pPr>
      <w:pStyle w:val="a4"/>
      <w:pBdr>
        <w:top w:val="single" w:sz="4" w:space="1" w:color="auto"/>
        <w:between w:val="single" w:sz="4" w:space="0" w:color="auto"/>
      </w:pBdr>
      <w:spacing w:after="60"/>
      <w:jc w:val="center"/>
      <w:rPr>
        <w:rFonts w:ascii="FrankRuehl" w:hAnsi="FrankRuehl" w:cs="FrankRuehl"/>
        <w:color w:val="000000"/>
      </w:rPr>
    </w:pPr>
    <w:r w:rsidRPr="00FA4E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7D279" w14:textId="77777777" w:rsidR="00FA4E9C" w:rsidRDefault="00FA4E9C" w:rsidP="00FA4E9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77A6">
      <w:rPr>
        <w:rFonts w:ascii="FrankRuehl" w:hAnsi="FrankRuehl" w:cs="FrankRuehl"/>
        <w:noProof/>
        <w:rtl/>
      </w:rPr>
      <w:t>1</w:t>
    </w:r>
    <w:r>
      <w:rPr>
        <w:rFonts w:ascii="FrankRuehl" w:hAnsi="FrankRuehl" w:cs="FrankRuehl"/>
        <w:rtl/>
      </w:rPr>
      <w:fldChar w:fldCharType="end"/>
    </w:r>
  </w:p>
  <w:p w14:paraId="0D521A57" w14:textId="77777777" w:rsidR="00E76E74" w:rsidRPr="00FA4E9C" w:rsidRDefault="00FA4E9C" w:rsidP="00FA4E9C">
    <w:pPr>
      <w:pStyle w:val="a4"/>
      <w:pBdr>
        <w:top w:val="single" w:sz="4" w:space="1" w:color="auto"/>
        <w:between w:val="single" w:sz="4" w:space="0" w:color="auto"/>
      </w:pBdr>
      <w:spacing w:after="60"/>
      <w:jc w:val="center"/>
      <w:rPr>
        <w:rFonts w:ascii="FrankRuehl" w:hAnsi="FrankRuehl" w:cs="FrankRuehl"/>
        <w:color w:val="000000"/>
      </w:rPr>
    </w:pPr>
    <w:r w:rsidRPr="00FA4E9C">
      <w:rPr>
        <w:rFonts w:ascii="FrankRuehl" w:hAnsi="FrankRuehl" w:cs="FrankRuehl"/>
        <w:color w:val="000000"/>
      </w:rPr>
      <w:pict w14:anchorId="7D8E4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B8D6F" w14:textId="77777777" w:rsidR="00101B98" w:rsidRPr="00013E0E" w:rsidRDefault="00101B98">
      <w:pPr>
        <w:rPr>
          <w:rFonts w:cs="Arial"/>
          <w:szCs w:val="20"/>
        </w:rPr>
      </w:pPr>
      <w:r>
        <w:separator/>
      </w:r>
    </w:p>
  </w:footnote>
  <w:footnote w:type="continuationSeparator" w:id="0">
    <w:p w14:paraId="190CD0B0" w14:textId="77777777" w:rsidR="00101B98" w:rsidRPr="00013E0E" w:rsidRDefault="00101B9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5F215" w14:textId="77777777" w:rsidR="00FA4E9C" w:rsidRPr="00FA4E9C" w:rsidRDefault="00FA4E9C" w:rsidP="00FA4E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3451-02-14</w:t>
    </w:r>
    <w:r>
      <w:rPr>
        <w:rFonts w:ascii="David" w:hAnsi="David"/>
        <w:color w:val="000000"/>
        <w:sz w:val="22"/>
        <w:szCs w:val="22"/>
        <w:rtl/>
      </w:rPr>
      <w:tab/>
      <w:t xml:space="preserve"> מדינת ישראל נ' עלי עבד אלעאל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68A01" w14:textId="77777777" w:rsidR="00FA4E9C" w:rsidRPr="00FA4E9C" w:rsidRDefault="00FA4E9C" w:rsidP="00FA4E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3451-02-14</w:t>
    </w:r>
    <w:r>
      <w:rPr>
        <w:rFonts w:ascii="David" w:hAnsi="David"/>
        <w:color w:val="000000"/>
        <w:sz w:val="22"/>
        <w:szCs w:val="22"/>
        <w:rtl/>
      </w:rPr>
      <w:tab/>
      <w:t xml:space="preserve"> מדינת ישראל נ' עלי עבד אלעאל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pStyle w:val="Ruller4"/>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01F2192"/>
    <w:multiLevelType w:val="hybridMultilevel"/>
    <w:tmpl w:val="503C7E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821968792">
    <w:abstractNumId w:val="0"/>
  </w:num>
  <w:num w:numId="2" w16cid:durableId="1794013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6E74"/>
    <w:rsid w:val="00101B98"/>
    <w:rsid w:val="00205C3B"/>
    <w:rsid w:val="002077A6"/>
    <w:rsid w:val="005E5D8A"/>
    <w:rsid w:val="00C46D1E"/>
    <w:rsid w:val="00E76E74"/>
    <w:rsid w:val="00FA4E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C0CD34"/>
  <w15:chartTrackingRefBased/>
  <w15:docId w15:val="{0BFFF957-DC2B-4A51-A34D-4D78ED40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6E7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76E74"/>
    <w:pPr>
      <w:tabs>
        <w:tab w:val="center" w:pos="4153"/>
        <w:tab w:val="right" w:pos="8306"/>
      </w:tabs>
    </w:pPr>
  </w:style>
  <w:style w:type="paragraph" w:styleId="a4">
    <w:name w:val="footer"/>
    <w:basedOn w:val="a"/>
    <w:rsid w:val="00E76E74"/>
    <w:pPr>
      <w:tabs>
        <w:tab w:val="center" w:pos="4153"/>
        <w:tab w:val="right" w:pos="8306"/>
      </w:tabs>
    </w:pPr>
  </w:style>
  <w:style w:type="character" w:styleId="a5">
    <w:name w:val="page number"/>
    <w:basedOn w:val="a0"/>
    <w:rsid w:val="00E76E74"/>
  </w:style>
  <w:style w:type="character" w:customStyle="1" w:styleId="TimesNewRomanTimesNewRoman">
    <w:name w:val="סגנון (לטיני) Times New Roman (עברית ושפות אחרות) Times New Roman..."/>
    <w:basedOn w:val="a0"/>
    <w:rsid w:val="00E76E74"/>
    <w:rPr>
      <w:rFonts w:ascii="Times New Roman" w:hAnsi="Times New Roman" w:cs="David" w:hint="default"/>
      <w:b/>
      <w:bCs/>
      <w:sz w:val="26"/>
      <w:szCs w:val="26"/>
    </w:rPr>
  </w:style>
  <w:style w:type="paragraph" w:customStyle="1" w:styleId="Ruller4">
    <w:name w:val="Ruller 4 ממוספר"/>
    <w:basedOn w:val="a"/>
    <w:next w:val="a"/>
    <w:link w:val="Ruller40"/>
    <w:rsid w:val="00E76E74"/>
    <w:pPr>
      <w:numPr>
        <w:numId w:val="1"/>
      </w:numPr>
      <w:tabs>
        <w:tab w:val="left" w:pos="800"/>
        <w:tab w:val="num" w:pos="907"/>
      </w:tabs>
      <w:overflowPunct w:val="0"/>
      <w:adjustRightInd w:val="0"/>
      <w:spacing w:line="360" w:lineRule="auto"/>
      <w:ind w:left="0" w:firstLine="0"/>
      <w:jc w:val="both"/>
    </w:pPr>
    <w:rPr>
      <w:rFonts w:ascii="Garamond" w:hAnsi="Garamond" w:cs="FrankRuehl"/>
      <w:spacing w:val="10"/>
      <w:szCs w:val="28"/>
    </w:rPr>
  </w:style>
  <w:style w:type="character" w:customStyle="1" w:styleId="Ruller40">
    <w:name w:val="Ruller 4 ממוספר תו"/>
    <w:basedOn w:val="a0"/>
    <w:link w:val="Ruller4"/>
    <w:locked/>
    <w:rsid w:val="00E76E74"/>
    <w:rPr>
      <w:rFonts w:ascii="Garamond" w:hAnsi="Garamond" w:cs="FrankRuehl"/>
      <w:spacing w:val="10"/>
      <w:sz w:val="24"/>
      <w:szCs w:val="28"/>
      <w:lang w:val="en-US" w:eastAsia="en-US" w:bidi="he-IL"/>
    </w:rPr>
  </w:style>
  <w:style w:type="paragraph" w:customStyle="1" w:styleId="ListParagraph">
    <w:name w:val="List Paragraph"/>
    <w:basedOn w:val="a"/>
    <w:rsid w:val="00E76E74"/>
    <w:pPr>
      <w:ind w:left="720"/>
      <w:contextualSpacing/>
    </w:pPr>
  </w:style>
  <w:style w:type="character" w:styleId="Hyperlink">
    <w:name w:val="Hyperlink"/>
    <w:basedOn w:val="a0"/>
    <w:rsid w:val="00FA4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275" TargetMode="External"/><Relationship Id="rId26" Type="http://schemas.openxmlformats.org/officeDocument/2006/relationships/hyperlink" Target="http://www.nevo.co.il/law/70301/40i" TargetMode="External"/><Relationship Id="rId21" Type="http://schemas.openxmlformats.org/officeDocument/2006/relationships/hyperlink" Target="http://www.nevo.co.il/case/16913730"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949290"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law/70301/40b" TargetMode="External"/><Relationship Id="rId29" Type="http://schemas.openxmlformats.org/officeDocument/2006/relationships/hyperlink" Target="http://www.nevo.co.il/law/70301/40j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779149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5590091" TargetMode="External"/><Relationship Id="rId28" Type="http://schemas.openxmlformats.org/officeDocument/2006/relationships/hyperlink" Target="http://www.nevo.co.il/case/10459124"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case/7670984"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40ja.1." TargetMode="External"/><Relationship Id="rId22" Type="http://schemas.openxmlformats.org/officeDocument/2006/relationships/hyperlink" Target="http://www.nevo.co.il/case/13093744"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40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1841</Words>
  <Characters>9208</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11027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3473445</vt:i4>
      </vt:variant>
      <vt:variant>
        <vt:i4>66</vt:i4>
      </vt:variant>
      <vt:variant>
        <vt:i4>0</vt:i4>
      </vt:variant>
      <vt:variant>
        <vt:i4>5</vt:i4>
      </vt:variant>
      <vt:variant>
        <vt:lpwstr>http://www.nevo.co.il/law/70301/40ja.1.</vt:lpwstr>
      </vt:variant>
      <vt:variant>
        <vt:lpwstr/>
      </vt:variant>
      <vt:variant>
        <vt:i4>4063344</vt:i4>
      </vt:variant>
      <vt:variant>
        <vt:i4>63</vt:i4>
      </vt:variant>
      <vt:variant>
        <vt:i4>0</vt:i4>
      </vt:variant>
      <vt:variant>
        <vt:i4>5</vt:i4>
      </vt:variant>
      <vt:variant>
        <vt:lpwstr>http://www.nevo.co.il/case/10459124</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3145853</vt:i4>
      </vt:variant>
      <vt:variant>
        <vt:i4>54</vt:i4>
      </vt:variant>
      <vt:variant>
        <vt:i4>0</vt:i4>
      </vt:variant>
      <vt:variant>
        <vt:i4>5</vt:i4>
      </vt:variant>
      <vt:variant>
        <vt:lpwstr>http://www.nevo.co.il/case/6949290</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3997816</vt:i4>
      </vt:variant>
      <vt:variant>
        <vt:i4>48</vt:i4>
      </vt:variant>
      <vt:variant>
        <vt:i4>0</vt:i4>
      </vt:variant>
      <vt:variant>
        <vt:i4>5</vt:i4>
      </vt:variant>
      <vt:variant>
        <vt:lpwstr>http://www.nevo.co.il/case/5590091</vt:lpwstr>
      </vt:variant>
      <vt:variant>
        <vt:lpwstr/>
      </vt:variant>
      <vt:variant>
        <vt:i4>3539065</vt:i4>
      </vt:variant>
      <vt:variant>
        <vt:i4>45</vt:i4>
      </vt:variant>
      <vt:variant>
        <vt:i4>0</vt:i4>
      </vt:variant>
      <vt:variant>
        <vt:i4>5</vt:i4>
      </vt:variant>
      <vt:variant>
        <vt:lpwstr>http://www.nevo.co.il/case/13093744</vt:lpwstr>
      </vt:variant>
      <vt:variant>
        <vt:lpwstr/>
      </vt:variant>
      <vt:variant>
        <vt:i4>3670132</vt:i4>
      </vt:variant>
      <vt:variant>
        <vt:i4>42</vt:i4>
      </vt:variant>
      <vt:variant>
        <vt:i4>0</vt:i4>
      </vt:variant>
      <vt:variant>
        <vt:i4>5</vt:i4>
      </vt:variant>
      <vt:variant>
        <vt:lpwstr>http://www.nevo.co.il/case/16913730</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3997818</vt:i4>
      </vt:variant>
      <vt:variant>
        <vt:i4>36</vt:i4>
      </vt:variant>
      <vt:variant>
        <vt:i4>0</vt:i4>
      </vt:variant>
      <vt:variant>
        <vt:i4>5</vt:i4>
      </vt:variant>
      <vt:variant>
        <vt:lpwstr>http://www.nevo.co.il/case/7670984</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http://www.nevo.co.il/law/70301/144.b.</vt:lpwstr>
      </vt:variant>
      <vt:variant>
        <vt:lpwstr/>
      </vt:variant>
      <vt:variant>
        <vt:i4>6357041</vt:i4>
      </vt:variant>
      <vt:variant>
        <vt:i4>24</vt:i4>
      </vt:variant>
      <vt:variant>
        <vt:i4>0</vt:i4>
      </vt:variant>
      <vt:variant>
        <vt:i4>5</vt:i4>
      </vt:variant>
      <vt:variant>
        <vt:lpwstr>http://www.nevo.co.il/law/70301/144.a.</vt:lpwstr>
      </vt:variant>
      <vt:variant>
        <vt:lpwstr/>
      </vt:variant>
      <vt:variant>
        <vt:i4>3473445</vt:i4>
      </vt:variant>
      <vt:variant>
        <vt:i4>21</vt:i4>
      </vt:variant>
      <vt:variant>
        <vt:i4>0</vt:i4>
      </vt:variant>
      <vt:variant>
        <vt:i4>5</vt:i4>
      </vt:variant>
      <vt:variant>
        <vt:lpwstr>http://www.nevo.co.il/law/70301/40ja.1.</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6357042</vt:i4>
      </vt:variant>
      <vt:variant>
        <vt:i4>12</vt:i4>
      </vt:variant>
      <vt:variant>
        <vt:i4>0</vt:i4>
      </vt:variant>
      <vt:variant>
        <vt:i4>5</vt:i4>
      </vt:variant>
      <vt:variant>
        <vt:lpwstr>http://www.nevo.co.il/law/70301/144.b.</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2025-01-19T15:52:00Z</dcterms:created>
  <dcterms:modified xsi:type="dcterms:W3CDTF">2025-01-19T15:52:00Z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3451</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עלי עבד אלעאל</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20140923</vt:lpwstr>
  </property>
  <property fmtid="{D5CDD505-2E9C-101B-9397-08002B2CF9AE}" pid="13" name="TYPE_N_DATE">
    <vt:lpwstr>39020140923</vt:lpwstr>
  </property>
  <property fmtid="{D5CDD505-2E9C-101B-9397-08002B2CF9AE}" pid="14" name="CASESLISTTMP1">
    <vt:lpwstr>7670984;16913730;13093744;5590091;7791493;6949290;10459124</vt:lpwstr>
  </property>
  <property fmtid="{D5CDD505-2E9C-101B-9397-08002B2CF9AE}" pid="15" name="WORDNUMPAGES">
    <vt:lpwstr>7</vt:lpwstr>
  </property>
  <property fmtid="{D5CDD505-2E9C-101B-9397-08002B2CF9AE}" pid="16" name="TYPE_ABS_DATE">
    <vt:lpwstr>390020140923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70301/144.a.;144.b.;275;040b;040i;40ja;40ja.1.</vt:lpwstr>
  </property>
  <property fmtid="{D5CDD505-2E9C-101B-9397-08002B2CF9AE}" pid="36" name="ISABSTRACT">
    <vt:lpwstr>Y</vt:lpwstr>
  </property>
</Properties>
</file>