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703FB3" w:rsidRPr="008719A6" w14:paraId="2801C864" w14:textId="77777777">
        <w:trPr>
          <w:trHeight w:hRule="exact" w:val="418"/>
          <w:jc w:val="center"/>
        </w:trPr>
        <w:tc>
          <w:tcPr>
            <w:tcW w:w="8721" w:type="dxa"/>
            <w:gridSpan w:val="2"/>
          </w:tcPr>
          <w:p w14:paraId="085E62D2" w14:textId="77777777" w:rsidR="00703FB3" w:rsidRPr="008719A6" w:rsidRDefault="008719A6">
            <w:pPr>
              <w:pStyle w:val="a3"/>
              <w:jc w:val="center"/>
              <w:rPr>
                <w:rFonts w:ascii="Tahoma" w:hAnsi="Tahoma" w:cs="Tahoma"/>
                <w:color w:val="000080"/>
                <w:rtl/>
              </w:rPr>
            </w:pPr>
            <w:bookmarkStart w:id="0" w:name="LastJudge"/>
            <w:r w:rsidRPr="008719A6">
              <w:rPr>
                <w:rFonts w:ascii="Tahoma" w:hAnsi="Tahoma" w:cs="Tahoma"/>
                <w:b/>
                <w:bCs/>
                <w:color w:val="000080"/>
                <w:rtl/>
              </w:rPr>
              <w:t>בית המשפט המחוזי בחיפה</w:t>
            </w:r>
          </w:p>
        </w:tc>
      </w:tr>
      <w:tr w:rsidR="00703FB3" w:rsidRPr="008719A6" w14:paraId="62D611A1" w14:textId="77777777">
        <w:trPr>
          <w:trHeight w:val="337"/>
          <w:jc w:val="center"/>
        </w:trPr>
        <w:tc>
          <w:tcPr>
            <w:tcW w:w="5058" w:type="dxa"/>
          </w:tcPr>
          <w:p w14:paraId="67715D59" w14:textId="77777777" w:rsidR="00703FB3" w:rsidRPr="008719A6" w:rsidRDefault="008719A6">
            <w:pPr>
              <w:rPr>
                <w:rFonts w:cs="FrankRuehl"/>
                <w:sz w:val="28"/>
                <w:szCs w:val="28"/>
                <w:rtl/>
              </w:rPr>
            </w:pPr>
            <w:r w:rsidRPr="008719A6">
              <w:rPr>
                <w:rFonts w:cs="FrankRuehl"/>
                <w:sz w:val="28"/>
                <w:szCs w:val="28"/>
                <w:rtl/>
              </w:rPr>
              <w:t>ת"פ</w:t>
            </w:r>
            <w:r w:rsidRPr="008719A6">
              <w:rPr>
                <w:rFonts w:cs="FrankRuehl" w:hint="cs"/>
                <w:sz w:val="28"/>
                <w:szCs w:val="28"/>
                <w:rtl/>
              </w:rPr>
              <w:t xml:space="preserve"> </w:t>
            </w:r>
            <w:r w:rsidRPr="008719A6">
              <w:rPr>
                <w:rFonts w:cs="FrankRuehl"/>
                <w:sz w:val="28"/>
                <w:szCs w:val="28"/>
                <w:rtl/>
              </w:rPr>
              <w:t>55664-02-14</w:t>
            </w:r>
            <w:r w:rsidRPr="008719A6">
              <w:rPr>
                <w:rFonts w:cs="FrankRuehl" w:hint="cs"/>
                <w:sz w:val="28"/>
                <w:szCs w:val="28"/>
                <w:rtl/>
              </w:rPr>
              <w:t xml:space="preserve"> </w:t>
            </w:r>
            <w:r w:rsidRPr="008719A6">
              <w:rPr>
                <w:rFonts w:cs="FrankRuehl"/>
                <w:sz w:val="28"/>
                <w:szCs w:val="28"/>
                <w:rtl/>
              </w:rPr>
              <w:t>מדינת ישראל נ' ג'אבר(עציר)</w:t>
            </w:r>
          </w:p>
          <w:p w14:paraId="031701F1" w14:textId="77777777" w:rsidR="00703FB3" w:rsidRPr="008719A6" w:rsidRDefault="00703FB3">
            <w:pPr>
              <w:pStyle w:val="a3"/>
              <w:rPr>
                <w:rFonts w:cs="FrankRuehl"/>
                <w:sz w:val="28"/>
                <w:szCs w:val="28"/>
                <w:rtl/>
              </w:rPr>
            </w:pPr>
          </w:p>
        </w:tc>
        <w:tc>
          <w:tcPr>
            <w:tcW w:w="3663" w:type="dxa"/>
          </w:tcPr>
          <w:p w14:paraId="24B22F87" w14:textId="77777777" w:rsidR="00703FB3" w:rsidRPr="008719A6" w:rsidRDefault="00703FB3">
            <w:pPr>
              <w:pStyle w:val="a3"/>
              <w:jc w:val="right"/>
              <w:rPr>
                <w:rFonts w:cs="FrankRuehl"/>
                <w:sz w:val="28"/>
                <w:szCs w:val="28"/>
                <w:rtl/>
              </w:rPr>
            </w:pPr>
          </w:p>
        </w:tc>
      </w:tr>
    </w:tbl>
    <w:p w14:paraId="496F3830" w14:textId="77777777" w:rsidR="00703FB3" w:rsidRPr="008719A6" w:rsidRDefault="008719A6">
      <w:pPr>
        <w:pStyle w:val="a3"/>
        <w:rPr>
          <w:rtl/>
        </w:rPr>
      </w:pPr>
      <w:r w:rsidRPr="008719A6">
        <w:rPr>
          <w:rFonts w:hint="cs"/>
          <w:rtl/>
        </w:rPr>
        <w:t xml:space="preserve"> </w:t>
      </w:r>
    </w:p>
    <w:p w14:paraId="4ACB5617" w14:textId="77777777" w:rsidR="00703FB3" w:rsidRPr="008719A6" w:rsidRDefault="00703FB3">
      <w:pPr>
        <w:spacing w:line="360" w:lineRule="auto"/>
        <w:jc w:val="both"/>
        <w:rPr>
          <w:rFonts w:ascii="Arial" w:hAnsi="Arial"/>
        </w:rPr>
      </w:pPr>
    </w:p>
    <w:tbl>
      <w:tblPr>
        <w:bidiVisual/>
        <w:tblW w:w="8802" w:type="dxa"/>
        <w:tblInd w:w="-28" w:type="dxa"/>
        <w:tblLook w:val="01E0" w:firstRow="1" w:lastRow="1" w:firstColumn="1" w:lastColumn="1" w:noHBand="0" w:noVBand="0"/>
      </w:tblPr>
      <w:tblGrid>
        <w:gridCol w:w="2880"/>
        <w:gridCol w:w="5839"/>
        <w:gridCol w:w="83"/>
      </w:tblGrid>
      <w:tr w:rsidR="00703FB3" w:rsidRPr="008719A6" w14:paraId="5C611DDD" w14:textId="77777777">
        <w:trPr>
          <w:gridAfter w:val="1"/>
          <w:wAfter w:w="55" w:type="dxa"/>
        </w:trPr>
        <w:tc>
          <w:tcPr>
            <w:tcW w:w="8719" w:type="dxa"/>
            <w:gridSpan w:val="2"/>
          </w:tcPr>
          <w:p w14:paraId="75B28339" w14:textId="77777777" w:rsidR="00703FB3" w:rsidRPr="008719A6" w:rsidRDefault="008719A6">
            <w:pPr>
              <w:spacing w:line="360" w:lineRule="auto"/>
              <w:rPr>
                <w:b/>
                <w:bCs/>
                <w:sz w:val="26"/>
                <w:szCs w:val="26"/>
              </w:rPr>
            </w:pPr>
            <w:r w:rsidRPr="008719A6">
              <w:rPr>
                <w:rFonts w:hint="cs"/>
                <w:b/>
                <w:bCs/>
                <w:sz w:val="26"/>
                <w:szCs w:val="26"/>
                <w:rtl/>
              </w:rPr>
              <w:t>בפני כב' ה</w:t>
            </w:r>
            <w:r w:rsidRPr="008719A6">
              <w:rPr>
                <w:rFonts w:hint="cs"/>
                <w:rtl/>
              </w:rPr>
              <w:t>שופט אברהם אליקים</w:t>
            </w:r>
            <w:r w:rsidRPr="008719A6">
              <w:rPr>
                <w:rStyle w:val="TimesNewRomanTimesNewRoman"/>
                <w:rFonts w:hint="cs"/>
                <w:rtl/>
              </w:rPr>
              <w:t xml:space="preserve"> </w:t>
            </w:r>
          </w:p>
        </w:tc>
      </w:tr>
      <w:tr w:rsidR="00703FB3" w:rsidRPr="008719A6" w14:paraId="47449F33" w14:textId="77777777">
        <w:tc>
          <w:tcPr>
            <w:tcW w:w="2880" w:type="dxa"/>
          </w:tcPr>
          <w:p w14:paraId="14C38061" w14:textId="77777777" w:rsidR="00703FB3" w:rsidRPr="008719A6" w:rsidRDefault="008719A6">
            <w:pPr>
              <w:ind w:left="26"/>
              <w:rPr>
                <w:b/>
                <w:bCs/>
                <w:sz w:val="26"/>
                <w:szCs w:val="26"/>
              </w:rPr>
            </w:pPr>
            <w:bookmarkStart w:id="1" w:name="FirstAppellant"/>
            <w:r w:rsidRPr="008719A6">
              <w:rPr>
                <w:rFonts w:hint="cs"/>
                <w:b/>
                <w:bCs/>
                <w:sz w:val="26"/>
                <w:szCs w:val="26"/>
                <w:rtl/>
              </w:rPr>
              <w:t>ה</w:t>
            </w:r>
            <w:r w:rsidRPr="008719A6">
              <w:rPr>
                <w:rFonts w:hint="cs"/>
                <w:rtl/>
              </w:rPr>
              <w:t>מאשימה</w:t>
            </w:r>
          </w:p>
        </w:tc>
        <w:tc>
          <w:tcPr>
            <w:tcW w:w="5922" w:type="dxa"/>
            <w:gridSpan w:val="2"/>
          </w:tcPr>
          <w:p w14:paraId="2B20BB97" w14:textId="77777777" w:rsidR="00703FB3" w:rsidRPr="008719A6" w:rsidRDefault="008719A6">
            <w:pPr>
              <w:rPr>
                <w:b/>
                <w:bCs/>
                <w:sz w:val="26"/>
                <w:szCs w:val="26"/>
                <w:rtl/>
              </w:rPr>
            </w:pPr>
            <w:r w:rsidRPr="008719A6">
              <w:rPr>
                <w:rFonts w:hint="cs"/>
                <w:rtl/>
              </w:rPr>
              <w:t>מדינת ישראל</w:t>
            </w:r>
          </w:p>
          <w:p w14:paraId="21C96C18" w14:textId="77777777" w:rsidR="00703FB3" w:rsidRPr="008719A6" w:rsidRDefault="00703FB3">
            <w:pPr>
              <w:rPr>
                <w:b/>
                <w:bCs/>
                <w:sz w:val="26"/>
                <w:szCs w:val="26"/>
              </w:rPr>
            </w:pPr>
          </w:p>
        </w:tc>
      </w:tr>
      <w:bookmarkEnd w:id="1"/>
      <w:tr w:rsidR="00703FB3" w:rsidRPr="008719A6" w14:paraId="52A522D3" w14:textId="77777777">
        <w:tc>
          <w:tcPr>
            <w:tcW w:w="8802" w:type="dxa"/>
            <w:gridSpan w:val="3"/>
          </w:tcPr>
          <w:p w14:paraId="2E9C3022" w14:textId="77777777" w:rsidR="00703FB3" w:rsidRPr="008719A6" w:rsidRDefault="008719A6">
            <w:pPr>
              <w:jc w:val="center"/>
              <w:rPr>
                <w:rFonts w:ascii="Arial" w:hAnsi="Arial"/>
                <w:b/>
                <w:bCs/>
                <w:sz w:val="26"/>
                <w:szCs w:val="26"/>
                <w:rtl/>
              </w:rPr>
            </w:pPr>
            <w:r w:rsidRPr="008719A6">
              <w:rPr>
                <w:rFonts w:ascii="Arial" w:hAnsi="Arial" w:hint="cs"/>
                <w:b/>
                <w:bCs/>
                <w:sz w:val="26"/>
                <w:szCs w:val="26"/>
                <w:rtl/>
              </w:rPr>
              <w:t>נגד</w:t>
            </w:r>
          </w:p>
          <w:p w14:paraId="38EF6291" w14:textId="77777777" w:rsidR="00703FB3" w:rsidRPr="008719A6" w:rsidRDefault="00703FB3">
            <w:pPr>
              <w:jc w:val="center"/>
              <w:rPr>
                <w:rFonts w:ascii="Arial" w:hAnsi="Arial"/>
                <w:b/>
                <w:bCs/>
                <w:sz w:val="26"/>
                <w:szCs w:val="26"/>
              </w:rPr>
            </w:pPr>
          </w:p>
        </w:tc>
      </w:tr>
      <w:tr w:rsidR="00703FB3" w:rsidRPr="008719A6" w14:paraId="0409648D" w14:textId="77777777">
        <w:tc>
          <w:tcPr>
            <w:tcW w:w="2880" w:type="dxa"/>
          </w:tcPr>
          <w:p w14:paraId="2435E3CD" w14:textId="77777777" w:rsidR="00703FB3" w:rsidRPr="008719A6" w:rsidRDefault="008719A6">
            <w:pPr>
              <w:ind w:left="26"/>
              <w:rPr>
                <w:b/>
                <w:bCs/>
                <w:sz w:val="26"/>
                <w:szCs w:val="26"/>
              </w:rPr>
            </w:pPr>
            <w:r w:rsidRPr="008719A6">
              <w:rPr>
                <w:rFonts w:hint="cs"/>
                <w:b/>
                <w:bCs/>
                <w:sz w:val="26"/>
                <w:szCs w:val="26"/>
                <w:rtl/>
              </w:rPr>
              <w:t>ה</w:t>
            </w:r>
            <w:r w:rsidRPr="008719A6">
              <w:rPr>
                <w:rFonts w:hint="cs"/>
                <w:rtl/>
              </w:rPr>
              <w:t>נאשם</w:t>
            </w:r>
          </w:p>
        </w:tc>
        <w:tc>
          <w:tcPr>
            <w:tcW w:w="5922" w:type="dxa"/>
            <w:gridSpan w:val="2"/>
          </w:tcPr>
          <w:p w14:paraId="4270FF92" w14:textId="77777777" w:rsidR="00703FB3" w:rsidRPr="008719A6" w:rsidRDefault="008719A6">
            <w:pPr>
              <w:rPr>
                <w:b/>
                <w:bCs/>
                <w:sz w:val="26"/>
                <w:szCs w:val="26"/>
              </w:rPr>
            </w:pPr>
            <w:r w:rsidRPr="008719A6">
              <w:rPr>
                <w:rFonts w:hint="cs"/>
                <w:rtl/>
              </w:rPr>
              <w:t>מוחמד ג'אבר (עציר) ת.ז. 301194833</w:t>
            </w:r>
          </w:p>
        </w:tc>
      </w:tr>
    </w:tbl>
    <w:p w14:paraId="776326E6" w14:textId="77777777" w:rsidR="005303BA" w:rsidRDefault="005303BA">
      <w:pPr>
        <w:spacing w:line="360" w:lineRule="auto"/>
        <w:jc w:val="both"/>
        <w:rPr>
          <w:rFonts w:ascii="David" w:hAnsi="David"/>
          <w:rtl/>
        </w:rPr>
      </w:pPr>
      <w:bookmarkStart w:id="2" w:name="LawTable"/>
      <w:bookmarkEnd w:id="2"/>
    </w:p>
    <w:p w14:paraId="31D82FCE" w14:textId="77777777" w:rsidR="005303BA" w:rsidRPr="005303BA" w:rsidRDefault="005303BA" w:rsidP="005303BA">
      <w:pPr>
        <w:spacing w:after="120" w:line="240" w:lineRule="exact"/>
        <w:ind w:left="283" w:hanging="283"/>
        <w:jc w:val="both"/>
        <w:rPr>
          <w:rFonts w:ascii="FrankRuehl" w:hAnsi="FrankRuehl" w:cs="FrankRuehl"/>
          <w:rtl/>
        </w:rPr>
      </w:pPr>
    </w:p>
    <w:p w14:paraId="4DAEBB31" w14:textId="77777777" w:rsidR="005303BA" w:rsidRPr="005303BA" w:rsidRDefault="005303BA" w:rsidP="005303BA">
      <w:pPr>
        <w:spacing w:after="120" w:line="240" w:lineRule="exact"/>
        <w:ind w:left="283" w:hanging="283"/>
        <w:jc w:val="both"/>
        <w:rPr>
          <w:rFonts w:ascii="FrankRuehl" w:hAnsi="FrankRuehl" w:cs="FrankRuehl"/>
          <w:rtl/>
        </w:rPr>
      </w:pPr>
      <w:r w:rsidRPr="005303BA">
        <w:rPr>
          <w:rFonts w:ascii="FrankRuehl" w:hAnsi="FrankRuehl" w:cs="FrankRuehl"/>
          <w:rtl/>
        </w:rPr>
        <w:t xml:space="preserve">חקיקה שאוזכרה: </w:t>
      </w:r>
    </w:p>
    <w:p w14:paraId="435019F9" w14:textId="77777777" w:rsidR="005303BA" w:rsidRPr="005303BA" w:rsidRDefault="005303BA" w:rsidP="005303BA">
      <w:pPr>
        <w:spacing w:after="120" w:line="240" w:lineRule="exact"/>
        <w:ind w:left="283" w:hanging="283"/>
        <w:jc w:val="both"/>
        <w:rPr>
          <w:rFonts w:ascii="FrankRuehl" w:hAnsi="FrankRuehl" w:cs="FrankRuehl"/>
          <w:rtl/>
        </w:rPr>
      </w:pPr>
      <w:hyperlink r:id="rId7" w:history="1">
        <w:r w:rsidRPr="005303BA">
          <w:rPr>
            <w:rFonts w:ascii="FrankRuehl" w:hAnsi="FrankRuehl" w:cs="FrankRuehl"/>
            <w:color w:val="0000FF"/>
            <w:u w:val="single"/>
            <w:rtl/>
          </w:rPr>
          <w:t>חוק העונשין, תשל"ז-1977</w:t>
        </w:r>
      </w:hyperlink>
      <w:r w:rsidRPr="005303BA">
        <w:rPr>
          <w:rFonts w:ascii="FrankRuehl" w:hAnsi="FrankRuehl" w:cs="FrankRuehl"/>
          <w:rtl/>
        </w:rPr>
        <w:t xml:space="preserve">: סע'  </w:t>
      </w:r>
      <w:hyperlink r:id="rId8" w:history="1">
        <w:r w:rsidRPr="005303BA">
          <w:rPr>
            <w:rFonts w:ascii="FrankRuehl" w:hAnsi="FrankRuehl" w:cs="FrankRuehl"/>
            <w:color w:val="0000FF"/>
            <w:u w:val="single"/>
            <w:rtl/>
          </w:rPr>
          <w:t>40ב'</w:t>
        </w:r>
      </w:hyperlink>
      <w:r w:rsidRPr="005303BA">
        <w:rPr>
          <w:rFonts w:ascii="FrankRuehl" w:hAnsi="FrankRuehl" w:cs="FrankRuehl"/>
          <w:rtl/>
        </w:rPr>
        <w:t xml:space="preserve">, </w:t>
      </w:r>
      <w:hyperlink r:id="rId9" w:history="1">
        <w:r w:rsidRPr="005303BA">
          <w:rPr>
            <w:rFonts w:ascii="FrankRuehl" w:hAnsi="FrankRuehl" w:cs="FrankRuehl"/>
            <w:color w:val="0000FF"/>
            <w:u w:val="single"/>
            <w:rtl/>
          </w:rPr>
          <w:t>40ט'</w:t>
        </w:r>
      </w:hyperlink>
      <w:r w:rsidRPr="005303BA">
        <w:rPr>
          <w:rFonts w:ascii="FrankRuehl" w:hAnsi="FrankRuehl" w:cs="FrankRuehl"/>
          <w:rtl/>
        </w:rPr>
        <w:t xml:space="preserve">, </w:t>
      </w:r>
      <w:hyperlink r:id="rId10" w:history="1">
        <w:r w:rsidRPr="005303BA">
          <w:rPr>
            <w:rFonts w:ascii="FrankRuehl" w:hAnsi="FrankRuehl" w:cs="FrankRuehl"/>
            <w:color w:val="0000FF"/>
            <w:u w:val="single"/>
            <w:rtl/>
          </w:rPr>
          <w:t>144(א)</w:t>
        </w:r>
      </w:hyperlink>
      <w:r w:rsidRPr="005303BA">
        <w:rPr>
          <w:rFonts w:ascii="FrankRuehl" w:hAnsi="FrankRuehl" w:cs="FrankRuehl"/>
          <w:rtl/>
        </w:rPr>
        <w:t xml:space="preserve">, </w:t>
      </w:r>
      <w:hyperlink r:id="rId11" w:history="1">
        <w:r w:rsidRPr="005303BA">
          <w:rPr>
            <w:rFonts w:ascii="FrankRuehl" w:hAnsi="FrankRuehl" w:cs="FrankRuehl"/>
            <w:color w:val="0000FF"/>
            <w:u w:val="single"/>
            <w:rtl/>
          </w:rPr>
          <w:t>ב)</w:t>
        </w:r>
      </w:hyperlink>
      <w:r w:rsidRPr="005303BA">
        <w:rPr>
          <w:rFonts w:ascii="FrankRuehl" w:hAnsi="FrankRuehl" w:cs="FrankRuehl"/>
          <w:rtl/>
        </w:rPr>
        <w:t xml:space="preserve">, </w:t>
      </w:r>
      <w:hyperlink r:id="rId12" w:history="1">
        <w:r w:rsidRPr="005303BA">
          <w:rPr>
            <w:rFonts w:ascii="FrankRuehl" w:hAnsi="FrankRuehl" w:cs="FrankRuehl"/>
            <w:color w:val="0000FF"/>
            <w:u w:val="single"/>
            <w:rtl/>
          </w:rPr>
          <w:t>275</w:t>
        </w:r>
      </w:hyperlink>
    </w:p>
    <w:p w14:paraId="730130C2" w14:textId="77777777" w:rsidR="005303BA" w:rsidRPr="005303BA" w:rsidRDefault="005303BA" w:rsidP="005303BA">
      <w:pPr>
        <w:spacing w:after="120" w:line="240" w:lineRule="exact"/>
        <w:ind w:left="283" w:hanging="283"/>
        <w:jc w:val="both"/>
        <w:rPr>
          <w:rFonts w:ascii="FrankRuehl" w:hAnsi="FrankRuehl" w:cs="FrankRuehl"/>
          <w:rtl/>
        </w:rPr>
      </w:pPr>
      <w:hyperlink r:id="rId13" w:history="1">
        <w:r w:rsidRPr="005303BA">
          <w:rPr>
            <w:rFonts w:ascii="FrankRuehl" w:hAnsi="FrankRuehl" w:cs="FrankRuehl"/>
            <w:color w:val="0000FF"/>
            <w:u w:val="single"/>
            <w:rtl/>
          </w:rPr>
          <w:t>פקודת התעבורה [נוסח חדש]</w:t>
        </w:r>
      </w:hyperlink>
      <w:r w:rsidRPr="005303BA">
        <w:rPr>
          <w:rFonts w:ascii="FrankRuehl" w:hAnsi="FrankRuehl" w:cs="FrankRuehl"/>
          <w:rtl/>
        </w:rPr>
        <w:t xml:space="preserve">: סע'  </w:t>
      </w:r>
      <w:hyperlink r:id="rId14" w:history="1">
        <w:r w:rsidRPr="005303BA">
          <w:rPr>
            <w:rFonts w:ascii="FrankRuehl" w:hAnsi="FrankRuehl" w:cs="FrankRuehl"/>
            <w:color w:val="0000FF"/>
            <w:u w:val="single"/>
            <w:rtl/>
          </w:rPr>
          <w:t>2</w:t>
        </w:r>
      </w:hyperlink>
      <w:r w:rsidRPr="005303BA">
        <w:rPr>
          <w:rFonts w:ascii="FrankRuehl" w:hAnsi="FrankRuehl" w:cs="FrankRuehl"/>
          <w:rtl/>
        </w:rPr>
        <w:t xml:space="preserve">, </w:t>
      </w:r>
      <w:hyperlink r:id="rId15" w:history="1">
        <w:r w:rsidRPr="005303BA">
          <w:rPr>
            <w:rFonts w:ascii="FrankRuehl" w:hAnsi="FrankRuehl" w:cs="FrankRuehl"/>
            <w:color w:val="0000FF"/>
            <w:u w:val="single"/>
            <w:rtl/>
          </w:rPr>
          <w:t>10(א)</w:t>
        </w:r>
      </w:hyperlink>
      <w:r w:rsidRPr="005303BA">
        <w:rPr>
          <w:rFonts w:ascii="FrankRuehl" w:hAnsi="FrankRuehl" w:cs="FrankRuehl"/>
          <w:rtl/>
        </w:rPr>
        <w:t xml:space="preserve">, </w:t>
      </w:r>
      <w:hyperlink r:id="rId16" w:history="1">
        <w:r w:rsidRPr="005303BA">
          <w:rPr>
            <w:rFonts w:ascii="FrankRuehl" w:hAnsi="FrankRuehl" w:cs="FrankRuehl"/>
            <w:color w:val="0000FF"/>
            <w:u w:val="single"/>
            <w:rtl/>
          </w:rPr>
          <w:t>38(1)</w:t>
        </w:r>
      </w:hyperlink>
    </w:p>
    <w:p w14:paraId="0FB87160" w14:textId="77777777" w:rsidR="005303BA" w:rsidRPr="005303BA" w:rsidRDefault="005303BA" w:rsidP="005303BA">
      <w:pPr>
        <w:spacing w:after="120" w:line="240" w:lineRule="exact"/>
        <w:ind w:left="283" w:hanging="283"/>
        <w:jc w:val="both"/>
        <w:rPr>
          <w:rFonts w:ascii="FrankRuehl" w:hAnsi="FrankRuehl" w:cs="FrankRuehl"/>
          <w:rtl/>
        </w:rPr>
      </w:pPr>
      <w:hyperlink r:id="rId17" w:history="1">
        <w:r w:rsidRPr="005303BA">
          <w:rPr>
            <w:rFonts w:ascii="FrankRuehl" w:hAnsi="FrankRuehl" w:cs="FrankRuehl"/>
            <w:color w:val="0000FF"/>
            <w:u w:val="single"/>
            <w:rtl/>
          </w:rPr>
          <w:t>פקודת ביטוח רכב מנועי [נוסח חדש], תש"ל-1970</w:t>
        </w:r>
      </w:hyperlink>
      <w:r w:rsidRPr="005303BA">
        <w:rPr>
          <w:rFonts w:ascii="FrankRuehl" w:hAnsi="FrankRuehl" w:cs="FrankRuehl"/>
          <w:rtl/>
        </w:rPr>
        <w:t xml:space="preserve">: סע'  </w:t>
      </w:r>
      <w:hyperlink r:id="rId18" w:history="1">
        <w:r w:rsidRPr="005303BA">
          <w:rPr>
            <w:rFonts w:ascii="FrankRuehl" w:hAnsi="FrankRuehl" w:cs="FrankRuehl"/>
            <w:color w:val="0000FF"/>
            <w:u w:val="single"/>
            <w:rtl/>
          </w:rPr>
          <w:t>2</w:t>
        </w:r>
      </w:hyperlink>
    </w:p>
    <w:p w14:paraId="31E21CC2" w14:textId="77777777" w:rsidR="005303BA" w:rsidRPr="005303BA" w:rsidRDefault="005303BA" w:rsidP="005303BA">
      <w:pPr>
        <w:spacing w:after="120" w:line="240" w:lineRule="exact"/>
        <w:ind w:left="283" w:hanging="283"/>
        <w:jc w:val="both"/>
        <w:rPr>
          <w:rFonts w:ascii="FrankRuehl" w:hAnsi="FrankRuehl" w:cs="FrankRuehl"/>
          <w:rtl/>
        </w:rPr>
      </w:pPr>
    </w:p>
    <w:p w14:paraId="4A7610BF" w14:textId="77777777" w:rsidR="005303BA" w:rsidRPr="005303BA" w:rsidRDefault="005303BA">
      <w:pPr>
        <w:spacing w:line="360" w:lineRule="auto"/>
        <w:jc w:val="both"/>
        <w:rPr>
          <w:rFonts w:ascii="David" w:hAnsi="David"/>
          <w:rtl/>
        </w:rPr>
      </w:pPr>
      <w:bookmarkStart w:id="3" w:name="LawTable_End"/>
      <w:bookmarkEnd w:id="3"/>
    </w:p>
    <w:p w14:paraId="2E6D5A29" w14:textId="77777777" w:rsidR="005303BA" w:rsidRPr="005303BA" w:rsidRDefault="005303BA">
      <w:pPr>
        <w:spacing w:line="360" w:lineRule="auto"/>
        <w:jc w:val="both"/>
        <w:rPr>
          <w:rFonts w:ascii="David" w:hAnsi="David"/>
          <w:rtl/>
        </w:rPr>
      </w:pPr>
    </w:p>
    <w:p w14:paraId="3428AA84" w14:textId="77777777" w:rsidR="00703FB3" w:rsidRPr="005303BA" w:rsidRDefault="00703FB3">
      <w:pPr>
        <w:spacing w:line="360" w:lineRule="auto"/>
        <w:jc w:val="both"/>
        <w:rPr>
          <w:rFonts w:ascii="David" w:hAnsi="David"/>
          <w:rtl/>
        </w:rPr>
      </w:pPr>
    </w:p>
    <w:p w14:paraId="172258B5" w14:textId="77777777" w:rsidR="008719A6" w:rsidRPr="008719A6" w:rsidRDefault="008719A6">
      <w:pPr>
        <w:rPr>
          <w:rtl/>
        </w:rPr>
      </w:pPr>
    </w:p>
    <w:p w14:paraId="1BB1C790" w14:textId="77777777" w:rsidR="008719A6" w:rsidRPr="008719A6" w:rsidRDefault="008719A6">
      <w:pPr>
        <w:rPr>
          <w:rtl/>
        </w:rPr>
      </w:pPr>
    </w:p>
    <w:p w14:paraId="0E418E72" w14:textId="77777777" w:rsidR="00703FB3" w:rsidRPr="008719A6" w:rsidRDefault="00703FB3"/>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03FB3" w14:paraId="0D56BDCA" w14:textId="77777777">
        <w:trPr>
          <w:trHeight w:val="355"/>
          <w:jc w:val="center"/>
        </w:trPr>
        <w:tc>
          <w:tcPr>
            <w:tcW w:w="8820" w:type="dxa"/>
            <w:tcBorders>
              <w:top w:val="nil"/>
              <w:left w:val="nil"/>
              <w:bottom w:val="nil"/>
              <w:right w:val="nil"/>
            </w:tcBorders>
          </w:tcPr>
          <w:p w14:paraId="0402688F" w14:textId="77777777" w:rsidR="008719A6" w:rsidRPr="008719A6" w:rsidRDefault="008719A6" w:rsidP="008719A6">
            <w:pPr>
              <w:jc w:val="center"/>
              <w:rPr>
                <w:rFonts w:ascii="Arial" w:hAnsi="Arial" w:cs="FrankRuehl"/>
                <w:b/>
                <w:bCs/>
                <w:sz w:val="32"/>
                <w:szCs w:val="32"/>
                <w:u w:val="single"/>
                <w:rtl/>
              </w:rPr>
            </w:pPr>
            <w:bookmarkStart w:id="4" w:name="PsakDin" w:colFirst="0" w:colLast="0"/>
            <w:bookmarkEnd w:id="0"/>
            <w:r w:rsidRPr="008719A6">
              <w:rPr>
                <w:rFonts w:ascii="Arial" w:hAnsi="Arial" w:cs="FrankRuehl"/>
                <w:b/>
                <w:bCs/>
                <w:sz w:val="32"/>
                <w:szCs w:val="32"/>
                <w:u w:val="single"/>
                <w:rtl/>
              </w:rPr>
              <w:t>גזר דין</w:t>
            </w:r>
          </w:p>
          <w:p w14:paraId="6B71F1D1" w14:textId="77777777" w:rsidR="00703FB3" w:rsidRPr="008719A6" w:rsidRDefault="00703FB3" w:rsidP="008719A6">
            <w:pPr>
              <w:jc w:val="center"/>
              <w:rPr>
                <w:rFonts w:ascii="Arial" w:hAnsi="Arial" w:cs="FrankRuehl"/>
                <w:bCs/>
                <w:sz w:val="32"/>
                <w:szCs w:val="32"/>
                <w:u w:val="single"/>
                <w:rtl/>
              </w:rPr>
            </w:pPr>
          </w:p>
        </w:tc>
      </w:tr>
      <w:bookmarkEnd w:id="4"/>
    </w:tbl>
    <w:p w14:paraId="53BBA05C" w14:textId="77777777" w:rsidR="00703FB3" w:rsidRDefault="00703FB3">
      <w:pPr>
        <w:rPr>
          <w:rFonts w:ascii="Arial" w:hAnsi="Arial"/>
          <w:rtl/>
        </w:rPr>
      </w:pPr>
    </w:p>
    <w:p w14:paraId="6003C92E" w14:textId="77777777" w:rsidR="00703FB3" w:rsidRDefault="008719A6">
      <w:pPr>
        <w:spacing w:line="360" w:lineRule="auto"/>
        <w:ind w:left="360" w:firstLine="360"/>
        <w:jc w:val="both"/>
        <w:rPr>
          <w:rFonts w:cs="Miriam"/>
        </w:rPr>
      </w:pPr>
      <w:r>
        <w:rPr>
          <w:rFonts w:cs="Miriam"/>
          <w:rtl/>
        </w:rPr>
        <w:t>מבוא</w:t>
      </w:r>
    </w:p>
    <w:p w14:paraId="0C49C8CC" w14:textId="77777777" w:rsidR="00703FB3" w:rsidRDefault="008719A6">
      <w:pPr>
        <w:spacing w:line="360" w:lineRule="auto"/>
        <w:ind w:left="720"/>
        <w:jc w:val="both"/>
        <w:rPr>
          <w:rFonts w:cs="FrankRuehl"/>
          <w:sz w:val="28"/>
          <w:szCs w:val="28"/>
          <w:rtl/>
        </w:rPr>
      </w:pPr>
      <w:bookmarkStart w:id="5" w:name="ABSTRACT_START"/>
      <w:bookmarkEnd w:id="5"/>
      <w:r>
        <w:rPr>
          <w:rFonts w:cs="FrankRuehl"/>
          <w:sz w:val="28"/>
          <w:szCs w:val="28"/>
          <w:rtl/>
        </w:rPr>
        <w:t>בתום פרשת התביעה, הגיעו הצדדים להסדר טיעון שלא כולל הסכמה לענ</w:t>
      </w:r>
      <w:r>
        <w:rPr>
          <w:rFonts w:cs="FrankRuehl" w:hint="cs"/>
          <w:sz w:val="28"/>
          <w:szCs w:val="28"/>
          <w:rtl/>
        </w:rPr>
        <w:t>י</w:t>
      </w:r>
      <w:r>
        <w:rPr>
          <w:rFonts w:cs="FrankRuehl"/>
          <w:sz w:val="28"/>
          <w:szCs w:val="28"/>
          <w:rtl/>
        </w:rPr>
        <w:t>ין העונש, כתב האישום תוקן (סומן א), הנאשם הודה באמור בו והורשע בביצוע העבירות הבאות:</w:t>
      </w:r>
    </w:p>
    <w:p w14:paraId="05A900D8" w14:textId="77777777" w:rsidR="00703FB3" w:rsidRDefault="008719A6">
      <w:pPr>
        <w:spacing w:line="360" w:lineRule="auto"/>
        <w:ind w:left="720"/>
        <w:jc w:val="both"/>
        <w:rPr>
          <w:rFonts w:cs="FrankRuehl"/>
          <w:sz w:val="28"/>
          <w:szCs w:val="28"/>
        </w:rPr>
      </w:pPr>
      <w:r>
        <w:rPr>
          <w:rFonts w:cs="FrankRuehl"/>
          <w:sz w:val="28"/>
          <w:szCs w:val="28"/>
          <w:rtl/>
        </w:rPr>
        <w:t>-נשיאת נשק ותחמושת- עבירה לפי סעיפים</w:t>
      </w:r>
      <w:hyperlink r:id="rId19" w:history="1">
        <w:r w:rsidR="005303BA" w:rsidRPr="005303BA">
          <w:rPr>
            <w:rFonts w:cs="FrankRuehl"/>
            <w:color w:val="0000FF"/>
            <w:sz w:val="28"/>
            <w:szCs w:val="28"/>
            <w:u w:val="single"/>
            <w:rtl/>
          </w:rPr>
          <w:t xml:space="preserve"> 144(א)</w:t>
        </w:r>
      </w:hyperlink>
      <w:r>
        <w:rPr>
          <w:rFonts w:cs="FrankRuehl"/>
          <w:sz w:val="28"/>
          <w:szCs w:val="28"/>
          <w:rtl/>
        </w:rPr>
        <w:t>+(</w:t>
      </w:r>
      <w:hyperlink r:id="rId20" w:history="1">
        <w:r w:rsidR="005303BA" w:rsidRPr="005303BA">
          <w:rPr>
            <w:rStyle w:val="Hyperlink"/>
            <w:rFonts w:cs="FrankRuehl"/>
            <w:sz w:val="28"/>
            <w:szCs w:val="28"/>
            <w:rtl/>
          </w:rPr>
          <w:t>ב)</w:t>
        </w:r>
      </w:hyperlink>
      <w:r>
        <w:rPr>
          <w:rFonts w:cs="FrankRuehl"/>
          <w:sz w:val="28"/>
          <w:szCs w:val="28"/>
          <w:rtl/>
        </w:rPr>
        <w:t xml:space="preserve"> סיפא </w:t>
      </w:r>
      <w:r>
        <w:rPr>
          <w:rFonts w:cs="Miriam"/>
          <w:rtl/>
        </w:rPr>
        <w:t>ל</w:t>
      </w:r>
      <w:hyperlink r:id="rId21" w:history="1">
        <w:r w:rsidRPr="008719A6">
          <w:rPr>
            <w:rFonts w:cs="Miriam"/>
            <w:color w:val="0000FF"/>
            <w:u w:val="single"/>
            <w:rtl/>
          </w:rPr>
          <w:t>חוק העונשין</w:t>
        </w:r>
      </w:hyperlink>
      <w:r>
        <w:rPr>
          <w:rFonts w:cs="FrankRuehl"/>
          <w:sz w:val="28"/>
          <w:szCs w:val="28"/>
          <w:rtl/>
        </w:rPr>
        <w:t xml:space="preserve"> התשל"ז-1977, (להלן-החוק)</w:t>
      </w:r>
    </w:p>
    <w:p w14:paraId="3F9223ED" w14:textId="77777777" w:rsidR="00703FB3" w:rsidRDefault="008719A6">
      <w:pPr>
        <w:spacing w:line="360" w:lineRule="auto"/>
        <w:ind w:left="360" w:firstLine="360"/>
        <w:jc w:val="both"/>
        <w:rPr>
          <w:rFonts w:cs="FrankRuehl"/>
          <w:sz w:val="28"/>
          <w:szCs w:val="28"/>
        </w:rPr>
      </w:pPr>
      <w:r>
        <w:rPr>
          <w:rFonts w:cs="FrankRuehl"/>
          <w:sz w:val="28"/>
          <w:szCs w:val="28"/>
          <w:rtl/>
        </w:rPr>
        <w:t xml:space="preserve">-הפרעה לשוטר בשעת מילוי תפקידו- עבירה לפי </w:t>
      </w:r>
      <w:hyperlink r:id="rId22" w:history="1">
        <w:r w:rsidR="005303BA" w:rsidRPr="005303BA">
          <w:rPr>
            <w:rStyle w:val="Hyperlink"/>
            <w:rFonts w:cs="FrankRuehl"/>
            <w:sz w:val="28"/>
            <w:szCs w:val="28"/>
            <w:rtl/>
          </w:rPr>
          <w:t>סעיף 275</w:t>
        </w:r>
      </w:hyperlink>
      <w:r>
        <w:rPr>
          <w:rFonts w:cs="FrankRuehl"/>
          <w:sz w:val="28"/>
          <w:szCs w:val="28"/>
          <w:rtl/>
        </w:rPr>
        <w:t xml:space="preserve"> לחוק.</w:t>
      </w:r>
    </w:p>
    <w:p w14:paraId="6479238C" w14:textId="77777777" w:rsidR="00703FB3" w:rsidRDefault="008719A6">
      <w:pPr>
        <w:spacing w:line="360" w:lineRule="auto"/>
        <w:ind w:left="720"/>
        <w:jc w:val="both"/>
        <w:rPr>
          <w:rFonts w:cs="FrankRuehl"/>
          <w:sz w:val="28"/>
          <w:szCs w:val="28"/>
        </w:rPr>
      </w:pPr>
      <w:r>
        <w:rPr>
          <w:rFonts w:cs="FrankRuehl"/>
          <w:sz w:val="28"/>
          <w:szCs w:val="28"/>
          <w:rtl/>
        </w:rPr>
        <w:t xml:space="preserve">-נהיגה ללא רישיון רכב תקף-עבירה לפי </w:t>
      </w:r>
      <w:hyperlink r:id="rId23" w:history="1">
        <w:r w:rsidR="005303BA" w:rsidRPr="005303BA">
          <w:rPr>
            <w:rStyle w:val="Hyperlink"/>
            <w:rFonts w:cs="FrankRuehl"/>
            <w:sz w:val="28"/>
            <w:szCs w:val="28"/>
            <w:rtl/>
          </w:rPr>
          <w:t>סעיף 2</w:t>
        </w:r>
      </w:hyperlink>
      <w:r>
        <w:rPr>
          <w:rFonts w:cs="FrankRuehl"/>
          <w:sz w:val="28"/>
          <w:szCs w:val="28"/>
          <w:rtl/>
        </w:rPr>
        <w:t xml:space="preserve"> </w:t>
      </w:r>
      <w:r>
        <w:rPr>
          <w:rFonts w:cs="Miriam"/>
          <w:rtl/>
        </w:rPr>
        <w:t>ל</w:t>
      </w:r>
      <w:hyperlink r:id="rId24" w:history="1">
        <w:r w:rsidRPr="008719A6">
          <w:rPr>
            <w:rFonts w:cs="Miriam"/>
            <w:color w:val="0000FF"/>
            <w:u w:val="single"/>
            <w:rtl/>
          </w:rPr>
          <w:t>פקודת התעבורה</w:t>
        </w:r>
      </w:hyperlink>
      <w:r>
        <w:rPr>
          <w:rFonts w:cs="Miriam"/>
          <w:rtl/>
        </w:rPr>
        <w:t xml:space="preserve"> [נוסח חדש],</w:t>
      </w:r>
      <w:r>
        <w:rPr>
          <w:rFonts w:cs="FrankRuehl"/>
          <w:sz w:val="28"/>
          <w:szCs w:val="28"/>
          <w:rtl/>
        </w:rPr>
        <w:t xml:space="preserve"> התשכ"א-1961, (להלן-הפקודה).</w:t>
      </w:r>
    </w:p>
    <w:p w14:paraId="165593A5" w14:textId="77777777" w:rsidR="00703FB3" w:rsidRDefault="008719A6">
      <w:pPr>
        <w:spacing w:line="360" w:lineRule="auto"/>
        <w:ind w:left="360" w:firstLine="360"/>
        <w:jc w:val="both"/>
        <w:rPr>
          <w:rFonts w:cs="FrankRuehl"/>
          <w:sz w:val="28"/>
          <w:szCs w:val="28"/>
        </w:rPr>
      </w:pPr>
      <w:r>
        <w:rPr>
          <w:rFonts w:cs="FrankRuehl"/>
          <w:sz w:val="28"/>
          <w:szCs w:val="28"/>
          <w:rtl/>
        </w:rPr>
        <w:t>-איסור לנהוג בלי רישיון נהיגה- עבירה לפי סעיף</w:t>
      </w:r>
      <w:hyperlink r:id="rId25" w:history="1">
        <w:r w:rsidR="005303BA" w:rsidRPr="005303BA">
          <w:rPr>
            <w:rFonts w:cs="FrankRuehl"/>
            <w:color w:val="0000FF"/>
            <w:sz w:val="28"/>
            <w:szCs w:val="28"/>
            <w:u w:val="single"/>
            <w:rtl/>
          </w:rPr>
          <w:t xml:space="preserve"> 10(א)</w:t>
        </w:r>
      </w:hyperlink>
      <w:r>
        <w:rPr>
          <w:rFonts w:cs="FrankRuehl"/>
          <w:sz w:val="28"/>
          <w:szCs w:val="28"/>
          <w:rtl/>
        </w:rPr>
        <w:t>+</w:t>
      </w:r>
      <w:hyperlink r:id="rId26" w:history="1">
        <w:r w:rsidR="005303BA" w:rsidRPr="005303BA">
          <w:rPr>
            <w:rFonts w:cs="FrankRuehl"/>
            <w:color w:val="0000FF"/>
            <w:sz w:val="28"/>
            <w:szCs w:val="28"/>
            <w:u w:val="single"/>
            <w:rtl/>
          </w:rPr>
          <w:t>סעיף 38(1)</w:t>
        </w:r>
      </w:hyperlink>
      <w:r>
        <w:rPr>
          <w:rFonts w:cs="FrankRuehl"/>
          <w:sz w:val="28"/>
          <w:szCs w:val="28"/>
          <w:rtl/>
        </w:rPr>
        <w:t xml:space="preserve"> לפקודה.</w:t>
      </w:r>
    </w:p>
    <w:p w14:paraId="6C0DD5FD" w14:textId="77777777" w:rsidR="00703FB3" w:rsidRDefault="008719A6">
      <w:pPr>
        <w:spacing w:line="360" w:lineRule="auto"/>
        <w:ind w:left="720"/>
        <w:jc w:val="both"/>
        <w:rPr>
          <w:rFonts w:cs="FrankRuehl"/>
          <w:sz w:val="28"/>
          <w:szCs w:val="28"/>
          <w:rtl/>
        </w:rPr>
      </w:pPr>
      <w:r>
        <w:rPr>
          <w:rFonts w:cs="FrankRuehl"/>
          <w:sz w:val="28"/>
          <w:szCs w:val="28"/>
          <w:rtl/>
        </w:rPr>
        <w:lastRenderedPageBreak/>
        <w:t xml:space="preserve">-איסור לנהוג בלי ביטוח בר תוקף- עבירה לפי </w:t>
      </w:r>
      <w:hyperlink r:id="rId27" w:history="1">
        <w:r w:rsidR="005303BA" w:rsidRPr="005303BA">
          <w:rPr>
            <w:rFonts w:cs="FrankRuehl"/>
            <w:color w:val="0000FF"/>
            <w:sz w:val="28"/>
            <w:szCs w:val="28"/>
            <w:u w:val="single"/>
            <w:rtl/>
          </w:rPr>
          <w:t>סעיף 2</w:t>
        </w:r>
      </w:hyperlink>
      <w:r>
        <w:rPr>
          <w:rFonts w:cs="FrankRuehl"/>
          <w:sz w:val="28"/>
          <w:szCs w:val="28"/>
          <w:rtl/>
        </w:rPr>
        <w:t xml:space="preserve"> </w:t>
      </w:r>
      <w:r>
        <w:rPr>
          <w:rFonts w:cs="Miriam"/>
          <w:rtl/>
        </w:rPr>
        <w:t>ל</w:t>
      </w:r>
      <w:hyperlink r:id="rId28" w:history="1">
        <w:r w:rsidRPr="008719A6">
          <w:rPr>
            <w:rFonts w:cs="Miriam"/>
            <w:color w:val="0000FF"/>
            <w:u w:val="single"/>
            <w:rtl/>
          </w:rPr>
          <w:t>פקודת ביטוח רכב מנועי</w:t>
        </w:r>
      </w:hyperlink>
      <w:r>
        <w:rPr>
          <w:rFonts w:cs="Miriam"/>
          <w:rtl/>
        </w:rPr>
        <w:t xml:space="preserve"> [נוסח חדש]</w:t>
      </w:r>
      <w:r>
        <w:rPr>
          <w:rFonts w:cs="FrankRuehl"/>
          <w:sz w:val="28"/>
          <w:szCs w:val="28"/>
          <w:rtl/>
        </w:rPr>
        <w:t>, התש"ל -1970.</w:t>
      </w:r>
    </w:p>
    <w:p w14:paraId="69D73BD3" w14:textId="77777777" w:rsidR="00703FB3" w:rsidRDefault="00703FB3">
      <w:pPr>
        <w:spacing w:line="360" w:lineRule="auto"/>
        <w:ind w:left="720"/>
        <w:jc w:val="both"/>
        <w:rPr>
          <w:rFonts w:cs="FrankRuehl"/>
          <w:sz w:val="28"/>
          <w:szCs w:val="28"/>
        </w:rPr>
      </w:pPr>
      <w:bookmarkStart w:id="6" w:name="ABSTRACT_END"/>
      <w:bookmarkEnd w:id="6"/>
    </w:p>
    <w:p w14:paraId="011F03AB" w14:textId="77777777" w:rsidR="00703FB3" w:rsidRDefault="008719A6">
      <w:pPr>
        <w:spacing w:line="360" w:lineRule="auto"/>
        <w:ind w:left="720"/>
        <w:jc w:val="both"/>
        <w:rPr>
          <w:rFonts w:cs="FrankRuehl"/>
          <w:sz w:val="28"/>
          <w:szCs w:val="28"/>
          <w:rtl/>
        </w:rPr>
      </w:pPr>
      <w:r>
        <w:rPr>
          <w:rFonts w:cs="FrankRuehl"/>
          <w:sz w:val="28"/>
          <w:szCs w:val="28"/>
          <w:rtl/>
        </w:rPr>
        <w:t>על פי עובדות כתב האישום המתוקן</w:t>
      </w:r>
      <w:r>
        <w:rPr>
          <w:rFonts w:cs="FrankRuehl" w:hint="cs"/>
          <w:sz w:val="28"/>
          <w:szCs w:val="28"/>
          <w:rtl/>
        </w:rPr>
        <w:t xml:space="preserve">, </w:t>
      </w:r>
      <w:r>
        <w:rPr>
          <w:rFonts w:cs="FrankRuehl"/>
          <w:sz w:val="28"/>
          <w:szCs w:val="28"/>
          <w:rtl/>
        </w:rPr>
        <w:t xml:space="preserve">בתאריך 19.2.2014 נהג הנאשם ברכב כשהוא נושא עימו אקדח מסוג </w:t>
      </w:r>
      <w:r>
        <w:rPr>
          <w:rFonts w:cs="FrankRuehl"/>
          <w:sz w:val="20"/>
          <w:szCs w:val="20"/>
        </w:rPr>
        <w:t>FN</w:t>
      </w:r>
      <w:r>
        <w:rPr>
          <w:rFonts w:cs="FrankRuehl"/>
          <w:sz w:val="28"/>
          <w:szCs w:val="28"/>
          <w:rtl/>
        </w:rPr>
        <w:t xml:space="preserve"> שבכוחו להמית אדם, האקדח היה טעון במחסנית ודרוך עם כדור אחד בקנה וכדור במחסנית. הנאשם נהג ברכב ללא רישיון נהיגה תקף, ללא רישיון רכב וללא פוליסת ביטוח בתוקף. משהבחין בשוטרים, נמלט מהרכב כשהוא אוחז באקדח ובתחמושת</w:t>
      </w:r>
      <w:r>
        <w:rPr>
          <w:rFonts w:cs="FrankRuehl" w:hint="cs"/>
          <w:sz w:val="28"/>
          <w:szCs w:val="28"/>
          <w:rtl/>
        </w:rPr>
        <w:t xml:space="preserve">. </w:t>
      </w:r>
      <w:r>
        <w:rPr>
          <w:rFonts w:cs="FrankRuehl"/>
          <w:sz w:val="28"/>
          <w:szCs w:val="28"/>
          <w:rtl/>
        </w:rPr>
        <w:t>למרות ששוטר צעק לו לעצור</w:t>
      </w:r>
      <w:r>
        <w:rPr>
          <w:rFonts w:cs="FrankRuehl" w:hint="cs"/>
          <w:sz w:val="28"/>
          <w:szCs w:val="28"/>
          <w:rtl/>
        </w:rPr>
        <w:t xml:space="preserve">, </w:t>
      </w:r>
      <w:r>
        <w:rPr>
          <w:rFonts w:cs="FrankRuehl"/>
          <w:sz w:val="28"/>
          <w:szCs w:val="28"/>
          <w:rtl/>
        </w:rPr>
        <w:t xml:space="preserve">הנאשם בכוונה להפריע לו או להכשילו, המשיך בריצה עד אשר מעד והנשק נשמט מידו. </w:t>
      </w:r>
    </w:p>
    <w:p w14:paraId="1DDC6DD2" w14:textId="77777777" w:rsidR="00703FB3" w:rsidRDefault="00703FB3">
      <w:pPr>
        <w:spacing w:line="360" w:lineRule="auto"/>
        <w:ind w:left="720"/>
        <w:jc w:val="both"/>
        <w:rPr>
          <w:rFonts w:cs="FrankRuehl"/>
          <w:sz w:val="28"/>
          <w:szCs w:val="28"/>
        </w:rPr>
      </w:pPr>
    </w:p>
    <w:p w14:paraId="2C6DDBB2" w14:textId="77777777" w:rsidR="00703FB3" w:rsidRDefault="008719A6">
      <w:pPr>
        <w:spacing w:line="360" w:lineRule="auto"/>
        <w:ind w:left="360" w:firstLine="360"/>
        <w:rPr>
          <w:rFonts w:cs="Miriam"/>
        </w:rPr>
      </w:pPr>
      <w:r>
        <w:rPr>
          <w:rFonts w:cs="Miriam"/>
          <w:rtl/>
        </w:rPr>
        <w:t>ראיות לעונש</w:t>
      </w:r>
    </w:p>
    <w:p w14:paraId="0D9208CE" w14:textId="77777777" w:rsidR="00703FB3" w:rsidRDefault="008719A6">
      <w:pPr>
        <w:spacing w:line="360" w:lineRule="auto"/>
        <w:ind w:left="720"/>
        <w:jc w:val="both"/>
        <w:rPr>
          <w:rFonts w:cs="FrankRuehl"/>
          <w:sz w:val="28"/>
          <w:szCs w:val="28"/>
          <w:rtl/>
        </w:rPr>
      </w:pPr>
      <w:r>
        <w:rPr>
          <w:rFonts w:cs="FrankRuehl"/>
          <w:sz w:val="28"/>
          <w:szCs w:val="28"/>
          <w:rtl/>
        </w:rPr>
        <w:t xml:space="preserve">המאשימה הציגה את גיליון הרישום </w:t>
      </w:r>
      <w:r>
        <w:rPr>
          <w:rFonts w:cs="FrankRuehl" w:hint="cs"/>
          <w:sz w:val="28"/>
          <w:szCs w:val="28"/>
          <w:rtl/>
        </w:rPr>
        <w:t>ה</w:t>
      </w:r>
      <w:r>
        <w:rPr>
          <w:rFonts w:cs="FrankRuehl"/>
          <w:sz w:val="28"/>
          <w:szCs w:val="28"/>
          <w:rtl/>
        </w:rPr>
        <w:t xml:space="preserve">פלילי והתעבורתי של הנאשם (ט/1, ט/2). </w:t>
      </w:r>
    </w:p>
    <w:p w14:paraId="36688D75" w14:textId="77777777" w:rsidR="00703FB3" w:rsidRDefault="008719A6">
      <w:pPr>
        <w:spacing w:line="360" w:lineRule="auto"/>
        <w:ind w:left="720"/>
        <w:jc w:val="both"/>
        <w:rPr>
          <w:rFonts w:cs="FrankRuehl"/>
          <w:sz w:val="28"/>
          <w:szCs w:val="28"/>
          <w:rtl/>
        </w:rPr>
      </w:pPr>
      <w:r>
        <w:rPr>
          <w:rFonts w:cs="FrankRuehl"/>
          <w:sz w:val="28"/>
          <w:szCs w:val="28"/>
          <w:rtl/>
        </w:rPr>
        <w:t xml:space="preserve">ביום 1.11.2010 הורשע הנאשם בעבירות של הפרת הוראה חוקית, תקיפה הגורמת חבלה של ממש ואיומים, ונדון ל-3 חודשי מאסר בפועל ומאסר מותנה,  </w:t>
      </w:r>
    </w:p>
    <w:p w14:paraId="64078FB1" w14:textId="77777777" w:rsidR="00703FB3" w:rsidRDefault="008719A6">
      <w:pPr>
        <w:spacing w:line="360" w:lineRule="auto"/>
        <w:ind w:left="720"/>
        <w:jc w:val="both"/>
        <w:rPr>
          <w:rFonts w:cs="FrankRuehl"/>
          <w:sz w:val="28"/>
          <w:szCs w:val="28"/>
          <w:rtl/>
        </w:rPr>
      </w:pPr>
      <w:r>
        <w:rPr>
          <w:rFonts w:cs="FrankRuehl"/>
          <w:sz w:val="28"/>
          <w:szCs w:val="28"/>
          <w:rtl/>
        </w:rPr>
        <w:t xml:space="preserve">בתחום התעבורתי הורשע הנאשם ביום 30.5.2007 בעבירה של נהיגה ללא רישיון נהיגה והוא נדון למאסר מותנה ולפסילת רישיון. </w:t>
      </w:r>
    </w:p>
    <w:p w14:paraId="112054B7" w14:textId="77777777" w:rsidR="00703FB3" w:rsidRDefault="00703FB3">
      <w:pPr>
        <w:spacing w:line="360" w:lineRule="auto"/>
        <w:ind w:left="720"/>
        <w:jc w:val="both"/>
        <w:rPr>
          <w:rFonts w:cs="FrankRuehl"/>
          <w:sz w:val="28"/>
          <w:szCs w:val="28"/>
        </w:rPr>
      </w:pPr>
    </w:p>
    <w:p w14:paraId="205EBB09" w14:textId="77777777" w:rsidR="00703FB3" w:rsidRDefault="008719A6">
      <w:pPr>
        <w:spacing w:line="360" w:lineRule="auto"/>
        <w:ind w:left="360" w:firstLine="360"/>
        <w:rPr>
          <w:rFonts w:cs="Miriam"/>
        </w:rPr>
      </w:pPr>
      <w:r>
        <w:rPr>
          <w:rFonts w:cs="Miriam"/>
          <w:rtl/>
        </w:rPr>
        <w:t>תמצית טענות הצדדים</w:t>
      </w:r>
    </w:p>
    <w:p w14:paraId="6D3A17D7" w14:textId="77777777" w:rsidR="00703FB3" w:rsidRDefault="008719A6">
      <w:pPr>
        <w:numPr>
          <w:ilvl w:val="0"/>
          <w:numId w:val="2"/>
        </w:numPr>
        <w:spacing w:line="360" w:lineRule="auto"/>
        <w:jc w:val="both"/>
        <w:rPr>
          <w:rFonts w:ascii="Calibri" w:hAnsi="Calibri" w:cs="FrankRuehl"/>
          <w:sz w:val="28"/>
          <w:szCs w:val="28"/>
        </w:rPr>
      </w:pPr>
      <w:r>
        <w:rPr>
          <w:rFonts w:cs="FrankRuehl"/>
          <w:sz w:val="28"/>
          <w:szCs w:val="28"/>
          <w:rtl/>
        </w:rPr>
        <w:t>ב"כ המאשימה  ביקש לקבוע כי מתחם העונש ההולם נע בין 3 ל-5 שנות מאסר ו</w:t>
      </w:r>
      <w:r>
        <w:rPr>
          <w:rFonts w:ascii="Calibri" w:hAnsi="Calibri" w:cs="FrankRuehl" w:hint="eastAsia"/>
          <w:sz w:val="28"/>
          <w:szCs w:val="28"/>
          <w:rtl/>
        </w:rPr>
        <w:t>להטיל</w:t>
      </w:r>
      <w:r>
        <w:rPr>
          <w:rFonts w:ascii="Calibri" w:hAnsi="Calibri" w:cs="FrankRuehl"/>
          <w:sz w:val="28"/>
          <w:szCs w:val="28"/>
          <w:rtl/>
        </w:rPr>
        <w:t xml:space="preserve"> </w:t>
      </w:r>
      <w:r>
        <w:rPr>
          <w:rFonts w:ascii="Calibri" w:hAnsi="Calibri" w:cs="FrankRuehl" w:hint="eastAsia"/>
          <w:sz w:val="28"/>
          <w:szCs w:val="28"/>
          <w:rtl/>
        </w:rPr>
        <w:t>על</w:t>
      </w:r>
      <w:r>
        <w:rPr>
          <w:rFonts w:ascii="Calibri" w:hAnsi="Calibri" w:cs="FrankRuehl"/>
          <w:sz w:val="28"/>
          <w:szCs w:val="28"/>
          <w:rtl/>
        </w:rPr>
        <w:t xml:space="preserve"> </w:t>
      </w:r>
      <w:r>
        <w:rPr>
          <w:rFonts w:ascii="Calibri" w:hAnsi="Calibri" w:cs="FrankRuehl" w:hint="eastAsia"/>
          <w:sz w:val="28"/>
          <w:szCs w:val="28"/>
          <w:rtl/>
        </w:rPr>
        <w:t>הנאשם</w:t>
      </w:r>
      <w:r>
        <w:rPr>
          <w:rFonts w:ascii="Calibri" w:hAnsi="Calibri" w:cs="FrankRuehl"/>
          <w:sz w:val="28"/>
          <w:szCs w:val="28"/>
          <w:rtl/>
        </w:rPr>
        <w:t xml:space="preserve"> </w:t>
      </w:r>
      <w:r>
        <w:rPr>
          <w:rFonts w:ascii="Calibri" w:hAnsi="Calibri" w:cs="FrankRuehl" w:hint="eastAsia"/>
          <w:sz w:val="28"/>
          <w:szCs w:val="28"/>
          <w:rtl/>
        </w:rPr>
        <w:t>מאסר</w:t>
      </w:r>
      <w:r>
        <w:rPr>
          <w:rFonts w:ascii="Calibri" w:hAnsi="Calibri" w:cs="FrankRuehl"/>
          <w:sz w:val="28"/>
          <w:szCs w:val="28"/>
          <w:rtl/>
        </w:rPr>
        <w:t xml:space="preserve"> </w:t>
      </w:r>
      <w:r>
        <w:rPr>
          <w:rFonts w:ascii="Calibri" w:hAnsi="Calibri" w:cs="FrankRuehl" w:hint="eastAsia"/>
          <w:sz w:val="28"/>
          <w:szCs w:val="28"/>
          <w:rtl/>
        </w:rPr>
        <w:t>בפועל</w:t>
      </w:r>
      <w:r>
        <w:rPr>
          <w:rFonts w:ascii="Calibri" w:hAnsi="Calibri" w:cs="FrankRuehl"/>
          <w:sz w:val="28"/>
          <w:szCs w:val="28"/>
          <w:rtl/>
        </w:rPr>
        <w:t xml:space="preserve"> </w:t>
      </w:r>
      <w:r>
        <w:rPr>
          <w:rFonts w:ascii="Calibri" w:hAnsi="Calibri" w:cs="FrankRuehl" w:hint="eastAsia"/>
          <w:sz w:val="28"/>
          <w:szCs w:val="28"/>
          <w:rtl/>
        </w:rPr>
        <w:t>על</w:t>
      </w:r>
      <w:r>
        <w:rPr>
          <w:rFonts w:ascii="Calibri" w:hAnsi="Calibri" w:cs="FrankRuehl"/>
          <w:sz w:val="28"/>
          <w:szCs w:val="28"/>
          <w:rtl/>
        </w:rPr>
        <w:t xml:space="preserve"> </w:t>
      </w:r>
      <w:r>
        <w:rPr>
          <w:rFonts w:ascii="Calibri" w:hAnsi="Calibri" w:cs="FrankRuehl" w:hint="eastAsia"/>
          <w:sz w:val="28"/>
          <w:szCs w:val="28"/>
          <w:rtl/>
        </w:rPr>
        <w:t>פי</w:t>
      </w:r>
      <w:r>
        <w:rPr>
          <w:rFonts w:ascii="Calibri" w:hAnsi="Calibri" w:cs="FrankRuehl"/>
          <w:sz w:val="28"/>
          <w:szCs w:val="28"/>
          <w:rtl/>
        </w:rPr>
        <w:t xml:space="preserve"> </w:t>
      </w:r>
      <w:r>
        <w:rPr>
          <w:rFonts w:ascii="Calibri" w:hAnsi="Calibri" w:cs="FrankRuehl" w:hint="eastAsia"/>
          <w:sz w:val="28"/>
          <w:szCs w:val="28"/>
          <w:rtl/>
        </w:rPr>
        <w:t>הרף</w:t>
      </w:r>
      <w:r>
        <w:rPr>
          <w:rFonts w:ascii="Calibri" w:hAnsi="Calibri" w:cs="FrankRuehl"/>
          <w:sz w:val="28"/>
          <w:szCs w:val="28"/>
          <w:rtl/>
        </w:rPr>
        <w:t xml:space="preserve"> </w:t>
      </w:r>
      <w:r>
        <w:rPr>
          <w:rFonts w:ascii="Calibri" w:hAnsi="Calibri" w:cs="FrankRuehl" w:hint="eastAsia"/>
          <w:sz w:val="28"/>
          <w:szCs w:val="28"/>
          <w:rtl/>
        </w:rPr>
        <w:t>העליון</w:t>
      </w:r>
      <w:r>
        <w:rPr>
          <w:rFonts w:ascii="Calibri" w:hAnsi="Calibri" w:cs="FrankRuehl"/>
          <w:sz w:val="28"/>
          <w:szCs w:val="28"/>
          <w:rtl/>
        </w:rPr>
        <w:t xml:space="preserve"> </w:t>
      </w:r>
      <w:r>
        <w:rPr>
          <w:rFonts w:ascii="Calibri" w:hAnsi="Calibri" w:cs="FrankRuehl" w:hint="eastAsia"/>
          <w:sz w:val="28"/>
          <w:szCs w:val="28"/>
          <w:rtl/>
        </w:rPr>
        <w:t>של</w:t>
      </w:r>
      <w:r>
        <w:rPr>
          <w:rFonts w:ascii="Calibri" w:hAnsi="Calibri" w:cs="FrankRuehl"/>
          <w:sz w:val="28"/>
          <w:szCs w:val="28"/>
          <w:rtl/>
        </w:rPr>
        <w:t xml:space="preserve"> </w:t>
      </w:r>
      <w:r>
        <w:rPr>
          <w:rFonts w:ascii="Calibri" w:hAnsi="Calibri" w:cs="FrankRuehl" w:hint="eastAsia"/>
          <w:sz w:val="28"/>
          <w:szCs w:val="28"/>
          <w:rtl/>
        </w:rPr>
        <w:t>מתחם</w:t>
      </w:r>
      <w:r>
        <w:rPr>
          <w:rFonts w:ascii="Calibri" w:hAnsi="Calibri" w:cs="FrankRuehl"/>
          <w:sz w:val="28"/>
          <w:szCs w:val="28"/>
          <w:rtl/>
        </w:rPr>
        <w:t xml:space="preserve"> </w:t>
      </w:r>
      <w:r>
        <w:rPr>
          <w:rFonts w:ascii="Calibri" w:hAnsi="Calibri" w:cs="FrankRuehl" w:hint="eastAsia"/>
          <w:sz w:val="28"/>
          <w:szCs w:val="28"/>
          <w:rtl/>
        </w:rPr>
        <w:t>הענישה</w:t>
      </w:r>
      <w:r>
        <w:rPr>
          <w:rFonts w:ascii="Calibri" w:hAnsi="Calibri" w:cs="FrankRuehl"/>
          <w:sz w:val="28"/>
          <w:szCs w:val="28"/>
          <w:rtl/>
        </w:rPr>
        <w:t xml:space="preserve">, </w:t>
      </w:r>
      <w:r>
        <w:rPr>
          <w:rFonts w:ascii="Calibri" w:hAnsi="Calibri" w:cs="FrankRuehl" w:hint="eastAsia"/>
          <w:sz w:val="28"/>
          <w:szCs w:val="28"/>
          <w:rtl/>
        </w:rPr>
        <w:t>מאסר</w:t>
      </w:r>
      <w:r>
        <w:rPr>
          <w:rFonts w:ascii="Calibri" w:hAnsi="Calibri" w:cs="FrankRuehl"/>
          <w:sz w:val="28"/>
          <w:szCs w:val="28"/>
          <w:rtl/>
        </w:rPr>
        <w:t xml:space="preserve"> </w:t>
      </w:r>
      <w:r>
        <w:rPr>
          <w:rFonts w:ascii="Calibri" w:hAnsi="Calibri" w:cs="FrankRuehl" w:hint="eastAsia"/>
          <w:sz w:val="28"/>
          <w:szCs w:val="28"/>
          <w:rtl/>
        </w:rPr>
        <w:t>על</w:t>
      </w:r>
      <w:r>
        <w:rPr>
          <w:rFonts w:ascii="Calibri" w:hAnsi="Calibri" w:cs="FrankRuehl"/>
          <w:sz w:val="28"/>
          <w:szCs w:val="28"/>
          <w:rtl/>
        </w:rPr>
        <w:t xml:space="preserve"> </w:t>
      </w:r>
      <w:r>
        <w:rPr>
          <w:rFonts w:ascii="Calibri" w:hAnsi="Calibri" w:cs="FrankRuehl" w:hint="eastAsia"/>
          <w:sz w:val="28"/>
          <w:szCs w:val="28"/>
          <w:rtl/>
        </w:rPr>
        <w:t>תנאי</w:t>
      </w:r>
      <w:r>
        <w:rPr>
          <w:rFonts w:ascii="Calibri" w:hAnsi="Calibri" w:cs="FrankRuehl" w:hint="cs"/>
          <w:sz w:val="28"/>
          <w:szCs w:val="28"/>
          <w:rtl/>
        </w:rPr>
        <w:t xml:space="preserve">, </w:t>
      </w:r>
      <w:r>
        <w:rPr>
          <w:rFonts w:ascii="Calibri" w:hAnsi="Calibri" w:cs="FrankRuehl" w:hint="eastAsia"/>
          <w:sz w:val="28"/>
          <w:szCs w:val="28"/>
          <w:rtl/>
        </w:rPr>
        <w:t>קנס</w:t>
      </w:r>
      <w:r>
        <w:rPr>
          <w:rFonts w:ascii="Calibri" w:hAnsi="Calibri" w:cs="FrankRuehl"/>
          <w:sz w:val="28"/>
          <w:szCs w:val="28"/>
          <w:rtl/>
        </w:rPr>
        <w:t xml:space="preserve"> </w:t>
      </w:r>
      <w:r>
        <w:rPr>
          <w:rFonts w:ascii="Calibri" w:hAnsi="Calibri" w:cs="FrankRuehl" w:hint="eastAsia"/>
          <w:sz w:val="28"/>
          <w:szCs w:val="28"/>
          <w:rtl/>
        </w:rPr>
        <w:t>כספי</w:t>
      </w:r>
      <w:r>
        <w:rPr>
          <w:rFonts w:ascii="Calibri" w:hAnsi="Calibri" w:cs="FrankRuehl" w:hint="cs"/>
          <w:sz w:val="28"/>
          <w:szCs w:val="28"/>
          <w:rtl/>
        </w:rPr>
        <w:t>,</w:t>
      </w:r>
      <w:r>
        <w:rPr>
          <w:rFonts w:ascii="Calibri" w:hAnsi="Calibri" w:cs="FrankRuehl"/>
          <w:sz w:val="28"/>
          <w:szCs w:val="28"/>
          <w:rtl/>
        </w:rPr>
        <w:t xml:space="preserve">  </w:t>
      </w:r>
      <w:r>
        <w:rPr>
          <w:rFonts w:ascii="Calibri" w:hAnsi="Calibri" w:cs="FrankRuehl" w:hint="eastAsia"/>
          <w:sz w:val="28"/>
          <w:szCs w:val="28"/>
          <w:rtl/>
        </w:rPr>
        <w:t>פסילת</w:t>
      </w:r>
      <w:r>
        <w:rPr>
          <w:rFonts w:ascii="Calibri" w:hAnsi="Calibri" w:cs="FrankRuehl"/>
          <w:sz w:val="28"/>
          <w:szCs w:val="28"/>
          <w:rtl/>
        </w:rPr>
        <w:t xml:space="preserve"> </w:t>
      </w:r>
      <w:r>
        <w:rPr>
          <w:rFonts w:ascii="Calibri" w:hAnsi="Calibri" w:cs="FrankRuehl" w:hint="eastAsia"/>
          <w:sz w:val="28"/>
          <w:szCs w:val="28"/>
          <w:rtl/>
        </w:rPr>
        <w:t>רישיון</w:t>
      </w:r>
      <w:r>
        <w:rPr>
          <w:rFonts w:ascii="Calibri" w:hAnsi="Calibri" w:cs="FrankRuehl"/>
          <w:sz w:val="28"/>
          <w:szCs w:val="28"/>
          <w:rtl/>
        </w:rPr>
        <w:t xml:space="preserve"> </w:t>
      </w:r>
      <w:r>
        <w:rPr>
          <w:rFonts w:ascii="Calibri" w:hAnsi="Calibri" w:cs="FrankRuehl" w:hint="eastAsia"/>
          <w:sz w:val="28"/>
          <w:szCs w:val="28"/>
          <w:rtl/>
        </w:rPr>
        <w:t>ופסילה</w:t>
      </w:r>
      <w:r>
        <w:rPr>
          <w:rFonts w:ascii="Calibri" w:hAnsi="Calibri" w:cs="FrankRuehl"/>
          <w:sz w:val="28"/>
          <w:szCs w:val="28"/>
          <w:rtl/>
        </w:rPr>
        <w:t xml:space="preserve"> </w:t>
      </w:r>
      <w:r>
        <w:rPr>
          <w:rFonts w:ascii="Calibri" w:hAnsi="Calibri" w:cs="FrankRuehl" w:hint="eastAsia"/>
          <w:sz w:val="28"/>
          <w:szCs w:val="28"/>
          <w:rtl/>
        </w:rPr>
        <w:t>על</w:t>
      </w:r>
      <w:r>
        <w:rPr>
          <w:rFonts w:ascii="Calibri" w:hAnsi="Calibri" w:cs="FrankRuehl"/>
          <w:sz w:val="28"/>
          <w:szCs w:val="28"/>
          <w:rtl/>
        </w:rPr>
        <w:t xml:space="preserve"> </w:t>
      </w:r>
      <w:r>
        <w:rPr>
          <w:rFonts w:ascii="Calibri" w:hAnsi="Calibri" w:cs="FrankRuehl" w:hint="eastAsia"/>
          <w:sz w:val="28"/>
          <w:szCs w:val="28"/>
          <w:rtl/>
        </w:rPr>
        <w:t>תנאי</w:t>
      </w:r>
      <w:r>
        <w:rPr>
          <w:rFonts w:ascii="Calibri" w:hAnsi="Calibri" w:cs="FrankRuehl"/>
          <w:sz w:val="28"/>
          <w:szCs w:val="28"/>
          <w:rtl/>
        </w:rPr>
        <w:t xml:space="preserve"> </w:t>
      </w:r>
      <w:r>
        <w:rPr>
          <w:rFonts w:ascii="Calibri" w:hAnsi="Calibri" w:cs="FrankRuehl" w:hint="eastAsia"/>
          <w:sz w:val="28"/>
          <w:szCs w:val="28"/>
          <w:rtl/>
        </w:rPr>
        <w:t>לתקופה</w:t>
      </w:r>
      <w:r>
        <w:rPr>
          <w:rFonts w:ascii="Calibri" w:hAnsi="Calibri" w:cs="FrankRuehl"/>
          <w:sz w:val="28"/>
          <w:szCs w:val="28"/>
          <w:rtl/>
        </w:rPr>
        <w:t xml:space="preserve"> </w:t>
      </w:r>
      <w:r>
        <w:rPr>
          <w:rFonts w:ascii="Calibri" w:hAnsi="Calibri" w:cs="FrankRuehl" w:hint="eastAsia"/>
          <w:sz w:val="28"/>
          <w:szCs w:val="28"/>
          <w:rtl/>
        </w:rPr>
        <w:t>משמעותית</w:t>
      </w:r>
      <w:r>
        <w:rPr>
          <w:rFonts w:ascii="Calibri" w:hAnsi="Calibri" w:cs="FrankRuehl"/>
          <w:sz w:val="28"/>
          <w:szCs w:val="28"/>
          <w:rtl/>
        </w:rPr>
        <w:t>.</w:t>
      </w:r>
    </w:p>
    <w:p w14:paraId="68B18F8F" w14:textId="77777777" w:rsidR="00703FB3" w:rsidRDefault="008719A6">
      <w:pPr>
        <w:spacing w:line="360" w:lineRule="auto"/>
        <w:ind w:left="720"/>
        <w:jc w:val="both"/>
        <w:rPr>
          <w:rFonts w:ascii="Calibri" w:hAnsi="Calibri" w:cs="FrankRuehl"/>
          <w:sz w:val="28"/>
          <w:szCs w:val="28"/>
          <w:rtl/>
        </w:rPr>
      </w:pPr>
      <w:r>
        <w:rPr>
          <w:rFonts w:ascii="Calibri" w:hAnsi="Calibri" w:cs="FrankRuehl" w:hint="eastAsia"/>
          <w:sz w:val="28"/>
          <w:szCs w:val="28"/>
          <w:rtl/>
        </w:rPr>
        <w:t>בטיעוניו</w:t>
      </w:r>
      <w:r>
        <w:rPr>
          <w:rFonts w:ascii="Calibri" w:hAnsi="Calibri" w:cs="FrankRuehl"/>
          <w:sz w:val="28"/>
          <w:szCs w:val="28"/>
          <w:rtl/>
        </w:rPr>
        <w:t xml:space="preserve"> </w:t>
      </w:r>
      <w:r>
        <w:rPr>
          <w:rFonts w:ascii="Calibri" w:hAnsi="Calibri" w:cs="FrankRuehl" w:hint="eastAsia"/>
          <w:sz w:val="28"/>
          <w:szCs w:val="28"/>
          <w:rtl/>
        </w:rPr>
        <w:t>שם</w:t>
      </w:r>
      <w:r>
        <w:rPr>
          <w:rFonts w:ascii="Calibri" w:hAnsi="Calibri" w:cs="FrankRuehl"/>
          <w:sz w:val="28"/>
          <w:szCs w:val="28"/>
          <w:rtl/>
        </w:rPr>
        <w:t xml:space="preserve"> </w:t>
      </w:r>
      <w:r>
        <w:rPr>
          <w:rFonts w:ascii="Calibri" w:hAnsi="Calibri" w:cs="FrankRuehl" w:hint="eastAsia"/>
          <w:sz w:val="28"/>
          <w:szCs w:val="28"/>
          <w:rtl/>
        </w:rPr>
        <w:t>דגש</w:t>
      </w:r>
      <w:r>
        <w:rPr>
          <w:rFonts w:ascii="Calibri" w:hAnsi="Calibri" w:cs="FrankRuehl"/>
          <w:sz w:val="28"/>
          <w:szCs w:val="28"/>
          <w:rtl/>
        </w:rPr>
        <w:t xml:space="preserve"> </w:t>
      </w:r>
      <w:r>
        <w:rPr>
          <w:rFonts w:ascii="Calibri" w:hAnsi="Calibri" w:cs="FrankRuehl" w:hint="eastAsia"/>
          <w:sz w:val="28"/>
          <w:szCs w:val="28"/>
          <w:rtl/>
        </w:rPr>
        <w:t>על</w:t>
      </w:r>
      <w:r>
        <w:rPr>
          <w:rFonts w:ascii="Calibri" w:hAnsi="Calibri" w:cs="FrankRuehl"/>
          <w:sz w:val="28"/>
          <w:szCs w:val="28"/>
          <w:rtl/>
        </w:rPr>
        <w:t xml:space="preserve"> </w:t>
      </w:r>
      <w:r>
        <w:rPr>
          <w:rFonts w:ascii="Calibri" w:hAnsi="Calibri" w:cs="FrankRuehl" w:hint="eastAsia"/>
          <w:sz w:val="28"/>
          <w:szCs w:val="28"/>
          <w:rtl/>
        </w:rPr>
        <w:t>חומרת</w:t>
      </w:r>
      <w:r>
        <w:rPr>
          <w:rFonts w:ascii="Calibri" w:hAnsi="Calibri" w:cs="FrankRuehl"/>
          <w:sz w:val="28"/>
          <w:szCs w:val="28"/>
          <w:rtl/>
        </w:rPr>
        <w:t xml:space="preserve"> </w:t>
      </w:r>
      <w:r>
        <w:rPr>
          <w:rFonts w:ascii="Calibri" w:hAnsi="Calibri" w:cs="FrankRuehl" w:hint="eastAsia"/>
          <w:sz w:val="28"/>
          <w:szCs w:val="28"/>
          <w:rtl/>
        </w:rPr>
        <w:t>העבירות</w:t>
      </w:r>
      <w:r>
        <w:rPr>
          <w:rFonts w:ascii="Calibri" w:hAnsi="Calibri" w:cs="FrankRuehl"/>
          <w:sz w:val="28"/>
          <w:szCs w:val="28"/>
          <w:rtl/>
        </w:rPr>
        <w:t xml:space="preserve">, </w:t>
      </w:r>
      <w:r>
        <w:rPr>
          <w:rFonts w:ascii="Calibri" w:hAnsi="Calibri" w:cs="FrankRuehl" w:hint="eastAsia"/>
          <w:sz w:val="28"/>
          <w:szCs w:val="28"/>
          <w:rtl/>
        </w:rPr>
        <w:t>בהתאם</w:t>
      </w:r>
      <w:r>
        <w:rPr>
          <w:rFonts w:ascii="Calibri" w:hAnsi="Calibri" w:cs="FrankRuehl"/>
          <w:sz w:val="28"/>
          <w:szCs w:val="28"/>
          <w:rtl/>
        </w:rPr>
        <w:t xml:space="preserve"> </w:t>
      </w:r>
      <w:r>
        <w:rPr>
          <w:rFonts w:ascii="Calibri" w:hAnsi="Calibri" w:cs="FrankRuehl" w:hint="eastAsia"/>
          <w:sz w:val="28"/>
          <w:szCs w:val="28"/>
          <w:rtl/>
        </w:rPr>
        <w:t>למדיניות</w:t>
      </w:r>
      <w:r>
        <w:rPr>
          <w:rFonts w:ascii="Calibri" w:hAnsi="Calibri" w:cs="FrankRuehl"/>
          <w:sz w:val="28"/>
          <w:szCs w:val="28"/>
          <w:rtl/>
        </w:rPr>
        <w:t xml:space="preserve"> </w:t>
      </w:r>
      <w:r>
        <w:rPr>
          <w:rFonts w:ascii="Calibri" w:hAnsi="Calibri" w:cs="FrankRuehl" w:hint="eastAsia"/>
          <w:sz w:val="28"/>
          <w:szCs w:val="28"/>
          <w:rtl/>
        </w:rPr>
        <w:t>שנקבעה</w:t>
      </w:r>
      <w:r>
        <w:rPr>
          <w:rFonts w:ascii="Calibri" w:hAnsi="Calibri" w:cs="FrankRuehl"/>
          <w:sz w:val="28"/>
          <w:szCs w:val="28"/>
          <w:rtl/>
        </w:rPr>
        <w:t xml:space="preserve">  </w:t>
      </w:r>
      <w:r>
        <w:rPr>
          <w:rFonts w:ascii="Calibri" w:hAnsi="Calibri" w:cs="FrankRuehl" w:hint="eastAsia"/>
          <w:sz w:val="28"/>
          <w:szCs w:val="28"/>
          <w:rtl/>
        </w:rPr>
        <w:t>בפסיקה</w:t>
      </w:r>
      <w:r>
        <w:rPr>
          <w:rFonts w:ascii="Calibri" w:hAnsi="Calibri" w:cs="FrankRuehl"/>
          <w:sz w:val="28"/>
          <w:szCs w:val="28"/>
          <w:rtl/>
        </w:rPr>
        <w:t xml:space="preserve">, </w:t>
      </w:r>
      <w:r>
        <w:rPr>
          <w:rFonts w:ascii="Calibri" w:hAnsi="Calibri" w:cs="FrankRuehl" w:hint="eastAsia"/>
          <w:sz w:val="28"/>
          <w:szCs w:val="28"/>
          <w:rtl/>
        </w:rPr>
        <w:t>והפנה</w:t>
      </w:r>
      <w:r>
        <w:rPr>
          <w:rFonts w:ascii="Calibri" w:hAnsi="Calibri" w:cs="FrankRuehl"/>
          <w:sz w:val="28"/>
          <w:szCs w:val="28"/>
          <w:rtl/>
        </w:rPr>
        <w:t xml:space="preserve"> </w:t>
      </w:r>
      <w:r>
        <w:rPr>
          <w:rFonts w:ascii="Calibri" w:hAnsi="Calibri" w:cs="FrankRuehl" w:hint="eastAsia"/>
          <w:sz w:val="28"/>
          <w:szCs w:val="28"/>
          <w:rtl/>
        </w:rPr>
        <w:t>לעובדה</w:t>
      </w:r>
      <w:r>
        <w:rPr>
          <w:rFonts w:ascii="Calibri" w:hAnsi="Calibri" w:cs="FrankRuehl"/>
          <w:sz w:val="28"/>
          <w:szCs w:val="28"/>
          <w:rtl/>
        </w:rPr>
        <w:t xml:space="preserve"> </w:t>
      </w:r>
      <w:r>
        <w:rPr>
          <w:rFonts w:ascii="Calibri" w:hAnsi="Calibri" w:cs="FrankRuehl" w:hint="eastAsia"/>
          <w:sz w:val="28"/>
          <w:szCs w:val="28"/>
          <w:rtl/>
        </w:rPr>
        <w:t>כי</w:t>
      </w:r>
      <w:r>
        <w:rPr>
          <w:rFonts w:ascii="Calibri" w:hAnsi="Calibri" w:cs="FrankRuehl"/>
          <w:sz w:val="28"/>
          <w:szCs w:val="28"/>
          <w:rtl/>
        </w:rPr>
        <w:t xml:space="preserve"> </w:t>
      </w:r>
      <w:r>
        <w:rPr>
          <w:rFonts w:ascii="Calibri" w:hAnsi="Calibri" w:cs="FrankRuehl" w:hint="eastAsia"/>
          <w:sz w:val="28"/>
          <w:szCs w:val="28"/>
          <w:rtl/>
        </w:rPr>
        <w:t>במקרה</w:t>
      </w:r>
      <w:r>
        <w:rPr>
          <w:rFonts w:ascii="Calibri" w:hAnsi="Calibri" w:cs="FrankRuehl"/>
          <w:sz w:val="28"/>
          <w:szCs w:val="28"/>
          <w:rtl/>
        </w:rPr>
        <w:t xml:space="preserve"> </w:t>
      </w:r>
      <w:r>
        <w:rPr>
          <w:rFonts w:ascii="Calibri" w:hAnsi="Calibri" w:cs="FrankRuehl" w:hint="eastAsia"/>
          <w:sz w:val="28"/>
          <w:szCs w:val="28"/>
          <w:rtl/>
        </w:rPr>
        <w:t>זה</w:t>
      </w:r>
      <w:r>
        <w:rPr>
          <w:rFonts w:ascii="Calibri" w:hAnsi="Calibri" w:cs="FrankRuehl"/>
          <w:sz w:val="28"/>
          <w:szCs w:val="28"/>
          <w:rtl/>
        </w:rPr>
        <w:t xml:space="preserve"> </w:t>
      </w:r>
      <w:r>
        <w:rPr>
          <w:rFonts w:ascii="Calibri" w:hAnsi="Calibri" w:cs="FrankRuehl" w:hint="eastAsia"/>
          <w:sz w:val="28"/>
          <w:szCs w:val="28"/>
          <w:rtl/>
        </w:rPr>
        <w:t>האקדח</w:t>
      </w:r>
      <w:r>
        <w:rPr>
          <w:rFonts w:ascii="Calibri" w:hAnsi="Calibri" w:cs="FrankRuehl"/>
          <w:sz w:val="28"/>
          <w:szCs w:val="28"/>
          <w:rtl/>
        </w:rPr>
        <w:t xml:space="preserve"> </w:t>
      </w:r>
      <w:r>
        <w:rPr>
          <w:rFonts w:ascii="Calibri" w:hAnsi="Calibri" w:cs="FrankRuehl" w:hint="eastAsia"/>
          <w:sz w:val="28"/>
          <w:szCs w:val="28"/>
          <w:rtl/>
        </w:rPr>
        <w:t>היה</w:t>
      </w:r>
      <w:r>
        <w:rPr>
          <w:rFonts w:ascii="Calibri" w:hAnsi="Calibri" w:cs="FrankRuehl"/>
          <w:sz w:val="28"/>
          <w:szCs w:val="28"/>
          <w:rtl/>
        </w:rPr>
        <w:t xml:space="preserve"> </w:t>
      </w:r>
      <w:r>
        <w:rPr>
          <w:rFonts w:ascii="Calibri" w:hAnsi="Calibri" w:cs="FrankRuehl" w:hint="eastAsia"/>
          <w:sz w:val="28"/>
          <w:szCs w:val="28"/>
          <w:rtl/>
        </w:rPr>
        <w:t>טעון</w:t>
      </w:r>
      <w:r>
        <w:rPr>
          <w:rFonts w:ascii="Calibri" w:hAnsi="Calibri" w:cs="FrankRuehl"/>
          <w:sz w:val="28"/>
          <w:szCs w:val="28"/>
          <w:rtl/>
        </w:rPr>
        <w:t xml:space="preserve">, </w:t>
      </w:r>
      <w:r>
        <w:rPr>
          <w:rFonts w:ascii="Calibri" w:hAnsi="Calibri" w:cs="FrankRuehl" w:hint="eastAsia"/>
          <w:sz w:val="28"/>
          <w:szCs w:val="28"/>
          <w:rtl/>
        </w:rPr>
        <w:t>הנאשם</w:t>
      </w:r>
      <w:r>
        <w:rPr>
          <w:rFonts w:ascii="Calibri" w:hAnsi="Calibri" w:cs="FrankRuehl"/>
          <w:sz w:val="28"/>
          <w:szCs w:val="28"/>
          <w:rtl/>
        </w:rPr>
        <w:t xml:space="preserve">  </w:t>
      </w:r>
      <w:r>
        <w:rPr>
          <w:rFonts w:ascii="Calibri" w:hAnsi="Calibri" w:cs="FrankRuehl" w:hint="eastAsia"/>
          <w:sz w:val="28"/>
          <w:szCs w:val="28"/>
          <w:rtl/>
        </w:rPr>
        <w:t>נמלט</w:t>
      </w:r>
      <w:r>
        <w:rPr>
          <w:rFonts w:ascii="Calibri" w:hAnsi="Calibri" w:cs="FrankRuehl"/>
          <w:sz w:val="28"/>
          <w:szCs w:val="28"/>
          <w:rtl/>
        </w:rPr>
        <w:t xml:space="preserve"> </w:t>
      </w:r>
      <w:r>
        <w:rPr>
          <w:rFonts w:ascii="Calibri" w:hAnsi="Calibri" w:cs="FrankRuehl" w:hint="eastAsia"/>
          <w:sz w:val="28"/>
          <w:szCs w:val="28"/>
          <w:rtl/>
        </w:rPr>
        <w:t>מהשוטרים</w:t>
      </w:r>
      <w:r>
        <w:rPr>
          <w:rFonts w:ascii="Calibri" w:hAnsi="Calibri" w:cs="FrankRuehl"/>
          <w:sz w:val="28"/>
          <w:szCs w:val="28"/>
          <w:rtl/>
        </w:rPr>
        <w:t xml:space="preserve"> </w:t>
      </w:r>
      <w:r>
        <w:rPr>
          <w:rFonts w:ascii="Calibri" w:hAnsi="Calibri" w:cs="FrankRuehl" w:hint="eastAsia"/>
          <w:sz w:val="28"/>
          <w:szCs w:val="28"/>
          <w:rtl/>
        </w:rPr>
        <w:t>וביצע</w:t>
      </w:r>
      <w:r>
        <w:rPr>
          <w:rFonts w:ascii="Calibri" w:hAnsi="Calibri" w:cs="FrankRuehl"/>
          <w:sz w:val="28"/>
          <w:szCs w:val="28"/>
          <w:rtl/>
        </w:rPr>
        <w:t xml:space="preserve"> </w:t>
      </w:r>
      <w:r>
        <w:rPr>
          <w:rFonts w:ascii="Calibri" w:hAnsi="Calibri" w:cs="FrankRuehl" w:hint="eastAsia"/>
          <w:sz w:val="28"/>
          <w:szCs w:val="28"/>
          <w:rtl/>
        </w:rPr>
        <w:t>בנוסף</w:t>
      </w:r>
      <w:r>
        <w:rPr>
          <w:rFonts w:ascii="Calibri" w:hAnsi="Calibri" w:cs="FrankRuehl"/>
          <w:sz w:val="28"/>
          <w:szCs w:val="28"/>
          <w:rtl/>
        </w:rPr>
        <w:t xml:space="preserve"> </w:t>
      </w:r>
      <w:r>
        <w:rPr>
          <w:rFonts w:ascii="Calibri" w:hAnsi="Calibri" w:cs="FrankRuehl" w:hint="eastAsia"/>
          <w:sz w:val="28"/>
          <w:szCs w:val="28"/>
          <w:rtl/>
        </w:rPr>
        <w:t>עבירות</w:t>
      </w:r>
      <w:r>
        <w:rPr>
          <w:rFonts w:ascii="Calibri" w:hAnsi="Calibri" w:cs="FrankRuehl"/>
          <w:sz w:val="28"/>
          <w:szCs w:val="28"/>
          <w:rtl/>
        </w:rPr>
        <w:t xml:space="preserve"> </w:t>
      </w:r>
      <w:r>
        <w:rPr>
          <w:rFonts w:ascii="Calibri" w:hAnsi="Calibri" w:cs="FrankRuehl" w:hint="eastAsia"/>
          <w:sz w:val="28"/>
          <w:szCs w:val="28"/>
          <w:rtl/>
        </w:rPr>
        <w:t>תעבורה</w:t>
      </w:r>
      <w:r>
        <w:rPr>
          <w:rFonts w:ascii="Calibri" w:hAnsi="Calibri" w:cs="FrankRuehl"/>
          <w:sz w:val="28"/>
          <w:szCs w:val="28"/>
          <w:rtl/>
        </w:rPr>
        <w:t xml:space="preserve">, </w:t>
      </w:r>
      <w:r>
        <w:rPr>
          <w:rFonts w:ascii="Calibri" w:hAnsi="Calibri" w:cs="FrankRuehl" w:hint="eastAsia"/>
          <w:sz w:val="28"/>
          <w:szCs w:val="28"/>
          <w:rtl/>
        </w:rPr>
        <w:t>לתמיכה</w:t>
      </w:r>
      <w:r>
        <w:rPr>
          <w:rFonts w:ascii="Calibri" w:hAnsi="Calibri" w:cs="FrankRuehl"/>
          <w:sz w:val="28"/>
          <w:szCs w:val="28"/>
          <w:rtl/>
        </w:rPr>
        <w:t xml:space="preserve"> </w:t>
      </w:r>
      <w:r>
        <w:rPr>
          <w:rFonts w:ascii="Calibri" w:hAnsi="Calibri" w:cs="FrankRuehl" w:hint="eastAsia"/>
          <w:sz w:val="28"/>
          <w:szCs w:val="28"/>
          <w:rtl/>
        </w:rPr>
        <w:t>בטענותיו</w:t>
      </w:r>
      <w:r>
        <w:rPr>
          <w:rFonts w:ascii="Calibri" w:hAnsi="Calibri" w:cs="FrankRuehl"/>
          <w:sz w:val="28"/>
          <w:szCs w:val="28"/>
          <w:rtl/>
        </w:rPr>
        <w:t xml:space="preserve"> </w:t>
      </w:r>
      <w:r>
        <w:rPr>
          <w:rFonts w:ascii="Calibri" w:hAnsi="Calibri" w:cs="FrankRuehl" w:hint="eastAsia"/>
          <w:sz w:val="28"/>
          <w:szCs w:val="28"/>
          <w:rtl/>
        </w:rPr>
        <w:t>הגיש</w:t>
      </w:r>
      <w:r>
        <w:rPr>
          <w:rFonts w:ascii="Calibri" w:hAnsi="Calibri" w:cs="FrankRuehl"/>
          <w:sz w:val="28"/>
          <w:szCs w:val="28"/>
          <w:rtl/>
        </w:rPr>
        <w:t xml:space="preserve"> </w:t>
      </w:r>
      <w:r>
        <w:rPr>
          <w:rFonts w:ascii="Calibri" w:hAnsi="Calibri" w:cs="FrankRuehl" w:hint="eastAsia"/>
          <w:sz w:val="28"/>
          <w:szCs w:val="28"/>
          <w:rtl/>
        </w:rPr>
        <w:t>פסקי</w:t>
      </w:r>
      <w:r>
        <w:rPr>
          <w:rFonts w:ascii="Calibri" w:hAnsi="Calibri" w:cs="FrankRuehl"/>
          <w:sz w:val="28"/>
          <w:szCs w:val="28"/>
          <w:rtl/>
        </w:rPr>
        <w:t xml:space="preserve"> </w:t>
      </w:r>
      <w:r>
        <w:rPr>
          <w:rFonts w:ascii="Calibri" w:hAnsi="Calibri" w:cs="FrankRuehl" w:hint="eastAsia"/>
          <w:sz w:val="28"/>
          <w:szCs w:val="28"/>
          <w:rtl/>
        </w:rPr>
        <w:t>דין</w:t>
      </w:r>
      <w:r>
        <w:rPr>
          <w:rFonts w:ascii="Calibri" w:hAnsi="Calibri" w:cs="FrankRuehl"/>
          <w:sz w:val="28"/>
          <w:szCs w:val="28"/>
          <w:rtl/>
        </w:rPr>
        <w:t xml:space="preserve"> </w:t>
      </w:r>
      <w:r>
        <w:rPr>
          <w:rFonts w:ascii="Calibri" w:hAnsi="Calibri" w:cs="FrankRuehl" w:hint="eastAsia"/>
          <w:sz w:val="28"/>
          <w:szCs w:val="28"/>
          <w:rtl/>
        </w:rPr>
        <w:t>לפיהם</w:t>
      </w:r>
      <w:r>
        <w:rPr>
          <w:rFonts w:ascii="Calibri" w:hAnsi="Calibri" w:cs="FrankRuehl"/>
          <w:sz w:val="28"/>
          <w:szCs w:val="28"/>
          <w:rtl/>
        </w:rPr>
        <w:t xml:space="preserve"> </w:t>
      </w:r>
      <w:r>
        <w:rPr>
          <w:rFonts w:ascii="Calibri" w:hAnsi="Calibri" w:cs="FrankRuehl" w:hint="eastAsia"/>
          <w:sz w:val="28"/>
          <w:szCs w:val="28"/>
          <w:rtl/>
        </w:rPr>
        <w:t>במקרים</w:t>
      </w:r>
      <w:r>
        <w:rPr>
          <w:rFonts w:ascii="Calibri" w:hAnsi="Calibri" w:cs="FrankRuehl"/>
          <w:sz w:val="28"/>
          <w:szCs w:val="28"/>
          <w:rtl/>
        </w:rPr>
        <w:t xml:space="preserve"> </w:t>
      </w:r>
      <w:r>
        <w:rPr>
          <w:rFonts w:ascii="Calibri" w:hAnsi="Calibri" w:cs="FrankRuehl" w:hint="eastAsia"/>
          <w:sz w:val="28"/>
          <w:szCs w:val="28"/>
          <w:rtl/>
        </w:rPr>
        <w:t>פחות</w:t>
      </w:r>
      <w:r>
        <w:rPr>
          <w:rFonts w:ascii="Calibri" w:hAnsi="Calibri" w:cs="FrankRuehl"/>
          <w:sz w:val="28"/>
          <w:szCs w:val="28"/>
          <w:rtl/>
        </w:rPr>
        <w:t xml:space="preserve"> </w:t>
      </w:r>
      <w:r>
        <w:rPr>
          <w:rFonts w:ascii="Calibri" w:hAnsi="Calibri" w:cs="FrankRuehl" w:hint="eastAsia"/>
          <w:sz w:val="28"/>
          <w:szCs w:val="28"/>
          <w:rtl/>
        </w:rPr>
        <w:t>חמורים</w:t>
      </w:r>
      <w:r>
        <w:rPr>
          <w:rFonts w:ascii="Calibri" w:hAnsi="Calibri" w:cs="FrankRuehl"/>
          <w:sz w:val="28"/>
          <w:szCs w:val="28"/>
          <w:rtl/>
        </w:rPr>
        <w:t xml:space="preserve">  </w:t>
      </w:r>
      <w:r>
        <w:rPr>
          <w:rFonts w:ascii="Calibri" w:hAnsi="Calibri" w:cs="FrankRuehl" w:hint="eastAsia"/>
          <w:sz w:val="28"/>
          <w:szCs w:val="28"/>
          <w:rtl/>
        </w:rPr>
        <w:t>הוטלו</w:t>
      </w:r>
      <w:r>
        <w:rPr>
          <w:rFonts w:ascii="Calibri" w:hAnsi="Calibri" w:cs="FrankRuehl"/>
          <w:sz w:val="28"/>
          <w:szCs w:val="28"/>
          <w:rtl/>
        </w:rPr>
        <w:t xml:space="preserve"> </w:t>
      </w:r>
      <w:r>
        <w:rPr>
          <w:rFonts w:ascii="Calibri" w:hAnsi="Calibri" w:cs="FrankRuehl" w:hint="eastAsia"/>
          <w:sz w:val="28"/>
          <w:szCs w:val="28"/>
          <w:rtl/>
        </w:rPr>
        <w:t>עונשים</w:t>
      </w:r>
      <w:r>
        <w:rPr>
          <w:rFonts w:ascii="Calibri" w:hAnsi="Calibri" w:cs="FrankRuehl"/>
          <w:sz w:val="28"/>
          <w:szCs w:val="28"/>
          <w:rtl/>
        </w:rPr>
        <w:t xml:space="preserve"> </w:t>
      </w:r>
      <w:r>
        <w:rPr>
          <w:rFonts w:ascii="Calibri" w:hAnsi="Calibri" w:cs="FrankRuehl" w:hint="eastAsia"/>
          <w:sz w:val="28"/>
          <w:szCs w:val="28"/>
          <w:rtl/>
        </w:rPr>
        <w:t>של</w:t>
      </w:r>
      <w:r>
        <w:rPr>
          <w:rFonts w:ascii="Calibri" w:hAnsi="Calibri" w:cs="FrankRuehl"/>
          <w:sz w:val="28"/>
          <w:szCs w:val="28"/>
          <w:rtl/>
        </w:rPr>
        <w:t xml:space="preserve"> 20,21,28,34,48,50 </w:t>
      </w:r>
      <w:r>
        <w:rPr>
          <w:rFonts w:ascii="Calibri" w:hAnsi="Calibri" w:cs="FrankRuehl" w:hint="eastAsia"/>
          <w:sz w:val="28"/>
          <w:szCs w:val="28"/>
          <w:rtl/>
        </w:rPr>
        <w:t>חודשי</w:t>
      </w:r>
      <w:r>
        <w:rPr>
          <w:rFonts w:ascii="Calibri" w:hAnsi="Calibri" w:cs="FrankRuehl"/>
          <w:sz w:val="28"/>
          <w:szCs w:val="28"/>
          <w:rtl/>
        </w:rPr>
        <w:t xml:space="preserve"> </w:t>
      </w:r>
      <w:r>
        <w:rPr>
          <w:rFonts w:ascii="Calibri" w:hAnsi="Calibri" w:cs="FrankRuehl" w:hint="eastAsia"/>
          <w:sz w:val="28"/>
          <w:szCs w:val="28"/>
          <w:rtl/>
        </w:rPr>
        <w:t>מאסר</w:t>
      </w:r>
      <w:r>
        <w:rPr>
          <w:rFonts w:ascii="Calibri" w:hAnsi="Calibri" w:cs="FrankRuehl"/>
          <w:sz w:val="28"/>
          <w:szCs w:val="28"/>
          <w:rtl/>
        </w:rPr>
        <w:t xml:space="preserve"> </w:t>
      </w:r>
      <w:r>
        <w:rPr>
          <w:rFonts w:ascii="Calibri" w:hAnsi="Calibri" w:cs="FrankRuehl" w:hint="eastAsia"/>
          <w:sz w:val="28"/>
          <w:szCs w:val="28"/>
          <w:rtl/>
        </w:rPr>
        <w:t>בפועל</w:t>
      </w:r>
      <w:r>
        <w:rPr>
          <w:rFonts w:ascii="Calibri" w:hAnsi="Calibri" w:cs="FrankRuehl"/>
          <w:sz w:val="28"/>
          <w:szCs w:val="28"/>
          <w:rtl/>
        </w:rPr>
        <w:t>.</w:t>
      </w:r>
    </w:p>
    <w:p w14:paraId="7EDD55E9" w14:textId="77777777" w:rsidR="00703FB3" w:rsidRDefault="00703FB3">
      <w:pPr>
        <w:spacing w:line="360" w:lineRule="auto"/>
        <w:ind w:left="720"/>
        <w:jc w:val="both"/>
        <w:rPr>
          <w:rFonts w:ascii="Calibri" w:hAnsi="Calibri" w:cs="FrankRuehl"/>
          <w:sz w:val="28"/>
          <w:szCs w:val="28"/>
        </w:rPr>
      </w:pPr>
    </w:p>
    <w:p w14:paraId="0C35BA3E" w14:textId="77777777" w:rsidR="00703FB3" w:rsidRDefault="008719A6">
      <w:pPr>
        <w:numPr>
          <w:ilvl w:val="0"/>
          <w:numId w:val="2"/>
        </w:numPr>
        <w:spacing w:line="360" w:lineRule="auto"/>
        <w:jc w:val="both"/>
        <w:rPr>
          <w:rFonts w:ascii="Calibri" w:hAnsi="Calibri" w:cs="FrankRuehl"/>
          <w:sz w:val="28"/>
          <w:szCs w:val="28"/>
        </w:rPr>
      </w:pPr>
      <w:r>
        <w:rPr>
          <w:rFonts w:ascii="Calibri" w:hAnsi="Calibri" w:cs="FrankRuehl" w:hint="eastAsia"/>
          <w:sz w:val="28"/>
          <w:szCs w:val="28"/>
          <w:rtl/>
        </w:rPr>
        <w:t>ב</w:t>
      </w:r>
      <w:r>
        <w:rPr>
          <w:rFonts w:ascii="Calibri" w:hAnsi="Calibri" w:cs="FrankRuehl"/>
          <w:sz w:val="28"/>
          <w:szCs w:val="28"/>
          <w:rtl/>
        </w:rPr>
        <w:t>"</w:t>
      </w:r>
      <w:r>
        <w:rPr>
          <w:rFonts w:ascii="Calibri" w:hAnsi="Calibri" w:cs="FrankRuehl" w:hint="eastAsia"/>
          <w:sz w:val="28"/>
          <w:szCs w:val="28"/>
          <w:rtl/>
        </w:rPr>
        <w:t>כ</w:t>
      </w:r>
      <w:r>
        <w:rPr>
          <w:rFonts w:ascii="Calibri" w:hAnsi="Calibri" w:cs="FrankRuehl"/>
          <w:sz w:val="28"/>
          <w:szCs w:val="28"/>
          <w:rtl/>
        </w:rPr>
        <w:t xml:space="preserve"> </w:t>
      </w:r>
      <w:r>
        <w:rPr>
          <w:rFonts w:ascii="Calibri" w:hAnsi="Calibri" w:cs="FrankRuehl" w:hint="eastAsia"/>
          <w:sz w:val="28"/>
          <w:szCs w:val="28"/>
          <w:rtl/>
        </w:rPr>
        <w:t>הנאשם</w:t>
      </w:r>
      <w:r>
        <w:rPr>
          <w:rFonts w:ascii="Calibri" w:hAnsi="Calibri" w:cs="FrankRuehl"/>
          <w:sz w:val="28"/>
          <w:szCs w:val="28"/>
          <w:rtl/>
        </w:rPr>
        <w:t xml:space="preserve">, </w:t>
      </w:r>
      <w:r>
        <w:rPr>
          <w:rFonts w:ascii="Calibri" w:hAnsi="Calibri" w:cs="FrankRuehl" w:hint="eastAsia"/>
          <w:sz w:val="28"/>
          <w:szCs w:val="28"/>
          <w:rtl/>
        </w:rPr>
        <w:t>טענה</w:t>
      </w:r>
      <w:r>
        <w:rPr>
          <w:rFonts w:ascii="Calibri" w:hAnsi="Calibri" w:cs="FrankRuehl"/>
          <w:sz w:val="28"/>
          <w:szCs w:val="28"/>
          <w:rtl/>
        </w:rPr>
        <w:t xml:space="preserve"> </w:t>
      </w:r>
      <w:r>
        <w:rPr>
          <w:rFonts w:ascii="Calibri" w:hAnsi="Calibri" w:cs="FrankRuehl" w:hint="eastAsia"/>
          <w:sz w:val="28"/>
          <w:szCs w:val="28"/>
          <w:rtl/>
        </w:rPr>
        <w:t>כי</w:t>
      </w:r>
      <w:r>
        <w:rPr>
          <w:rFonts w:ascii="Calibri" w:hAnsi="Calibri" w:cs="FrankRuehl"/>
          <w:sz w:val="28"/>
          <w:szCs w:val="28"/>
          <w:rtl/>
        </w:rPr>
        <w:t xml:space="preserve"> </w:t>
      </w:r>
      <w:r>
        <w:rPr>
          <w:rFonts w:ascii="Calibri" w:hAnsi="Calibri" w:cs="FrankRuehl" w:hint="eastAsia"/>
          <w:sz w:val="28"/>
          <w:szCs w:val="28"/>
          <w:rtl/>
        </w:rPr>
        <w:t>יש</w:t>
      </w:r>
      <w:r>
        <w:rPr>
          <w:rFonts w:ascii="Calibri" w:hAnsi="Calibri" w:cs="FrankRuehl"/>
          <w:sz w:val="28"/>
          <w:szCs w:val="28"/>
          <w:rtl/>
        </w:rPr>
        <w:t xml:space="preserve"> </w:t>
      </w:r>
      <w:r>
        <w:rPr>
          <w:rFonts w:ascii="Calibri" w:hAnsi="Calibri" w:cs="FrankRuehl" w:hint="eastAsia"/>
          <w:sz w:val="28"/>
          <w:szCs w:val="28"/>
          <w:rtl/>
        </w:rPr>
        <w:t>לראות</w:t>
      </w:r>
      <w:r>
        <w:rPr>
          <w:rFonts w:ascii="Calibri" w:hAnsi="Calibri" w:cs="FrankRuehl"/>
          <w:sz w:val="28"/>
          <w:szCs w:val="28"/>
          <w:rtl/>
        </w:rPr>
        <w:t xml:space="preserve"> </w:t>
      </w:r>
      <w:r>
        <w:rPr>
          <w:rFonts w:ascii="Calibri" w:hAnsi="Calibri" w:cs="FrankRuehl" w:hint="eastAsia"/>
          <w:sz w:val="28"/>
          <w:szCs w:val="28"/>
          <w:rtl/>
        </w:rPr>
        <w:t>בכל</w:t>
      </w:r>
      <w:r>
        <w:rPr>
          <w:rFonts w:ascii="Calibri" w:hAnsi="Calibri" w:cs="FrankRuehl"/>
          <w:sz w:val="28"/>
          <w:szCs w:val="28"/>
          <w:rtl/>
        </w:rPr>
        <w:t xml:space="preserve"> </w:t>
      </w:r>
      <w:r>
        <w:rPr>
          <w:rFonts w:ascii="Calibri" w:hAnsi="Calibri" w:cs="FrankRuehl" w:hint="eastAsia"/>
          <w:sz w:val="28"/>
          <w:szCs w:val="28"/>
          <w:rtl/>
        </w:rPr>
        <w:t>העבירות</w:t>
      </w:r>
      <w:r>
        <w:rPr>
          <w:rFonts w:ascii="Calibri" w:hAnsi="Calibri" w:cs="FrankRuehl"/>
          <w:sz w:val="28"/>
          <w:szCs w:val="28"/>
          <w:rtl/>
        </w:rPr>
        <w:t xml:space="preserve"> </w:t>
      </w:r>
      <w:r>
        <w:rPr>
          <w:rFonts w:ascii="Calibri" w:hAnsi="Calibri" w:cs="FrankRuehl" w:hint="eastAsia"/>
          <w:sz w:val="28"/>
          <w:szCs w:val="28"/>
          <w:rtl/>
        </w:rPr>
        <w:t>אירוע</w:t>
      </w:r>
      <w:r>
        <w:rPr>
          <w:rFonts w:ascii="Calibri" w:hAnsi="Calibri" w:cs="FrankRuehl"/>
          <w:sz w:val="28"/>
          <w:szCs w:val="28"/>
          <w:rtl/>
        </w:rPr>
        <w:t xml:space="preserve"> </w:t>
      </w:r>
      <w:r>
        <w:rPr>
          <w:rFonts w:ascii="Calibri" w:hAnsi="Calibri" w:cs="FrankRuehl" w:hint="eastAsia"/>
          <w:sz w:val="28"/>
          <w:szCs w:val="28"/>
          <w:rtl/>
        </w:rPr>
        <w:t>אחד</w:t>
      </w:r>
      <w:r>
        <w:rPr>
          <w:rFonts w:ascii="Calibri" w:hAnsi="Calibri" w:cs="FrankRuehl"/>
          <w:sz w:val="28"/>
          <w:szCs w:val="28"/>
          <w:rtl/>
        </w:rPr>
        <w:t xml:space="preserve">, </w:t>
      </w:r>
      <w:r>
        <w:rPr>
          <w:rFonts w:ascii="Calibri" w:hAnsi="Calibri" w:cs="FrankRuehl" w:hint="eastAsia"/>
          <w:sz w:val="28"/>
          <w:szCs w:val="28"/>
          <w:rtl/>
        </w:rPr>
        <w:t>מתחם</w:t>
      </w:r>
      <w:r>
        <w:rPr>
          <w:rFonts w:ascii="Calibri" w:hAnsi="Calibri" w:cs="FrankRuehl"/>
          <w:sz w:val="28"/>
          <w:szCs w:val="28"/>
          <w:rtl/>
        </w:rPr>
        <w:t xml:space="preserve"> </w:t>
      </w:r>
      <w:r>
        <w:rPr>
          <w:rFonts w:ascii="Calibri" w:hAnsi="Calibri" w:cs="FrankRuehl" w:hint="eastAsia"/>
          <w:sz w:val="28"/>
          <w:szCs w:val="28"/>
          <w:rtl/>
        </w:rPr>
        <w:t>העונש</w:t>
      </w:r>
      <w:r>
        <w:rPr>
          <w:rFonts w:ascii="Calibri" w:hAnsi="Calibri" w:cs="FrankRuehl"/>
          <w:sz w:val="28"/>
          <w:szCs w:val="28"/>
          <w:rtl/>
        </w:rPr>
        <w:t xml:space="preserve"> </w:t>
      </w:r>
      <w:r>
        <w:rPr>
          <w:rFonts w:ascii="Calibri" w:hAnsi="Calibri" w:cs="FrankRuehl" w:hint="eastAsia"/>
          <w:sz w:val="28"/>
          <w:szCs w:val="28"/>
          <w:rtl/>
        </w:rPr>
        <w:t>ההולם</w:t>
      </w:r>
      <w:r>
        <w:rPr>
          <w:rFonts w:ascii="Calibri" w:hAnsi="Calibri" w:cs="FrankRuehl"/>
          <w:sz w:val="28"/>
          <w:szCs w:val="28"/>
          <w:rtl/>
        </w:rPr>
        <w:t xml:space="preserve"> </w:t>
      </w:r>
      <w:r>
        <w:rPr>
          <w:rFonts w:ascii="Calibri" w:hAnsi="Calibri" w:cs="FrankRuehl" w:hint="eastAsia"/>
          <w:sz w:val="28"/>
          <w:szCs w:val="28"/>
          <w:rtl/>
        </w:rPr>
        <w:t>נע</w:t>
      </w:r>
      <w:r>
        <w:rPr>
          <w:rFonts w:ascii="Calibri" w:hAnsi="Calibri" w:cs="FrankRuehl"/>
          <w:sz w:val="28"/>
          <w:szCs w:val="28"/>
          <w:rtl/>
        </w:rPr>
        <w:t xml:space="preserve"> </w:t>
      </w:r>
      <w:r>
        <w:rPr>
          <w:rFonts w:ascii="Calibri" w:hAnsi="Calibri" w:cs="FrankRuehl" w:hint="eastAsia"/>
          <w:sz w:val="28"/>
          <w:szCs w:val="28"/>
          <w:rtl/>
        </w:rPr>
        <w:t>בין</w:t>
      </w:r>
      <w:r>
        <w:rPr>
          <w:rFonts w:ascii="Calibri" w:hAnsi="Calibri" w:cs="FrankRuehl"/>
          <w:sz w:val="28"/>
          <w:szCs w:val="28"/>
          <w:rtl/>
        </w:rPr>
        <w:t xml:space="preserve"> 12 </w:t>
      </w:r>
      <w:r>
        <w:rPr>
          <w:rFonts w:ascii="Calibri" w:hAnsi="Calibri" w:cs="FrankRuehl" w:hint="eastAsia"/>
          <w:sz w:val="28"/>
          <w:szCs w:val="28"/>
          <w:rtl/>
        </w:rPr>
        <w:t>ל</w:t>
      </w:r>
      <w:r>
        <w:rPr>
          <w:rFonts w:ascii="Calibri" w:hAnsi="Calibri" w:cs="FrankRuehl"/>
          <w:sz w:val="28"/>
          <w:szCs w:val="28"/>
          <w:rtl/>
        </w:rPr>
        <w:t xml:space="preserve">-36 </w:t>
      </w:r>
      <w:r>
        <w:rPr>
          <w:rFonts w:ascii="Calibri" w:hAnsi="Calibri" w:cs="FrankRuehl" w:hint="eastAsia"/>
          <w:sz w:val="28"/>
          <w:szCs w:val="28"/>
          <w:rtl/>
        </w:rPr>
        <w:t>חודשי</w:t>
      </w:r>
      <w:r>
        <w:rPr>
          <w:rFonts w:ascii="Calibri" w:hAnsi="Calibri" w:cs="FrankRuehl"/>
          <w:sz w:val="28"/>
          <w:szCs w:val="28"/>
          <w:rtl/>
        </w:rPr>
        <w:t xml:space="preserve"> </w:t>
      </w:r>
      <w:r>
        <w:rPr>
          <w:rFonts w:ascii="Calibri" w:hAnsi="Calibri" w:cs="FrankRuehl" w:hint="eastAsia"/>
          <w:sz w:val="28"/>
          <w:szCs w:val="28"/>
          <w:rtl/>
        </w:rPr>
        <w:t>מאסר</w:t>
      </w:r>
      <w:r>
        <w:rPr>
          <w:rFonts w:ascii="Calibri" w:hAnsi="Calibri" w:cs="FrankRuehl"/>
          <w:sz w:val="28"/>
          <w:szCs w:val="28"/>
          <w:rtl/>
        </w:rPr>
        <w:t xml:space="preserve"> </w:t>
      </w:r>
      <w:r>
        <w:rPr>
          <w:rFonts w:ascii="Calibri" w:hAnsi="Calibri" w:cs="FrankRuehl" w:hint="eastAsia"/>
          <w:sz w:val="28"/>
          <w:szCs w:val="28"/>
          <w:rtl/>
        </w:rPr>
        <w:t>וכי</w:t>
      </w:r>
      <w:r>
        <w:rPr>
          <w:rFonts w:ascii="Calibri" w:hAnsi="Calibri" w:cs="FrankRuehl"/>
          <w:sz w:val="28"/>
          <w:szCs w:val="28"/>
          <w:rtl/>
        </w:rPr>
        <w:t xml:space="preserve"> </w:t>
      </w:r>
      <w:r>
        <w:rPr>
          <w:rFonts w:ascii="Calibri" w:hAnsi="Calibri" w:cs="FrankRuehl" w:hint="eastAsia"/>
          <w:sz w:val="28"/>
          <w:szCs w:val="28"/>
          <w:rtl/>
        </w:rPr>
        <w:t>בנסיבותיו</w:t>
      </w:r>
      <w:r>
        <w:rPr>
          <w:rFonts w:ascii="Calibri" w:hAnsi="Calibri" w:cs="FrankRuehl"/>
          <w:sz w:val="28"/>
          <w:szCs w:val="28"/>
          <w:rtl/>
        </w:rPr>
        <w:t xml:space="preserve"> </w:t>
      </w:r>
      <w:r>
        <w:rPr>
          <w:rFonts w:ascii="Calibri" w:hAnsi="Calibri" w:cs="FrankRuehl" w:hint="eastAsia"/>
          <w:sz w:val="28"/>
          <w:szCs w:val="28"/>
          <w:rtl/>
        </w:rPr>
        <w:t>של</w:t>
      </w:r>
      <w:r>
        <w:rPr>
          <w:rFonts w:ascii="Calibri" w:hAnsi="Calibri" w:cs="FrankRuehl"/>
          <w:sz w:val="28"/>
          <w:szCs w:val="28"/>
          <w:rtl/>
        </w:rPr>
        <w:t xml:space="preserve"> </w:t>
      </w:r>
      <w:r>
        <w:rPr>
          <w:rFonts w:ascii="Calibri" w:hAnsi="Calibri" w:cs="FrankRuehl" w:hint="eastAsia"/>
          <w:sz w:val="28"/>
          <w:szCs w:val="28"/>
          <w:rtl/>
        </w:rPr>
        <w:t>תיק</w:t>
      </w:r>
      <w:r>
        <w:rPr>
          <w:rFonts w:ascii="Calibri" w:hAnsi="Calibri" w:cs="FrankRuehl"/>
          <w:sz w:val="28"/>
          <w:szCs w:val="28"/>
          <w:rtl/>
        </w:rPr>
        <w:t xml:space="preserve"> </w:t>
      </w:r>
      <w:r>
        <w:rPr>
          <w:rFonts w:ascii="Calibri" w:hAnsi="Calibri" w:cs="FrankRuehl" w:hint="eastAsia"/>
          <w:sz w:val="28"/>
          <w:szCs w:val="28"/>
          <w:rtl/>
        </w:rPr>
        <w:t>זה</w:t>
      </w:r>
      <w:r>
        <w:rPr>
          <w:rFonts w:ascii="Calibri" w:hAnsi="Calibri" w:cs="FrankRuehl"/>
          <w:sz w:val="28"/>
          <w:szCs w:val="28"/>
          <w:rtl/>
        </w:rPr>
        <w:t xml:space="preserve"> </w:t>
      </w:r>
      <w:r>
        <w:rPr>
          <w:rFonts w:ascii="Calibri" w:hAnsi="Calibri" w:cs="FrankRuehl" w:hint="eastAsia"/>
          <w:sz w:val="28"/>
          <w:szCs w:val="28"/>
          <w:rtl/>
        </w:rPr>
        <w:t>העונש</w:t>
      </w:r>
      <w:r>
        <w:rPr>
          <w:rFonts w:ascii="Calibri" w:hAnsi="Calibri" w:cs="FrankRuehl"/>
          <w:sz w:val="28"/>
          <w:szCs w:val="28"/>
          <w:rtl/>
        </w:rPr>
        <w:t xml:space="preserve"> </w:t>
      </w:r>
      <w:r>
        <w:rPr>
          <w:rFonts w:ascii="Calibri" w:hAnsi="Calibri" w:cs="FrankRuehl" w:hint="eastAsia"/>
          <w:sz w:val="28"/>
          <w:szCs w:val="28"/>
          <w:rtl/>
        </w:rPr>
        <w:t>צריך</w:t>
      </w:r>
      <w:r>
        <w:rPr>
          <w:rFonts w:ascii="Calibri" w:hAnsi="Calibri" w:cs="FrankRuehl"/>
          <w:sz w:val="28"/>
          <w:szCs w:val="28"/>
          <w:rtl/>
        </w:rPr>
        <w:t xml:space="preserve"> </w:t>
      </w:r>
      <w:r>
        <w:rPr>
          <w:rFonts w:ascii="Calibri" w:hAnsi="Calibri" w:cs="FrankRuehl" w:hint="eastAsia"/>
          <w:sz w:val="28"/>
          <w:szCs w:val="28"/>
          <w:rtl/>
        </w:rPr>
        <w:t>להיות</w:t>
      </w:r>
      <w:r>
        <w:rPr>
          <w:rFonts w:ascii="Calibri" w:hAnsi="Calibri" w:cs="FrankRuehl"/>
          <w:sz w:val="28"/>
          <w:szCs w:val="28"/>
          <w:rtl/>
        </w:rPr>
        <w:t xml:space="preserve"> </w:t>
      </w:r>
      <w:r>
        <w:rPr>
          <w:rFonts w:ascii="Calibri" w:hAnsi="Calibri" w:cs="FrankRuehl" w:hint="eastAsia"/>
          <w:sz w:val="28"/>
          <w:szCs w:val="28"/>
          <w:rtl/>
        </w:rPr>
        <w:t>לטענתה</w:t>
      </w:r>
      <w:r>
        <w:rPr>
          <w:rFonts w:ascii="Calibri" w:hAnsi="Calibri" w:cs="FrankRuehl"/>
          <w:sz w:val="28"/>
          <w:szCs w:val="28"/>
          <w:rtl/>
        </w:rPr>
        <w:t xml:space="preserve"> </w:t>
      </w:r>
      <w:r>
        <w:rPr>
          <w:rFonts w:ascii="Calibri" w:hAnsi="Calibri" w:cs="FrankRuehl" w:hint="eastAsia"/>
          <w:sz w:val="28"/>
          <w:szCs w:val="28"/>
          <w:rtl/>
        </w:rPr>
        <w:t>ברף</w:t>
      </w:r>
      <w:r>
        <w:rPr>
          <w:rFonts w:ascii="Calibri" w:hAnsi="Calibri" w:cs="FrankRuehl"/>
          <w:sz w:val="28"/>
          <w:szCs w:val="28"/>
          <w:rtl/>
        </w:rPr>
        <w:t xml:space="preserve"> </w:t>
      </w:r>
      <w:r>
        <w:rPr>
          <w:rFonts w:ascii="Calibri" w:hAnsi="Calibri" w:cs="FrankRuehl" w:hint="eastAsia"/>
          <w:sz w:val="28"/>
          <w:szCs w:val="28"/>
          <w:rtl/>
        </w:rPr>
        <w:lastRenderedPageBreak/>
        <w:t>התחתון</w:t>
      </w:r>
      <w:r>
        <w:rPr>
          <w:rFonts w:ascii="Calibri" w:hAnsi="Calibri" w:cs="FrankRuehl"/>
          <w:sz w:val="28"/>
          <w:szCs w:val="28"/>
          <w:rtl/>
        </w:rPr>
        <w:t xml:space="preserve"> </w:t>
      </w:r>
      <w:r>
        <w:rPr>
          <w:rFonts w:ascii="Calibri" w:hAnsi="Calibri" w:cs="FrankRuehl" w:hint="eastAsia"/>
          <w:sz w:val="28"/>
          <w:szCs w:val="28"/>
          <w:rtl/>
        </w:rPr>
        <w:t>וללא</w:t>
      </w:r>
      <w:r>
        <w:rPr>
          <w:rFonts w:ascii="Calibri" w:hAnsi="Calibri" w:cs="FrankRuehl"/>
          <w:sz w:val="28"/>
          <w:szCs w:val="28"/>
          <w:rtl/>
        </w:rPr>
        <w:t xml:space="preserve"> </w:t>
      </w:r>
      <w:r>
        <w:rPr>
          <w:rFonts w:ascii="Calibri" w:hAnsi="Calibri" w:cs="FrankRuehl" w:hint="eastAsia"/>
          <w:sz w:val="28"/>
          <w:szCs w:val="28"/>
          <w:rtl/>
        </w:rPr>
        <w:t>קנס</w:t>
      </w:r>
      <w:r>
        <w:rPr>
          <w:rFonts w:ascii="Calibri" w:hAnsi="Calibri" w:cs="FrankRuehl"/>
          <w:sz w:val="28"/>
          <w:szCs w:val="28"/>
          <w:rtl/>
        </w:rPr>
        <w:t xml:space="preserve"> </w:t>
      </w:r>
      <w:r>
        <w:rPr>
          <w:rFonts w:ascii="Calibri" w:hAnsi="Calibri" w:cs="FrankRuehl" w:hint="eastAsia"/>
          <w:sz w:val="28"/>
          <w:szCs w:val="28"/>
          <w:rtl/>
        </w:rPr>
        <w:t>בשל</w:t>
      </w:r>
      <w:r>
        <w:rPr>
          <w:rFonts w:ascii="Calibri" w:hAnsi="Calibri" w:cs="FrankRuehl"/>
          <w:sz w:val="28"/>
          <w:szCs w:val="28"/>
          <w:rtl/>
        </w:rPr>
        <w:t xml:space="preserve"> </w:t>
      </w:r>
      <w:r>
        <w:rPr>
          <w:rFonts w:ascii="Calibri" w:hAnsi="Calibri" w:cs="FrankRuehl" w:hint="eastAsia"/>
          <w:sz w:val="28"/>
          <w:szCs w:val="28"/>
          <w:rtl/>
        </w:rPr>
        <w:t>מצבו</w:t>
      </w:r>
      <w:r>
        <w:rPr>
          <w:rFonts w:ascii="Calibri" w:hAnsi="Calibri" w:cs="FrankRuehl"/>
          <w:sz w:val="28"/>
          <w:szCs w:val="28"/>
          <w:rtl/>
        </w:rPr>
        <w:t xml:space="preserve"> </w:t>
      </w:r>
      <w:r>
        <w:rPr>
          <w:rFonts w:ascii="Calibri" w:hAnsi="Calibri" w:cs="FrankRuehl" w:hint="eastAsia"/>
          <w:sz w:val="28"/>
          <w:szCs w:val="28"/>
          <w:rtl/>
        </w:rPr>
        <w:t>הכלכלי</w:t>
      </w:r>
      <w:r>
        <w:rPr>
          <w:rFonts w:ascii="Calibri" w:hAnsi="Calibri" w:cs="FrankRuehl"/>
          <w:sz w:val="28"/>
          <w:szCs w:val="28"/>
          <w:rtl/>
        </w:rPr>
        <w:t xml:space="preserve"> </w:t>
      </w:r>
      <w:r>
        <w:rPr>
          <w:rFonts w:ascii="Calibri" w:hAnsi="Calibri" w:cs="FrankRuehl" w:hint="eastAsia"/>
          <w:sz w:val="28"/>
          <w:szCs w:val="28"/>
          <w:rtl/>
        </w:rPr>
        <w:t>של</w:t>
      </w:r>
      <w:r>
        <w:rPr>
          <w:rFonts w:ascii="Calibri" w:hAnsi="Calibri" w:cs="FrankRuehl"/>
          <w:sz w:val="28"/>
          <w:szCs w:val="28"/>
          <w:rtl/>
        </w:rPr>
        <w:t xml:space="preserve"> </w:t>
      </w:r>
      <w:r>
        <w:rPr>
          <w:rFonts w:ascii="Calibri" w:hAnsi="Calibri" w:cs="FrankRuehl" w:hint="eastAsia"/>
          <w:sz w:val="28"/>
          <w:szCs w:val="28"/>
          <w:rtl/>
        </w:rPr>
        <w:t>הנאשם</w:t>
      </w:r>
      <w:r>
        <w:rPr>
          <w:rFonts w:ascii="Calibri" w:hAnsi="Calibri" w:cs="FrankRuehl"/>
          <w:sz w:val="28"/>
          <w:szCs w:val="28"/>
          <w:rtl/>
        </w:rPr>
        <w:t xml:space="preserve">. </w:t>
      </w:r>
      <w:r>
        <w:rPr>
          <w:rFonts w:ascii="Calibri" w:hAnsi="Calibri" w:cs="FrankRuehl" w:hint="eastAsia"/>
          <w:sz w:val="28"/>
          <w:szCs w:val="28"/>
          <w:rtl/>
        </w:rPr>
        <w:t>העבירות</w:t>
      </w:r>
      <w:r>
        <w:rPr>
          <w:rFonts w:ascii="Calibri" w:hAnsi="Calibri" w:cs="FrankRuehl"/>
          <w:sz w:val="28"/>
          <w:szCs w:val="28"/>
          <w:rtl/>
        </w:rPr>
        <w:t xml:space="preserve"> </w:t>
      </w:r>
      <w:r>
        <w:rPr>
          <w:rFonts w:ascii="Calibri" w:hAnsi="Calibri" w:cs="FrankRuehl" w:hint="eastAsia"/>
          <w:sz w:val="28"/>
          <w:szCs w:val="28"/>
          <w:rtl/>
        </w:rPr>
        <w:t>בוצעו</w:t>
      </w:r>
      <w:r>
        <w:rPr>
          <w:rFonts w:ascii="Calibri" w:hAnsi="Calibri" w:cs="FrankRuehl"/>
          <w:sz w:val="28"/>
          <w:szCs w:val="28"/>
          <w:rtl/>
        </w:rPr>
        <w:t xml:space="preserve"> </w:t>
      </w:r>
      <w:r>
        <w:rPr>
          <w:rFonts w:ascii="Calibri" w:hAnsi="Calibri" w:cs="FrankRuehl" w:hint="eastAsia"/>
          <w:sz w:val="28"/>
          <w:szCs w:val="28"/>
          <w:rtl/>
        </w:rPr>
        <w:t>ללא</w:t>
      </w:r>
      <w:r>
        <w:rPr>
          <w:rFonts w:ascii="Calibri" w:hAnsi="Calibri" w:cs="FrankRuehl"/>
          <w:sz w:val="28"/>
          <w:szCs w:val="28"/>
          <w:rtl/>
        </w:rPr>
        <w:t xml:space="preserve"> </w:t>
      </w:r>
      <w:r>
        <w:rPr>
          <w:rFonts w:ascii="Calibri" w:hAnsi="Calibri" w:cs="FrankRuehl" w:hint="eastAsia"/>
          <w:sz w:val="28"/>
          <w:szCs w:val="28"/>
          <w:rtl/>
        </w:rPr>
        <w:t>תכנון</w:t>
      </w:r>
      <w:r>
        <w:rPr>
          <w:rFonts w:ascii="Calibri" w:hAnsi="Calibri" w:cs="FrankRuehl"/>
          <w:sz w:val="28"/>
          <w:szCs w:val="28"/>
          <w:rtl/>
        </w:rPr>
        <w:t xml:space="preserve"> </w:t>
      </w:r>
      <w:r>
        <w:rPr>
          <w:rFonts w:ascii="Calibri" w:hAnsi="Calibri" w:cs="FrankRuehl" w:hint="eastAsia"/>
          <w:sz w:val="28"/>
          <w:szCs w:val="28"/>
          <w:rtl/>
        </w:rPr>
        <w:t>מוקדם</w:t>
      </w:r>
      <w:r>
        <w:rPr>
          <w:rFonts w:ascii="Calibri" w:hAnsi="Calibri" w:cs="FrankRuehl"/>
          <w:sz w:val="28"/>
          <w:szCs w:val="28"/>
          <w:rtl/>
        </w:rPr>
        <w:t xml:space="preserve">, </w:t>
      </w:r>
      <w:r>
        <w:rPr>
          <w:rFonts w:ascii="Calibri" w:hAnsi="Calibri" w:cs="FrankRuehl" w:hint="eastAsia"/>
          <w:sz w:val="28"/>
          <w:szCs w:val="28"/>
          <w:rtl/>
        </w:rPr>
        <w:t>לא</w:t>
      </w:r>
      <w:r>
        <w:rPr>
          <w:rFonts w:ascii="Calibri" w:hAnsi="Calibri" w:cs="FrankRuehl"/>
          <w:sz w:val="28"/>
          <w:szCs w:val="28"/>
          <w:rtl/>
        </w:rPr>
        <w:t xml:space="preserve"> </w:t>
      </w:r>
      <w:r>
        <w:rPr>
          <w:rFonts w:ascii="Calibri" w:hAnsi="Calibri" w:cs="FrankRuehl" w:hint="eastAsia"/>
          <w:sz w:val="28"/>
          <w:szCs w:val="28"/>
          <w:rtl/>
        </w:rPr>
        <w:t>נעשה</w:t>
      </w:r>
      <w:r>
        <w:rPr>
          <w:rFonts w:ascii="Calibri" w:hAnsi="Calibri" w:cs="FrankRuehl"/>
          <w:sz w:val="28"/>
          <w:szCs w:val="28"/>
          <w:rtl/>
        </w:rPr>
        <w:t xml:space="preserve"> </w:t>
      </w:r>
      <w:r>
        <w:rPr>
          <w:rFonts w:ascii="Calibri" w:hAnsi="Calibri" w:cs="FrankRuehl" w:hint="eastAsia"/>
          <w:sz w:val="28"/>
          <w:szCs w:val="28"/>
          <w:rtl/>
        </w:rPr>
        <w:t>שימוש</w:t>
      </w:r>
      <w:r>
        <w:rPr>
          <w:rFonts w:ascii="Calibri" w:hAnsi="Calibri" w:cs="FrankRuehl"/>
          <w:sz w:val="28"/>
          <w:szCs w:val="28"/>
          <w:rtl/>
        </w:rPr>
        <w:t xml:space="preserve"> </w:t>
      </w:r>
      <w:r>
        <w:rPr>
          <w:rFonts w:ascii="Calibri" w:hAnsi="Calibri" w:cs="FrankRuehl" w:hint="eastAsia"/>
          <w:sz w:val="28"/>
          <w:szCs w:val="28"/>
          <w:rtl/>
        </w:rPr>
        <w:t>בנשק</w:t>
      </w:r>
      <w:r>
        <w:rPr>
          <w:rFonts w:ascii="Calibri" w:hAnsi="Calibri" w:cs="FrankRuehl" w:hint="cs"/>
          <w:sz w:val="28"/>
          <w:szCs w:val="28"/>
          <w:rtl/>
        </w:rPr>
        <w:t xml:space="preserve">, </w:t>
      </w:r>
      <w:r>
        <w:rPr>
          <w:rFonts w:ascii="Calibri" w:hAnsi="Calibri" w:cs="FrankRuehl" w:hint="eastAsia"/>
          <w:sz w:val="28"/>
          <w:szCs w:val="28"/>
          <w:rtl/>
        </w:rPr>
        <w:t>לא</w:t>
      </w:r>
      <w:r>
        <w:rPr>
          <w:rFonts w:ascii="Calibri" w:hAnsi="Calibri" w:cs="FrankRuehl"/>
          <w:sz w:val="28"/>
          <w:szCs w:val="28"/>
          <w:rtl/>
        </w:rPr>
        <w:t xml:space="preserve"> </w:t>
      </w:r>
      <w:r>
        <w:rPr>
          <w:rFonts w:ascii="Calibri" w:hAnsi="Calibri" w:cs="FrankRuehl" w:hint="eastAsia"/>
          <w:sz w:val="28"/>
          <w:szCs w:val="28"/>
          <w:rtl/>
        </w:rPr>
        <w:t>היה</w:t>
      </w:r>
      <w:r>
        <w:rPr>
          <w:rFonts w:ascii="Calibri" w:hAnsi="Calibri" w:cs="FrankRuehl"/>
          <w:sz w:val="28"/>
          <w:szCs w:val="28"/>
          <w:rtl/>
        </w:rPr>
        <w:t xml:space="preserve"> </w:t>
      </w:r>
      <w:r>
        <w:rPr>
          <w:rFonts w:ascii="Calibri" w:hAnsi="Calibri" w:cs="FrankRuehl" w:hint="eastAsia"/>
          <w:sz w:val="28"/>
          <w:szCs w:val="28"/>
          <w:rtl/>
        </w:rPr>
        <w:t>צפוי</w:t>
      </w:r>
      <w:r>
        <w:rPr>
          <w:rFonts w:ascii="Calibri" w:hAnsi="Calibri" w:cs="FrankRuehl"/>
          <w:sz w:val="28"/>
          <w:szCs w:val="28"/>
          <w:rtl/>
        </w:rPr>
        <w:t xml:space="preserve"> </w:t>
      </w:r>
      <w:r>
        <w:rPr>
          <w:rFonts w:ascii="Calibri" w:hAnsi="Calibri" w:cs="FrankRuehl" w:hint="eastAsia"/>
          <w:sz w:val="28"/>
          <w:szCs w:val="28"/>
          <w:rtl/>
        </w:rPr>
        <w:t>לה</w:t>
      </w:r>
      <w:r>
        <w:rPr>
          <w:rFonts w:ascii="Calibri" w:hAnsi="Calibri" w:cs="FrankRuehl" w:hint="cs"/>
          <w:sz w:val="28"/>
          <w:szCs w:val="28"/>
          <w:rtl/>
        </w:rPr>
        <w:t>י</w:t>
      </w:r>
      <w:r>
        <w:rPr>
          <w:rFonts w:ascii="Calibri" w:hAnsi="Calibri" w:cs="FrankRuehl" w:hint="eastAsia"/>
          <w:sz w:val="28"/>
          <w:szCs w:val="28"/>
          <w:rtl/>
        </w:rPr>
        <w:t>גרם</w:t>
      </w:r>
      <w:r>
        <w:rPr>
          <w:rFonts w:ascii="Calibri" w:hAnsi="Calibri" w:cs="FrankRuehl"/>
          <w:sz w:val="28"/>
          <w:szCs w:val="28"/>
          <w:rtl/>
        </w:rPr>
        <w:t xml:space="preserve"> </w:t>
      </w:r>
      <w:r>
        <w:rPr>
          <w:rFonts w:ascii="Calibri" w:hAnsi="Calibri" w:cs="FrankRuehl" w:hint="eastAsia"/>
          <w:sz w:val="28"/>
          <w:szCs w:val="28"/>
          <w:rtl/>
        </w:rPr>
        <w:t>נזק</w:t>
      </w:r>
      <w:r>
        <w:rPr>
          <w:rFonts w:ascii="Calibri" w:hAnsi="Calibri" w:cs="FrankRuehl" w:hint="cs"/>
          <w:sz w:val="28"/>
          <w:szCs w:val="28"/>
          <w:rtl/>
        </w:rPr>
        <w:t xml:space="preserve"> ו</w:t>
      </w:r>
      <w:r>
        <w:rPr>
          <w:rFonts w:ascii="Calibri" w:hAnsi="Calibri" w:cs="FrankRuehl" w:hint="eastAsia"/>
          <w:sz w:val="28"/>
          <w:szCs w:val="28"/>
          <w:rtl/>
        </w:rPr>
        <w:t>עברו</w:t>
      </w:r>
      <w:r>
        <w:rPr>
          <w:rFonts w:ascii="Calibri" w:hAnsi="Calibri" w:cs="FrankRuehl"/>
          <w:sz w:val="28"/>
          <w:szCs w:val="28"/>
          <w:rtl/>
        </w:rPr>
        <w:t xml:space="preserve"> </w:t>
      </w:r>
      <w:r>
        <w:rPr>
          <w:rFonts w:ascii="Calibri" w:hAnsi="Calibri" w:cs="FrankRuehl" w:hint="eastAsia"/>
          <w:sz w:val="28"/>
          <w:szCs w:val="28"/>
          <w:rtl/>
        </w:rPr>
        <w:t>הפלילי</w:t>
      </w:r>
      <w:r>
        <w:rPr>
          <w:rFonts w:ascii="Calibri" w:hAnsi="Calibri" w:cs="FrankRuehl"/>
          <w:sz w:val="28"/>
          <w:szCs w:val="28"/>
          <w:rtl/>
        </w:rPr>
        <w:t xml:space="preserve"> </w:t>
      </w:r>
      <w:r>
        <w:rPr>
          <w:rFonts w:ascii="Calibri" w:hAnsi="Calibri" w:cs="FrankRuehl" w:hint="eastAsia"/>
          <w:sz w:val="28"/>
          <w:szCs w:val="28"/>
          <w:rtl/>
        </w:rPr>
        <w:t>אינו</w:t>
      </w:r>
      <w:r>
        <w:rPr>
          <w:rFonts w:ascii="Calibri" w:hAnsi="Calibri" w:cs="FrankRuehl"/>
          <w:sz w:val="28"/>
          <w:szCs w:val="28"/>
          <w:rtl/>
        </w:rPr>
        <w:t xml:space="preserve"> </w:t>
      </w:r>
      <w:r>
        <w:rPr>
          <w:rFonts w:ascii="Calibri" w:hAnsi="Calibri" w:cs="FrankRuehl" w:hint="eastAsia"/>
          <w:sz w:val="28"/>
          <w:szCs w:val="28"/>
          <w:rtl/>
        </w:rPr>
        <w:t>מכביד</w:t>
      </w:r>
      <w:r>
        <w:rPr>
          <w:rFonts w:ascii="Calibri" w:hAnsi="Calibri" w:cs="FrankRuehl" w:hint="cs"/>
          <w:sz w:val="28"/>
          <w:szCs w:val="28"/>
          <w:rtl/>
        </w:rPr>
        <w:t xml:space="preserve">. </w:t>
      </w:r>
    </w:p>
    <w:p w14:paraId="043693E6" w14:textId="77777777" w:rsidR="00703FB3" w:rsidRDefault="008719A6">
      <w:pPr>
        <w:spacing w:line="360" w:lineRule="auto"/>
        <w:ind w:left="720"/>
        <w:jc w:val="both"/>
        <w:rPr>
          <w:rFonts w:ascii="Calibri" w:hAnsi="Calibri" w:cs="FrankRuehl"/>
          <w:sz w:val="28"/>
          <w:szCs w:val="28"/>
          <w:rtl/>
        </w:rPr>
      </w:pPr>
      <w:r>
        <w:rPr>
          <w:rFonts w:ascii="Calibri" w:hAnsi="Calibri" w:cs="FrankRuehl" w:hint="eastAsia"/>
          <w:sz w:val="28"/>
          <w:szCs w:val="28"/>
          <w:rtl/>
        </w:rPr>
        <w:t>לתמיכה</w:t>
      </w:r>
      <w:r>
        <w:rPr>
          <w:rFonts w:ascii="Calibri" w:hAnsi="Calibri" w:cs="FrankRuehl"/>
          <w:sz w:val="28"/>
          <w:szCs w:val="28"/>
          <w:rtl/>
        </w:rPr>
        <w:t xml:space="preserve"> </w:t>
      </w:r>
      <w:r>
        <w:rPr>
          <w:rFonts w:ascii="Calibri" w:hAnsi="Calibri" w:cs="FrankRuehl" w:hint="eastAsia"/>
          <w:sz w:val="28"/>
          <w:szCs w:val="28"/>
          <w:rtl/>
        </w:rPr>
        <w:t>בטענותיה</w:t>
      </w:r>
      <w:r>
        <w:rPr>
          <w:rFonts w:ascii="Calibri" w:hAnsi="Calibri" w:cs="FrankRuehl"/>
          <w:sz w:val="28"/>
          <w:szCs w:val="28"/>
          <w:rtl/>
        </w:rPr>
        <w:t xml:space="preserve"> </w:t>
      </w:r>
      <w:r>
        <w:rPr>
          <w:rFonts w:ascii="Calibri" w:hAnsi="Calibri" w:cs="FrankRuehl" w:hint="eastAsia"/>
          <w:sz w:val="28"/>
          <w:szCs w:val="28"/>
          <w:rtl/>
        </w:rPr>
        <w:t>הפנתה</w:t>
      </w:r>
      <w:r>
        <w:rPr>
          <w:rFonts w:ascii="Calibri" w:hAnsi="Calibri" w:cs="FrankRuehl"/>
          <w:sz w:val="28"/>
          <w:szCs w:val="28"/>
          <w:rtl/>
        </w:rPr>
        <w:t xml:space="preserve"> </w:t>
      </w:r>
      <w:r>
        <w:rPr>
          <w:rFonts w:ascii="Calibri" w:hAnsi="Calibri" w:cs="FrankRuehl" w:hint="eastAsia"/>
          <w:sz w:val="28"/>
          <w:szCs w:val="28"/>
          <w:rtl/>
        </w:rPr>
        <w:t>לפסקי</w:t>
      </w:r>
      <w:r>
        <w:rPr>
          <w:rFonts w:ascii="Calibri" w:hAnsi="Calibri" w:cs="FrankRuehl"/>
          <w:sz w:val="28"/>
          <w:szCs w:val="28"/>
          <w:rtl/>
        </w:rPr>
        <w:t xml:space="preserve"> </w:t>
      </w:r>
      <w:r>
        <w:rPr>
          <w:rFonts w:ascii="Calibri" w:hAnsi="Calibri" w:cs="FrankRuehl" w:hint="eastAsia"/>
          <w:sz w:val="28"/>
          <w:szCs w:val="28"/>
          <w:rtl/>
        </w:rPr>
        <w:t>דין</w:t>
      </w:r>
      <w:r>
        <w:rPr>
          <w:rFonts w:ascii="Calibri" w:hAnsi="Calibri" w:cs="FrankRuehl"/>
          <w:sz w:val="28"/>
          <w:szCs w:val="28"/>
          <w:rtl/>
        </w:rPr>
        <w:t xml:space="preserve"> </w:t>
      </w:r>
      <w:r>
        <w:rPr>
          <w:rFonts w:ascii="Calibri" w:hAnsi="Calibri" w:cs="FrankRuehl" w:hint="eastAsia"/>
          <w:sz w:val="28"/>
          <w:szCs w:val="28"/>
          <w:rtl/>
        </w:rPr>
        <w:t>שונים</w:t>
      </w:r>
      <w:r>
        <w:rPr>
          <w:rFonts w:ascii="Calibri" w:hAnsi="Calibri" w:cs="FrankRuehl"/>
          <w:sz w:val="28"/>
          <w:szCs w:val="28"/>
          <w:rtl/>
        </w:rPr>
        <w:t xml:space="preserve"> </w:t>
      </w:r>
      <w:r>
        <w:rPr>
          <w:rFonts w:ascii="Calibri" w:hAnsi="Calibri" w:cs="FrankRuehl" w:hint="eastAsia"/>
          <w:sz w:val="28"/>
          <w:szCs w:val="28"/>
          <w:rtl/>
        </w:rPr>
        <w:t>בהם</w:t>
      </w:r>
      <w:r>
        <w:rPr>
          <w:rFonts w:ascii="Calibri" w:hAnsi="Calibri" w:cs="FrankRuehl"/>
          <w:sz w:val="28"/>
          <w:szCs w:val="28"/>
          <w:rtl/>
        </w:rPr>
        <w:t xml:space="preserve"> </w:t>
      </w:r>
      <w:r>
        <w:rPr>
          <w:rFonts w:ascii="Calibri" w:hAnsi="Calibri" w:cs="FrankRuehl" w:hint="eastAsia"/>
          <w:sz w:val="28"/>
          <w:szCs w:val="28"/>
          <w:rtl/>
        </w:rPr>
        <w:t>הוטלו</w:t>
      </w:r>
      <w:r>
        <w:rPr>
          <w:rFonts w:ascii="Calibri" w:hAnsi="Calibri" w:cs="FrankRuehl"/>
          <w:sz w:val="28"/>
          <w:szCs w:val="28"/>
          <w:rtl/>
        </w:rPr>
        <w:t xml:space="preserve"> </w:t>
      </w:r>
      <w:r>
        <w:rPr>
          <w:rFonts w:ascii="Calibri" w:hAnsi="Calibri" w:cs="FrankRuehl" w:hint="eastAsia"/>
          <w:sz w:val="28"/>
          <w:szCs w:val="28"/>
          <w:rtl/>
        </w:rPr>
        <w:t>עונשי</w:t>
      </w:r>
      <w:r>
        <w:rPr>
          <w:rFonts w:ascii="Calibri" w:hAnsi="Calibri" w:cs="FrankRuehl"/>
          <w:sz w:val="28"/>
          <w:szCs w:val="28"/>
          <w:rtl/>
        </w:rPr>
        <w:t xml:space="preserve"> </w:t>
      </w:r>
      <w:r>
        <w:rPr>
          <w:rFonts w:ascii="Calibri" w:hAnsi="Calibri" w:cs="FrankRuehl" w:hint="eastAsia"/>
          <w:sz w:val="28"/>
          <w:szCs w:val="28"/>
          <w:rtl/>
        </w:rPr>
        <w:t>מאסר</w:t>
      </w:r>
      <w:r>
        <w:rPr>
          <w:rFonts w:ascii="Calibri" w:hAnsi="Calibri" w:cs="FrankRuehl"/>
          <w:sz w:val="28"/>
          <w:szCs w:val="28"/>
          <w:rtl/>
        </w:rPr>
        <w:t xml:space="preserve"> 10,12,13,13.5 </w:t>
      </w:r>
      <w:r>
        <w:rPr>
          <w:rFonts w:ascii="Calibri" w:hAnsi="Calibri" w:cs="FrankRuehl" w:hint="eastAsia"/>
          <w:sz w:val="28"/>
          <w:szCs w:val="28"/>
          <w:rtl/>
        </w:rPr>
        <w:t>חודשי</w:t>
      </w:r>
      <w:r>
        <w:rPr>
          <w:rFonts w:ascii="Calibri" w:hAnsi="Calibri" w:cs="FrankRuehl"/>
          <w:sz w:val="28"/>
          <w:szCs w:val="28"/>
          <w:rtl/>
        </w:rPr>
        <w:t xml:space="preserve"> </w:t>
      </w:r>
      <w:r>
        <w:rPr>
          <w:rFonts w:ascii="Calibri" w:hAnsi="Calibri" w:cs="FrankRuehl" w:hint="eastAsia"/>
          <w:sz w:val="28"/>
          <w:szCs w:val="28"/>
          <w:rtl/>
        </w:rPr>
        <w:t>מאסר</w:t>
      </w:r>
      <w:r>
        <w:rPr>
          <w:rFonts w:ascii="Calibri" w:hAnsi="Calibri" w:cs="FrankRuehl"/>
          <w:sz w:val="28"/>
          <w:szCs w:val="28"/>
          <w:rtl/>
        </w:rPr>
        <w:t xml:space="preserve"> </w:t>
      </w:r>
      <w:r>
        <w:rPr>
          <w:rFonts w:ascii="Calibri" w:hAnsi="Calibri" w:cs="FrankRuehl" w:hint="eastAsia"/>
          <w:sz w:val="28"/>
          <w:szCs w:val="28"/>
          <w:rtl/>
        </w:rPr>
        <w:t>בפועל</w:t>
      </w:r>
      <w:r>
        <w:rPr>
          <w:rFonts w:ascii="Calibri" w:hAnsi="Calibri" w:cs="FrankRuehl"/>
          <w:sz w:val="28"/>
          <w:szCs w:val="28"/>
          <w:rtl/>
        </w:rPr>
        <w:t xml:space="preserve"> </w:t>
      </w:r>
      <w:r>
        <w:rPr>
          <w:rFonts w:ascii="Calibri" w:hAnsi="Calibri" w:cs="FrankRuehl" w:hint="eastAsia"/>
          <w:sz w:val="28"/>
          <w:szCs w:val="28"/>
          <w:rtl/>
        </w:rPr>
        <w:t>וגם</w:t>
      </w:r>
      <w:r>
        <w:rPr>
          <w:rFonts w:ascii="Calibri" w:hAnsi="Calibri" w:cs="FrankRuehl"/>
          <w:sz w:val="28"/>
          <w:szCs w:val="28"/>
          <w:rtl/>
        </w:rPr>
        <w:t xml:space="preserve"> 6 </w:t>
      </w:r>
      <w:r>
        <w:rPr>
          <w:rFonts w:ascii="Calibri" w:hAnsi="Calibri" w:cs="FrankRuehl" w:hint="eastAsia"/>
          <w:sz w:val="28"/>
          <w:szCs w:val="28"/>
          <w:rtl/>
        </w:rPr>
        <w:t>חודשי</w:t>
      </w:r>
      <w:r>
        <w:rPr>
          <w:rFonts w:ascii="Calibri" w:hAnsi="Calibri" w:cs="FrankRuehl"/>
          <w:sz w:val="28"/>
          <w:szCs w:val="28"/>
          <w:rtl/>
        </w:rPr>
        <w:t xml:space="preserve"> </w:t>
      </w:r>
      <w:r>
        <w:rPr>
          <w:rFonts w:ascii="Calibri" w:hAnsi="Calibri" w:cs="FrankRuehl" w:hint="eastAsia"/>
          <w:sz w:val="28"/>
          <w:szCs w:val="28"/>
          <w:rtl/>
        </w:rPr>
        <w:t>מאסר</w:t>
      </w:r>
      <w:r>
        <w:rPr>
          <w:rFonts w:ascii="Calibri" w:hAnsi="Calibri" w:cs="FrankRuehl"/>
          <w:sz w:val="28"/>
          <w:szCs w:val="28"/>
          <w:rtl/>
        </w:rPr>
        <w:t xml:space="preserve"> </w:t>
      </w:r>
      <w:r>
        <w:rPr>
          <w:rFonts w:ascii="Calibri" w:hAnsi="Calibri" w:cs="FrankRuehl" w:hint="eastAsia"/>
          <w:sz w:val="28"/>
          <w:szCs w:val="28"/>
          <w:rtl/>
        </w:rPr>
        <w:t>בדרך</w:t>
      </w:r>
      <w:r>
        <w:rPr>
          <w:rFonts w:ascii="Calibri" w:hAnsi="Calibri" w:cs="FrankRuehl"/>
          <w:sz w:val="28"/>
          <w:szCs w:val="28"/>
          <w:rtl/>
        </w:rPr>
        <w:t xml:space="preserve"> </w:t>
      </w:r>
      <w:r>
        <w:rPr>
          <w:rFonts w:ascii="Calibri" w:hAnsi="Calibri" w:cs="FrankRuehl" w:hint="eastAsia"/>
          <w:sz w:val="28"/>
          <w:szCs w:val="28"/>
          <w:rtl/>
        </w:rPr>
        <w:t>של</w:t>
      </w:r>
      <w:r>
        <w:rPr>
          <w:rFonts w:ascii="Calibri" w:hAnsi="Calibri" w:cs="FrankRuehl"/>
          <w:sz w:val="28"/>
          <w:szCs w:val="28"/>
          <w:rtl/>
        </w:rPr>
        <w:t xml:space="preserve"> </w:t>
      </w:r>
      <w:r>
        <w:rPr>
          <w:rFonts w:ascii="Calibri" w:hAnsi="Calibri" w:cs="FrankRuehl" w:hint="eastAsia"/>
          <w:sz w:val="28"/>
          <w:szCs w:val="28"/>
          <w:rtl/>
        </w:rPr>
        <w:t>עבודות</w:t>
      </w:r>
      <w:r>
        <w:rPr>
          <w:rFonts w:ascii="Calibri" w:hAnsi="Calibri" w:cs="FrankRuehl"/>
          <w:sz w:val="28"/>
          <w:szCs w:val="28"/>
          <w:rtl/>
        </w:rPr>
        <w:t xml:space="preserve"> </w:t>
      </w:r>
      <w:r>
        <w:rPr>
          <w:rFonts w:ascii="Calibri" w:hAnsi="Calibri" w:cs="FrankRuehl" w:hint="eastAsia"/>
          <w:sz w:val="28"/>
          <w:szCs w:val="28"/>
          <w:rtl/>
        </w:rPr>
        <w:t>שירות</w:t>
      </w:r>
      <w:r>
        <w:rPr>
          <w:rFonts w:ascii="Calibri" w:hAnsi="Calibri" w:cs="FrankRuehl"/>
          <w:sz w:val="28"/>
          <w:szCs w:val="28"/>
          <w:rtl/>
        </w:rPr>
        <w:t xml:space="preserve">. </w:t>
      </w:r>
    </w:p>
    <w:p w14:paraId="3CD49AF3" w14:textId="77777777" w:rsidR="00703FB3" w:rsidRDefault="00703FB3">
      <w:pPr>
        <w:spacing w:line="360" w:lineRule="auto"/>
        <w:ind w:left="720"/>
        <w:jc w:val="both"/>
        <w:rPr>
          <w:rFonts w:ascii="Calibri" w:hAnsi="Calibri" w:cs="FrankRuehl"/>
          <w:sz w:val="28"/>
          <w:szCs w:val="28"/>
        </w:rPr>
      </w:pPr>
    </w:p>
    <w:p w14:paraId="43491F30" w14:textId="77777777" w:rsidR="00703FB3" w:rsidRDefault="008719A6">
      <w:pPr>
        <w:spacing w:line="360" w:lineRule="auto"/>
        <w:ind w:left="360" w:firstLine="360"/>
        <w:jc w:val="both"/>
        <w:rPr>
          <w:rFonts w:ascii="Calibri" w:hAnsi="Calibri" w:cs="FrankRuehl"/>
          <w:sz w:val="28"/>
          <w:szCs w:val="28"/>
          <w:rtl/>
        </w:rPr>
      </w:pPr>
      <w:r>
        <w:rPr>
          <w:rFonts w:ascii="Calibri" w:hAnsi="Calibri" w:cs="FrankRuehl" w:hint="eastAsia"/>
          <w:sz w:val="28"/>
          <w:szCs w:val="28"/>
          <w:rtl/>
        </w:rPr>
        <w:t>בתום</w:t>
      </w:r>
      <w:r>
        <w:rPr>
          <w:rFonts w:ascii="Calibri" w:hAnsi="Calibri" w:cs="FrankRuehl"/>
          <w:sz w:val="28"/>
          <w:szCs w:val="28"/>
          <w:rtl/>
        </w:rPr>
        <w:t xml:space="preserve"> </w:t>
      </w:r>
      <w:r>
        <w:rPr>
          <w:rFonts w:ascii="Calibri" w:hAnsi="Calibri" w:cs="FrankRuehl" w:hint="eastAsia"/>
          <w:sz w:val="28"/>
          <w:szCs w:val="28"/>
          <w:rtl/>
        </w:rPr>
        <w:t>הטיעונים</w:t>
      </w:r>
      <w:r>
        <w:rPr>
          <w:rFonts w:ascii="Calibri" w:hAnsi="Calibri" w:cs="FrankRuehl"/>
          <w:sz w:val="28"/>
          <w:szCs w:val="28"/>
          <w:rtl/>
        </w:rPr>
        <w:t xml:space="preserve"> </w:t>
      </w:r>
      <w:r>
        <w:rPr>
          <w:rFonts w:ascii="Calibri" w:hAnsi="Calibri" w:cs="FrankRuehl" w:hint="eastAsia"/>
          <w:sz w:val="28"/>
          <w:szCs w:val="28"/>
          <w:rtl/>
        </w:rPr>
        <w:t>הנאשם</w:t>
      </w:r>
      <w:r>
        <w:rPr>
          <w:rFonts w:ascii="Calibri" w:hAnsi="Calibri" w:cs="FrankRuehl"/>
          <w:sz w:val="28"/>
          <w:szCs w:val="28"/>
          <w:rtl/>
        </w:rPr>
        <w:t xml:space="preserve"> </w:t>
      </w:r>
      <w:r>
        <w:rPr>
          <w:rFonts w:ascii="Calibri" w:hAnsi="Calibri" w:cs="FrankRuehl" w:hint="eastAsia"/>
          <w:sz w:val="28"/>
          <w:szCs w:val="28"/>
          <w:rtl/>
        </w:rPr>
        <w:t>התנצל</w:t>
      </w:r>
      <w:r>
        <w:rPr>
          <w:rFonts w:ascii="Calibri" w:hAnsi="Calibri" w:cs="FrankRuehl"/>
          <w:sz w:val="28"/>
          <w:szCs w:val="28"/>
          <w:rtl/>
        </w:rPr>
        <w:t xml:space="preserve">, </w:t>
      </w:r>
      <w:r>
        <w:rPr>
          <w:rFonts w:ascii="Calibri" w:hAnsi="Calibri" w:cs="FrankRuehl" w:hint="eastAsia"/>
          <w:sz w:val="28"/>
          <w:szCs w:val="28"/>
          <w:rtl/>
        </w:rPr>
        <w:t>הביע</w:t>
      </w:r>
      <w:r>
        <w:rPr>
          <w:rFonts w:ascii="Calibri" w:hAnsi="Calibri" w:cs="FrankRuehl"/>
          <w:sz w:val="28"/>
          <w:szCs w:val="28"/>
          <w:rtl/>
        </w:rPr>
        <w:t xml:space="preserve"> </w:t>
      </w:r>
      <w:r>
        <w:rPr>
          <w:rFonts w:ascii="Calibri" w:hAnsi="Calibri" w:cs="FrankRuehl" w:hint="eastAsia"/>
          <w:sz w:val="28"/>
          <w:szCs w:val="28"/>
          <w:rtl/>
        </w:rPr>
        <w:t>צער</w:t>
      </w:r>
      <w:r>
        <w:rPr>
          <w:rFonts w:ascii="Calibri" w:hAnsi="Calibri" w:cs="FrankRuehl"/>
          <w:sz w:val="28"/>
          <w:szCs w:val="28"/>
          <w:rtl/>
        </w:rPr>
        <w:t xml:space="preserve"> </w:t>
      </w:r>
      <w:r>
        <w:rPr>
          <w:rFonts w:ascii="Calibri" w:hAnsi="Calibri" w:cs="FrankRuehl" w:hint="eastAsia"/>
          <w:sz w:val="28"/>
          <w:szCs w:val="28"/>
          <w:rtl/>
        </w:rPr>
        <w:t>וחרטה</w:t>
      </w:r>
      <w:r>
        <w:rPr>
          <w:rFonts w:ascii="Calibri" w:hAnsi="Calibri" w:cs="FrankRuehl"/>
          <w:sz w:val="28"/>
          <w:szCs w:val="28"/>
          <w:rtl/>
        </w:rPr>
        <w:t xml:space="preserve"> </w:t>
      </w:r>
      <w:r>
        <w:rPr>
          <w:rFonts w:ascii="Calibri" w:hAnsi="Calibri" w:cs="FrankRuehl" w:hint="eastAsia"/>
          <w:sz w:val="28"/>
          <w:szCs w:val="28"/>
          <w:rtl/>
        </w:rPr>
        <w:t>ותאר</w:t>
      </w:r>
      <w:r>
        <w:rPr>
          <w:rFonts w:ascii="Calibri" w:hAnsi="Calibri" w:cs="FrankRuehl"/>
          <w:sz w:val="28"/>
          <w:szCs w:val="28"/>
          <w:rtl/>
        </w:rPr>
        <w:t xml:space="preserve"> </w:t>
      </w:r>
      <w:r>
        <w:rPr>
          <w:rFonts w:ascii="Calibri" w:hAnsi="Calibri" w:cs="FrankRuehl" w:hint="eastAsia"/>
          <w:sz w:val="28"/>
          <w:szCs w:val="28"/>
          <w:rtl/>
        </w:rPr>
        <w:t>את</w:t>
      </w:r>
      <w:r>
        <w:rPr>
          <w:rFonts w:ascii="Calibri" w:hAnsi="Calibri" w:cs="FrankRuehl"/>
          <w:sz w:val="28"/>
          <w:szCs w:val="28"/>
          <w:rtl/>
        </w:rPr>
        <w:t xml:space="preserve"> </w:t>
      </w:r>
      <w:r>
        <w:rPr>
          <w:rFonts w:ascii="Calibri" w:hAnsi="Calibri" w:cs="FrankRuehl" w:hint="eastAsia"/>
          <w:sz w:val="28"/>
          <w:szCs w:val="28"/>
          <w:rtl/>
        </w:rPr>
        <w:t>קשייו</w:t>
      </w:r>
      <w:r>
        <w:rPr>
          <w:rFonts w:ascii="Calibri" w:hAnsi="Calibri" w:cs="FrankRuehl"/>
          <w:sz w:val="28"/>
          <w:szCs w:val="28"/>
          <w:rtl/>
        </w:rPr>
        <w:t xml:space="preserve"> </w:t>
      </w:r>
      <w:r>
        <w:rPr>
          <w:rFonts w:ascii="Calibri" w:hAnsi="Calibri" w:cs="FrankRuehl" w:hint="eastAsia"/>
          <w:sz w:val="28"/>
          <w:szCs w:val="28"/>
          <w:rtl/>
        </w:rPr>
        <w:t>בבית</w:t>
      </w:r>
      <w:r>
        <w:rPr>
          <w:rFonts w:ascii="Calibri" w:hAnsi="Calibri" w:cs="FrankRuehl"/>
          <w:sz w:val="28"/>
          <w:szCs w:val="28"/>
          <w:rtl/>
        </w:rPr>
        <w:t xml:space="preserve"> </w:t>
      </w:r>
      <w:r>
        <w:rPr>
          <w:rFonts w:ascii="Calibri" w:hAnsi="Calibri" w:cs="FrankRuehl" w:hint="eastAsia"/>
          <w:sz w:val="28"/>
          <w:szCs w:val="28"/>
          <w:rtl/>
        </w:rPr>
        <w:t>המעצר</w:t>
      </w:r>
      <w:r>
        <w:rPr>
          <w:rFonts w:ascii="Calibri" w:hAnsi="Calibri" w:cs="FrankRuehl"/>
          <w:sz w:val="28"/>
          <w:szCs w:val="28"/>
          <w:rtl/>
        </w:rPr>
        <w:t xml:space="preserve">. </w:t>
      </w:r>
    </w:p>
    <w:p w14:paraId="673E5624" w14:textId="77777777" w:rsidR="00703FB3" w:rsidRDefault="00703FB3">
      <w:pPr>
        <w:spacing w:line="360" w:lineRule="auto"/>
        <w:jc w:val="both"/>
        <w:rPr>
          <w:rFonts w:ascii="Calibri" w:hAnsi="Calibri" w:cs="FrankRuehl"/>
          <w:sz w:val="28"/>
          <w:szCs w:val="28"/>
          <w:rtl/>
        </w:rPr>
      </w:pPr>
    </w:p>
    <w:p w14:paraId="5D7B9DE2" w14:textId="77777777" w:rsidR="00703FB3" w:rsidRDefault="008719A6">
      <w:pPr>
        <w:spacing w:line="360" w:lineRule="auto"/>
        <w:ind w:left="720"/>
        <w:rPr>
          <w:rFonts w:cs="Miriam"/>
        </w:rPr>
      </w:pPr>
      <w:r>
        <w:rPr>
          <w:rFonts w:cs="Miriam"/>
          <w:rtl/>
        </w:rPr>
        <w:t>דיון</w:t>
      </w:r>
    </w:p>
    <w:p w14:paraId="6A64DC23" w14:textId="77777777" w:rsidR="00703FB3" w:rsidRDefault="008719A6">
      <w:pPr>
        <w:spacing w:line="360" w:lineRule="auto"/>
        <w:ind w:left="720"/>
        <w:jc w:val="both"/>
        <w:rPr>
          <w:rFonts w:cs="FrankRuehl"/>
          <w:color w:val="000000"/>
          <w:sz w:val="28"/>
          <w:szCs w:val="28"/>
          <w:rtl/>
        </w:rPr>
      </w:pPr>
      <w:r>
        <w:rPr>
          <w:rFonts w:cs="FrankRuehl"/>
          <w:color w:val="000000"/>
          <w:sz w:val="28"/>
          <w:szCs w:val="28"/>
          <w:rtl/>
        </w:rPr>
        <w:t>במקרה זה חל תיקון 113 לחוק שקבע כי "</w:t>
      </w:r>
      <w:r>
        <w:rPr>
          <w:rFonts w:cs="FrankRuehl"/>
          <w:sz w:val="28"/>
          <w:szCs w:val="28"/>
          <w:rtl/>
        </w:rPr>
        <w:t>העיקרון המנחה בענישה הוא קיומו של יחס הולם בין חומרת מעשה העבירה בנסיבותיו ומידת אשמו של הנאשם ובין סוג ומידת העונש המוטל עלי</w:t>
      </w:r>
      <w:r>
        <w:rPr>
          <w:rFonts w:cs="FrankRuehl"/>
          <w:color w:val="000000"/>
          <w:sz w:val="28"/>
          <w:szCs w:val="28"/>
          <w:rtl/>
        </w:rPr>
        <w:t>ו" (</w:t>
      </w:r>
      <w:hyperlink r:id="rId29" w:history="1">
        <w:r w:rsidR="005303BA" w:rsidRPr="005303BA">
          <w:rPr>
            <w:rFonts w:cs="FrankRuehl"/>
            <w:color w:val="0000FF"/>
            <w:sz w:val="28"/>
            <w:szCs w:val="28"/>
            <w:u w:val="single"/>
            <w:rtl/>
          </w:rPr>
          <w:t>סעיף 40ב'</w:t>
        </w:r>
      </w:hyperlink>
      <w:r>
        <w:rPr>
          <w:rFonts w:cs="FrankRuehl" w:hint="cs"/>
          <w:color w:val="000000"/>
          <w:sz w:val="28"/>
          <w:szCs w:val="28"/>
          <w:rtl/>
        </w:rPr>
        <w:t xml:space="preserve"> לחוק</w:t>
      </w:r>
      <w:r>
        <w:rPr>
          <w:rFonts w:cs="FrankRuehl"/>
          <w:color w:val="000000"/>
          <w:sz w:val="28"/>
          <w:szCs w:val="28"/>
          <w:rtl/>
        </w:rPr>
        <w:t>).</w:t>
      </w:r>
    </w:p>
    <w:p w14:paraId="3A5E2047" w14:textId="77777777" w:rsidR="00703FB3" w:rsidRDefault="00703FB3">
      <w:pPr>
        <w:spacing w:line="360" w:lineRule="auto"/>
        <w:ind w:left="720"/>
        <w:jc w:val="both"/>
        <w:rPr>
          <w:rFonts w:cs="FrankRuehl"/>
          <w:color w:val="000000"/>
          <w:sz w:val="28"/>
          <w:szCs w:val="28"/>
          <w:rtl/>
        </w:rPr>
      </w:pPr>
    </w:p>
    <w:p w14:paraId="48091D68" w14:textId="77777777" w:rsidR="00703FB3" w:rsidRDefault="008719A6">
      <w:pPr>
        <w:spacing w:line="360" w:lineRule="auto"/>
        <w:ind w:left="720"/>
        <w:jc w:val="both"/>
        <w:rPr>
          <w:rFonts w:cs="FrankRuehl"/>
          <w:color w:val="000000"/>
          <w:sz w:val="28"/>
          <w:szCs w:val="28"/>
          <w:rtl/>
        </w:rPr>
      </w:pPr>
      <w:r>
        <w:rPr>
          <w:rFonts w:cs="FrankRuehl"/>
          <w:color w:val="000000"/>
          <w:sz w:val="28"/>
          <w:szCs w:val="28"/>
          <w:rtl/>
        </w:rPr>
        <w:t>העבירות המיוחסות לנאשם בוצעו במסגרת אירוע אחד, הנאשם נשא עימו אקדח ותחמושת כשהוא נוהג ברכב ללא ר</w:t>
      </w:r>
      <w:r>
        <w:rPr>
          <w:rFonts w:cs="FrankRuehl" w:hint="cs"/>
          <w:color w:val="000000"/>
          <w:sz w:val="28"/>
          <w:szCs w:val="28"/>
          <w:rtl/>
        </w:rPr>
        <w:t>י</w:t>
      </w:r>
      <w:r>
        <w:rPr>
          <w:rFonts w:cs="FrankRuehl"/>
          <w:color w:val="000000"/>
          <w:sz w:val="28"/>
          <w:szCs w:val="28"/>
          <w:rtl/>
        </w:rPr>
        <w:t>שיון נהיגה, ר</w:t>
      </w:r>
      <w:r>
        <w:rPr>
          <w:rFonts w:cs="FrankRuehl" w:hint="cs"/>
          <w:color w:val="000000"/>
          <w:sz w:val="28"/>
          <w:szCs w:val="28"/>
          <w:rtl/>
        </w:rPr>
        <w:t>י</w:t>
      </w:r>
      <w:r>
        <w:rPr>
          <w:rFonts w:cs="FrankRuehl"/>
          <w:color w:val="000000"/>
          <w:sz w:val="28"/>
          <w:szCs w:val="28"/>
          <w:rtl/>
        </w:rPr>
        <w:t>שיון רכב וביטוח תקף, שנחסם רכבו על ידי אנשי משטרה, נמלט מהרכב עם הנשק עד שנתפס, אמנם מדובר בביצוע 5 עבירות שונות בו זמנית, אך מדובר באירוע אחד ולכן ייקבע מתחם עונש הולם לכל העבירות במאוחד.</w:t>
      </w:r>
    </w:p>
    <w:p w14:paraId="20BA01EA" w14:textId="77777777" w:rsidR="00703FB3" w:rsidRDefault="00703FB3">
      <w:pPr>
        <w:spacing w:line="360" w:lineRule="auto"/>
        <w:ind w:left="720"/>
        <w:jc w:val="both"/>
        <w:rPr>
          <w:rFonts w:cs="FrankRuehl"/>
          <w:color w:val="000000"/>
          <w:sz w:val="28"/>
          <w:szCs w:val="28"/>
          <w:rtl/>
        </w:rPr>
      </w:pPr>
    </w:p>
    <w:p w14:paraId="1AE82D66" w14:textId="77777777" w:rsidR="00703FB3" w:rsidRDefault="008719A6">
      <w:pPr>
        <w:spacing w:line="360" w:lineRule="auto"/>
        <w:ind w:left="720"/>
        <w:jc w:val="both"/>
        <w:rPr>
          <w:rFonts w:cs="FrankRuehl"/>
          <w:sz w:val="28"/>
          <w:szCs w:val="28"/>
          <w:rtl/>
        </w:rPr>
      </w:pPr>
      <w:r>
        <w:rPr>
          <w:rFonts w:cs="FrankRuehl"/>
          <w:sz w:val="28"/>
          <w:szCs w:val="28"/>
          <w:rtl/>
        </w:rPr>
        <w:t>במעשיו פגע בשלום הציבור ובטחונו במקרה זה הפגיעה אינה חמורה, למרות הפוטנציאל החמור הטמון במעשים כגון נשיאת נשק ותחמושת או נהיגה בלי ר</w:t>
      </w:r>
      <w:r>
        <w:rPr>
          <w:rFonts w:cs="FrankRuehl" w:hint="cs"/>
          <w:sz w:val="28"/>
          <w:szCs w:val="28"/>
          <w:rtl/>
        </w:rPr>
        <w:t>י</w:t>
      </w:r>
      <w:r>
        <w:rPr>
          <w:rFonts w:cs="FrankRuehl"/>
          <w:sz w:val="28"/>
          <w:szCs w:val="28"/>
          <w:rtl/>
        </w:rPr>
        <w:t>שיון נהיגה וביטוח תקף.</w:t>
      </w:r>
    </w:p>
    <w:p w14:paraId="58226F28" w14:textId="77777777" w:rsidR="00703FB3" w:rsidRDefault="00703FB3">
      <w:pPr>
        <w:spacing w:line="360" w:lineRule="auto"/>
        <w:ind w:left="720"/>
        <w:jc w:val="both"/>
        <w:rPr>
          <w:rFonts w:cs="FrankRuehl"/>
          <w:sz w:val="28"/>
          <w:szCs w:val="28"/>
          <w:rtl/>
        </w:rPr>
      </w:pPr>
    </w:p>
    <w:p w14:paraId="3C0F27D9" w14:textId="77777777" w:rsidR="00703FB3" w:rsidRDefault="008719A6">
      <w:pPr>
        <w:spacing w:line="360" w:lineRule="auto"/>
        <w:ind w:left="720"/>
        <w:jc w:val="both"/>
        <w:rPr>
          <w:rFonts w:cs="FrankRuehl"/>
          <w:sz w:val="28"/>
          <w:szCs w:val="28"/>
          <w:rtl/>
        </w:rPr>
      </w:pPr>
      <w:r>
        <w:rPr>
          <w:rFonts w:cs="FrankRuehl" w:hint="cs"/>
          <w:sz w:val="28"/>
          <w:szCs w:val="28"/>
          <w:rtl/>
        </w:rPr>
        <w:t>ב</w:t>
      </w:r>
      <w:r>
        <w:rPr>
          <w:rFonts w:cs="FrankRuehl"/>
          <w:sz w:val="28"/>
          <w:szCs w:val="28"/>
          <w:rtl/>
        </w:rPr>
        <w:t xml:space="preserve">אשר למדיניות הענישה, בשנים האחרונות ניכרת מגמת החמרה בעונשי המאסר ככל שמדובר בעבירות נשק: </w:t>
      </w:r>
    </w:p>
    <w:p w14:paraId="2C789343" w14:textId="77777777" w:rsidR="00703FB3" w:rsidRDefault="008719A6">
      <w:pPr>
        <w:spacing w:line="360" w:lineRule="auto"/>
        <w:ind w:left="720"/>
        <w:jc w:val="both"/>
        <w:rPr>
          <w:rFonts w:ascii="Arial TUR" w:hAnsi="Arial TUR" w:cs="FrankRuehl"/>
          <w:spacing w:val="10"/>
          <w:sz w:val="28"/>
          <w:szCs w:val="28"/>
          <w:rtl/>
        </w:rPr>
      </w:pPr>
      <w:r>
        <w:rPr>
          <w:rFonts w:cs="FrankRuehl"/>
          <w:sz w:val="28"/>
          <w:szCs w:val="28"/>
          <w:rtl/>
        </w:rPr>
        <w:t>ב</w:t>
      </w:r>
      <w:hyperlink r:id="rId30" w:history="1">
        <w:r w:rsidRPr="008719A6">
          <w:rPr>
            <w:rFonts w:cs="FrankRuehl"/>
            <w:color w:val="0000FF"/>
            <w:sz w:val="28"/>
            <w:szCs w:val="28"/>
            <w:u w:val="single"/>
            <w:rtl/>
          </w:rPr>
          <w:t>ע"פ  3288/14</w:t>
        </w:r>
      </w:hyperlink>
      <w:r>
        <w:rPr>
          <w:rFonts w:cs="FrankRuehl"/>
          <w:sz w:val="28"/>
          <w:szCs w:val="28"/>
          <w:rtl/>
        </w:rPr>
        <w:t xml:space="preserve"> </w:t>
      </w:r>
      <w:r>
        <w:rPr>
          <w:rFonts w:cs="Miriam"/>
          <w:rtl/>
        </w:rPr>
        <w:t>מדינת ישראל נ' קריספיל</w:t>
      </w:r>
      <w:r>
        <w:rPr>
          <w:rFonts w:cs="FrankRuehl"/>
          <w:sz w:val="28"/>
          <w:szCs w:val="28"/>
          <w:rtl/>
        </w:rPr>
        <w:t xml:space="preserve"> (</w:t>
      </w:r>
      <w:r>
        <w:rPr>
          <w:rFonts w:ascii="Arial TUR" w:hAnsi="Arial TUR" w:cs="FrankRuehl"/>
          <w:spacing w:val="10"/>
          <w:sz w:val="28"/>
          <w:szCs w:val="28"/>
          <w:rtl/>
        </w:rPr>
        <w:t>24.8.2014</w:t>
      </w:r>
      <w:r>
        <w:rPr>
          <w:rFonts w:cs="FrankRuehl"/>
          <w:sz w:val="28"/>
          <w:szCs w:val="28"/>
          <w:rtl/>
        </w:rPr>
        <w:t xml:space="preserve">), הנאשם הורשע על פי הודאתו בעבירות של החזקת נשק בלא רשות והחזקת נכס החשוד כגנוב, ערעור שהגישה המדינה לבית המשפט העליון התקבל והעונש הוחמר מ-9 חודשי מאסר ל-18 חודשי מאסר בפועל. (באותו מקרה הנאשם היה משוחרר והמשמעות הייתה החזרתו אל מאחורי הסורגים). </w:t>
      </w:r>
    </w:p>
    <w:p w14:paraId="28B64C9B" w14:textId="77777777" w:rsidR="00703FB3" w:rsidRDefault="00703FB3">
      <w:pPr>
        <w:spacing w:line="360" w:lineRule="auto"/>
        <w:ind w:left="720"/>
        <w:jc w:val="both"/>
        <w:rPr>
          <w:rFonts w:ascii="Arial TUR" w:hAnsi="Arial TUR" w:cs="FrankRuehl"/>
          <w:spacing w:val="10"/>
          <w:sz w:val="28"/>
          <w:szCs w:val="28"/>
          <w:rtl/>
        </w:rPr>
      </w:pPr>
    </w:p>
    <w:p w14:paraId="74A592EC" w14:textId="77777777" w:rsidR="00703FB3" w:rsidRDefault="008719A6">
      <w:pPr>
        <w:spacing w:line="360" w:lineRule="auto"/>
        <w:ind w:left="720"/>
        <w:jc w:val="both"/>
        <w:rPr>
          <w:rFonts w:cs="FrankRuehl"/>
          <w:sz w:val="28"/>
          <w:szCs w:val="28"/>
          <w:rtl/>
        </w:rPr>
      </w:pPr>
      <w:r>
        <w:rPr>
          <w:rFonts w:cs="FrankRuehl"/>
          <w:sz w:val="28"/>
          <w:szCs w:val="28"/>
          <w:rtl/>
        </w:rPr>
        <w:t>ב</w:t>
      </w:r>
      <w:hyperlink r:id="rId31" w:history="1">
        <w:r w:rsidRPr="008719A6">
          <w:rPr>
            <w:rFonts w:cs="FrankRuehl"/>
            <w:color w:val="0000FF"/>
            <w:sz w:val="28"/>
            <w:szCs w:val="28"/>
            <w:u w:val="single"/>
            <w:rtl/>
          </w:rPr>
          <w:t>ע"פ 2398/14</w:t>
        </w:r>
      </w:hyperlink>
      <w:r>
        <w:rPr>
          <w:rFonts w:cs="FrankRuehl"/>
          <w:sz w:val="28"/>
          <w:szCs w:val="28"/>
          <w:rtl/>
        </w:rPr>
        <w:t xml:space="preserve"> </w:t>
      </w:r>
      <w:r>
        <w:rPr>
          <w:rFonts w:cs="Miriam"/>
          <w:rtl/>
        </w:rPr>
        <w:t>אלהזייל נ' מדינת ישראל</w:t>
      </w:r>
      <w:r>
        <w:rPr>
          <w:rFonts w:cs="FrankRuehl"/>
          <w:sz w:val="28"/>
          <w:szCs w:val="28"/>
          <w:rtl/>
        </w:rPr>
        <w:t xml:space="preserve"> (8.7.2014) (להלן-</w:t>
      </w:r>
      <w:r>
        <w:rPr>
          <w:rFonts w:cs="Miriam"/>
          <w:rtl/>
        </w:rPr>
        <w:t>ענין אלהזייל</w:t>
      </w:r>
      <w:r>
        <w:rPr>
          <w:rFonts w:cs="FrankRuehl"/>
          <w:sz w:val="28"/>
          <w:szCs w:val="28"/>
          <w:rtl/>
        </w:rPr>
        <w:t xml:space="preserve">), הנאשם הורשע בעבירה של אחזקת נשק ותחמושת, הנאשם נדון ל- 13 חודשי מאסר בפועל. ערעור שהוגש לבית המשפט העליון נדחה. </w:t>
      </w:r>
    </w:p>
    <w:p w14:paraId="0F0265EB" w14:textId="77777777" w:rsidR="00703FB3" w:rsidRDefault="00703FB3">
      <w:pPr>
        <w:spacing w:line="360" w:lineRule="auto"/>
        <w:ind w:left="720"/>
        <w:jc w:val="both"/>
        <w:rPr>
          <w:rFonts w:cs="FrankRuehl"/>
          <w:sz w:val="28"/>
          <w:szCs w:val="28"/>
          <w:rtl/>
        </w:rPr>
      </w:pPr>
    </w:p>
    <w:p w14:paraId="6A0C9759" w14:textId="77777777" w:rsidR="00703FB3" w:rsidRDefault="008719A6">
      <w:pPr>
        <w:pStyle w:val="Ruller4"/>
        <w:numPr>
          <w:ilvl w:val="0"/>
          <w:numId w:val="0"/>
        </w:numPr>
        <w:tabs>
          <w:tab w:val="left" w:pos="8126"/>
        </w:tabs>
        <w:ind w:left="720" w:right="0"/>
        <w:rPr>
          <w:rFonts w:ascii="Arial" w:hAnsi="Arial"/>
          <w:spacing w:val="0"/>
          <w:sz w:val="28"/>
          <w:rtl/>
        </w:rPr>
      </w:pPr>
      <w:r>
        <w:rPr>
          <w:rFonts w:ascii="Arial" w:hAnsi="Arial"/>
          <w:spacing w:val="0"/>
          <w:sz w:val="28"/>
          <w:rtl/>
        </w:rPr>
        <w:t>ב</w:t>
      </w:r>
      <w:hyperlink r:id="rId32" w:history="1">
        <w:r w:rsidRPr="008719A6">
          <w:rPr>
            <w:rFonts w:ascii="Arial" w:hAnsi="Arial"/>
            <w:color w:val="0000FF"/>
            <w:spacing w:val="0"/>
            <w:sz w:val="28"/>
            <w:u w:val="single"/>
            <w:rtl/>
          </w:rPr>
          <w:t>ע"פ 5323/12</w:t>
        </w:r>
      </w:hyperlink>
      <w:r>
        <w:rPr>
          <w:rFonts w:ascii="Arial" w:hAnsi="Arial"/>
          <w:spacing w:val="0"/>
          <w:sz w:val="28"/>
          <w:rtl/>
        </w:rPr>
        <w:t xml:space="preserve"> </w:t>
      </w:r>
      <w:r>
        <w:rPr>
          <w:rFonts w:ascii="Arial" w:hAnsi="Arial" w:cs="Miriam"/>
          <w:spacing w:val="0"/>
          <w:szCs w:val="24"/>
          <w:rtl/>
        </w:rPr>
        <w:t>אבו ליל נ' מדינת ישראל</w:t>
      </w:r>
      <w:r>
        <w:rPr>
          <w:rFonts w:ascii="Arial" w:hAnsi="Arial"/>
          <w:spacing w:val="0"/>
          <w:sz w:val="28"/>
          <w:rtl/>
        </w:rPr>
        <w:t xml:space="preserve"> (17.6.2014) הנאשם הצטייד ברובה אוטומטי, מחסנית וכדורים, והטמינם בתוך מזוודה בחורשה, ערעור הנאשם בגין עונש של 28 חודשי מאסר (בנוסף להפעלת 8 חודשי מאסר על תנאי נוספים),  נדחה. </w:t>
      </w:r>
    </w:p>
    <w:p w14:paraId="00172D45" w14:textId="77777777" w:rsidR="00703FB3" w:rsidRDefault="00703FB3">
      <w:pPr>
        <w:pStyle w:val="Ruller40"/>
        <w:rPr>
          <w:rtl/>
        </w:rPr>
      </w:pPr>
    </w:p>
    <w:p w14:paraId="14304DD1" w14:textId="77777777" w:rsidR="00703FB3" w:rsidRDefault="008719A6">
      <w:pPr>
        <w:spacing w:line="360" w:lineRule="auto"/>
        <w:ind w:left="720"/>
        <w:jc w:val="both"/>
        <w:rPr>
          <w:rFonts w:cs="FrankRuehl"/>
          <w:sz w:val="28"/>
          <w:szCs w:val="28"/>
          <w:rtl/>
        </w:rPr>
      </w:pPr>
      <w:r>
        <w:rPr>
          <w:rFonts w:cs="FrankRuehl"/>
          <w:sz w:val="28"/>
          <w:szCs w:val="28"/>
          <w:rtl/>
        </w:rPr>
        <w:t>ב</w:t>
      </w:r>
      <w:hyperlink r:id="rId33" w:history="1">
        <w:r w:rsidRPr="008719A6">
          <w:rPr>
            <w:rFonts w:cs="FrankRuehl"/>
            <w:color w:val="0000FF"/>
            <w:sz w:val="28"/>
            <w:szCs w:val="28"/>
            <w:u w:val="single"/>
            <w:rtl/>
          </w:rPr>
          <w:t>ע"פ 4945/13</w:t>
        </w:r>
      </w:hyperlink>
      <w:r>
        <w:rPr>
          <w:rFonts w:cs="FrankRuehl"/>
          <w:sz w:val="28"/>
          <w:szCs w:val="28"/>
          <w:rtl/>
        </w:rPr>
        <w:t xml:space="preserve"> </w:t>
      </w:r>
      <w:r>
        <w:rPr>
          <w:rFonts w:cs="Miriam"/>
          <w:rtl/>
        </w:rPr>
        <w:t>מדינת ישראל נ' סלימאן</w:t>
      </w:r>
      <w:r>
        <w:rPr>
          <w:rFonts w:cs="FrankRuehl"/>
          <w:sz w:val="28"/>
          <w:szCs w:val="28"/>
          <w:rtl/>
        </w:rPr>
        <w:t xml:space="preserve"> (19.1.2014) (להלן-</w:t>
      </w:r>
      <w:r>
        <w:rPr>
          <w:rFonts w:cs="Miriam"/>
          <w:rtl/>
        </w:rPr>
        <w:t>ענין סלימאן</w:t>
      </w:r>
      <w:r>
        <w:rPr>
          <w:rFonts w:cs="FrankRuehl"/>
          <w:sz w:val="28"/>
          <w:szCs w:val="28"/>
          <w:rtl/>
        </w:rPr>
        <w:t xml:space="preserve">), הנאשם הורשע בעבירות של רכישה והחזקת נשק, רכישה והחזקת תחמושת, נשיאה והובלת נשק ונשיאה והובלת תחמושת, הפרעה לשוטר במילוי תפקידו, מעשה פזיזות ורשלנות והסתייעות ברכב לביצוע פשע, הנאשם בן 20, נורמטיבי, בית המשפט גזר על הנאשם עונש של 6 חודשי מאסר לריצוי בעבודות שירות לאור סיכויי השיקום והמלצת שירות המבחן, בית המשפט העליון קבע כי מתחם העונש ההולם במקרה כזה אמור לנוע בין 12 ל- 36 חודשי מאסר בפועל, הערעור לעניין העונש נדחה לאור הסיכוי לשיקום. </w:t>
      </w:r>
    </w:p>
    <w:p w14:paraId="1C2602AD" w14:textId="77777777" w:rsidR="00703FB3" w:rsidRDefault="00703FB3">
      <w:pPr>
        <w:spacing w:line="360" w:lineRule="auto"/>
        <w:ind w:left="720"/>
        <w:jc w:val="both"/>
        <w:rPr>
          <w:rFonts w:cs="FrankRuehl"/>
          <w:sz w:val="28"/>
          <w:szCs w:val="28"/>
          <w:rtl/>
        </w:rPr>
      </w:pPr>
    </w:p>
    <w:p w14:paraId="79416D5F" w14:textId="77777777" w:rsidR="00703FB3" w:rsidRDefault="008719A6">
      <w:pPr>
        <w:spacing w:line="360" w:lineRule="auto"/>
        <w:ind w:left="720"/>
        <w:jc w:val="both"/>
        <w:rPr>
          <w:rFonts w:cs="FrankRuehl"/>
          <w:sz w:val="28"/>
          <w:szCs w:val="28"/>
          <w:rtl/>
        </w:rPr>
      </w:pPr>
      <w:r>
        <w:rPr>
          <w:rFonts w:cs="FrankRuehl"/>
          <w:sz w:val="28"/>
          <w:szCs w:val="28"/>
          <w:rtl/>
        </w:rPr>
        <w:t>ב</w:t>
      </w:r>
      <w:hyperlink r:id="rId34" w:history="1">
        <w:r w:rsidRPr="008719A6">
          <w:rPr>
            <w:rFonts w:cs="FrankRuehl"/>
            <w:color w:val="0000FF"/>
            <w:sz w:val="28"/>
            <w:szCs w:val="28"/>
            <w:u w:val="single"/>
            <w:rtl/>
          </w:rPr>
          <w:t>ע"פ 2892/13</w:t>
        </w:r>
      </w:hyperlink>
      <w:r>
        <w:rPr>
          <w:rFonts w:cs="FrankRuehl"/>
          <w:sz w:val="28"/>
          <w:szCs w:val="28"/>
          <w:rtl/>
        </w:rPr>
        <w:t xml:space="preserve"> </w:t>
      </w:r>
      <w:r>
        <w:rPr>
          <w:rFonts w:cs="Miriam"/>
          <w:rtl/>
        </w:rPr>
        <w:t xml:space="preserve">עודתאללה נ' מדינת ישראל </w:t>
      </w:r>
      <w:r>
        <w:rPr>
          <w:rFonts w:cs="FrankRuehl"/>
          <w:sz w:val="28"/>
          <w:szCs w:val="28"/>
          <w:rtl/>
        </w:rPr>
        <w:t xml:space="preserve">(29.9.2013), נאשם הוביל ונשא אקדח עם מחסנית ריקה תחת כיסא הנהג ברכב, כשהבחין בחסימה משטרתית, סטה מהנתיב ועצר את הרכב, העונש שהוטל על הנאשם הצעיר עמד על 21 חודשי מאסר בפועל. ערעור שהוגש לבית המשפט העליון נדחה. </w:t>
      </w:r>
    </w:p>
    <w:p w14:paraId="5E0DCAEC" w14:textId="77777777" w:rsidR="00703FB3" w:rsidRDefault="00703FB3">
      <w:pPr>
        <w:spacing w:line="360" w:lineRule="auto"/>
        <w:jc w:val="both"/>
        <w:rPr>
          <w:rFonts w:cs="FrankRuehl"/>
          <w:sz w:val="28"/>
          <w:szCs w:val="28"/>
          <w:rtl/>
        </w:rPr>
      </w:pPr>
    </w:p>
    <w:p w14:paraId="522EB1D9" w14:textId="77777777" w:rsidR="00703FB3" w:rsidRDefault="008719A6">
      <w:pPr>
        <w:spacing w:line="360" w:lineRule="auto"/>
        <w:ind w:left="360" w:firstLine="360"/>
        <w:jc w:val="both"/>
        <w:rPr>
          <w:rFonts w:cs="FrankRuehl"/>
          <w:sz w:val="28"/>
          <w:szCs w:val="28"/>
          <w:rtl/>
        </w:rPr>
      </w:pPr>
      <w:r>
        <w:rPr>
          <w:rFonts w:cs="FrankRuehl"/>
          <w:sz w:val="28"/>
          <w:szCs w:val="28"/>
          <w:rtl/>
        </w:rPr>
        <w:t xml:space="preserve">בענין </w:t>
      </w:r>
      <w:r>
        <w:rPr>
          <w:rFonts w:cs="Miriam"/>
          <w:rtl/>
        </w:rPr>
        <w:t xml:space="preserve">סלימאן </w:t>
      </w:r>
      <w:r>
        <w:rPr>
          <w:rFonts w:cs="FrankRuehl"/>
          <w:sz w:val="28"/>
          <w:szCs w:val="28"/>
          <w:rtl/>
        </w:rPr>
        <w:t>קבע בית המשפט העליון את מדיניות הענישה הראויה בעבירות אלו:</w:t>
      </w:r>
    </w:p>
    <w:p w14:paraId="6469C42C" w14:textId="77777777" w:rsidR="00703FB3" w:rsidRDefault="008719A6">
      <w:pPr>
        <w:ind w:left="1440" w:right="720"/>
        <w:jc w:val="both"/>
        <w:rPr>
          <w:rFonts w:cs="FrankRuehl"/>
          <w:sz w:val="28"/>
          <w:szCs w:val="28"/>
          <w:rtl/>
        </w:rPr>
      </w:pPr>
      <w:r>
        <w:rPr>
          <w:rFonts w:cs="FrankRuehl"/>
          <w:sz w:val="28"/>
          <w:szCs w:val="28"/>
          <w:rtl/>
        </w:rPr>
        <w:t xml:space="preserve">"עבירות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ודוק: הסיכון שנשקף לשלום הציבור צריך להילקח בחשבון על-ידי כל מי שמחזיק בידו נשק שלא כדין – גם אם אינו מחזיק בו למטרת ביצוען של עבירות אחרות.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 </w:t>
      </w:r>
    </w:p>
    <w:p w14:paraId="4897ACDE" w14:textId="77777777" w:rsidR="00703FB3" w:rsidRDefault="00703FB3">
      <w:pPr>
        <w:spacing w:line="360" w:lineRule="auto"/>
        <w:ind w:left="1440" w:right="720"/>
        <w:jc w:val="both"/>
        <w:rPr>
          <w:rFonts w:cs="FrankRuehl"/>
          <w:sz w:val="28"/>
          <w:szCs w:val="28"/>
          <w:rtl/>
        </w:rPr>
      </w:pPr>
    </w:p>
    <w:p w14:paraId="7DCF952A" w14:textId="77777777" w:rsidR="00703FB3" w:rsidRDefault="008719A6">
      <w:pPr>
        <w:spacing w:line="360" w:lineRule="auto"/>
        <w:jc w:val="both"/>
        <w:rPr>
          <w:rFonts w:cs="FrankRuehl"/>
          <w:sz w:val="28"/>
          <w:szCs w:val="28"/>
          <w:rtl/>
        </w:rPr>
      </w:pPr>
      <w:r>
        <w:rPr>
          <w:rFonts w:cs="FrankRuehl"/>
          <w:sz w:val="28"/>
          <w:szCs w:val="28"/>
          <w:rtl/>
        </w:rPr>
        <w:tab/>
        <w:t xml:space="preserve">ראו גם פסק דינו של כב' השופט י' עמית בענין </w:t>
      </w:r>
      <w:r>
        <w:rPr>
          <w:rFonts w:cs="Miriam"/>
          <w:rtl/>
        </w:rPr>
        <w:t>אלהזייל</w:t>
      </w:r>
      <w:r>
        <w:rPr>
          <w:rFonts w:cs="FrankRuehl"/>
          <w:sz w:val="28"/>
          <w:szCs w:val="28"/>
          <w:rtl/>
        </w:rPr>
        <w:t xml:space="preserve">: </w:t>
      </w:r>
    </w:p>
    <w:p w14:paraId="1F9A6844" w14:textId="77777777" w:rsidR="00703FB3" w:rsidRDefault="008719A6">
      <w:pPr>
        <w:tabs>
          <w:tab w:val="left" w:pos="7586"/>
        </w:tabs>
        <w:ind w:left="1440" w:right="720"/>
        <w:jc w:val="both"/>
        <w:rPr>
          <w:rFonts w:cs="FrankRuehl"/>
          <w:sz w:val="28"/>
          <w:szCs w:val="28"/>
          <w:rtl/>
        </w:rPr>
      </w:pPr>
      <w:r>
        <w:rPr>
          <w:rFonts w:cs="FrankRuehl"/>
          <w:sz w:val="28"/>
          <w:szCs w:val="28"/>
          <w:rtl/>
        </w:rPr>
        <w:t xml:space="preserve">"אחזור ואדגיש את מדיניות ההחמרה בעבירות נשק, שבאה לידי ביטוי בשורה ארוכה של פסקי דין של בית משפט זה בשנים האחרונות... לזמינות הבלתי נסבלת של נשק חם בידי מי שאינם מורשים לכך, יש פוטנציאל לשמש ל"חיסול חשבונות" ול"פתרון סכסוכים" כמו-גם לעבירות חמורות נוספות. המציאות בארצנו מוכיחה כי הקלישאה אודות האקדח במערכה הראשונה אינה מדוייקת, באשר לעיתים מזומנות האקדח אינו ממתין עד למערכה האחרונה ויורה עוד קודם לכן. מכאן, שבעבירות כגון דא, גם לשיקולי ההרתעה משקל של ממש". </w:t>
      </w:r>
    </w:p>
    <w:p w14:paraId="019EC3DC" w14:textId="77777777" w:rsidR="00703FB3" w:rsidRDefault="00703FB3">
      <w:pPr>
        <w:ind w:left="720"/>
        <w:jc w:val="both"/>
        <w:rPr>
          <w:rFonts w:cs="FrankRuehl"/>
          <w:color w:val="000000"/>
          <w:sz w:val="28"/>
          <w:szCs w:val="28"/>
          <w:rtl/>
        </w:rPr>
      </w:pPr>
    </w:p>
    <w:p w14:paraId="42CC8984" w14:textId="77777777" w:rsidR="00703FB3" w:rsidRDefault="00703FB3">
      <w:pPr>
        <w:ind w:left="720"/>
        <w:jc w:val="both"/>
        <w:rPr>
          <w:rFonts w:cs="FrankRuehl"/>
          <w:color w:val="000000"/>
          <w:sz w:val="28"/>
          <w:szCs w:val="28"/>
          <w:rtl/>
        </w:rPr>
      </w:pPr>
    </w:p>
    <w:p w14:paraId="3BC46871" w14:textId="77777777" w:rsidR="00703FB3" w:rsidRDefault="008719A6">
      <w:pPr>
        <w:pStyle w:val="Ruller40"/>
        <w:numPr>
          <w:ilvl w:val="0"/>
          <w:numId w:val="2"/>
        </w:numPr>
        <w:rPr>
          <w:sz w:val="28"/>
        </w:rPr>
      </w:pPr>
      <w:r>
        <w:rPr>
          <w:sz w:val="28"/>
          <w:rtl/>
        </w:rPr>
        <w:t>באשר לנסיבות הקשורות בביצוע העבירה (</w:t>
      </w:r>
      <w:hyperlink r:id="rId35" w:history="1">
        <w:r w:rsidR="005303BA" w:rsidRPr="005303BA">
          <w:rPr>
            <w:color w:val="0000FF"/>
            <w:sz w:val="28"/>
            <w:u w:val="single"/>
            <w:rtl/>
          </w:rPr>
          <w:t>סעיף 40ט'</w:t>
        </w:r>
      </w:hyperlink>
      <w:r>
        <w:rPr>
          <w:sz w:val="28"/>
          <w:rtl/>
        </w:rPr>
        <w:t xml:space="preserve"> לחוק) מקובל</w:t>
      </w:r>
      <w:r>
        <w:rPr>
          <w:rFonts w:hint="cs"/>
          <w:sz w:val="28"/>
          <w:rtl/>
        </w:rPr>
        <w:t>ת</w:t>
      </w:r>
      <w:r>
        <w:rPr>
          <w:sz w:val="28"/>
          <w:rtl/>
        </w:rPr>
        <w:t xml:space="preserve">  עליי עמדת  הסנגורית ולעבירות הספציפיות בהן הורשע הנאשם לא קדם תכנון, מדובר בעבירות בעלות היבט נקודתי מבחינת הזמן, ולכן גם אין משמעות במקרה זה לשאלת תכנון מוקדם, מובן מאליו כי הנאשם ידע היטב כי הוא נושא אקדח ותחמושת וכי הוא נוהג ברכב ללא ר</w:t>
      </w:r>
      <w:r>
        <w:rPr>
          <w:rFonts w:hint="cs"/>
          <w:sz w:val="28"/>
          <w:rtl/>
        </w:rPr>
        <w:t>י</w:t>
      </w:r>
      <w:r>
        <w:rPr>
          <w:sz w:val="28"/>
          <w:rtl/>
        </w:rPr>
        <w:t>שיון וביטוח.</w:t>
      </w:r>
    </w:p>
    <w:p w14:paraId="78E79409" w14:textId="77777777" w:rsidR="00703FB3" w:rsidRDefault="00703FB3">
      <w:pPr>
        <w:pStyle w:val="Ruller40"/>
        <w:ind w:left="720"/>
        <w:rPr>
          <w:sz w:val="28"/>
        </w:rPr>
      </w:pPr>
    </w:p>
    <w:p w14:paraId="67270711" w14:textId="77777777" w:rsidR="00703FB3" w:rsidRDefault="008719A6">
      <w:pPr>
        <w:spacing w:line="360" w:lineRule="auto"/>
        <w:ind w:left="720"/>
        <w:jc w:val="both"/>
        <w:rPr>
          <w:rFonts w:cs="FrankRuehl"/>
          <w:color w:val="000000"/>
          <w:sz w:val="28"/>
          <w:szCs w:val="28"/>
          <w:rtl/>
        </w:rPr>
      </w:pPr>
      <w:r>
        <w:rPr>
          <w:rFonts w:cs="FrankRuehl"/>
          <w:sz w:val="28"/>
          <w:szCs w:val="28"/>
          <w:rtl/>
        </w:rPr>
        <w:t>אין ספק כי עבירות בנשק הינן עבירות חמורות, ומיותר להכביר מילים באשר לנזק הצפוי לציבור ולאנשים תמימים, כתוצאה משימוש בנשק אותו נשא הנאשם ובאשר לנזק הצפוי מ</w:t>
      </w:r>
      <w:r>
        <w:rPr>
          <w:rFonts w:cs="FrankRuehl"/>
          <w:color w:val="000000"/>
          <w:sz w:val="28"/>
          <w:szCs w:val="28"/>
          <w:rtl/>
        </w:rPr>
        <w:t>נהיגה ללא ר</w:t>
      </w:r>
      <w:r>
        <w:rPr>
          <w:rFonts w:cs="FrankRuehl" w:hint="cs"/>
          <w:color w:val="000000"/>
          <w:sz w:val="28"/>
          <w:szCs w:val="28"/>
          <w:rtl/>
        </w:rPr>
        <w:t>י</w:t>
      </w:r>
      <w:r>
        <w:rPr>
          <w:rFonts w:cs="FrankRuehl"/>
          <w:color w:val="000000"/>
          <w:sz w:val="28"/>
          <w:szCs w:val="28"/>
          <w:rtl/>
        </w:rPr>
        <w:t>שיון</w:t>
      </w:r>
      <w:r>
        <w:rPr>
          <w:rFonts w:cs="FrankRuehl" w:hint="cs"/>
          <w:color w:val="000000"/>
          <w:sz w:val="28"/>
          <w:szCs w:val="28"/>
          <w:rtl/>
        </w:rPr>
        <w:t xml:space="preserve">. ראו לעניין זה </w:t>
      </w:r>
      <w:r>
        <w:rPr>
          <w:rFonts w:cs="FrankRuehl"/>
          <w:color w:val="000000"/>
          <w:sz w:val="28"/>
          <w:szCs w:val="28"/>
          <w:rtl/>
        </w:rPr>
        <w:t>פסק דינו של כב' השופט א' רובינשטיין:</w:t>
      </w:r>
    </w:p>
    <w:p w14:paraId="5F47034C" w14:textId="77777777" w:rsidR="00703FB3" w:rsidRDefault="008719A6">
      <w:pPr>
        <w:pStyle w:val="Ruller40"/>
        <w:spacing w:line="240" w:lineRule="auto"/>
        <w:ind w:left="1440" w:right="540"/>
        <w:rPr>
          <w:sz w:val="28"/>
          <w:rtl/>
        </w:rPr>
      </w:pPr>
      <w:r>
        <w:rPr>
          <w:sz w:val="28"/>
          <w:rtl/>
        </w:rPr>
        <w:t xml:space="preserve">"המבקש נהג ברכב ללא רישיון וללא ביטוח, תוך שהוא מסכן עוברי אורח. ברי, כי נהיגה בלי רישיון משמעה הסטטוטורי נהיגה ללא כישורי נהיגה, וממילא סיכון הזולת. ומעבר לכך נאמר לא אחת, כי משמעות נהיגה כזאת, בהיעדר ביטוח, היא גם הטלת פיצוי הנפגעים על הציבור (ראו למשל </w:t>
      </w:r>
      <w:hyperlink r:id="rId36" w:history="1">
        <w:r w:rsidRPr="008719A6">
          <w:rPr>
            <w:color w:val="0000FF"/>
            <w:sz w:val="28"/>
            <w:u w:val="single"/>
            <w:rtl/>
          </w:rPr>
          <w:t>רע"פ 3104/11</w:t>
        </w:r>
      </w:hyperlink>
      <w:r>
        <w:rPr>
          <w:sz w:val="28"/>
          <w:rtl/>
        </w:rPr>
        <w:t xml:space="preserve"> </w:t>
      </w:r>
      <w:r>
        <w:rPr>
          <w:rFonts w:ascii="Times New Roman" w:hAnsi="Times New Roman" w:cs="Miriam"/>
          <w:spacing w:val="0"/>
          <w:sz w:val="24"/>
          <w:szCs w:val="24"/>
          <w:rtl/>
        </w:rPr>
        <w:t>פדילה נ' מדינת ישראל</w:t>
      </w:r>
      <w:r>
        <w:rPr>
          <w:rFonts w:ascii="Times New Roman" w:hAnsi="Times New Roman"/>
          <w:spacing w:val="0"/>
          <w:sz w:val="28"/>
          <w:rtl/>
        </w:rPr>
        <w:t xml:space="preserve"> </w:t>
      </w:r>
      <w:r>
        <w:rPr>
          <w:sz w:val="28"/>
          <w:rtl/>
        </w:rPr>
        <w:t>(לא פורסם))...נאמר לא אחת, כי "בתי המשפט מצווים להרים תרומתם למלחמה בקטל בדרכים... ולעשות כל שניתן כדי להרתיע בעונשים חמורים, נהגים המסכנים חיי אדם בכבישי הארץ" (</w:t>
      </w:r>
      <w:hyperlink r:id="rId37" w:history="1">
        <w:r w:rsidRPr="008719A6">
          <w:rPr>
            <w:color w:val="0000FF"/>
            <w:sz w:val="28"/>
            <w:u w:val="single"/>
            <w:rtl/>
          </w:rPr>
          <w:t>ע"פ 6380/98</w:t>
        </w:r>
      </w:hyperlink>
      <w:r>
        <w:rPr>
          <w:sz w:val="28"/>
          <w:rtl/>
        </w:rPr>
        <w:t xml:space="preserve"> </w:t>
      </w:r>
      <w:r>
        <w:rPr>
          <w:rFonts w:ascii="Times New Roman" w:hAnsi="Times New Roman" w:cs="Miriam"/>
          <w:spacing w:val="0"/>
          <w:sz w:val="24"/>
          <w:szCs w:val="24"/>
          <w:rtl/>
        </w:rPr>
        <w:t>פטושקין נ' מדינת ישראל</w:t>
      </w:r>
      <w:r>
        <w:rPr>
          <w:sz w:val="28"/>
          <w:rtl/>
        </w:rPr>
        <w:t xml:space="preserve"> (לא פורסם) (השופטת - כתארה אז - ביניש)). הצורך לא פחת, למרבה הצער, ודברים אלה יפה כוחם גם כיום" </w:t>
      </w:r>
      <w:hyperlink r:id="rId38" w:history="1">
        <w:r w:rsidRPr="008719A6">
          <w:rPr>
            <w:color w:val="0000FF"/>
            <w:sz w:val="28"/>
            <w:u w:val="single"/>
            <w:rtl/>
          </w:rPr>
          <w:t>רע"פ 2666/12</w:t>
        </w:r>
      </w:hyperlink>
      <w:r>
        <w:rPr>
          <w:sz w:val="28"/>
          <w:rtl/>
        </w:rPr>
        <w:t xml:space="preserve"> </w:t>
      </w:r>
      <w:r>
        <w:rPr>
          <w:rFonts w:cs="Miriam"/>
          <w:sz w:val="24"/>
          <w:szCs w:val="24"/>
          <w:rtl/>
        </w:rPr>
        <w:t>עטאללה נגד מדינת ישראל</w:t>
      </w:r>
      <w:r>
        <w:rPr>
          <w:sz w:val="28"/>
          <w:rtl/>
        </w:rPr>
        <w:t>, (23.4.2012).</w:t>
      </w:r>
    </w:p>
    <w:p w14:paraId="42565892" w14:textId="77777777" w:rsidR="00703FB3" w:rsidRDefault="00703FB3">
      <w:pPr>
        <w:pStyle w:val="Ruller40"/>
        <w:spacing w:line="240" w:lineRule="auto"/>
        <w:ind w:left="1440" w:right="540"/>
        <w:rPr>
          <w:sz w:val="28"/>
          <w:rtl/>
        </w:rPr>
      </w:pPr>
    </w:p>
    <w:p w14:paraId="0590AA57" w14:textId="77777777" w:rsidR="00703FB3" w:rsidRDefault="008719A6">
      <w:pPr>
        <w:pStyle w:val="Ruller40"/>
        <w:ind w:left="720"/>
        <w:rPr>
          <w:color w:val="000000"/>
          <w:sz w:val="28"/>
          <w:rtl/>
        </w:rPr>
      </w:pPr>
      <w:r>
        <w:rPr>
          <w:sz w:val="28"/>
          <w:rtl/>
        </w:rPr>
        <w:t>אזכיר כי במקרה זה קיימת חובת פסילה מלנהוג למשך 3 חודשים, למעט מקרים בהן מתק</w:t>
      </w:r>
      <w:r>
        <w:rPr>
          <w:rFonts w:hint="cs"/>
          <w:sz w:val="28"/>
          <w:rtl/>
        </w:rPr>
        <w:t>י</w:t>
      </w:r>
      <w:r>
        <w:rPr>
          <w:sz w:val="28"/>
          <w:rtl/>
        </w:rPr>
        <w:t>ימ</w:t>
      </w:r>
      <w:r>
        <w:rPr>
          <w:rFonts w:hint="cs"/>
          <w:sz w:val="28"/>
          <w:rtl/>
        </w:rPr>
        <w:t>ים</w:t>
      </w:r>
      <w:r>
        <w:rPr>
          <w:sz w:val="28"/>
          <w:rtl/>
        </w:rPr>
        <w:t xml:space="preserve"> נסיבות מיוחדות (ראו </w:t>
      </w:r>
      <w:hyperlink r:id="rId39" w:history="1">
        <w:r w:rsidR="005303BA" w:rsidRPr="005303BA">
          <w:rPr>
            <w:color w:val="0000FF"/>
            <w:sz w:val="28"/>
            <w:u w:val="single"/>
            <w:rtl/>
          </w:rPr>
          <w:t>סעיף 38(1)</w:t>
        </w:r>
      </w:hyperlink>
      <w:r>
        <w:rPr>
          <w:sz w:val="28"/>
          <w:rtl/>
        </w:rPr>
        <w:t xml:space="preserve"> </w:t>
      </w:r>
      <w:r>
        <w:rPr>
          <w:color w:val="000000"/>
          <w:sz w:val="28"/>
          <w:rtl/>
        </w:rPr>
        <w:t>ל</w:t>
      </w:r>
      <w:hyperlink r:id="rId40" w:history="1">
        <w:r w:rsidRPr="008719A6">
          <w:rPr>
            <w:color w:val="0000FF"/>
            <w:sz w:val="28"/>
            <w:u w:val="single"/>
            <w:rtl/>
          </w:rPr>
          <w:t>פקודת התעבורה</w:t>
        </w:r>
      </w:hyperlink>
      <w:r>
        <w:rPr>
          <w:color w:val="000000"/>
          <w:sz w:val="28"/>
          <w:rtl/>
        </w:rPr>
        <w:t xml:space="preserve"> [נוסח חדש]</w:t>
      </w:r>
      <w:r>
        <w:rPr>
          <w:rFonts w:hint="cs"/>
          <w:color w:val="000000"/>
          <w:sz w:val="28"/>
          <w:rtl/>
        </w:rPr>
        <w:t>)</w:t>
      </w:r>
      <w:r>
        <w:rPr>
          <w:color w:val="000000"/>
          <w:sz w:val="28"/>
          <w:rtl/>
        </w:rPr>
        <w:t>.</w:t>
      </w:r>
    </w:p>
    <w:p w14:paraId="19E38228" w14:textId="77777777" w:rsidR="00703FB3" w:rsidRDefault="00703FB3">
      <w:pPr>
        <w:spacing w:line="360" w:lineRule="auto"/>
        <w:ind w:left="720"/>
        <w:jc w:val="both"/>
        <w:rPr>
          <w:rFonts w:cs="FrankRuehl"/>
          <w:sz w:val="28"/>
          <w:szCs w:val="28"/>
        </w:rPr>
      </w:pPr>
    </w:p>
    <w:p w14:paraId="4804F500" w14:textId="77777777" w:rsidR="00703FB3" w:rsidRDefault="008719A6">
      <w:pPr>
        <w:numPr>
          <w:ilvl w:val="0"/>
          <w:numId w:val="2"/>
        </w:numPr>
        <w:spacing w:line="360" w:lineRule="auto"/>
        <w:jc w:val="both"/>
        <w:rPr>
          <w:rFonts w:cs="FrankRuehl"/>
          <w:sz w:val="28"/>
          <w:szCs w:val="28"/>
          <w:u w:val="single"/>
        </w:rPr>
      </w:pPr>
      <w:r>
        <w:rPr>
          <w:rFonts w:cs="FrankRuehl"/>
          <w:sz w:val="28"/>
          <w:szCs w:val="28"/>
          <w:rtl/>
        </w:rPr>
        <w:t xml:space="preserve">בהתחשב בערך החברתי שנפגע מביצוע העבירות, במידת הפגיעה בו, במדיניות הענישה הנהוגה ובנסיבות הקשורות בביצוע העבירות, אני קובע כי העונש ההולם במקרה זה הוא מאסר במתחם שבין </w:t>
      </w:r>
      <w:r>
        <w:rPr>
          <w:rFonts w:cs="FrankRuehl"/>
          <w:sz w:val="28"/>
          <w:szCs w:val="28"/>
          <w:u w:val="single"/>
          <w:rtl/>
        </w:rPr>
        <w:t>12</w:t>
      </w:r>
      <w:r>
        <w:rPr>
          <w:rFonts w:cs="FrankRuehl"/>
          <w:sz w:val="28"/>
          <w:szCs w:val="28"/>
          <w:rtl/>
        </w:rPr>
        <w:t xml:space="preserve"> חודשי מאסר בפועל ל- </w:t>
      </w:r>
      <w:r>
        <w:rPr>
          <w:rFonts w:cs="FrankRuehl"/>
          <w:sz w:val="28"/>
          <w:szCs w:val="28"/>
          <w:u w:val="single"/>
          <w:rtl/>
        </w:rPr>
        <w:t>36</w:t>
      </w:r>
      <w:r>
        <w:rPr>
          <w:rFonts w:cs="FrankRuehl"/>
          <w:sz w:val="28"/>
          <w:szCs w:val="28"/>
          <w:rtl/>
        </w:rPr>
        <w:t xml:space="preserve"> חודשי בפועל, מאסר מותנה, פסילה מלנהוג לתקופה שבין </w:t>
      </w:r>
      <w:r>
        <w:rPr>
          <w:rFonts w:cs="FrankRuehl"/>
          <w:sz w:val="28"/>
          <w:szCs w:val="28"/>
          <w:u w:val="single"/>
          <w:rtl/>
        </w:rPr>
        <w:t>3</w:t>
      </w:r>
      <w:r>
        <w:rPr>
          <w:rFonts w:cs="FrankRuehl"/>
          <w:sz w:val="28"/>
          <w:szCs w:val="28"/>
          <w:rtl/>
        </w:rPr>
        <w:t xml:space="preserve"> חודשים ל-</w:t>
      </w:r>
      <w:r>
        <w:rPr>
          <w:rFonts w:cs="FrankRuehl"/>
          <w:sz w:val="28"/>
          <w:szCs w:val="28"/>
          <w:u w:val="single"/>
          <w:rtl/>
        </w:rPr>
        <w:t>24</w:t>
      </w:r>
      <w:r>
        <w:rPr>
          <w:rFonts w:cs="FrankRuehl"/>
          <w:sz w:val="28"/>
          <w:szCs w:val="28"/>
          <w:rtl/>
        </w:rPr>
        <w:t xml:space="preserve"> חודש, פסילה על תנאי וקנס. </w:t>
      </w:r>
    </w:p>
    <w:p w14:paraId="0137CAE2" w14:textId="77777777" w:rsidR="00703FB3" w:rsidRDefault="00703FB3">
      <w:pPr>
        <w:spacing w:line="360" w:lineRule="auto"/>
        <w:ind w:left="720"/>
        <w:jc w:val="both"/>
        <w:rPr>
          <w:rFonts w:cs="FrankRuehl"/>
          <w:sz w:val="28"/>
          <w:szCs w:val="28"/>
          <w:u w:val="single"/>
          <w:rtl/>
        </w:rPr>
      </w:pPr>
    </w:p>
    <w:p w14:paraId="546EF753" w14:textId="77777777" w:rsidR="00703FB3" w:rsidRDefault="00703FB3">
      <w:pPr>
        <w:spacing w:line="360" w:lineRule="auto"/>
        <w:ind w:left="720"/>
        <w:jc w:val="both"/>
        <w:rPr>
          <w:rFonts w:cs="FrankRuehl"/>
          <w:sz w:val="28"/>
          <w:szCs w:val="28"/>
          <w:u w:val="single"/>
          <w:rtl/>
        </w:rPr>
      </w:pPr>
    </w:p>
    <w:p w14:paraId="4012FFF9" w14:textId="77777777" w:rsidR="00703FB3" w:rsidRDefault="00703FB3">
      <w:pPr>
        <w:spacing w:line="360" w:lineRule="auto"/>
        <w:ind w:left="720"/>
        <w:jc w:val="both"/>
        <w:rPr>
          <w:rFonts w:cs="FrankRuehl"/>
          <w:sz w:val="28"/>
          <w:szCs w:val="28"/>
          <w:u w:val="single"/>
        </w:rPr>
      </w:pPr>
    </w:p>
    <w:p w14:paraId="33F2CA13" w14:textId="77777777" w:rsidR="00703FB3" w:rsidRDefault="008719A6">
      <w:pPr>
        <w:spacing w:line="360" w:lineRule="auto"/>
        <w:ind w:left="360" w:firstLine="360"/>
        <w:rPr>
          <w:rFonts w:cs="Miriam"/>
          <w:rtl/>
        </w:rPr>
      </w:pPr>
      <w:r>
        <w:rPr>
          <w:rFonts w:cs="Miriam"/>
          <w:rtl/>
        </w:rPr>
        <w:t>העונש המתאים</w:t>
      </w:r>
    </w:p>
    <w:p w14:paraId="043F13D9" w14:textId="77777777" w:rsidR="00703FB3" w:rsidRDefault="008719A6">
      <w:pPr>
        <w:spacing w:line="360" w:lineRule="auto"/>
        <w:ind w:left="720"/>
        <w:jc w:val="both"/>
        <w:rPr>
          <w:rFonts w:cs="FrankRuehl"/>
          <w:sz w:val="28"/>
          <w:szCs w:val="28"/>
          <w:rtl/>
        </w:rPr>
      </w:pPr>
      <w:r>
        <w:rPr>
          <w:rFonts w:cs="FrankRuehl"/>
          <w:sz w:val="28"/>
          <w:szCs w:val="28"/>
          <w:rtl/>
        </w:rPr>
        <w:t>הנאשם  יליד 16.12.1987, (בעוד כחודש ימלאו לו 27 שנים), ללא עבר מכביד, על הפרק לא עומדת שאלת שיקום או סיכוי של ממש להשתקם ולכן העונש ייקבע בתוך המתחם.</w:t>
      </w:r>
    </w:p>
    <w:p w14:paraId="02E91040" w14:textId="77777777" w:rsidR="00703FB3" w:rsidRDefault="00703FB3">
      <w:pPr>
        <w:spacing w:line="360" w:lineRule="auto"/>
        <w:ind w:left="720"/>
        <w:jc w:val="both"/>
        <w:rPr>
          <w:rFonts w:cs="FrankRuehl"/>
          <w:sz w:val="28"/>
          <w:szCs w:val="28"/>
        </w:rPr>
      </w:pPr>
    </w:p>
    <w:p w14:paraId="4221255E" w14:textId="77777777" w:rsidR="00703FB3" w:rsidRDefault="008719A6">
      <w:pPr>
        <w:spacing w:line="360" w:lineRule="auto"/>
        <w:ind w:left="720"/>
        <w:jc w:val="both"/>
        <w:rPr>
          <w:rFonts w:cs="FrankRuehl"/>
          <w:sz w:val="28"/>
          <w:szCs w:val="28"/>
          <w:rtl/>
        </w:rPr>
      </w:pPr>
      <w:r>
        <w:rPr>
          <w:rFonts w:cs="FrankRuehl"/>
          <w:sz w:val="28"/>
          <w:szCs w:val="28"/>
          <w:rtl/>
        </w:rPr>
        <w:t>באשר לנסיבות שאינן קשורות בביצוע העבירה (40יא' לחוק),  הנאשם נטל אחריות, לאחר שמיעת פרשת התביעה, לנאשם הרשעה בעבירה של נהיגה ללא ר</w:t>
      </w:r>
      <w:r>
        <w:rPr>
          <w:rFonts w:cs="FrankRuehl" w:hint="cs"/>
          <w:sz w:val="28"/>
          <w:szCs w:val="28"/>
          <w:rtl/>
        </w:rPr>
        <w:t>י</w:t>
      </w:r>
      <w:r>
        <w:rPr>
          <w:rFonts w:cs="FrankRuehl"/>
          <w:sz w:val="28"/>
          <w:szCs w:val="28"/>
          <w:rtl/>
        </w:rPr>
        <w:t>שיון נהיגה והוא נדון בעבר לעונש של 3 חודשי מאסר בפועל, בגין עבירות של הפרת הוראה חוקית, תקיפה הגורמת חבלה של ממש ואיומים</w:t>
      </w:r>
      <w:r>
        <w:rPr>
          <w:rFonts w:cs="FrankRuehl" w:hint="cs"/>
          <w:sz w:val="28"/>
          <w:szCs w:val="28"/>
          <w:rtl/>
        </w:rPr>
        <w:t xml:space="preserve">. </w:t>
      </w:r>
    </w:p>
    <w:p w14:paraId="0CA350E2" w14:textId="77777777" w:rsidR="00703FB3" w:rsidRDefault="008719A6">
      <w:pPr>
        <w:spacing w:line="360" w:lineRule="auto"/>
        <w:ind w:left="720"/>
        <w:jc w:val="both"/>
        <w:rPr>
          <w:rFonts w:cs="FrankRuehl"/>
          <w:sz w:val="28"/>
          <w:szCs w:val="28"/>
        </w:rPr>
      </w:pPr>
      <w:r>
        <w:rPr>
          <w:rFonts w:cs="FrankRuehl"/>
          <w:sz w:val="28"/>
          <w:szCs w:val="28"/>
          <w:rtl/>
        </w:rPr>
        <w:t xml:space="preserve">אני סבור כי יש צורך במקרה זה בהרתעת הרבים מפני ביצוע עבירות מסוג העבירות  שביצע הנאשם וכי יש סיכוי של ממש שהחמרה בעונשו של הנאשם תביא להרתעת הרבים, (העונש יהיה בתוך מסגרת מתחם העונש ההולם). </w:t>
      </w:r>
    </w:p>
    <w:p w14:paraId="7062AE63" w14:textId="77777777" w:rsidR="00703FB3" w:rsidRDefault="00703FB3">
      <w:pPr>
        <w:spacing w:line="360" w:lineRule="auto"/>
        <w:ind w:left="360" w:firstLine="360"/>
        <w:rPr>
          <w:rFonts w:cs="FrankRuehl"/>
          <w:sz w:val="28"/>
          <w:szCs w:val="28"/>
          <w:rtl/>
        </w:rPr>
      </w:pPr>
    </w:p>
    <w:p w14:paraId="14C90653" w14:textId="77777777" w:rsidR="00703FB3" w:rsidRDefault="00703FB3">
      <w:pPr>
        <w:spacing w:line="360" w:lineRule="auto"/>
        <w:ind w:left="360" w:firstLine="360"/>
        <w:rPr>
          <w:rFonts w:cs="FrankRuehl"/>
          <w:sz w:val="28"/>
          <w:szCs w:val="28"/>
          <w:rtl/>
        </w:rPr>
      </w:pPr>
    </w:p>
    <w:p w14:paraId="7F046974" w14:textId="77777777" w:rsidR="00703FB3" w:rsidRDefault="008719A6">
      <w:pPr>
        <w:spacing w:line="360" w:lineRule="auto"/>
        <w:ind w:left="360" w:firstLine="360"/>
        <w:rPr>
          <w:rFonts w:cs="Miriam"/>
        </w:rPr>
      </w:pPr>
      <w:r>
        <w:rPr>
          <w:rFonts w:cs="Miriam"/>
          <w:rtl/>
        </w:rPr>
        <w:t>סיכום</w:t>
      </w:r>
    </w:p>
    <w:p w14:paraId="674E7608" w14:textId="77777777" w:rsidR="00703FB3" w:rsidRDefault="008719A6">
      <w:pPr>
        <w:spacing w:line="360" w:lineRule="auto"/>
        <w:ind w:left="720"/>
        <w:rPr>
          <w:rFonts w:cs="FrankRuehl"/>
          <w:sz w:val="28"/>
          <w:szCs w:val="28"/>
          <w:rtl/>
        </w:rPr>
      </w:pPr>
      <w:r>
        <w:rPr>
          <w:rFonts w:cs="FrankRuehl"/>
          <w:sz w:val="28"/>
          <w:szCs w:val="28"/>
          <w:rtl/>
        </w:rPr>
        <w:t>לאור האמור לעיל אני דן את הנאשם לעונש המתאים הבא:</w:t>
      </w:r>
    </w:p>
    <w:p w14:paraId="48130A84" w14:textId="77777777" w:rsidR="00703FB3" w:rsidRDefault="008719A6">
      <w:pPr>
        <w:spacing w:line="360" w:lineRule="auto"/>
        <w:ind w:left="360" w:firstLine="360"/>
        <w:jc w:val="both"/>
        <w:rPr>
          <w:rFonts w:cs="FrankRuehl"/>
          <w:sz w:val="28"/>
          <w:szCs w:val="28"/>
          <w:rtl/>
        </w:rPr>
      </w:pPr>
      <w:r>
        <w:rPr>
          <w:rFonts w:cs="FrankRuehl"/>
          <w:sz w:val="28"/>
          <w:szCs w:val="28"/>
          <w:rtl/>
        </w:rPr>
        <w:t xml:space="preserve">-עונש של </w:t>
      </w:r>
      <w:r>
        <w:rPr>
          <w:rFonts w:cs="FrankRuehl"/>
          <w:sz w:val="28"/>
          <w:szCs w:val="28"/>
          <w:u w:val="single"/>
          <w:rtl/>
        </w:rPr>
        <w:t xml:space="preserve">21 </w:t>
      </w:r>
      <w:r>
        <w:rPr>
          <w:rFonts w:cs="FrankRuehl"/>
          <w:sz w:val="28"/>
          <w:szCs w:val="28"/>
          <w:rtl/>
        </w:rPr>
        <w:t>חודשי מאסר בפועל תחילת ריצוי המאסר מיום מעצרו-19.2.2014.</w:t>
      </w:r>
    </w:p>
    <w:p w14:paraId="1D873C3A" w14:textId="77777777" w:rsidR="00703FB3" w:rsidRDefault="008719A6">
      <w:pPr>
        <w:spacing w:line="360" w:lineRule="auto"/>
        <w:ind w:left="720"/>
        <w:jc w:val="both"/>
        <w:rPr>
          <w:rFonts w:cs="FrankRuehl"/>
          <w:sz w:val="28"/>
          <w:szCs w:val="28"/>
          <w:rtl/>
        </w:rPr>
      </w:pPr>
      <w:r>
        <w:rPr>
          <w:rFonts w:cs="FrankRuehl"/>
          <w:sz w:val="28"/>
          <w:szCs w:val="28"/>
          <w:rtl/>
        </w:rPr>
        <w:t>-</w:t>
      </w:r>
      <w:r>
        <w:rPr>
          <w:rFonts w:cs="FrankRuehl"/>
          <w:sz w:val="28"/>
          <w:szCs w:val="28"/>
          <w:u w:val="single"/>
          <w:rtl/>
        </w:rPr>
        <w:t>6</w:t>
      </w:r>
      <w:r>
        <w:rPr>
          <w:rFonts w:cs="FrankRuehl"/>
          <w:sz w:val="28"/>
          <w:szCs w:val="28"/>
          <w:rtl/>
        </w:rPr>
        <w:t xml:space="preserve"> חודשי מאסר על תנאי, הנאשם לא י</w:t>
      </w:r>
      <w:r>
        <w:rPr>
          <w:rFonts w:cs="FrankRuehl" w:hint="cs"/>
          <w:sz w:val="28"/>
          <w:szCs w:val="28"/>
          <w:rtl/>
        </w:rPr>
        <w:t>י</w:t>
      </w:r>
      <w:r>
        <w:rPr>
          <w:rFonts w:cs="FrankRuehl"/>
          <w:sz w:val="28"/>
          <w:szCs w:val="28"/>
          <w:rtl/>
        </w:rPr>
        <w:t xml:space="preserve">שא את עונש המאסר על  תנאי </w:t>
      </w:r>
      <w:r>
        <w:rPr>
          <w:rStyle w:val="default"/>
          <w:sz w:val="28"/>
          <w:rtl/>
        </w:rPr>
        <w:t xml:space="preserve">אלא אם יעבור תוך שלוש שנים אחת העבירות בהן הורשע ויורשע בשל עבירה כזאת תוך תקופת התנאי או לאחריה. </w:t>
      </w:r>
    </w:p>
    <w:p w14:paraId="681E417A" w14:textId="77777777" w:rsidR="00703FB3" w:rsidRDefault="00703FB3">
      <w:pPr>
        <w:spacing w:line="360" w:lineRule="auto"/>
        <w:ind w:left="720"/>
        <w:jc w:val="both"/>
        <w:rPr>
          <w:rFonts w:cs="FrankRuehl"/>
          <w:sz w:val="28"/>
          <w:szCs w:val="28"/>
        </w:rPr>
      </w:pPr>
    </w:p>
    <w:p w14:paraId="6BC2DF4D" w14:textId="77777777" w:rsidR="00703FB3" w:rsidRDefault="008719A6">
      <w:pPr>
        <w:spacing w:line="360" w:lineRule="auto"/>
        <w:ind w:left="720"/>
        <w:jc w:val="both"/>
        <w:rPr>
          <w:rStyle w:val="default"/>
          <w:sz w:val="28"/>
          <w:rtl/>
        </w:rPr>
      </w:pPr>
      <w:r>
        <w:rPr>
          <w:rFonts w:cs="FrankRuehl"/>
          <w:sz w:val="28"/>
          <w:szCs w:val="28"/>
          <w:rtl/>
        </w:rPr>
        <w:t>-</w:t>
      </w:r>
      <w:r>
        <w:rPr>
          <w:rFonts w:cs="FrankRuehl"/>
          <w:sz w:val="28"/>
          <w:szCs w:val="28"/>
          <w:u w:val="single"/>
          <w:rtl/>
        </w:rPr>
        <w:t>10</w:t>
      </w:r>
      <w:r>
        <w:rPr>
          <w:rFonts w:cs="FrankRuehl"/>
          <w:sz w:val="28"/>
          <w:szCs w:val="28"/>
          <w:rtl/>
        </w:rPr>
        <w:t xml:space="preserve"> חודשי פסילה מלקבל או מלהחזיק ר</w:t>
      </w:r>
      <w:r>
        <w:rPr>
          <w:rFonts w:cs="FrankRuehl" w:hint="cs"/>
          <w:sz w:val="28"/>
          <w:szCs w:val="28"/>
          <w:rtl/>
        </w:rPr>
        <w:t>י</w:t>
      </w:r>
      <w:r>
        <w:rPr>
          <w:rFonts w:cs="FrankRuehl"/>
          <w:sz w:val="28"/>
          <w:szCs w:val="28"/>
          <w:rtl/>
        </w:rPr>
        <w:t xml:space="preserve">שיון נהיגה, מתוכם </w:t>
      </w:r>
      <w:r>
        <w:rPr>
          <w:rFonts w:cs="FrankRuehl"/>
          <w:sz w:val="28"/>
          <w:szCs w:val="28"/>
          <w:u w:val="single"/>
          <w:rtl/>
        </w:rPr>
        <w:t>6</w:t>
      </w:r>
      <w:r>
        <w:rPr>
          <w:rFonts w:cs="FrankRuehl"/>
          <w:sz w:val="28"/>
          <w:szCs w:val="28"/>
          <w:rtl/>
        </w:rPr>
        <w:t xml:space="preserve"> חודשי פסילה בפועל והיתרה </w:t>
      </w:r>
      <w:r>
        <w:rPr>
          <w:rFonts w:cs="FrankRuehl"/>
          <w:sz w:val="28"/>
          <w:szCs w:val="28"/>
          <w:u w:val="single"/>
          <w:rtl/>
        </w:rPr>
        <w:t>4</w:t>
      </w:r>
      <w:r>
        <w:rPr>
          <w:rFonts w:cs="FrankRuehl"/>
          <w:sz w:val="28"/>
          <w:szCs w:val="28"/>
          <w:rtl/>
        </w:rPr>
        <w:t xml:space="preserve"> חודשי פסילה על תנאי, התנאי יחול אם תוך שנתיים מיום שחרורו מבית הסוהר יעבור </w:t>
      </w:r>
      <w:r>
        <w:rPr>
          <w:rStyle w:val="default"/>
          <w:sz w:val="28"/>
          <w:rtl/>
        </w:rPr>
        <w:t>אחת העבירות המפורטות בתוספת הראשונה או בתוספת השנ</w:t>
      </w:r>
      <w:r>
        <w:rPr>
          <w:rStyle w:val="default"/>
          <w:rFonts w:hint="cs"/>
          <w:sz w:val="28"/>
          <w:rtl/>
        </w:rPr>
        <w:t>י</w:t>
      </w:r>
      <w:r>
        <w:rPr>
          <w:rStyle w:val="default"/>
          <w:sz w:val="28"/>
          <w:rtl/>
        </w:rPr>
        <w:t>יה ל</w:t>
      </w:r>
      <w:hyperlink r:id="rId41" w:history="1">
        <w:r w:rsidRPr="008719A6">
          <w:rPr>
            <w:rStyle w:val="default"/>
            <w:color w:val="0000FF"/>
            <w:sz w:val="28"/>
            <w:u w:val="single"/>
            <w:rtl/>
          </w:rPr>
          <w:t>פקודת התעבורה</w:t>
        </w:r>
      </w:hyperlink>
      <w:r>
        <w:rPr>
          <w:rStyle w:val="default"/>
          <w:sz w:val="28"/>
          <w:rtl/>
        </w:rPr>
        <w:t xml:space="preserve"> ויורשע בשל העבירה הנוספת תוך התקופה האמורה או לאחריה. </w:t>
      </w:r>
    </w:p>
    <w:p w14:paraId="2DFD8216" w14:textId="77777777" w:rsidR="00703FB3" w:rsidRDefault="008719A6">
      <w:pPr>
        <w:spacing w:line="360" w:lineRule="auto"/>
        <w:ind w:left="720"/>
        <w:jc w:val="both"/>
        <w:rPr>
          <w:rStyle w:val="default"/>
          <w:sz w:val="28"/>
          <w:rtl/>
        </w:rPr>
      </w:pPr>
      <w:r>
        <w:rPr>
          <w:rStyle w:val="default"/>
          <w:sz w:val="28"/>
          <w:rtl/>
        </w:rPr>
        <w:t>למניעת ספק, בחישוב תקופת הפסילה לא תבוא במני</w:t>
      </w:r>
      <w:r>
        <w:rPr>
          <w:rStyle w:val="default"/>
          <w:rFonts w:hint="cs"/>
          <w:sz w:val="28"/>
          <w:rtl/>
        </w:rPr>
        <w:t>י</w:t>
      </w:r>
      <w:r>
        <w:rPr>
          <w:rStyle w:val="default"/>
          <w:sz w:val="28"/>
          <w:rtl/>
        </w:rPr>
        <w:t>ן, התקופה שבה י</w:t>
      </w:r>
      <w:r>
        <w:rPr>
          <w:rStyle w:val="default"/>
          <w:rFonts w:hint="cs"/>
          <w:sz w:val="28"/>
          <w:rtl/>
        </w:rPr>
        <w:t>י</w:t>
      </w:r>
      <w:r>
        <w:rPr>
          <w:rStyle w:val="default"/>
          <w:sz w:val="28"/>
          <w:rtl/>
        </w:rPr>
        <w:t xml:space="preserve">שא הנאשם את  עונש המאסר על העבירות בתיק זה. </w:t>
      </w:r>
    </w:p>
    <w:p w14:paraId="71745C3B" w14:textId="77777777" w:rsidR="00703FB3" w:rsidRDefault="00703FB3">
      <w:pPr>
        <w:spacing w:line="360" w:lineRule="auto"/>
        <w:ind w:left="720"/>
        <w:jc w:val="both"/>
        <w:rPr>
          <w:rStyle w:val="default"/>
          <w:sz w:val="28"/>
          <w:rtl/>
        </w:rPr>
      </w:pPr>
    </w:p>
    <w:p w14:paraId="18034643" w14:textId="77777777" w:rsidR="00703FB3" w:rsidRDefault="008719A6">
      <w:pPr>
        <w:spacing w:line="360" w:lineRule="auto"/>
        <w:ind w:left="720"/>
        <w:jc w:val="both"/>
        <w:rPr>
          <w:rFonts w:cs="FrankRuehl"/>
          <w:sz w:val="28"/>
          <w:szCs w:val="28"/>
        </w:rPr>
      </w:pPr>
      <w:r>
        <w:rPr>
          <w:rFonts w:cs="FrankRuehl"/>
          <w:sz w:val="28"/>
          <w:szCs w:val="28"/>
          <w:rtl/>
        </w:rPr>
        <w:t>מקובלת עליי עמדת הסנגורית ובהתחשב ביכולתו הכלכלית של הנאשם ובעונש המאסר, לא אחייבו בתשלום קנס.</w:t>
      </w:r>
    </w:p>
    <w:p w14:paraId="50AB3182" w14:textId="77777777" w:rsidR="00703FB3" w:rsidRDefault="00703FB3">
      <w:pPr>
        <w:spacing w:line="360" w:lineRule="auto"/>
        <w:ind w:left="360"/>
        <w:jc w:val="both"/>
        <w:rPr>
          <w:rFonts w:cs="FrankRuehl"/>
          <w:sz w:val="28"/>
          <w:szCs w:val="28"/>
        </w:rPr>
      </w:pPr>
    </w:p>
    <w:p w14:paraId="529738C5" w14:textId="77777777" w:rsidR="00703FB3" w:rsidRDefault="008719A6">
      <w:pPr>
        <w:spacing w:line="360" w:lineRule="auto"/>
        <w:ind w:left="720"/>
        <w:jc w:val="both"/>
        <w:rPr>
          <w:rFonts w:cs="FrankRuehl"/>
          <w:sz w:val="28"/>
          <w:szCs w:val="28"/>
          <w:rtl/>
        </w:rPr>
      </w:pPr>
      <w:r>
        <w:rPr>
          <w:rFonts w:cs="FrankRuehl"/>
          <w:sz w:val="28"/>
          <w:szCs w:val="28"/>
          <w:rtl/>
        </w:rPr>
        <w:t>לבקשת המאשימה אני מורה על חילוט האקדח, המחסנית והתחמושת שנתפסו בתיק זה.</w:t>
      </w:r>
    </w:p>
    <w:p w14:paraId="0E69B0AA" w14:textId="77777777" w:rsidR="00703FB3" w:rsidRDefault="00703FB3">
      <w:pPr>
        <w:spacing w:line="360" w:lineRule="auto"/>
        <w:ind w:left="720"/>
        <w:rPr>
          <w:rFonts w:cs="FrankRuehl"/>
          <w:sz w:val="28"/>
          <w:szCs w:val="28"/>
          <w:rtl/>
        </w:rPr>
      </w:pPr>
    </w:p>
    <w:p w14:paraId="07AB2E19" w14:textId="77777777" w:rsidR="00703FB3" w:rsidRDefault="008719A6">
      <w:pPr>
        <w:spacing w:line="360" w:lineRule="auto"/>
        <w:ind w:left="720"/>
        <w:rPr>
          <w:rFonts w:cs="FrankRuehl"/>
          <w:sz w:val="28"/>
          <w:szCs w:val="28"/>
          <w:rtl/>
        </w:rPr>
      </w:pPr>
      <w:r>
        <w:rPr>
          <w:rFonts w:cs="FrankRuehl"/>
          <w:sz w:val="28"/>
          <w:szCs w:val="28"/>
          <w:rtl/>
        </w:rPr>
        <w:t>זכות ערעור לבית המשפט העליון תוך 45 יום.</w:t>
      </w:r>
    </w:p>
    <w:p w14:paraId="4D141B5F" w14:textId="77777777" w:rsidR="00703FB3" w:rsidRDefault="00703FB3">
      <w:pPr>
        <w:spacing w:line="360" w:lineRule="auto"/>
        <w:ind w:left="720"/>
        <w:rPr>
          <w:rFonts w:cs="FrankRuehl"/>
          <w:sz w:val="28"/>
          <w:szCs w:val="28"/>
          <w:rtl/>
        </w:rPr>
      </w:pPr>
    </w:p>
    <w:p w14:paraId="176ADE63" w14:textId="77777777" w:rsidR="00703FB3" w:rsidRDefault="00703FB3">
      <w:pPr>
        <w:spacing w:line="360" w:lineRule="auto"/>
        <w:ind w:left="720"/>
        <w:rPr>
          <w:rFonts w:cs="FrankRuehl"/>
          <w:sz w:val="28"/>
          <w:szCs w:val="28"/>
          <w:rtl/>
        </w:rPr>
      </w:pPr>
    </w:p>
    <w:p w14:paraId="79E22B64" w14:textId="77777777" w:rsidR="00703FB3" w:rsidRDefault="00703FB3">
      <w:pPr>
        <w:spacing w:line="360" w:lineRule="auto"/>
        <w:ind w:left="720"/>
        <w:rPr>
          <w:rFonts w:cs="FrankRuehl"/>
          <w:sz w:val="28"/>
          <w:szCs w:val="28"/>
          <w:rtl/>
        </w:rPr>
      </w:pPr>
    </w:p>
    <w:p w14:paraId="74A79AB4" w14:textId="77777777" w:rsidR="00703FB3" w:rsidRDefault="00703FB3">
      <w:pPr>
        <w:spacing w:line="360" w:lineRule="auto"/>
        <w:ind w:left="720"/>
        <w:rPr>
          <w:rFonts w:cs="FrankRuehl"/>
          <w:sz w:val="28"/>
          <w:szCs w:val="28"/>
          <w:rtl/>
        </w:rPr>
      </w:pPr>
      <w:bookmarkStart w:id="7" w:name="_GoBack"/>
      <w:bookmarkEnd w:id="7"/>
    </w:p>
    <w:p w14:paraId="5CE6E380" w14:textId="77777777" w:rsidR="00703FB3" w:rsidRDefault="008719A6">
      <w:pPr>
        <w:spacing w:line="360" w:lineRule="auto"/>
        <w:jc w:val="both"/>
        <w:rPr>
          <w:rFonts w:ascii="Arial" w:hAnsi="Arial" w:cs="FrankRuehl"/>
          <w:sz w:val="28"/>
          <w:szCs w:val="28"/>
        </w:rPr>
      </w:pPr>
      <w:r w:rsidRPr="008719A6">
        <w:rPr>
          <w:rFonts w:ascii="Arial" w:hAnsi="Arial" w:cs="FrankRuehl"/>
          <w:color w:val="FFFFFF"/>
          <w:sz w:val="2"/>
          <w:szCs w:val="2"/>
          <w:rtl/>
        </w:rPr>
        <w:t>5129371</w:t>
      </w:r>
      <w:r>
        <w:rPr>
          <w:rFonts w:ascii="Arial" w:hAnsi="Arial" w:cs="FrankRuehl"/>
          <w:sz w:val="28"/>
          <w:szCs w:val="28"/>
          <w:rtl/>
        </w:rPr>
        <w:t xml:space="preserve">ניתן היום,  י"ח חשוון תשע"ה, 11 נובמבר 2014, בנוכחות ב"כ המאשימה עו"ד שגב אדלר, </w:t>
      </w:r>
      <w:r>
        <w:rPr>
          <w:rFonts w:ascii="Arial" w:hAnsi="Arial" w:cs="FrankRuehl" w:hint="cs"/>
          <w:sz w:val="28"/>
          <w:szCs w:val="28"/>
          <w:rtl/>
        </w:rPr>
        <w:t>הסנגורים עו"ד עלאא סלימאן, עו"ד אברהם סופר,   והנאשם באמצאות השב"ס</w:t>
      </w:r>
      <w:r>
        <w:rPr>
          <w:rFonts w:ascii="Arial" w:hAnsi="Arial" w:cs="FrankRuehl"/>
          <w:sz w:val="28"/>
          <w:szCs w:val="28"/>
          <w:rtl/>
        </w:rPr>
        <w:t>.</w:t>
      </w:r>
    </w:p>
    <w:p w14:paraId="20B285EF" w14:textId="77777777" w:rsidR="00703FB3" w:rsidRPr="008719A6" w:rsidRDefault="008719A6">
      <w:pPr>
        <w:rPr>
          <w:rFonts w:cs="FrankRuehl"/>
          <w:color w:val="FFFFFF"/>
          <w:sz w:val="2"/>
          <w:szCs w:val="2"/>
          <w:rtl/>
        </w:rPr>
      </w:pPr>
      <w:r w:rsidRPr="008719A6">
        <w:rPr>
          <w:rFonts w:cs="FrankRuehl"/>
          <w:color w:val="FFFFFF"/>
          <w:sz w:val="2"/>
          <w:szCs w:val="2"/>
          <w:rtl/>
        </w:rPr>
        <w:t>54678313</w:t>
      </w:r>
    </w:p>
    <w:p w14:paraId="7BC8F2E5" w14:textId="77777777" w:rsidR="00703FB3" w:rsidRDefault="008719A6">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71B298F" w14:textId="77777777" w:rsidR="00703FB3" w:rsidRDefault="00703FB3">
      <w:pPr>
        <w:jc w:val="center"/>
        <w:rPr>
          <w:rFonts w:ascii="Arial" w:hAnsi="Arial" w:cs="FrankRuehl"/>
          <w:sz w:val="28"/>
          <w:szCs w:val="28"/>
          <w:rtl/>
        </w:rPr>
      </w:pPr>
    </w:p>
    <w:p w14:paraId="18164238" w14:textId="77777777" w:rsidR="00703FB3" w:rsidRDefault="00703FB3">
      <w:pPr>
        <w:rPr>
          <w:rFonts w:cs="FrankRuehl"/>
          <w:sz w:val="28"/>
          <w:szCs w:val="28"/>
          <w:rtl/>
        </w:rPr>
      </w:pPr>
    </w:p>
    <w:p w14:paraId="28F72E12" w14:textId="77777777" w:rsidR="00703FB3" w:rsidRDefault="00703FB3">
      <w:pPr>
        <w:pStyle w:val="a3"/>
        <w:jc w:val="center"/>
        <w:rPr>
          <w:rtl/>
        </w:rPr>
      </w:pPr>
    </w:p>
    <w:p w14:paraId="2DAF2635" w14:textId="77777777" w:rsidR="008719A6" w:rsidRPr="008719A6" w:rsidRDefault="008719A6" w:rsidP="008719A6">
      <w:pPr>
        <w:keepNext/>
        <w:rPr>
          <w:rFonts w:ascii="David" w:hAnsi="David"/>
          <w:color w:val="000000"/>
          <w:sz w:val="22"/>
          <w:szCs w:val="22"/>
          <w:rtl/>
        </w:rPr>
      </w:pPr>
    </w:p>
    <w:p w14:paraId="3359858A" w14:textId="77777777" w:rsidR="008719A6" w:rsidRPr="008719A6" w:rsidRDefault="008719A6" w:rsidP="008719A6">
      <w:pPr>
        <w:keepNext/>
        <w:rPr>
          <w:rFonts w:ascii="David" w:hAnsi="David"/>
          <w:color w:val="000000"/>
          <w:sz w:val="22"/>
          <w:szCs w:val="22"/>
          <w:rtl/>
        </w:rPr>
      </w:pPr>
      <w:r w:rsidRPr="008719A6">
        <w:rPr>
          <w:rFonts w:ascii="David" w:hAnsi="David"/>
          <w:color w:val="000000"/>
          <w:sz w:val="22"/>
          <w:szCs w:val="22"/>
          <w:rtl/>
        </w:rPr>
        <w:t>אברהם אליקים 54678313</w:t>
      </w:r>
    </w:p>
    <w:p w14:paraId="0C64C126" w14:textId="77777777" w:rsidR="008719A6" w:rsidRDefault="008719A6" w:rsidP="008719A6">
      <w:r w:rsidRPr="008719A6">
        <w:rPr>
          <w:color w:val="000000"/>
          <w:rtl/>
        </w:rPr>
        <w:t>נוסח מסמך זה כפוף לשינויי ניסוח ועריכה</w:t>
      </w:r>
    </w:p>
    <w:p w14:paraId="10528342" w14:textId="77777777" w:rsidR="008719A6" w:rsidRDefault="008719A6" w:rsidP="008719A6">
      <w:pPr>
        <w:rPr>
          <w:rtl/>
        </w:rPr>
      </w:pPr>
    </w:p>
    <w:p w14:paraId="48823426" w14:textId="77777777" w:rsidR="008719A6" w:rsidRDefault="008719A6" w:rsidP="008719A6">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46175FFC" w14:textId="77777777" w:rsidR="00703FB3" w:rsidRPr="008719A6" w:rsidRDefault="00703FB3" w:rsidP="008719A6">
      <w:pPr>
        <w:jc w:val="center"/>
        <w:rPr>
          <w:color w:val="0000FF"/>
          <w:u w:val="single"/>
        </w:rPr>
      </w:pPr>
    </w:p>
    <w:sectPr w:rsidR="00703FB3" w:rsidRPr="008719A6" w:rsidSect="008719A6">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9B1F15" w14:textId="77777777" w:rsidR="00894C8D" w:rsidRPr="00706E8C" w:rsidRDefault="00894C8D">
      <w:pPr>
        <w:rPr>
          <w:rFonts w:cs="Arial"/>
          <w:szCs w:val="20"/>
        </w:rPr>
      </w:pPr>
      <w:r>
        <w:separator/>
      </w:r>
    </w:p>
  </w:endnote>
  <w:endnote w:type="continuationSeparator" w:id="0">
    <w:p w14:paraId="30809773" w14:textId="77777777" w:rsidR="00894C8D" w:rsidRPr="00706E8C" w:rsidRDefault="00894C8D">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B9CAB" w14:textId="77777777" w:rsidR="008719A6" w:rsidRDefault="008719A6" w:rsidP="008719A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5161B05" w14:textId="77777777" w:rsidR="00703FB3" w:rsidRPr="008719A6" w:rsidRDefault="008719A6" w:rsidP="008719A6">
    <w:pPr>
      <w:pStyle w:val="a4"/>
      <w:pBdr>
        <w:top w:val="single" w:sz="4" w:space="1" w:color="auto"/>
        <w:between w:val="single" w:sz="4" w:space="0" w:color="auto"/>
      </w:pBdr>
      <w:spacing w:after="60"/>
      <w:jc w:val="center"/>
      <w:rPr>
        <w:rFonts w:ascii="FrankRuehl" w:hAnsi="FrankRuehl" w:cs="FrankRuehl"/>
        <w:color w:val="000000"/>
      </w:rPr>
    </w:pPr>
    <w:r w:rsidRPr="008719A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A094FC" w14:textId="77777777" w:rsidR="008719A6" w:rsidRDefault="008719A6" w:rsidP="008719A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6258B">
      <w:rPr>
        <w:rFonts w:ascii="FrankRuehl" w:hAnsi="FrankRuehl" w:cs="FrankRuehl"/>
        <w:noProof/>
        <w:rtl/>
      </w:rPr>
      <w:t>1</w:t>
    </w:r>
    <w:r>
      <w:rPr>
        <w:rFonts w:ascii="FrankRuehl" w:hAnsi="FrankRuehl" w:cs="FrankRuehl"/>
        <w:rtl/>
      </w:rPr>
      <w:fldChar w:fldCharType="end"/>
    </w:r>
  </w:p>
  <w:p w14:paraId="5D806BE0" w14:textId="77777777" w:rsidR="00703FB3" w:rsidRPr="008719A6" w:rsidRDefault="008719A6" w:rsidP="008719A6">
    <w:pPr>
      <w:pStyle w:val="a4"/>
      <w:pBdr>
        <w:top w:val="single" w:sz="4" w:space="1" w:color="auto"/>
        <w:between w:val="single" w:sz="4" w:space="0" w:color="auto"/>
      </w:pBdr>
      <w:spacing w:after="60"/>
      <w:jc w:val="center"/>
      <w:rPr>
        <w:rFonts w:ascii="FrankRuehl" w:hAnsi="FrankRuehl" w:cs="FrankRuehl"/>
        <w:color w:val="000000"/>
      </w:rPr>
    </w:pPr>
    <w:r w:rsidRPr="008719A6">
      <w:rPr>
        <w:rFonts w:ascii="FrankRuehl" w:hAnsi="FrankRuehl" w:cs="FrankRuehl"/>
        <w:color w:val="000000"/>
      </w:rPr>
      <w:pict w14:anchorId="2C1956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469347" w14:textId="77777777" w:rsidR="00894C8D" w:rsidRPr="00706E8C" w:rsidRDefault="00894C8D">
      <w:pPr>
        <w:rPr>
          <w:rFonts w:cs="Arial"/>
          <w:szCs w:val="20"/>
        </w:rPr>
      </w:pPr>
      <w:r>
        <w:separator/>
      </w:r>
    </w:p>
  </w:footnote>
  <w:footnote w:type="continuationSeparator" w:id="0">
    <w:p w14:paraId="1D32034A" w14:textId="77777777" w:rsidR="00894C8D" w:rsidRPr="00706E8C" w:rsidRDefault="00894C8D">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60A3B" w14:textId="77777777" w:rsidR="008719A6" w:rsidRPr="008719A6" w:rsidRDefault="008719A6" w:rsidP="008719A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55664-02-14</w:t>
    </w:r>
    <w:r>
      <w:rPr>
        <w:rFonts w:ascii="David" w:hAnsi="David"/>
        <w:color w:val="000000"/>
        <w:sz w:val="22"/>
        <w:szCs w:val="22"/>
        <w:rtl/>
      </w:rPr>
      <w:tab/>
      <w:t xml:space="preserve"> מדינת ישראל נ' מוחמד ג'אבר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03941C" w14:textId="77777777" w:rsidR="008719A6" w:rsidRPr="008719A6" w:rsidRDefault="008719A6" w:rsidP="008719A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55664-02-14</w:t>
    </w:r>
    <w:r>
      <w:rPr>
        <w:rFonts w:ascii="David" w:hAnsi="David"/>
        <w:color w:val="000000"/>
        <w:sz w:val="22"/>
        <w:szCs w:val="22"/>
        <w:rtl/>
      </w:rPr>
      <w:tab/>
      <w:t xml:space="preserve"> מדינת ישראל נ' מוחמד ג'אבר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F06C0"/>
    <w:multiLevelType w:val="hybridMultilevel"/>
    <w:tmpl w:val="E9A86D62"/>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94C6DD14">
      <w:numFmt w:val="bullet"/>
      <w:lvlText w:val="-"/>
      <w:lvlJc w:val="left"/>
      <w:pPr>
        <w:tabs>
          <w:tab w:val="num" w:pos="2340"/>
        </w:tabs>
        <w:ind w:left="2340" w:hanging="360"/>
      </w:pPr>
      <w:rPr>
        <w:rFonts w:ascii="Arial" w:eastAsia="Times New Roman" w:hAnsi="Arial"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18DF5203"/>
    <w:multiLevelType w:val="hybridMultilevel"/>
    <w:tmpl w:val="13FC0D5A"/>
    <w:lvl w:ilvl="0" w:tplc="86641988">
      <w:start w:val="1"/>
      <w:numFmt w:val="decimal"/>
      <w:pStyle w:val="Ruller4"/>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7284658">
    <w:abstractNumId w:val="1"/>
  </w:num>
  <w:num w:numId="2" w16cid:durableId="2008626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03FB3"/>
    <w:rsid w:val="005303BA"/>
    <w:rsid w:val="00647C92"/>
    <w:rsid w:val="00703FB3"/>
    <w:rsid w:val="0086258B"/>
    <w:rsid w:val="008719A6"/>
    <w:rsid w:val="00894C8D"/>
    <w:rsid w:val="00F66D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0F16890"/>
  <w15:chartTrackingRefBased/>
  <w15:docId w15:val="{0F48B7BF-13EB-4A86-AFAF-FFBE8DFC2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03FB3"/>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703FB3"/>
    <w:pPr>
      <w:tabs>
        <w:tab w:val="center" w:pos="4153"/>
        <w:tab w:val="right" w:pos="8306"/>
      </w:tabs>
    </w:pPr>
  </w:style>
  <w:style w:type="paragraph" w:styleId="a4">
    <w:name w:val="footer"/>
    <w:basedOn w:val="a"/>
    <w:rsid w:val="00703FB3"/>
    <w:pPr>
      <w:tabs>
        <w:tab w:val="center" w:pos="4153"/>
        <w:tab w:val="right" w:pos="8306"/>
      </w:tabs>
    </w:pPr>
  </w:style>
  <w:style w:type="character" w:styleId="a5">
    <w:name w:val="page number"/>
    <w:basedOn w:val="a0"/>
    <w:rsid w:val="00703FB3"/>
  </w:style>
  <w:style w:type="character" w:customStyle="1" w:styleId="TimesNewRomanTimesNewRoman">
    <w:name w:val="סגנון (לטיני) Times New Roman (עברית ושפות אחרות) Times New Roman..."/>
    <w:basedOn w:val="a0"/>
    <w:rsid w:val="00703FB3"/>
    <w:rPr>
      <w:rFonts w:ascii="Times New Roman" w:hAnsi="Times New Roman" w:cs="David" w:hint="default"/>
      <w:b/>
      <w:bCs/>
      <w:sz w:val="26"/>
      <w:szCs w:val="26"/>
    </w:rPr>
  </w:style>
  <w:style w:type="character" w:customStyle="1" w:styleId="default">
    <w:name w:val="default"/>
    <w:basedOn w:val="a0"/>
    <w:rsid w:val="00703FB3"/>
    <w:rPr>
      <w:rFonts w:ascii="Times New Roman" w:hAnsi="Times New Roman" w:cs="Times New Roman"/>
      <w:sz w:val="26"/>
      <w:szCs w:val="26"/>
    </w:rPr>
  </w:style>
  <w:style w:type="paragraph" w:customStyle="1" w:styleId="Ruller40">
    <w:name w:val="Ruller4"/>
    <w:basedOn w:val="a"/>
    <w:link w:val="Ruller41"/>
    <w:rsid w:val="00703FB3"/>
    <w:pPr>
      <w:tabs>
        <w:tab w:val="left" w:pos="800"/>
      </w:tabs>
      <w:overflowPunct w:val="0"/>
      <w:adjustRightInd w:val="0"/>
      <w:spacing w:line="360" w:lineRule="auto"/>
      <w:jc w:val="both"/>
    </w:pPr>
    <w:rPr>
      <w:rFonts w:ascii="Arial TUR" w:hAnsi="Arial TUR" w:cs="FrankRuehl"/>
      <w:spacing w:val="10"/>
      <w:sz w:val="22"/>
      <w:szCs w:val="28"/>
    </w:rPr>
  </w:style>
  <w:style w:type="character" w:customStyle="1" w:styleId="Ruller41">
    <w:name w:val="Ruller4 תו"/>
    <w:basedOn w:val="a0"/>
    <w:link w:val="Ruller40"/>
    <w:locked/>
    <w:rsid w:val="00703FB3"/>
    <w:rPr>
      <w:rFonts w:ascii="Arial TUR" w:hAnsi="Arial TUR" w:cs="FrankRuehl"/>
      <w:spacing w:val="10"/>
      <w:sz w:val="22"/>
      <w:szCs w:val="28"/>
      <w:lang w:val="en-US" w:eastAsia="en-US" w:bidi="he-IL"/>
    </w:rPr>
  </w:style>
  <w:style w:type="paragraph" w:customStyle="1" w:styleId="Ruller4">
    <w:name w:val="Ruller 4 ממוספר"/>
    <w:basedOn w:val="Ruller40"/>
    <w:next w:val="Ruller40"/>
    <w:link w:val="Ruller42"/>
    <w:rsid w:val="00703FB3"/>
    <w:pPr>
      <w:numPr>
        <w:numId w:val="1"/>
      </w:numPr>
      <w:tabs>
        <w:tab w:val="num" w:pos="907"/>
      </w:tabs>
      <w:ind w:left="0" w:right="720" w:firstLine="0"/>
    </w:pPr>
    <w:rPr>
      <w:rFonts w:ascii="Garamond" w:hAnsi="Garamond"/>
      <w:sz w:val="24"/>
    </w:rPr>
  </w:style>
  <w:style w:type="character" w:customStyle="1" w:styleId="Ruller42">
    <w:name w:val="Ruller 4 ממוספר תו"/>
    <w:basedOn w:val="a0"/>
    <w:link w:val="Ruller4"/>
    <w:locked/>
    <w:rsid w:val="00703FB3"/>
    <w:rPr>
      <w:rFonts w:ascii="Garamond" w:hAnsi="Garamond" w:cs="FrankRuehl"/>
      <w:spacing w:val="10"/>
      <w:sz w:val="24"/>
      <w:szCs w:val="28"/>
      <w:lang w:val="en-US" w:eastAsia="en-US" w:bidi="he-IL"/>
    </w:rPr>
  </w:style>
  <w:style w:type="character" w:styleId="Hyperlink">
    <w:name w:val="Hyperlink"/>
    <w:basedOn w:val="a0"/>
    <w:rsid w:val="008719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5227" TargetMode="External"/><Relationship Id="rId18" Type="http://schemas.openxmlformats.org/officeDocument/2006/relationships/hyperlink" Target="http://www.nevo.co.il/law/74501/2" TargetMode="External"/><Relationship Id="rId26" Type="http://schemas.openxmlformats.org/officeDocument/2006/relationships/hyperlink" Target="http://www.nevo.co.il/law/5227/38.1" TargetMode="External"/><Relationship Id="rId39" Type="http://schemas.openxmlformats.org/officeDocument/2006/relationships/hyperlink" Target="http://www.nevo.co.il/law/5227/38.1"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6949290"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5227/38.1" TargetMode="External"/><Relationship Id="rId29" Type="http://schemas.openxmlformats.org/officeDocument/2006/relationships/hyperlink" Target="http://www.nevo.co.il/law/70301/40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hyperlink" Target="http://www.nevo.co.il/law/5227" TargetMode="External"/><Relationship Id="rId32" Type="http://schemas.openxmlformats.org/officeDocument/2006/relationships/hyperlink" Target="http://www.nevo.co.il/case/5590091" TargetMode="External"/><Relationship Id="rId37" Type="http://schemas.openxmlformats.org/officeDocument/2006/relationships/hyperlink" Target="http://www.nevo.co.il/case/6063446" TargetMode="External"/><Relationship Id="rId40" Type="http://schemas.openxmlformats.org/officeDocument/2006/relationships/hyperlink" Target="http://www.nevo.co.il/law/5227"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5227/10.a" TargetMode="External"/><Relationship Id="rId23" Type="http://schemas.openxmlformats.org/officeDocument/2006/relationships/hyperlink" Target="http://www.nevo.co.il/law/5227/2" TargetMode="External"/><Relationship Id="rId28" Type="http://schemas.openxmlformats.org/officeDocument/2006/relationships/hyperlink" Target="http://www.nevo.co.il/law/74501" TargetMode="External"/><Relationship Id="rId36" Type="http://schemas.openxmlformats.org/officeDocument/2006/relationships/hyperlink" Target="http://www.nevo.co.il/case/5875905" TargetMode="External"/><Relationship Id="rId10" Type="http://schemas.openxmlformats.org/officeDocument/2006/relationships/hyperlink" Target="http://www.nevo.co.il/law/70301/144.a" TargetMode="External"/><Relationship Id="rId19" Type="http://schemas.openxmlformats.org/officeDocument/2006/relationships/hyperlink" Target="http://www.nevo.co.il/law/70301/144.a" TargetMode="External"/><Relationship Id="rId31" Type="http://schemas.openxmlformats.org/officeDocument/2006/relationships/hyperlink" Target="http://www.nevo.co.il/case/13093744"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40i" TargetMode="External"/><Relationship Id="rId14" Type="http://schemas.openxmlformats.org/officeDocument/2006/relationships/hyperlink" Target="http://www.nevo.co.il/law/5227/2" TargetMode="External"/><Relationship Id="rId22" Type="http://schemas.openxmlformats.org/officeDocument/2006/relationships/hyperlink" Target="http://www.nevo.co.il/law/70301/275" TargetMode="External"/><Relationship Id="rId27" Type="http://schemas.openxmlformats.org/officeDocument/2006/relationships/hyperlink" Target="http://www.nevo.co.il/law/74501/2" TargetMode="External"/><Relationship Id="rId30" Type="http://schemas.openxmlformats.org/officeDocument/2006/relationships/hyperlink" Target="http://www.nevo.co.il/case/16913730" TargetMode="External"/><Relationship Id="rId35" Type="http://schemas.openxmlformats.org/officeDocument/2006/relationships/hyperlink" Target="http://www.nevo.co.il/law/70301/40i"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70301/40b" TargetMode="External"/><Relationship Id="rId3" Type="http://schemas.openxmlformats.org/officeDocument/2006/relationships/settings" Target="settings.xml"/><Relationship Id="rId12" Type="http://schemas.openxmlformats.org/officeDocument/2006/relationships/hyperlink" Target="http://www.nevo.co.il/law/70301/275" TargetMode="External"/><Relationship Id="rId17" Type="http://schemas.openxmlformats.org/officeDocument/2006/relationships/hyperlink" Target="http://www.nevo.co.il/law/74501" TargetMode="External"/><Relationship Id="rId25" Type="http://schemas.openxmlformats.org/officeDocument/2006/relationships/hyperlink" Target="http://www.nevo.co.il/law/5227/10.a" TargetMode="External"/><Relationship Id="rId33" Type="http://schemas.openxmlformats.org/officeDocument/2006/relationships/hyperlink" Target="http://www.nevo.co.il/case/7791493" TargetMode="External"/><Relationship Id="rId38" Type="http://schemas.openxmlformats.org/officeDocument/2006/relationships/hyperlink" Target="http://www.nevo.co.il/case/5581072" TargetMode="External"/><Relationship Id="rId46" Type="http://schemas.openxmlformats.org/officeDocument/2006/relationships/footer" Target="footer2.xml"/><Relationship Id="rId20" Type="http://schemas.openxmlformats.org/officeDocument/2006/relationships/hyperlink" Target="http://www.nevo.co.il/law/70301/144.b" TargetMode="External"/><Relationship Id="rId41" Type="http://schemas.openxmlformats.org/officeDocument/2006/relationships/hyperlink" Target="http://www.nevo.co.il/law/522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1900</Words>
  <Characters>9504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11382</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8323175</vt:i4>
      </vt:variant>
      <vt:variant>
        <vt:i4>102</vt:i4>
      </vt:variant>
      <vt:variant>
        <vt:i4>0</vt:i4>
      </vt:variant>
      <vt:variant>
        <vt:i4>5</vt:i4>
      </vt:variant>
      <vt:variant>
        <vt:lpwstr>http://www.nevo.co.il/law/5227</vt:lpwstr>
      </vt:variant>
      <vt:variant>
        <vt:lpwstr/>
      </vt:variant>
      <vt:variant>
        <vt:i4>8323175</vt:i4>
      </vt:variant>
      <vt:variant>
        <vt:i4>99</vt:i4>
      </vt:variant>
      <vt:variant>
        <vt:i4>0</vt:i4>
      </vt:variant>
      <vt:variant>
        <vt:i4>5</vt:i4>
      </vt:variant>
      <vt:variant>
        <vt:lpwstr>http://www.nevo.co.il/law/5227</vt:lpwstr>
      </vt:variant>
      <vt:variant>
        <vt:lpwstr/>
      </vt:variant>
      <vt:variant>
        <vt:i4>6422640</vt:i4>
      </vt:variant>
      <vt:variant>
        <vt:i4>96</vt:i4>
      </vt:variant>
      <vt:variant>
        <vt:i4>0</vt:i4>
      </vt:variant>
      <vt:variant>
        <vt:i4>5</vt:i4>
      </vt:variant>
      <vt:variant>
        <vt:lpwstr>http://www.nevo.co.il/law/5227/38.1</vt:lpwstr>
      </vt:variant>
      <vt:variant>
        <vt:lpwstr/>
      </vt:variant>
      <vt:variant>
        <vt:i4>4128887</vt:i4>
      </vt:variant>
      <vt:variant>
        <vt:i4>93</vt:i4>
      </vt:variant>
      <vt:variant>
        <vt:i4>0</vt:i4>
      </vt:variant>
      <vt:variant>
        <vt:i4>5</vt:i4>
      </vt:variant>
      <vt:variant>
        <vt:lpwstr>http://www.nevo.co.il/case/5581072</vt:lpwstr>
      </vt:variant>
      <vt:variant>
        <vt:lpwstr/>
      </vt:variant>
      <vt:variant>
        <vt:i4>3276915</vt:i4>
      </vt:variant>
      <vt:variant>
        <vt:i4>90</vt:i4>
      </vt:variant>
      <vt:variant>
        <vt:i4>0</vt:i4>
      </vt:variant>
      <vt:variant>
        <vt:i4>5</vt:i4>
      </vt:variant>
      <vt:variant>
        <vt:lpwstr>http://www.nevo.co.il/case/6063446</vt:lpwstr>
      </vt:variant>
      <vt:variant>
        <vt:lpwstr/>
      </vt:variant>
      <vt:variant>
        <vt:i4>4063353</vt:i4>
      </vt:variant>
      <vt:variant>
        <vt:i4>87</vt:i4>
      </vt:variant>
      <vt:variant>
        <vt:i4>0</vt:i4>
      </vt:variant>
      <vt:variant>
        <vt:i4>5</vt:i4>
      </vt:variant>
      <vt:variant>
        <vt:lpwstr>http://www.nevo.co.il/case/5875905</vt:lpwstr>
      </vt:variant>
      <vt:variant>
        <vt:lpwstr/>
      </vt:variant>
      <vt:variant>
        <vt:i4>6619233</vt:i4>
      </vt:variant>
      <vt:variant>
        <vt:i4>84</vt:i4>
      </vt:variant>
      <vt:variant>
        <vt:i4>0</vt:i4>
      </vt:variant>
      <vt:variant>
        <vt:i4>5</vt:i4>
      </vt:variant>
      <vt:variant>
        <vt:lpwstr>http://www.nevo.co.il/law/70301/40i</vt:lpwstr>
      </vt:variant>
      <vt:variant>
        <vt:lpwstr/>
      </vt:variant>
      <vt:variant>
        <vt:i4>3145853</vt:i4>
      </vt:variant>
      <vt:variant>
        <vt:i4>81</vt:i4>
      </vt:variant>
      <vt:variant>
        <vt:i4>0</vt:i4>
      </vt:variant>
      <vt:variant>
        <vt:i4>5</vt:i4>
      </vt:variant>
      <vt:variant>
        <vt:lpwstr>http://www.nevo.co.il/case/6949290</vt:lpwstr>
      </vt:variant>
      <vt:variant>
        <vt:lpwstr/>
      </vt:variant>
      <vt:variant>
        <vt:i4>3735675</vt:i4>
      </vt:variant>
      <vt:variant>
        <vt:i4>78</vt:i4>
      </vt:variant>
      <vt:variant>
        <vt:i4>0</vt:i4>
      </vt:variant>
      <vt:variant>
        <vt:i4>5</vt:i4>
      </vt:variant>
      <vt:variant>
        <vt:lpwstr>http://www.nevo.co.il/case/7791493</vt:lpwstr>
      </vt:variant>
      <vt:variant>
        <vt:lpwstr/>
      </vt:variant>
      <vt:variant>
        <vt:i4>3997816</vt:i4>
      </vt:variant>
      <vt:variant>
        <vt:i4>75</vt:i4>
      </vt:variant>
      <vt:variant>
        <vt:i4>0</vt:i4>
      </vt:variant>
      <vt:variant>
        <vt:i4>5</vt:i4>
      </vt:variant>
      <vt:variant>
        <vt:lpwstr>http://www.nevo.co.il/case/5590091</vt:lpwstr>
      </vt:variant>
      <vt:variant>
        <vt:lpwstr/>
      </vt:variant>
      <vt:variant>
        <vt:i4>3539065</vt:i4>
      </vt:variant>
      <vt:variant>
        <vt:i4>72</vt:i4>
      </vt:variant>
      <vt:variant>
        <vt:i4>0</vt:i4>
      </vt:variant>
      <vt:variant>
        <vt:i4>5</vt:i4>
      </vt:variant>
      <vt:variant>
        <vt:lpwstr>http://www.nevo.co.il/case/13093744</vt:lpwstr>
      </vt:variant>
      <vt:variant>
        <vt:lpwstr/>
      </vt:variant>
      <vt:variant>
        <vt:i4>3670132</vt:i4>
      </vt:variant>
      <vt:variant>
        <vt:i4>69</vt:i4>
      </vt:variant>
      <vt:variant>
        <vt:i4>0</vt:i4>
      </vt:variant>
      <vt:variant>
        <vt:i4>5</vt:i4>
      </vt:variant>
      <vt:variant>
        <vt:lpwstr>http://www.nevo.co.il/case/16913730</vt:lpwstr>
      </vt:variant>
      <vt:variant>
        <vt:lpwstr/>
      </vt:variant>
      <vt:variant>
        <vt:i4>6619233</vt:i4>
      </vt:variant>
      <vt:variant>
        <vt:i4>66</vt:i4>
      </vt:variant>
      <vt:variant>
        <vt:i4>0</vt:i4>
      </vt:variant>
      <vt:variant>
        <vt:i4>5</vt:i4>
      </vt:variant>
      <vt:variant>
        <vt:lpwstr>http://www.nevo.co.il/law/70301/40b</vt:lpwstr>
      </vt:variant>
      <vt:variant>
        <vt:lpwstr/>
      </vt:variant>
      <vt:variant>
        <vt:i4>8257634</vt:i4>
      </vt:variant>
      <vt:variant>
        <vt:i4>63</vt:i4>
      </vt:variant>
      <vt:variant>
        <vt:i4>0</vt:i4>
      </vt:variant>
      <vt:variant>
        <vt:i4>5</vt:i4>
      </vt:variant>
      <vt:variant>
        <vt:lpwstr>http://www.nevo.co.il/law/74501</vt:lpwstr>
      </vt:variant>
      <vt:variant>
        <vt:lpwstr/>
      </vt:variant>
      <vt:variant>
        <vt:i4>5308499</vt:i4>
      </vt:variant>
      <vt:variant>
        <vt:i4>60</vt:i4>
      </vt:variant>
      <vt:variant>
        <vt:i4>0</vt:i4>
      </vt:variant>
      <vt:variant>
        <vt:i4>5</vt:i4>
      </vt:variant>
      <vt:variant>
        <vt:lpwstr>http://www.nevo.co.il/law/74501/2</vt:lpwstr>
      </vt:variant>
      <vt:variant>
        <vt:lpwstr/>
      </vt:variant>
      <vt:variant>
        <vt:i4>6422640</vt:i4>
      </vt:variant>
      <vt:variant>
        <vt:i4>57</vt:i4>
      </vt:variant>
      <vt:variant>
        <vt:i4>0</vt:i4>
      </vt:variant>
      <vt:variant>
        <vt:i4>5</vt:i4>
      </vt:variant>
      <vt:variant>
        <vt:lpwstr>http://www.nevo.co.il/law/5227/38.1</vt:lpwstr>
      </vt:variant>
      <vt:variant>
        <vt:lpwstr/>
      </vt:variant>
      <vt:variant>
        <vt:i4>6291576</vt:i4>
      </vt:variant>
      <vt:variant>
        <vt:i4>54</vt:i4>
      </vt:variant>
      <vt:variant>
        <vt:i4>0</vt:i4>
      </vt:variant>
      <vt:variant>
        <vt:i4>5</vt:i4>
      </vt:variant>
      <vt:variant>
        <vt:lpwstr>http://www.nevo.co.il/law/5227/10.a</vt:lpwstr>
      </vt:variant>
      <vt:variant>
        <vt:lpwstr/>
      </vt:variant>
      <vt:variant>
        <vt:i4>8323175</vt:i4>
      </vt:variant>
      <vt:variant>
        <vt:i4>51</vt:i4>
      </vt:variant>
      <vt:variant>
        <vt:i4>0</vt:i4>
      </vt:variant>
      <vt:variant>
        <vt:i4>5</vt:i4>
      </vt:variant>
      <vt:variant>
        <vt:lpwstr>http://www.nevo.co.il/law/5227</vt:lpwstr>
      </vt:variant>
      <vt:variant>
        <vt:lpwstr/>
      </vt:variant>
      <vt:variant>
        <vt:i4>5046344</vt:i4>
      </vt:variant>
      <vt:variant>
        <vt:i4>48</vt:i4>
      </vt:variant>
      <vt:variant>
        <vt:i4>0</vt:i4>
      </vt:variant>
      <vt:variant>
        <vt:i4>5</vt:i4>
      </vt:variant>
      <vt:variant>
        <vt:lpwstr>http://www.nevo.co.il/law/5227/2</vt:lpwstr>
      </vt:variant>
      <vt:variant>
        <vt:lpwstr/>
      </vt:variant>
      <vt:variant>
        <vt:i4>6422631</vt:i4>
      </vt:variant>
      <vt:variant>
        <vt:i4>45</vt:i4>
      </vt:variant>
      <vt:variant>
        <vt:i4>0</vt:i4>
      </vt:variant>
      <vt:variant>
        <vt:i4>5</vt:i4>
      </vt:variant>
      <vt:variant>
        <vt:lpwstr>http://www.nevo.co.il/law/70301/275</vt:lpwstr>
      </vt:variant>
      <vt:variant>
        <vt:lpwstr/>
      </vt:variant>
      <vt:variant>
        <vt:i4>7995492</vt:i4>
      </vt:variant>
      <vt:variant>
        <vt:i4>42</vt:i4>
      </vt:variant>
      <vt:variant>
        <vt:i4>0</vt:i4>
      </vt:variant>
      <vt:variant>
        <vt:i4>5</vt:i4>
      </vt:variant>
      <vt:variant>
        <vt:lpwstr>http://www.nevo.co.il/law/70301</vt:lpwstr>
      </vt:variant>
      <vt:variant>
        <vt:lpwstr/>
      </vt:variant>
      <vt:variant>
        <vt:i4>5177424</vt:i4>
      </vt:variant>
      <vt:variant>
        <vt:i4>39</vt:i4>
      </vt:variant>
      <vt:variant>
        <vt:i4>0</vt:i4>
      </vt:variant>
      <vt:variant>
        <vt:i4>5</vt:i4>
      </vt:variant>
      <vt:variant>
        <vt:lpwstr>http://www.nevo.co.il/law/70301/144.b</vt:lpwstr>
      </vt:variant>
      <vt:variant>
        <vt:lpwstr/>
      </vt:variant>
      <vt:variant>
        <vt:i4>5177424</vt:i4>
      </vt:variant>
      <vt:variant>
        <vt:i4>36</vt:i4>
      </vt:variant>
      <vt:variant>
        <vt:i4>0</vt:i4>
      </vt:variant>
      <vt:variant>
        <vt:i4>5</vt:i4>
      </vt:variant>
      <vt:variant>
        <vt:lpwstr>http://www.nevo.co.il/law/70301/144.a</vt:lpwstr>
      </vt:variant>
      <vt:variant>
        <vt:lpwstr/>
      </vt:variant>
      <vt:variant>
        <vt:i4>5308499</vt:i4>
      </vt:variant>
      <vt:variant>
        <vt:i4>33</vt:i4>
      </vt:variant>
      <vt:variant>
        <vt:i4>0</vt:i4>
      </vt:variant>
      <vt:variant>
        <vt:i4>5</vt:i4>
      </vt:variant>
      <vt:variant>
        <vt:lpwstr>http://www.nevo.co.il/law/74501/2</vt:lpwstr>
      </vt:variant>
      <vt:variant>
        <vt:lpwstr/>
      </vt:variant>
      <vt:variant>
        <vt:i4>8257634</vt:i4>
      </vt:variant>
      <vt:variant>
        <vt:i4>30</vt:i4>
      </vt:variant>
      <vt:variant>
        <vt:i4>0</vt:i4>
      </vt:variant>
      <vt:variant>
        <vt:i4>5</vt:i4>
      </vt:variant>
      <vt:variant>
        <vt:lpwstr>http://www.nevo.co.il/law/74501</vt:lpwstr>
      </vt:variant>
      <vt:variant>
        <vt:lpwstr/>
      </vt:variant>
      <vt:variant>
        <vt:i4>6422640</vt:i4>
      </vt:variant>
      <vt:variant>
        <vt:i4>27</vt:i4>
      </vt:variant>
      <vt:variant>
        <vt:i4>0</vt:i4>
      </vt:variant>
      <vt:variant>
        <vt:i4>5</vt:i4>
      </vt:variant>
      <vt:variant>
        <vt:lpwstr>http://www.nevo.co.il/law/5227/38.1</vt:lpwstr>
      </vt:variant>
      <vt:variant>
        <vt:lpwstr/>
      </vt:variant>
      <vt:variant>
        <vt:i4>6291576</vt:i4>
      </vt:variant>
      <vt:variant>
        <vt:i4>24</vt:i4>
      </vt:variant>
      <vt:variant>
        <vt:i4>0</vt:i4>
      </vt:variant>
      <vt:variant>
        <vt:i4>5</vt:i4>
      </vt:variant>
      <vt:variant>
        <vt:lpwstr>http://www.nevo.co.il/law/5227/10.a</vt:lpwstr>
      </vt:variant>
      <vt:variant>
        <vt:lpwstr/>
      </vt:variant>
      <vt:variant>
        <vt:i4>5046344</vt:i4>
      </vt:variant>
      <vt:variant>
        <vt:i4>21</vt:i4>
      </vt:variant>
      <vt:variant>
        <vt:i4>0</vt:i4>
      </vt:variant>
      <vt:variant>
        <vt:i4>5</vt:i4>
      </vt:variant>
      <vt:variant>
        <vt:lpwstr>http://www.nevo.co.il/law/5227/2</vt:lpwstr>
      </vt:variant>
      <vt:variant>
        <vt:lpwstr/>
      </vt:variant>
      <vt:variant>
        <vt:i4>8323175</vt:i4>
      </vt:variant>
      <vt:variant>
        <vt:i4>18</vt:i4>
      </vt:variant>
      <vt:variant>
        <vt:i4>0</vt:i4>
      </vt:variant>
      <vt:variant>
        <vt:i4>5</vt:i4>
      </vt:variant>
      <vt:variant>
        <vt:lpwstr>http://www.nevo.co.il/law/5227</vt:lpwstr>
      </vt:variant>
      <vt:variant>
        <vt:lpwstr/>
      </vt:variant>
      <vt:variant>
        <vt:i4>6422631</vt:i4>
      </vt:variant>
      <vt:variant>
        <vt:i4>15</vt:i4>
      </vt:variant>
      <vt:variant>
        <vt:i4>0</vt:i4>
      </vt:variant>
      <vt:variant>
        <vt:i4>5</vt:i4>
      </vt:variant>
      <vt:variant>
        <vt:lpwstr>http://www.nevo.co.il/law/70301/275</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2025-01-19T15:52:00Z</dcterms:created>
  <dcterms:modified xsi:type="dcterms:W3CDTF">2025-01-19T15:52:00Z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55664</vt:lpwstr>
  </property>
  <property fmtid="{D5CDD505-2E9C-101B-9397-08002B2CF9AE}" pid="6" name="NEWPARTB">
    <vt:lpwstr>02</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מוחמד ג'אבר</vt:lpwstr>
  </property>
  <property fmtid="{D5CDD505-2E9C-101B-9397-08002B2CF9AE}" pid="10" name="JUDGE">
    <vt:lpwstr>אברהם אליקים</vt:lpwstr>
  </property>
  <property fmtid="{D5CDD505-2E9C-101B-9397-08002B2CF9AE}" pid="11" name="CITY">
    <vt:lpwstr>חי'</vt:lpwstr>
  </property>
  <property fmtid="{D5CDD505-2E9C-101B-9397-08002B2CF9AE}" pid="12" name="DATE">
    <vt:lpwstr>20141111</vt:lpwstr>
  </property>
  <property fmtid="{D5CDD505-2E9C-101B-9397-08002B2CF9AE}" pid="13" name="TYPE_N_DATE">
    <vt:lpwstr>39020141111</vt:lpwstr>
  </property>
  <property fmtid="{D5CDD505-2E9C-101B-9397-08002B2CF9AE}" pid="14" name="CASESLISTTMP1">
    <vt:lpwstr>16913730;13093744;5590091;7791493;6949290;5875905;6063446;5581072</vt:lpwstr>
  </property>
  <property fmtid="{D5CDD505-2E9C-101B-9397-08002B2CF9AE}" pid="15" name="WORDNUMPAGES">
    <vt:lpwstr>7</vt:lpwstr>
  </property>
  <property fmtid="{D5CDD505-2E9C-101B-9397-08002B2CF9AE}" pid="16" name="TYPE_ABS_DATE">
    <vt:lpwstr>390020141111</vt:lpwstr>
  </property>
  <property fmtid="{D5CDD505-2E9C-101B-9397-08002B2CF9AE}" pid="17" name="ISABSTRACT">
    <vt:lpwstr>Y</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70301/144.a;144.b;275;040b;040i</vt:lpwstr>
  </property>
  <property fmtid="{D5CDD505-2E9C-101B-9397-08002B2CF9AE}" pid="37" name="LAWLISTTMP2">
    <vt:lpwstr>5227/002:2;010.a;038.1</vt:lpwstr>
  </property>
  <property fmtid="{D5CDD505-2E9C-101B-9397-08002B2CF9AE}" pid="38" name="LAWLISTTMP3">
    <vt:lpwstr>74501/002:2</vt:lpwstr>
  </property>
</Properties>
</file>