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06FB6" w:rsidRPr="00F06FB6" w14:paraId="336C20CD" w14:textId="77777777">
        <w:trPr>
          <w:trHeight w:hRule="exact" w:val="704"/>
          <w:jc w:val="center"/>
        </w:trPr>
        <w:tc>
          <w:tcPr>
            <w:tcW w:w="8721" w:type="dxa"/>
            <w:gridSpan w:val="2"/>
          </w:tcPr>
          <w:p w14:paraId="21938543" w14:textId="77777777" w:rsidR="00F06FB6" w:rsidRPr="00F06FB6" w:rsidRDefault="00F06FB6" w:rsidP="00F06FB6">
            <w:pPr>
              <w:pStyle w:val="a3"/>
              <w:jc w:val="center"/>
              <w:rPr>
                <w:rFonts w:ascii="Tahoma" w:hAnsi="Tahoma" w:cs="Tahoma"/>
                <w:noProof w:val="0"/>
                <w:color w:val="000080"/>
                <w:rtl/>
              </w:rPr>
            </w:pPr>
            <w:bookmarkStart w:id="0" w:name="LastJudge"/>
            <w:r w:rsidRPr="00F06FB6">
              <w:rPr>
                <w:rFonts w:ascii="Tahoma" w:hAnsi="Tahoma" w:cs="Tahoma"/>
                <w:b/>
                <w:bCs/>
                <w:color w:val="000080"/>
                <w:rtl/>
              </w:rPr>
              <w:t>בית המשפט המחוזי מרכז-לוד</w:t>
            </w:r>
          </w:p>
        </w:tc>
      </w:tr>
      <w:tr w:rsidR="00F06FB6" w:rsidRPr="00F06FB6" w14:paraId="5CAAFE58" w14:textId="77777777">
        <w:trPr>
          <w:trHeight w:val="337"/>
          <w:jc w:val="center"/>
        </w:trPr>
        <w:tc>
          <w:tcPr>
            <w:tcW w:w="5047" w:type="dxa"/>
          </w:tcPr>
          <w:p w14:paraId="56331A8F" w14:textId="77777777" w:rsidR="00F06FB6" w:rsidRPr="00F06FB6" w:rsidRDefault="00F06FB6" w:rsidP="00F06FB6">
            <w:pPr>
              <w:rPr>
                <w:rFonts w:cs="FrankRuehl"/>
                <w:b/>
                <w:bCs/>
                <w:noProof w:val="0"/>
                <w:sz w:val="28"/>
                <w:szCs w:val="28"/>
                <w:rtl/>
              </w:rPr>
            </w:pPr>
          </w:p>
        </w:tc>
        <w:tc>
          <w:tcPr>
            <w:tcW w:w="3674" w:type="dxa"/>
          </w:tcPr>
          <w:p w14:paraId="018EC1BC" w14:textId="77777777" w:rsidR="00F06FB6" w:rsidRPr="00F06FB6" w:rsidRDefault="00F06FB6" w:rsidP="00F06FB6">
            <w:pPr>
              <w:pStyle w:val="a3"/>
              <w:jc w:val="right"/>
              <w:rPr>
                <w:b/>
                <w:bCs/>
                <w:noProof w:val="0"/>
                <w:sz w:val="26"/>
                <w:szCs w:val="26"/>
                <w:rtl/>
              </w:rPr>
            </w:pPr>
          </w:p>
        </w:tc>
      </w:tr>
      <w:tr w:rsidR="00F06FB6" w:rsidRPr="00F06FB6" w14:paraId="5633ED80" w14:textId="77777777">
        <w:trPr>
          <w:trHeight w:val="337"/>
          <w:jc w:val="center"/>
        </w:trPr>
        <w:tc>
          <w:tcPr>
            <w:tcW w:w="8721" w:type="dxa"/>
            <w:gridSpan w:val="2"/>
          </w:tcPr>
          <w:p w14:paraId="26EC66E4" w14:textId="77777777" w:rsidR="00F06FB6" w:rsidRPr="00F06FB6" w:rsidRDefault="00F06FB6" w:rsidP="00F06FB6">
            <w:pPr>
              <w:rPr>
                <w:rFonts w:cs="FrankRuehl"/>
                <w:b/>
                <w:bCs/>
                <w:noProof w:val="0"/>
                <w:sz w:val="28"/>
                <w:szCs w:val="28"/>
                <w:rtl/>
              </w:rPr>
            </w:pPr>
            <w:r w:rsidRPr="00F06FB6">
              <w:rPr>
                <w:rFonts w:cs="FrankRuehl"/>
                <w:b/>
                <w:bCs/>
                <w:noProof w:val="0"/>
                <w:sz w:val="28"/>
                <w:szCs w:val="28"/>
                <w:rtl/>
              </w:rPr>
              <w:t>ת"פ 8718-02-14 מדינת ישראל נ' ריכטר(עציר)</w:t>
            </w:r>
            <w:r w:rsidRPr="00F06FB6">
              <w:rPr>
                <w:rFonts w:cs="FrankRuehl" w:hint="cs"/>
                <w:sz w:val="28"/>
                <w:szCs w:val="28"/>
                <w:rtl/>
              </w:rPr>
              <w:t xml:space="preserve">  </w:t>
            </w:r>
            <w:r w:rsidRPr="00F06FB6">
              <w:rPr>
                <w:rFonts w:cs="FrankRuehl"/>
                <w:sz w:val="28"/>
                <w:szCs w:val="28"/>
                <w:rtl/>
              </w:rPr>
              <w:t xml:space="preserve"> </w:t>
            </w:r>
          </w:p>
        </w:tc>
      </w:tr>
    </w:tbl>
    <w:p w14:paraId="212B3BF1" w14:textId="77777777" w:rsidR="00F06FB6" w:rsidRPr="00F06FB6" w:rsidRDefault="00F06FB6" w:rsidP="00F06FB6">
      <w:pPr>
        <w:pStyle w:val="a3"/>
        <w:rPr>
          <w:noProof w:val="0"/>
          <w:rtl/>
        </w:rPr>
      </w:pPr>
      <w:r w:rsidRPr="00F06FB6">
        <w:rPr>
          <w:noProof w:val="0"/>
          <w:rtl/>
        </w:rPr>
        <w:t xml:space="preserve"> </w:t>
      </w:r>
    </w:p>
    <w:p w14:paraId="12A74A5F" w14:textId="77777777" w:rsidR="0094424E" w:rsidRPr="00F06FB6" w:rsidRDefault="0094424E" w:rsidP="00FC1C15">
      <w:pPr>
        <w:spacing w:line="360" w:lineRule="auto"/>
        <w:rPr>
          <w:rFonts w:cs="FrankRuehl"/>
          <w:sz w:val="28"/>
          <w:szCs w:val="28"/>
          <w:rtl/>
        </w:rPr>
      </w:pPr>
      <w:r w:rsidRPr="00F06FB6">
        <w:rPr>
          <w:rFonts w:cs="FrankRuehl"/>
          <w:sz w:val="28"/>
          <w:szCs w:val="28"/>
          <w:rtl/>
        </w:rPr>
        <w:t xml:space="preserve"> </w:t>
      </w:r>
    </w:p>
    <w:tbl>
      <w:tblPr>
        <w:bidiVisual/>
        <w:tblW w:w="8820" w:type="dxa"/>
        <w:jc w:val="center"/>
        <w:tblLook w:val="01E0" w:firstRow="1" w:lastRow="1" w:firstColumn="1" w:lastColumn="1" w:noHBand="0" w:noVBand="0"/>
      </w:tblPr>
      <w:tblGrid>
        <w:gridCol w:w="743"/>
        <w:gridCol w:w="2506"/>
        <w:gridCol w:w="5571"/>
      </w:tblGrid>
      <w:tr w:rsidR="0094424E" w:rsidRPr="00F06FB6" w14:paraId="64B67E55" w14:textId="77777777">
        <w:trPr>
          <w:jc w:val="center"/>
        </w:trPr>
        <w:tc>
          <w:tcPr>
            <w:tcW w:w="743" w:type="dxa"/>
            <w:shd w:val="clear" w:color="auto" w:fill="auto"/>
          </w:tcPr>
          <w:p w14:paraId="36DCCC5E" w14:textId="77777777" w:rsidR="0094424E" w:rsidRPr="00F06FB6" w:rsidRDefault="0094424E" w:rsidP="008C6712">
            <w:pPr>
              <w:spacing w:line="360" w:lineRule="auto"/>
              <w:jc w:val="both"/>
              <w:rPr>
                <w:rFonts w:ascii="Arial" w:hAnsi="Arial" w:cs="FrankRuehl"/>
                <w:b/>
                <w:bCs/>
                <w:sz w:val="28"/>
                <w:szCs w:val="28"/>
                <w:rtl/>
              </w:rPr>
            </w:pPr>
            <w:r w:rsidRPr="00F06FB6">
              <w:rPr>
                <w:rFonts w:ascii="Arial" w:hAnsi="Arial" w:cs="FrankRuehl" w:hint="cs"/>
                <w:b/>
                <w:bCs/>
                <w:sz w:val="28"/>
                <w:szCs w:val="28"/>
                <w:rtl/>
              </w:rPr>
              <w:t>ב</w:t>
            </w:r>
            <w:r w:rsidRPr="00F06FB6">
              <w:rPr>
                <w:rFonts w:ascii="Arial" w:hAnsi="Arial" w:cs="FrankRuehl"/>
                <w:b/>
                <w:bCs/>
                <w:sz w:val="28"/>
                <w:szCs w:val="28"/>
                <w:rtl/>
              </w:rPr>
              <w:t xml:space="preserve">פני </w:t>
            </w:r>
          </w:p>
        </w:tc>
        <w:tc>
          <w:tcPr>
            <w:tcW w:w="8077" w:type="dxa"/>
            <w:gridSpan w:val="2"/>
            <w:shd w:val="clear" w:color="auto" w:fill="auto"/>
          </w:tcPr>
          <w:p w14:paraId="4F991248" w14:textId="77777777" w:rsidR="0094424E" w:rsidRPr="00F06FB6" w:rsidRDefault="0094424E" w:rsidP="008C6712">
            <w:pPr>
              <w:spacing w:line="360" w:lineRule="auto"/>
              <w:rPr>
                <w:rFonts w:ascii="Arial" w:hAnsi="Arial" w:cs="FrankRuehl"/>
                <w:b/>
                <w:bCs/>
                <w:sz w:val="28"/>
                <w:szCs w:val="28"/>
                <w:rtl/>
              </w:rPr>
            </w:pPr>
            <w:r w:rsidRPr="00F06FB6">
              <w:rPr>
                <w:rFonts w:ascii="Arial" w:hAnsi="Arial" w:cs="FrankRuehl" w:hint="cs"/>
                <w:b/>
                <w:bCs/>
                <w:sz w:val="28"/>
                <w:szCs w:val="28"/>
                <w:rtl/>
              </w:rPr>
              <w:t>כב' ה</w:t>
            </w:r>
            <w:r w:rsidRPr="00F06FB6">
              <w:rPr>
                <w:rFonts w:ascii="Arial" w:hAnsi="Arial" w:cs="FrankRuehl"/>
                <w:b/>
                <w:bCs/>
                <w:sz w:val="28"/>
                <w:szCs w:val="28"/>
                <w:rtl/>
              </w:rPr>
              <w:t>שופטת</w:t>
            </w:r>
            <w:r w:rsidRPr="00F06FB6">
              <w:rPr>
                <w:rFonts w:ascii="Arial" w:hAnsi="Arial" w:cs="FrankRuehl" w:hint="cs"/>
                <w:b/>
                <w:bCs/>
                <w:sz w:val="28"/>
                <w:szCs w:val="28"/>
                <w:rtl/>
              </w:rPr>
              <w:t xml:space="preserve">  </w:t>
            </w:r>
            <w:r w:rsidRPr="00F06FB6">
              <w:rPr>
                <w:rFonts w:ascii="Arial" w:hAnsi="Arial" w:cs="FrankRuehl"/>
                <w:b/>
                <w:bCs/>
                <w:sz w:val="28"/>
                <w:szCs w:val="28"/>
                <w:rtl/>
              </w:rPr>
              <w:t>מיכל ברנט</w:t>
            </w:r>
          </w:p>
          <w:p w14:paraId="3E5F2FB8" w14:textId="77777777" w:rsidR="0094424E" w:rsidRPr="00F06FB6" w:rsidRDefault="0094424E" w:rsidP="008C6712">
            <w:pPr>
              <w:spacing w:line="360" w:lineRule="auto"/>
              <w:rPr>
                <w:rFonts w:ascii="Arial" w:hAnsi="Arial" w:cs="FrankRuehl"/>
                <w:sz w:val="28"/>
                <w:szCs w:val="28"/>
                <w:highlight w:val="yellow"/>
              </w:rPr>
            </w:pPr>
          </w:p>
        </w:tc>
      </w:tr>
      <w:tr w:rsidR="0094424E" w:rsidRPr="00F06FB6" w14:paraId="40D5F9B3" w14:textId="77777777">
        <w:trPr>
          <w:jc w:val="center"/>
        </w:trPr>
        <w:tc>
          <w:tcPr>
            <w:tcW w:w="3249" w:type="dxa"/>
            <w:gridSpan w:val="2"/>
            <w:shd w:val="clear" w:color="auto" w:fill="auto"/>
          </w:tcPr>
          <w:p w14:paraId="48197093" w14:textId="77777777" w:rsidR="0094424E" w:rsidRPr="00F06FB6" w:rsidRDefault="0094424E" w:rsidP="008C6712">
            <w:pPr>
              <w:spacing w:line="360" w:lineRule="auto"/>
              <w:rPr>
                <w:rFonts w:ascii="Arial" w:hAnsi="Arial" w:cs="FrankRuehl"/>
                <w:b/>
                <w:bCs/>
                <w:noProof w:val="0"/>
                <w:sz w:val="28"/>
                <w:szCs w:val="28"/>
              </w:rPr>
            </w:pPr>
            <w:bookmarkStart w:id="1" w:name="FirstAppellant"/>
          </w:p>
          <w:p w14:paraId="13008E3F" w14:textId="77777777" w:rsidR="009E0760" w:rsidRPr="00F06FB6" w:rsidRDefault="00FC1C15" w:rsidP="008C6712">
            <w:pPr>
              <w:spacing w:line="360" w:lineRule="auto"/>
              <w:rPr>
                <w:rFonts w:ascii="Arial" w:hAnsi="Arial" w:cs="FrankRuehl"/>
                <w:b/>
                <w:bCs/>
                <w:noProof w:val="0"/>
                <w:sz w:val="28"/>
                <w:szCs w:val="28"/>
                <w:rtl/>
              </w:rPr>
            </w:pPr>
            <w:r w:rsidRPr="00F06FB6">
              <w:rPr>
                <w:rFonts w:ascii="Arial" w:hAnsi="Arial" w:cs="FrankRuehl" w:hint="cs"/>
                <w:b/>
                <w:bCs/>
                <w:noProof w:val="0"/>
                <w:sz w:val="28"/>
                <w:szCs w:val="28"/>
                <w:rtl/>
              </w:rPr>
              <w:t>ה</w:t>
            </w:r>
            <w:r w:rsidR="00C229A2" w:rsidRPr="00F06FB6">
              <w:rPr>
                <w:rFonts w:ascii="Arial" w:hAnsi="Arial" w:cs="FrankRuehl"/>
                <w:b/>
                <w:bCs/>
                <w:noProof w:val="0"/>
                <w:sz w:val="28"/>
                <w:szCs w:val="28"/>
                <w:rtl/>
              </w:rPr>
              <w:t>מאשימה</w:t>
            </w:r>
          </w:p>
        </w:tc>
        <w:tc>
          <w:tcPr>
            <w:tcW w:w="5571" w:type="dxa"/>
            <w:shd w:val="clear" w:color="auto" w:fill="auto"/>
          </w:tcPr>
          <w:p w14:paraId="175DCE5F" w14:textId="77777777" w:rsidR="0094424E" w:rsidRPr="00F06FB6" w:rsidRDefault="0094424E" w:rsidP="008C6712">
            <w:pPr>
              <w:spacing w:line="360" w:lineRule="auto"/>
              <w:rPr>
                <w:rFonts w:ascii="Arial" w:hAnsi="Arial" w:cs="FrankRuehl"/>
                <w:b/>
                <w:bCs/>
                <w:noProof w:val="0"/>
                <w:sz w:val="28"/>
                <w:szCs w:val="28"/>
                <w:rtl/>
              </w:rPr>
            </w:pPr>
          </w:p>
          <w:p w14:paraId="04C2D0EE" w14:textId="77777777" w:rsidR="0094424E" w:rsidRPr="00F06FB6" w:rsidRDefault="006C30C5" w:rsidP="008C6712">
            <w:pPr>
              <w:spacing w:line="360" w:lineRule="auto"/>
              <w:rPr>
                <w:rFonts w:cs="FrankRuehl"/>
                <w:b/>
                <w:bCs/>
                <w:noProof w:val="0"/>
                <w:sz w:val="28"/>
                <w:szCs w:val="28"/>
              </w:rPr>
            </w:pPr>
            <w:r w:rsidRPr="00F06FB6">
              <w:rPr>
                <w:rFonts w:ascii="Arial" w:hAnsi="Arial" w:cs="FrankRuehl"/>
                <w:b/>
                <w:bCs/>
                <w:noProof w:val="0"/>
                <w:sz w:val="28"/>
                <w:szCs w:val="28"/>
                <w:rtl/>
              </w:rPr>
              <w:t>מדינת ישראל</w:t>
            </w:r>
          </w:p>
        </w:tc>
      </w:tr>
      <w:bookmarkEnd w:id="1"/>
      <w:tr w:rsidR="0094424E" w:rsidRPr="00F06FB6" w14:paraId="6860F44F" w14:textId="77777777">
        <w:trPr>
          <w:jc w:val="center"/>
        </w:trPr>
        <w:tc>
          <w:tcPr>
            <w:tcW w:w="8820" w:type="dxa"/>
            <w:gridSpan w:val="3"/>
            <w:shd w:val="clear" w:color="auto" w:fill="auto"/>
          </w:tcPr>
          <w:p w14:paraId="6BD92D8E" w14:textId="77777777" w:rsidR="0094424E" w:rsidRPr="00F06FB6" w:rsidRDefault="0094424E" w:rsidP="008C6712">
            <w:pPr>
              <w:spacing w:line="360" w:lineRule="auto"/>
              <w:rPr>
                <w:rFonts w:ascii="Arial" w:hAnsi="Arial" w:cs="FrankRuehl"/>
                <w:b/>
                <w:bCs/>
                <w:noProof w:val="0"/>
                <w:sz w:val="28"/>
                <w:szCs w:val="28"/>
                <w:rtl/>
              </w:rPr>
            </w:pPr>
          </w:p>
          <w:p w14:paraId="05B57F26" w14:textId="77777777" w:rsidR="0094424E" w:rsidRPr="00F06FB6" w:rsidRDefault="0094424E" w:rsidP="008C6712">
            <w:pPr>
              <w:spacing w:line="360" w:lineRule="auto"/>
              <w:jc w:val="center"/>
              <w:rPr>
                <w:rFonts w:ascii="Arial" w:hAnsi="Arial" w:cs="FrankRuehl"/>
                <w:b/>
                <w:bCs/>
                <w:noProof w:val="0"/>
                <w:sz w:val="28"/>
                <w:szCs w:val="28"/>
                <w:rtl/>
              </w:rPr>
            </w:pPr>
            <w:r w:rsidRPr="00F06FB6">
              <w:rPr>
                <w:rFonts w:ascii="Arial" w:hAnsi="Arial" w:cs="FrankRuehl"/>
                <w:b/>
                <w:bCs/>
                <w:noProof w:val="0"/>
                <w:sz w:val="28"/>
                <w:szCs w:val="28"/>
                <w:rtl/>
              </w:rPr>
              <w:t>נגד</w:t>
            </w:r>
          </w:p>
          <w:p w14:paraId="1EDB9146" w14:textId="77777777" w:rsidR="0094424E" w:rsidRPr="00F06FB6" w:rsidRDefault="0094424E" w:rsidP="008C6712">
            <w:pPr>
              <w:spacing w:line="360" w:lineRule="auto"/>
              <w:rPr>
                <w:rFonts w:ascii="Arial" w:hAnsi="Arial" w:cs="FrankRuehl"/>
                <w:b/>
                <w:bCs/>
                <w:noProof w:val="0"/>
                <w:sz w:val="28"/>
                <w:szCs w:val="28"/>
              </w:rPr>
            </w:pPr>
          </w:p>
        </w:tc>
      </w:tr>
      <w:tr w:rsidR="0094424E" w:rsidRPr="00F06FB6" w14:paraId="6D1FE9CF" w14:textId="77777777">
        <w:trPr>
          <w:jc w:val="center"/>
        </w:trPr>
        <w:tc>
          <w:tcPr>
            <w:tcW w:w="3249" w:type="dxa"/>
            <w:gridSpan w:val="2"/>
            <w:shd w:val="clear" w:color="auto" w:fill="auto"/>
          </w:tcPr>
          <w:p w14:paraId="6A895848" w14:textId="77777777" w:rsidR="0094424E" w:rsidRPr="00F06FB6" w:rsidRDefault="0094424E" w:rsidP="008C6712">
            <w:pPr>
              <w:spacing w:line="360" w:lineRule="auto"/>
              <w:rPr>
                <w:rFonts w:ascii="Arial" w:hAnsi="Arial" w:cs="FrankRuehl"/>
                <w:b/>
                <w:bCs/>
                <w:noProof w:val="0"/>
                <w:sz w:val="28"/>
                <w:szCs w:val="28"/>
                <w:rtl/>
              </w:rPr>
            </w:pPr>
          </w:p>
          <w:p w14:paraId="320CBD57" w14:textId="77777777" w:rsidR="0094424E" w:rsidRPr="00F06FB6" w:rsidRDefault="00FC1C15" w:rsidP="008C6712">
            <w:pPr>
              <w:spacing w:line="360" w:lineRule="auto"/>
              <w:rPr>
                <w:rFonts w:ascii="Arial" w:hAnsi="Arial" w:cs="FrankRuehl"/>
                <w:b/>
                <w:bCs/>
                <w:noProof w:val="0"/>
                <w:sz w:val="28"/>
                <w:szCs w:val="28"/>
              </w:rPr>
            </w:pPr>
            <w:r w:rsidRPr="00F06FB6">
              <w:rPr>
                <w:rFonts w:ascii="Arial" w:hAnsi="Arial" w:cs="FrankRuehl" w:hint="cs"/>
                <w:b/>
                <w:bCs/>
                <w:noProof w:val="0"/>
                <w:sz w:val="28"/>
                <w:szCs w:val="28"/>
                <w:rtl/>
              </w:rPr>
              <w:t>ה</w:t>
            </w:r>
            <w:r w:rsidRPr="00F06FB6">
              <w:rPr>
                <w:rFonts w:ascii="Arial" w:hAnsi="Arial" w:cs="FrankRuehl"/>
                <w:b/>
                <w:bCs/>
                <w:noProof w:val="0"/>
                <w:sz w:val="28"/>
                <w:szCs w:val="28"/>
                <w:rtl/>
              </w:rPr>
              <w:t>נאש</w:t>
            </w:r>
            <w:r w:rsidR="006C30C5" w:rsidRPr="00F06FB6">
              <w:rPr>
                <w:rFonts w:ascii="Arial" w:hAnsi="Arial" w:cs="FrankRuehl"/>
                <w:b/>
                <w:bCs/>
                <w:noProof w:val="0"/>
                <w:sz w:val="28"/>
                <w:szCs w:val="28"/>
                <w:rtl/>
              </w:rPr>
              <w:t>ם</w:t>
            </w:r>
          </w:p>
        </w:tc>
        <w:tc>
          <w:tcPr>
            <w:tcW w:w="5571" w:type="dxa"/>
            <w:shd w:val="clear" w:color="auto" w:fill="auto"/>
          </w:tcPr>
          <w:p w14:paraId="2DC87DC3" w14:textId="77777777" w:rsidR="0094424E" w:rsidRPr="00F06FB6" w:rsidRDefault="0094424E" w:rsidP="008C6712">
            <w:pPr>
              <w:spacing w:line="360" w:lineRule="auto"/>
              <w:rPr>
                <w:rFonts w:ascii="Arial" w:hAnsi="Arial" w:cs="FrankRuehl"/>
                <w:b/>
                <w:bCs/>
                <w:noProof w:val="0"/>
                <w:sz w:val="28"/>
                <w:szCs w:val="28"/>
                <w:rtl/>
              </w:rPr>
            </w:pPr>
          </w:p>
          <w:p w14:paraId="7F8D5C6E" w14:textId="77777777" w:rsidR="0094424E" w:rsidRPr="00F06FB6" w:rsidRDefault="006C30C5" w:rsidP="008C6712">
            <w:pPr>
              <w:spacing w:line="360" w:lineRule="auto"/>
              <w:rPr>
                <w:rFonts w:cs="FrankRuehl"/>
                <w:b/>
                <w:bCs/>
                <w:noProof w:val="0"/>
                <w:sz w:val="28"/>
                <w:szCs w:val="28"/>
                <w:rtl/>
              </w:rPr>
            </w:pPr>
            <w:r w:rsidRPr="00F06FB6">
              <w:rPr>
                <w:rFonts w:ascii="Arial" w:hAnsi="Arial" w:cs="FrankRuehl"/>
                <w:b/>
                <w:bCs/>
                <w:noProof w:val="0"/>
                <w:sz w:val="28"/>
                <w:szCs w:val="28"/>
                <w:rtl/>
              </w:rPr>
              <w:t>בנימין ריכטר (עציר)</w:t>
            </w:r>
          </w:p>
        </w:tc>
      </w:tr>
    </w:tbl>
    <w:p w14:paraId="7C59A228" w14:textId="77777777" w:rsidR="0094424E" w:rsidRPr="00F06FB6" w:rsidRDefault="0094424E" w:rsidP="00FC1C15">
      <w:pPr>
        <w:spacing w:line="360" w:lineRule="auto"/>
        <w:rPr>
          <w:rFonts w:cs="FrankRuehl"/>
          <w:sz w:val="28"/>
          <w:szCs w:val="28"/>
          <w:rtl/>
        </w:rPr>
      </w:pPr>
    </w:p>
    <w:p w14:paraId="15AED165" w14:textId="77777777" w:rsidR="00E31C2B" w:rsidRPr="00F06FB6" w:rsidRDefault="00E31C2B" w:rsidP="00FC1C15">
      <w:pPr>
        <w:suppressLineNumbers/>
        <w:spacing w:line="360" w:lineRule="auto"/>
        <w:rPr>
          <w:rFonts w:cs="FrankRuehl"/>
          <w:sz w:val="28"/>
          <w:szCs w:val="28"/>
          <w:rtl/>
        </w:rPr>
      </w:pPr>
    </w:p>
    <w:p w14:paraId="6EA3C2B7" w14:textId="77777777" w:rsidR="00FC1C15" w:rsidRPr="00F06FB6" w:rsidRDefault="00FC1C15" w:rsidP="0049519B">
      <w:pPr>
        <w:suppressLineNumbers/>
        <w:spacing w:line="360" w:lineRule="auto"/>
        <w:rPr>
          <w:rFonts w:cs="FrankRuehl"/>
          <w:sz w:val="28"/>
          <w:szCs w:val="28"/>
          <w:rtl/>
        </w:rPr>
      </w:pPr>
      <w:r w:rsidRPr="00F06FB6">
        <w:rPr>
          <w:rFonts w:cs="FrankRuehl" w:hint="cs"/>
          <w:sz w:val="28"/>
          <w:szCs w:val="28"/>
          <w:rtl/>
        </w:rPr>
        <w:t xml:space="preserve">נוכחים: </w:t>
      </w:r>
      <w:bookmarkStart w:id="2" w:name="FirstLawyer"/>
      <w:r w:rsidRPr="00F06FB6">
        <w:rPr>
          <w:rFonts w:cs="FrankRuehl" w:hint="cs"/>
          <w:sz w:val="28"/>
          <w:szCs w:val="28"/>
          <w:rtl/>
        </w:rPr>
        <w:t>ב"כ</w:t>
      </w:r>
      <w:bookmarkEnd w:id="2"/>
      <w:r w:rsidRPr="00F06FB6">
        <w:rPr>
          <w:rFonts w:cs="FrankRuehl" w:hint="cs"/>
          <w:sz w:val="28"/>
          <w:szCs w:val="28"/>
          <w:rtl/>
        </w:rPr>
        <w:t xml:space="preserve"> ה</w:t>
      </w:r>
      <w:r w:rsidR="0049519B" w:rsidRPr="00F06FB6">
        <w:rPr>
          <w:rFonts w:cs="FrankRuehl" w:hint="cs"/>
          <w:sz w:val="28"/>
          <w:szCs w:val="28"/>
          <w:rtl/>
        </w:rPr>
        <w:t>מא</w:t>
      </w:r>
      <w:r w:rsidRPr="00F06FB6">
        <w:rPr>
          <w:rFonts w:cs="FrankRuehl" w:hint="cs"/>
          <w:sz w:val="28"/>
          <w:szCs w:val="28"/>
          <w:rtl/>
        </w:rPr>
        <w:t>שימה עו"ד</w:t>
      </w:r>
      <w:r w:rsidR="00FF2B0C" w:rsidRPr="00F06FB6">
        <w:rPr>
          <w:rFonts w:cs="FrankRuehl" w:hint="cs"/>
          <w:sz w:val="28"/>
          <w:szCs w:val="28"/>
          <w:rtl/>
        </w:rPr>
        <w:t xml:space="preserve"> יעל עצמון ועו"ד ניצן ביילין</w:t>
      </w:r>
    </w:p>
    <w:p w14:paraId="1B71DB12" w14:textId="77777777" w:rsidR="00FC1C15" w:rsidRPr="00F06FB6" w:rsidRDefault="00FC1C15" w:rsidP="00FC1C15">
      <w:pPr>
        <w:suppressLineNumbers/>
        <w:spacing w:line="360" w:lineRule="auto"/>
        <w:rPr>
          <w:rFonts w:cs="FrankRuehl"/>
          <w:sz w:val="28"/>
          <w:szCs w:val="28"/>
          <w:rtl/>
        </w:rPr>
      </w:pPr>
      <w:r w:rsidRPr="00F06FB6">
        <w:rPr>
          <w:rFonts w:cs="FrankRuehl" w:hint="cs"/>
          <w:sz w:val="28"/>
          <w:szCs w:val="28"/>
          <w:rtl/>
        </w:rPr>
        <w:tab/>
        <w:t xml:space="preserve"> ב"כ הנאשם עו"ד </w:t>
      </w:r>
      <w:r w:rsidR="00FF2B0C" w:rsidRPr="00F06FB6">
        <w:rPr>
          <w:rFonts w:cs="FrankRuehl" w:hint="cs"/>
          <w:sz w:val="28"/>
          <w:szCs w:val="28"/>
          <w:rtl/>
        </w:rPr>
        <w:t>גלעד כצמן</w:t>
      </w:r>
    </w:p>
    <w:p w14:paraId="79EE0D4A" w14:textId="77777777" w:rsidR="00FC1C15" w:rsidRPr="00F06FB6" w:rsidRDefault="00FC1C15" w:rsidP="00FC1C15">
      <w:pPr>
        <w:suppressLineNumbers/>
        <w:spacing w:line="360" w:lineRule="auto"/>
        <w:rPr>
          <w:rFonts w:cs="FrankRuehl"/>
          <w:sz w:val="28"/>
          <w:szCs w:val="28"/>
          <w:rtl/>
        </w:rPr>
      </w:pPr>
      <w:r w:rsidRPr="00F06FB6">
        <w:rPr>
          <w:rFonts w:cs="FrankRuehl" w:hint="cs"/>
          <w:sz w:val="28"/>
          <w:szCs w:val="28"/>
          <w:rtl/>
        </w:rPr>
        <w:tab/>
        <w:t xml:space="preserve"> הנאשם הובא על ידי שב"ס.</w:t>
      </w:r>
    </w:p>
    <w:p w14:paraId="3C80C239" w14:textId="77777777" w:rsidR="00FC1C15" w:rsidRPr="00F06FB6" w:rsidRDefault="00FC1C15" w:rsidP="00FC1C15">
      <w:pPr>
        <w:suppressLineNumbers/>
        <w:spacing w:line="360" w:lineRule="auto"/>
        <w:rPr>
          <w:rFonts w:cs="FrankRuehl"/>
          <w:sz w:val="28"/>
          <w:szCs w:val="28"/>
        </w:rPr>
      </w:pPr>
    </w:p>
    <w:p w14:paraId="32A7E5BE" w14:textId="77777777" w:rsidR="00716065" w:rsidRPr="00BF5318" w:rsidRDefault="00716065" w:rsidP="00BF5318">
      <w:pPr>
        <w:spacing w:after="120" w:line="240" w:lineRule="exact"/>
        <w:ind w:left="283" w:hanging="283"/>
        <w:jc w:val="both"/>
        <w:rPr>
          <w:rFonts w:ascii="FrankRuehl" w:hAnsi="FrankRuehl" w:cs="FrankRuehl"/>
          <w:noProof w:val="0"/>
          <w:rtl/>
        </w:rPr>
      </w:pPr>
      <w:bookmarkStart w:id="3" w:name="LawTable"/>
      <w:bookmarkStart w:id="4" w:name="PsakDin"/>
      <w:bookmarkEnd w:id="3"/>
    </w:p>
    <w:p w14:paraId="6E25661D" w14:textId="77777777" w:rsidR="00716065" w:rsidRPr="00BF5318" w:rsidRDefault="00716065" w:rsidP="00BF5318">
      <w:pPr>
        <w:spacing w:after="120" w:line="240" w:lineRule="exact"/>
        <w:ind w:left="283" w:hanging="283"/>
        <w:jc w:val="both"/>
        <w:rPr>
          <w:rFonts w:ascii="FrankRuehl" w:hAnsi="FrankRuehl" w:cs="FrankRuehl"/>
          <w:noProof w:val="0"/>
          <w:rtl/>
        </w:rPr>
      </w:pPr>
      <w:r w:rsidRPr="00BF5318">
        <w:rPr>
          <w:rFonts w:ascii="FrankRuehl" w:hAnsi="FrankRuehl" w:cs="FrankRuehl"/>
          <w:noProof w:val="0"/>
          <w:rtl/>
        </w:rPr>
        <w:t xml:space="preserve">חקיקה שאוזכרה: </w:t>
      </w:r>
    </w:p>
    <w:p w14:paraId="2BCB5A4D" w14:textId="77777777" w:rsidR="00716065" w:rsidRPr="00BF5318" w:rsidRDefault="00716065" w:rsidP="00BF5318">
      <w:pPr>
        <w:spacing w:after="120" w:line="240" w:lineRule="exact"/>
        <w:ind w:left="283" w:hanging="283"/>
        <w:jc w:val="both"/>
        <w:rPr>
          <w:rFonts w:ascii="FrankRuehl" w:hAnsi="FrankRuehl" w:cs="FrankRuehl"/>
          <w:noProof w:val="0"/>
          <w:rtl/>
        </w:rPr>
      </w:pPr>
      <w:hyperlink r:id="rId8" w:history="1">
        <w:r w:rsidRPr="00BF5318">
          <w:rPr>
            <w:rFonts w:ascii="FrankRuehl" w:hAnsi="FrankRuehl" w:cs="FrankRuehl"/>
            <w:noProof w:val="0"/>
            <w:color w:val="0000FF"/>
            <w:u w:val="single"/>
            <w:rtl/>
          </w:rPr>
          <w:t>חוק העונשין, תשל"ז-1977</w:t>
        </w:r>
      </w:hyperlink>
      <w:r w:rsidRPr="00BF5318">
        <w:rPr>
          <w:rFonts w:ascii="FrankRuehl" w:hAnsi="FrankRuehl" w:cs="FrankRuehl"/>
          <w:noProof w:val="0"/>
          <w:rtl/>
        </w:rPr>
        <w:t xml:space="preserve">: סע'  </w:t>
      </w:r>
      <w:hyperlink r:id="rId9" w:history="1">
        <w:r w:rsidRPr="00BF5318">
          <w:rPr>
            <w:rFonts w:ascii="FrankRuehl" w:hAnsi="FrankRuehl" w:cs="FrankRuehl"/>
            <w:noProof w:val="0"/>
            <w:color w:val="0000FF"/>
            <w:u w:val="single"/>
            <w:rtl/>
          </w:rPr>
          <w:t>29</w:t>
        </w:r>
      </w:hyperlink>
      <w:r w:rsidRPr="00BF5318">
        <w:rPr>
          <w:rFonts w:ascii="FrankRuehl" w:hAnsi="FrankRuehl" w:cs="FrankRuehl"/>
          <w:noProof w:val="0"/>
          <w:rtl/>
        </w:rPr>
        <w:t xml:space="preserve">, </w:t>
      </w:r>
      <w:hyperlink r:id="rId10" w:history="1">
        <w:r w:rsidRPr="00BF5318">
          <w:rPr>
            <w:rFonts w:ascii="FrankRuehl" w:hAnsi="FrankRuehl" w:cs="FrankRuehl"/>
            <w:noProof w:val="0"/>
            <w:color w:val="0000FF"/>
            <w:u w:val="single"/>
            <w:rtl/>
          </w:rPr>
          <w:t>40ג.</w:t>
        </w:r>
      </w:hyperlink>
      <w:r w:rsidRPr="00BF5318">
        <w:rPr>
          <w:rFonts w:ascii="FrankRuehl" w:hAnsi="FrankRuehl" w:cs="FrankRuehl"/>
          <w:noProof w:val="0"/>
          <w:rtl/>
        </w:rPr>
        <w:t xml:space="preserve">, </w:t>
      </w:r>
      <w:hyperlink r:id="rId11" w:history="1">
        <w:r w:rsidRPr="00BF5318">
          <w:rPr>
            <w:rFonts w:ascii="FrankRuehl" w:hAnsi="FrankRuehl" w:cs="FrankRuehl"/>
            <w:noProof w:val="0"/>
            <w:color w:val="0000FF"/>
            <w:u w:val="single"/>
            <w:rtl/>
          </w:rPr>
          <w:t>40ו'</w:t>
        </w:r>
      </w:hyperlink>
      <w:r w:rsidRPr="00BF5318">
        <w:rPr>
          <w:rFonts w:ascii="FrankRuehl" w:hAnsi="FrankRuehl" w:cs="FrankRuehl"/>
          <w:noProof w:val="0"/>
          <w:rtl/>
        </w:rPr>
        <w:t xml:space="preserve">, </w:t>
      </w:r>
      <w:hyperlink r:id="rId12" w:history="1">
        <w:r w:rsidRPr="00BF5318">
          <w:rPr>
            <w:rFonts w:ascii="FrankRuehl" w:hAnsi="FrankRuehl" w:cs="FrankRuehl"/>
            <w:noProof w:val="0"/>
            <w:color w:val="0000FF"/>
            <w:u w:val="single"/>
            <w:rtl/>
          </w:rPr>
          <w:t>40ז</w:t>
        </w:r>
      </w:hyperlink>
      <w:r w:rsidRPr="00BF5318">
        <w:rPr>
          <w:rFonts w:ascii="FrankRuehl" w:hAnsi="FrankRuehl" w:cs="FrankRuehl"/>
          <w:noProof w:val="0"/>
          <w:rtl/>
        </w:rPr>
        <w:t xml:space="preserve">, </w:t>
      </w:r>
      <w:hyperlink r:id="rId13" w:history="1">
        <w:r w:rsidRPr="00BF5318">
          <w:rPr>
            <w:rFonts w:ascii="FrankRuehl" w:hAnsi="FrankRuehl" w:cs="FrankRuehl"/>
            <w:noProof w:val="0"/>
            <w:color w:val="0000FF"/>
            <w:u w:val="single"/>
            <w:rtl/>
          </w:rPr>
          <w:t>144 ו</w:t>
        </w:r>
      </w:hyperlink>
      <w:r w:rsidRPr="00BF5318">
        <w:rPr>
          <w:rFonts w:ascii="FrankRuehl" w:hAnsi="FrankRuehl" w:cs="FrankRuehl"/>
          <w:noProof w:val="0"/>
          <w:rtl/>
        </w:rPr>
        <w:t xml:space="preserve">, </w:t>
      </w:r>
      <w:hyperlink r:id="rId14" w:history="1">
        <w:r w:rsidRPr="00BF5318">
          <w:rPr>
            <w:rFonts w:ascii="FrankRuehl" w:hAnsi="FrankRuehl" w:cs="FrankRuehl"/>
            <w:noProof w:val="0"/>
            <w:color w:val="0000FF"/>
            <w:u w:val="single"/>
            <w:rtl/>
          </w:rPr>
          <w:t>196</w:t>
        </w:r>
      </w:hyperlink>
      <w:r w:rsidRPr="00BF5318">
        <w:rPr>
          <w:rFonts w:ascii="FrankRuehl" w:hAnsi="FrankRuehl" w:cs="FrankRuehl"/>
          <w:noProof w:val="0"/>
          <w:rtl/>
        </w:rPr>
        <w:t xml:space="preserve">, </w:t>
      </w:r>
      <w:hyperlink r:id="rId15" w:history="1">
        <w:r w:rsidRPr="00BF5318">
          <w:rPr>
            <w:rFonts w:ascii="FrankRuehl" w:hAnsi="FrankRuehl" w:cs="FrankRuehl"/>
            <w:noProof w:val="0"/>
            <w:color w:val="0000FF"/>
            <w:u w:val="single"/>
            <w:rtl/>
          </w:rPr>
          <w:t>287(א)</w:t>
        </w:r>
      </w:hyperlink>
      <w:r w:rsidRPr="00BF5318">
        <w:rPr>
          <w:rFonts w:ascii="FrankRuehl" w:hAnsi="FrankRuehl" w:cs="FrankRuehl"/>
          <w:noProof w:val="0"/>
          <w:rtl/>
        </w:rPr>
        <w:t xml:space="preserve">, </w:t>
      </w:r>
      <w:hyperlink r:id="rId16" w:history="1">
        <w:r w:rsidRPr="00BF5318">
          <w:rPr>
            <w:rFonts w:ascii="FrankRuehl" w:hAnsi="FrankRuehl" w:cs="FrankRuehl"/>
            <w:noProof w:val="0"/>
            <w:color w:val="0000FF"/>
            <w:u w:val="single"/>
            <w:rtl/>
          </w:rPr>
          <w:t>448(א</w:t>
        </w:r>
      </w:hyperlink>
      <w:r w:rsidRPr="00BF5318">
        <w:rPr>
          <w:rFonts w:ascii="FrankRuehl" w:hAnsi="FrankRuehl" w:cs="FrankRuehl"/>
          <w:noProof w:val="0"/>
          <w:rtl/>
        </w:rPr>
        <w:t xml:space="preserve">, </w:t>
      </w:r>
      <w:hyperlink r:id="rId17" w:history="1">
        <w:r w:rsidRPr="00BF5318">
          <w:rPr>
            <w:rFonts w:ascii="FrankRuehl" w:hAnsi="FrankRuehl" w:cs="FrankRuehl"/>
            <w:noProof w:val="0"/>
            <w:color w:val="0000FF"/>
            <w:u w:val="single"/>
            <w:rtl/>
          </w:rPr>
          <w:t>499(א)</w:t>
        </w:r>
      </w:hyperlink>
    </w:p>
    <w:p w14:paraId="335407E0" w14:textId="77777777" w:rsidR="00716065" w:rsidRDefault="00716065" w:rsidP="00BF5318">
      <w:pPr>
        <w:spacing w:after="120" w:line="240" w:lineRule="exact"/>
        <w:ind w:left="283" w:hanging="283"/>
        <w:jc w:val="both"/>
        <w:rPr>
          <w:rFonts w:ascii="FrankRuehl" w:hAnsi="FrankRuehl" w:cs="FrankRuehl" w:hint="cs"/>
          <w:noProof w:val="0"/>
          <w:rtl/>
        </w:rPr>
      </w:pPr>
    </w:p>
    <w:p w14:paraId="39BEF64A" w14:textId="77777777" w:rsidR="00716065" w:rsidRDefault="00716065" w:rsidP="00BF5318">
      <w:pPr>
        <w:spacing w:after="120" w:line="240" w:lineRule="exact"/>
        <w:ind w:left="283" w:hanging="283"/>
        <w:jc w:val="both"/>
        <w:rPr>
          <w:rFonts w:ascii="FrankRuehl" w:hAnsi="FrankRuehl" w:cs="FrankRuehl" w:hint="cs"/>
          <w:noProof w:val="0"/>
          <w:rtl/>
        </w:rPr>
      </w:pPr>
    </w:p>
    <w:p w14:paraId="6DFB4D85" w14:textId="77777777" w:rsidR="00557C3E" w:rsidRDefault="00557C3E" w:rsidP="00557C3E">
      <w:pPr>
        <w:pStyle w:val="ad"/>
        <w:spacing w:before="100" w:beforeAutospacing="1" w:after="100" w:afterAutospacing="1" w:line="360" w:lineRule="auto"/>
        <w:ind w:left="360"/>
        <w:jc w:val="both"/>
        <w:rPr>
          <w:rFonts w:cs="David" w:hint="cs"/>
          <w:sz w:val="24"/>
          <w:szCs w:val="24"/>
          <w:rtl/>
        </w:rPr>
      </w:pPr>
    </w:p>
    <w:p w14:paraId="5CD9E2F2" w14:textId="77777777" w:rsidR="00557C3E" w:rsidRDefault="00557C3E" w:rsidP="00557C3E">
      <w:pPr>
        <w:pStyle w:val="ad"/>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5" w:name="ABSTRACT_START"/>
      <w:bookmarkEnd w:id="5"/>
      <w:r>
        <w:rPr>
          <w:rFonts w:ascii="Times New Roman" w:hAnsi="Times New Roman" w:cs="FrankRuehl"/>
          <w:sz w:val="24"/>
          <w:szCs w:val="26"/>
          <w:rtl/>
        </w:rPr>
        <w:t>מיני-רציו:</w:t>
      </w:r>
    </w:p>
    <w:p w14:paraId="2DE45307" w14:textId="77777777" w:rsidR="00557C3E" w:rsidRDefault="00557C3E" w:rsidP="00557C3E">
      <w:pPr>
        <w:pStyle w:val="ad"/>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557C3E">
        <w:rPr>
          <w:rFonts w:ascii="Times New Roman" w:hAnsi="Times New Roman" w:cs="FrankRuehl" w:hint="cs"/>
          <w:sz w:val="24"/>
          <w:szCs w:val="26"/>
          <w:rtl/>
        </w:rPr>
        <w:t>בית המשפט השית על הנאשם, בגין מעורבותו בהצתת רכבים של פלסטינאי, 36 חודשי מאסר בפועל, 12 חודשי מאסר על תנאי ופיצוי למתלונן.</w:t>
      </w:r>
    </w:p>
    <w:p w14:paraId="2B5209B6" w14:textId="77777777" w:rsidR="00716065" w:rsidRPr="00557C3E" w:rsidRDefault="00557C3E" w:rsidP="00557C3E">
      <w:pPr>
        <w:pStyle w:val="ad"/>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sz w:val="24"/>
          <w:szCs w:val="26"/>
          <w:rtl/>
        </w:rPr>
        <w:t>* עונשין</w:t>
      </w:r>
      <w:r>
        <w:rPr>
          <w:rFonts w:ascii="Times New Roman" w:hAnsi="Times New Roman" w:cs="FrankRuehl"/>
          <w:sz w:val="24"/>
          <w:szCs w:val="26"/>
        </w:rPr>
        <w:t xml:space="preserve">  –  </w:t>
      </w:r>
      <w:r>
        <w:rPr>
          <w:rFonts w:ascii="Times New Roman" w:hAnsi="Times New Roman" w:cs="FrankRuehl"/>
          <w:sz w:val="24"/>
          <w:szCs w:val="26"/>
          <w:rtl/>
        </w:rPr>
        <w:t>ענישה</w:t>
      </w:r>
      <w:r>
        <w:rPr>
          <w:rFonts w:ascii="Times New Roman" w:hAnsi="Times New Roman" w:cs="FrankRuehl"/>
          <w:sz w:val="24"/>
          <w:szCs w:val="26"/>
        </w:rPr>
        <w:t xml:space="preserve">  –  </w:t>
      </w:r>
      <w:r>
        <w:rPr>
          <w:rFonts w:ascii="Times New Roman" w:hAnsi="Times New Roman" w:cs="FrankRuehl"/>
          <w:sz w:val="24"/>
          <w:szCs w:val="26"/>
          <w:rtl/>
        </w:rPr>
        <w:t>מדיניות ענישה: עבירות המרדה וגזענות</w:t>
      </w:r>
    </w:p>
    <w:p w14:paraId="054B609D" w14:textId="77777777" w:rsidR="00557C3E" w:rsidRDefault="00557C3E" w:rsidP="00557C3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7C6242D" w14:textId="77777777" w:rsidR="00716065" w:rsidRPr="00557C3E" w:rsidRDefault="00716065" w:rsidP="00557C3E">
      <w:pPr>
        <w:pBdr>
          <w:top w:val="single" w:sz="4" w:space="1" w:color="auto"/>
          <w:bottom w:val="single" w:sz="4" w:space="1" w:color="auto"/>
        </w:pBdr>
        <w:spacing w:after="120" w:line="320" w:lineRule="exact"/>
        <w:jc w:val="both"/>
        <w:rPr>
          <w:rFonts w:cs="FrankRuehl" w:hint="cs"/>
          <w:szCs w:val="26"/>
          <w:rtl/>
        </w:rPr>
      </w:pPr>
      <w:r w:rsidRPr="00557C3E">
        <w:rPr>
          <w:rFonts w:cs="FrankRuehl" w:hint="cs"/>
          <w:szCs w:val="26"/>
          <w:rtl/>
        </w:rPr>
        <w:t>הנאשם הורשע ע"פ הודאתו, בגין מעורבותו בהצתת רכבים של פלסטינאי, ממניע של גזענות או עוינות כלפי הציבור, זאת בעודו אמור להיות מצוי במעצר בית בגין תיק אחר שנפתח כנגדו.</w:t>
      </w:r>
    </w:p>
    <w:p w14:paraId="4766B494" w14:textId="77777777" w:rsidR="00557C3E" w:rsidRDefault="00557C3E" w:rsidP="00557C3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4A2A70A0" w14:textId="77777777" w:rsidR="00716065" w:rsidRPr="00557C3E" w:rsidRDefault="00716065" w:rsidP="00557C3E">
      <w:pPr>
        <w:pBdr>
          <w:top w:val="single" w:sz="4" w:space="1" w:color="auto"/>
          <w:bottom w:val="single" w:sz="4" w:space="1" w:color="auto"/>
        </w:pBdr>
        <w:spacing w:after="120" w:line="320" w:lineRule="exact"/>
        <w:jc w:val="both"/>
        <w:rPr>
          <w:rFonts w:cs="FrankRuehl" w:hint="cs"/>
          <w:szCs w:val="26"/>
          <w:rtl/>
        </w:rPr>
      </w:pPr>
      <w:r w:rsidRPr="00557C3E">
        <w:rPr>
          <w:rFonts w:cs="FrankRuehl"/>
          <w:szCs w:val="26"/>
          <w:rtl/>
        </w:rPr>
        <w:t>בית המשפט המחוזי</w:t>
      </w:r>
      <w:r w:rsidRPr="00557C3E">
        <w:rPr>
          <w:rFonts w:cs="FrankRuehl" w:hint="cs"/>
          <w:szCs w:val="26"/>
          <w:rtl/>
        </w:rPr>
        <w:t xml:space="preserve"> גזר את הדין כדלהלן:</w:t>
      </w:r>
    </w:p>
    <w:p w14:paraId="592F8250" w14:textId="77777777" w:rsidR="00716065" w:rsidRDefault="00716065" w:rsidP="00557C3E">
      <w:pPr>
        <w:pBdr>
          <w:top w:val="single" w:sz="4" w:space="1" w:color="auto"/>
          <w:bottom w:val="single" w:sz="4" w:space="1" w:color="auto"/>
        </w:pBdr>
        <w:spacing w:after="120" w:line="320" w:lineRule="exact"/>
        <w:jc w:val="both"/>
        <w:rPr>
          <w:rFonts w:ascii="FrankRuehl" w:hAnsi="FrankRuehl" w:cs="FrankRuehl" w:hint="cs"/>
          <w:noProof w:val="0"/>
          <w:rtl/>
        </w:rPr>
      </w:pPr>
      <w:r w:rsidRPr="00557C3E">
        <w:rPr>
          <w:rFonts w:cs="FrankRuehl" w:hint="cs"/>
          <w:szCs w:val="26"/>
          <w:rtl/>
        </w:rPr>
        <w:t xml:space="preserve">המחוקק מצא לבטא את חומרתן של עבירות המונעות ממניעי גזענות או עוינות, החותרות תחת אושיות המשפט והישות הדמוקרטית של מדינת ישראל, ומצא להכפיל את עונשן. עבירת ההצתה </w:t>
      </w:r>
      <w:r w:rsidRPr="00557C3E">
        <w:rPr>
          <w:rFonts w:cs="FrankRuehl"/>
          <w:szCs w:val="26"/>
          <w:rtl/>
        </w:rPr>
        <w:t xml:space="preserve">היא מן העבירות החמורות </w:t>
      </w:r>
      <w:r w:rsidRPr="00557C3E">
        <w:rPr>
          <w:rFonts w:cs="FrankRuehl" w:hint="cs"/>
          <w:szCs w:val="26"/>
          <w:rtl/>
        </w:rPr>
        <w:t>שקיימות, ו</w:t>
      </w:r>
      <w:r w:rsidRPr="00557C3E">
        <w:rPr>
          <w:rFonts w:cs="FrankRuehl"/>
          <w:szCs w:val="26"/>
          <w:rtl/>
        </w:rPr>
        <w:t>חומרה מיוחדת נעוצה במניע האידאולוגי שעמד בבסיס</w:t>
      </w:r>
      <w:r w:rsidRPr="00557C3E">
        <w:rPr>
          <w:rFonts w:cs="FrankRuehl" w:hint="cs"/>
          <w:szCs w:val="26"/>
          <w:rtl/>
        </w:rPr>
        <w:t>ה. בנסיבות מעשה העבירה בתיק זה, מתחם העונש ההולם נע בין 25 ל-50 חודשי מאסר בפועל. בהתחשב במכלול השיקולים והנסיבות, הושתו על הנאשם 36 חודשי מאסר בפועל בניכוי מעצרו, 12 חודשי מאסר על תנאי ופיצוי למתלונן בסך של 15,000 ₪.</w:t>
      </w:r>
      <w:bookmarkStart w:id="6" w:name="ABSTRACT_END"/>
      <w:bookmarkEnd w:id="6"/>
    </w:p>
    <w:p w14:paraId="0EA72F40" w14:textId="77777777" w:rsidR="00716065" w:rsidRPr="00BF5318" w:rsidRDefault="00716065" w:rsidP="00BF5318">
      <w:pPr>
        <w:spacing w:after="120" w:line="240" w:lineRule="exact"/>
        <w:ind w:left="283" w:hanging="283"/>
        <w:jc w:val="both"/>
        <w:rPr>
          <w:rFonts w:ascii="FrankRuehl" w:hAnsi="FrankRuehl" w:cs="FrankRuehl" w:hint="cs"/>
          <w:noProof w:val="0"/>
          <w:rtl/>
        </w:rPr>
      </w:pPr>
    </w:p>
    <w:p w14:paraId="3ECC6B37" w14:textId="77777777" w:rsidR="00716065" w:rsidRPr="00F06FB6" w:rsidRDefault="00716065" w:rsidP="00F06FB6">
      <w:pPr>
        <w:spacing w:line="360" w:lineRule="auto"/>
        <w:jc w:val="center"/>
        <w:rPr>
          <w:rFonts w:ascii="Arial" w:hAnsi="Arial" w:cs="FrankRuehl"/>
          <w:b/>
          <w:bCs/>
          <w:noProof w:val="0"/>
          <w:sz w:val="28"/>
          <w:szCs w:val="28"/>
          <w:u w:val="single"/>
        </w:rPr>
      </w:pPr>
      <w:bookmarkStart w:id="7" w:name="LawTable_End"/>
      <w:bookmarkEnd w:id="7"/>
      <w:r w:rsidRPr="00F06FB6">
        <w:rPr>
          <w:rFonts w:ascii="Arial" w:hAnsi="Arial" w:cs="FrankRuehl"/>
          <w:b/>
          <w:bCs/>
          <w:noProof w:val="0"/>
          <w:sz w:val="28"/>
          <w:szCs w:val="28"/>
          <w:u w:val="single"/>
          <w:rtl/>
        </w:rPr>
        <w:t>גזר דין</w:t>
      </w:r>
    </w:p>
    <w:bookmarkEnd w:id="4"/>
    <w:p w14:paraId="4339E2F7" w14:textId="77777777" w:rsidR="00716065" w:rsidRPr="008C6712" w:rsidRDefault="00716065" w:rsidP="008C6712">
      <w:pPr>
        <w:spacing w:line="360" w:lineRule="auto"/>
        <w:rPr>
          <w:rFonts w:ascii="Arial" w:hAnsi="Arial" w:cs="FrankRuehl"/>
          <w:b/>
          <w:bCs/>
          <w:noProof w:val="0"/>
          <w:sz w:val="28"/>
          <w:szCs w:val="28"/>
          <w:u w:val="single"/>
          <w:rtl/>
        </w:rPr>
      </w:pPr>
      <w:r w:rsidRPr="008C6712">
        <w:rPr>
          <w:rFonts w:ascii="Arial" w:hAnsi="Arial" w:cs="FrankRuehl" w:hint="cs"/>
          <w:b/>
          <w:bCs/>
          <w:noProof w:val="0"/>
          <w:sz w:val="28"/>
          <w:szCs w:val="28"/>
          <w:u w:val="single"/>
          <w:rtl/>
        </w:rPr>
        <w:t>כללי</w:t>
      </w:r>
    </w:p>
    <w:bookmarkEnd w:id="0"/>
    <w:p w14:paraId="1EC4EA3C" w14:textId="77777777" w:rsidR="00694556" w:rsidRDefault="00FC1C15" w:rsidP="00760F7A">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w:t>
      </w:r>
      <w:r>
        <w:rPr>
          <w:rFonts w:ascii="Arial" w:hAnsi="Arial" w:cs="FrankRuehl" w:hint="cs"/>
          <w:noProof w:val="0"/>
          <w:sz w:val="28"/>
          <w:szCs w:val="28"/>
          <w:rtl/>
        </w:rPr>
        <w:tab/>
        <w:t>הנאשם הודה במסגרת הסכם טיעון אשר לא כלל הסכמה לעניין העונש</w:t>
      </w:r>
      <w:r w:rsidR="00247D7E">
        <w:rPr>
          <w:rFonts w:ascii="Arial" w:hAnsi="Arial" w:cs="FrankRuehl" w:hint="cs"/>
          <w:noProof w:val="0"/>
          <w:sz w:val="28"/>
          <w:szCs w:val="28"/>
          <w:rtl/>
        </w:rPr>
        <w:t xml:space="preserve">, והורשע </w:t>
      </w:r>
      <w:r>
        <w:rPr>
          <w:rFonts w:ascii="Arial" w:hAnsi="Arial" w:cs="FrankRuehl" w:hint="cs"/>
          <w:noProof w:val="0"/>
          <w:sz w:val="28"/>
          <w:szCs w:val="28"/>
          <w:rtl/>
        </w:rPr>
        <w:t xml:space="preserve"> בעבירות של קשירת קשר לביצוע פשע מתוך מניע גזענות או עויינות כלפי ציבור, עבירה לפי </w:t>
      </w:r>
      <w:hyperlink r:id="rId18" w:history="1">
        <w:r w:rsidR="00BF5318" w:rsidRPr="00BF5318">
          <w:rPr>
            <w:rFonts w:ascii="Arial" w:hAnsi="Arial" w:cs="FrankRuehl"/>
            <w:noProof w:val="0"/>
            <w:color w:val="0000FF"/>
            <w:sz w:val="28"/>
            <w:szCs w:val="28"/>
            <w:u w:val="single"/>
            <w:rtl/>
          </w:rPr>
          <w:t>סעיף 499(א)</w:t>
        </w:r>
      </w:hyperlink>
      <w:r>
        <w:rPr>
          <w:rFonts w:ascii="Arial" w:hAnsi="Arial" w:cs="FrankRuehl" w:hint="cs"/>
          <w:noProof w:val="0"/>
          <w:sz w:val="28"/>
          <w:szCs w:val="28"/>
          <w:rtl/>
        </w:rPr>
        <w:t xml:space="preserve"> יחד עם </w:t>
      </w:r>
      <w:hyperlink r:id="rId19" w:history="1">
        <w:r w:rsidR="00BF5318" w:rsidRPr="00BF5318">
          <w:rPr>
            <w:rFonts w:ascii="Arial" w:hAnsi="Arial" w:cs="FrankRuehl"/>
            <w:noProof w:val="0"/>
            <w:color w:val="0000FF"/>
            <w:sz w:val="28"/>
            <w:szCs w:val="28"/>
            <w:u w:val="single"/>
            <w:rtl/>
          </w:rPr>
          <w:t>סעיף 144 ו</w:t>
        </w:r>
      </w:hyperlink>
      <w:r>
        <w:rPr>
          <w:rFonts w:ascii="Arial" w:hAnsi="Arial" w:cs="FrankRuehl" w:hint="cs"/>
          <w:noProof w:val="0"/>
          <w:sz w:val="28"/>
          <w:szCs w:val="28"/>
          <w:rtl/>
        </w:rPr>
        <w:t>' ל</w:t>
      </w:r>
      <w:hyperlink r:id="rId20" w:history="1">
        <w:r w:rsidR="00F06FB6" w:rsidRPr="00F06FB6">
          <w:rPr>
            <w:rFonts w:ascii="Arial" w:hAnsi="Arial" w:cs="FrankRuehl"/>
            <w:noProof w:val="0"/>
            <w:color w:val="0000FF"/>
            <w:sz w:val="28"/>
            <w:szCs w:val="28"/>
            <w:u w:val="single"/>
            <w:rtl/>
          </w:rPr>
          <w:t>חוק העונשין</w:t>
        </w:r>
      </w:hyperlink>
      <w:r>
        <w:rPr>
          <w:rFonts w:ascii="Arial" w:hAnsi="Arial" w:cs="FrankRuehl" w:hint="cs"/>
          <w:noProof w:val="0"/>
          <w:sz w:val="28"/>
          <w:szCs w:val="28"/>
          <w:rtl/>
        </w:rPr>
        <w:t xml:space="preserve">, התשל"ז-1977; הצתה בצוותא חדא, עבירה לפי </w:t>
      </w:r>
      <w:hyperlink r:id="rId21" w:history="1">
        <w:r w:rsidR="00BF5318" w:rsidRPr="00BF5318">
          <w:rPr>
            <w:rFonts w:ascii="Arial" w:hAnsi="Arial" w:cs="FrankRuehl"/>
            <w:noProof w:val="0"/>
            <w:color w:val="0000FF"/>
            <w:sz w:val="28"/>
            <w:szCs w:val="28"/>
            <w:u w:val="single"/>
            <w:rtl/>
          </w:rPr>
          <w:t>סעיף 448(א</w:t>
        </w:r>
      </w:hyperlink>
      <w:r>
        <w:rPr>
          <w:rFonts w:ascii="Arial" w:hAnsi="Arial" w:cs="FrankRuehl" w:hint="cs"/>
          <w:noProof w:val="0"/>
          <w:sz w:val="28"/>
          <w:szCs w:val="28"/>
          <w:rtl/>
        </w:rPr>
        <w:t xml:space="preserve"> ) </w:t>
      </w:r>
      <w:r w:rsidR="00760F7A">
        <w:rPr>
          <w:rFonts w:ascii="Arial" w:hAnsi="Arial" w:cs="FrankRuehl" w:hint="cs"/>
          <w:noProof w:val="0"/>
          <w:sz w:val="28"/>
          <w:szCs w:val="28"/>
          <w:rtl/>
        </w:rPr>
        <w:t xml:space="preserve">רישא יחד עם </w:t>
      </w:r>
      <w:hyperlink r:id="rId22" w:history="1">
        <w:r w:rsidR="00BF5318" w:rsidRPr="00BF5318">
          <w:rPr>
            <w:rFonts w:ascii="Arial" w:hAnsi="Arial" w:cs="FrankRuehl"/>
            <w:noProof w:val="0"/>
            <w:color w:val="0000FF"/>
            <w:sz w:val="28"/>
            <w:szCs w:val="28"/>
            <w:u w:val="single"/>
            <w:rtl/>
          </w:rPr>
          <w:t>סעיף 29</w:t>
        </w:r>
      </w:hyperlink>
      <w:r w:rsidR="00760F7A">
        <w:rPr>
          <w:rFonts w:ascii="Arial" w:hAnsi="Arial" w:cs="FrankRuehl" w:hint="cs"/>
          <w:noProof w:val="0"/>
          <w:sz w:val="28"/>
          <w:szCs w:val="28"/>
          <w:rtl/>
        </w:rPr>
        <w:t xml:space="preserve"> לחוק העונשין; השחתת פני מקרקעין בצוותא חדא מתוך מניע ג</w:t>
      </w:r>
      <w:r w:rsidR="004B3D43">
        <w:rPr>
          <w:rFonts w:ascii="Arial" w:hAnsi="Arial" w:cs="FrankRuehl" w:hint="cs"/>
          <w:noProof w:val="0"/>
          <w:sz w:val="28"/>
          <w:szCs w:val="28"/>
          <w:rtl/>
        </w:rPr>
        <w:t xml:space="preserve">זענות או עוינות כלפי ציבור, עבירה לפי </w:t>
      </w:r>
      <w:hyperlink r:id="rId23" w:history="1">
        <w:r w:rsidR="00BF5318" w:rsidRPr="00BF5318">
          <w:rPr>
            <w:rFonts w:ascii="Arial" w:hAnsi="Arial" w:cs="FrankRuehl"/>
            <w:noProof w:val="0"/>
            <w:color w:val="0000FF"/>
            <w:sz w:val="28"/>
            <w:szCs w:val="28"/>
            <w:u w:val="single"/>
            <w:rtl/>
          </w:rPr>
          <w:t>סעיף 196</w:t>
        </w:r>
      </w:hyperlink>
      <w:r w:rsidR="004B3D43">
        <w:rPr>
          <w:rFonts w:ascii="Arial" w:hAnsi="Arial" w:cs="FrankRuehl" w:hint="cs"/>
          <w:noProof w:val="0"/>
          <w:sz w:val="28"/>
          <w:szCs w:val="28"/>
          <w:rtl/>
        </w:rPr>
        <w:t xml:space="preserve"> יחד עם </w:t>
      </w:r>
      <w:hyperlink r:id="rId24" w:history="1">
        <w:r w:rsidR="00BF5318" w:rsidRPr="00BF5318">
          <w:rPr>
            <w:rFonts w:ascii="Arial" w:hAnsi="Arial" w:cs="FrankRuehl"/>
            <w:noProof w:val="0"/>
            <w:color w:val="0000FF"/>
            <w:sz w:val="28"/>
            <w:szCs w:val="28"/>
            <w:u w:val="single"/>
            <w:rtl/>
          </w:rPr>
          <w:t>סעיף 29</w:t>
        </w:r>
      </w:hyperlink>
      <w:r w:rsidR="004B3D43">
        <w:rPr>
          <w:rFonts w:ascii="Arial" w:hAnsi="Arial" w:cs="FrankRuehl" w:hint="cs"/>
          <w:noProof w:val="0"/>
          <w:sz w:val="28"/>
          <w:szCs w:val="28"/>
          <w:rtl/>
        </w:rPr>
        <w:t xml:space="preserve"> ויחד עם </w:t>
      </w:r>
      <w:hyperlink r:id="rId25" w:history="1">
        <w:r w:rsidR="00BF5318" w:rsidRPr="00BF5318">
          <w:rPr>
            <w:rFonts w:ascii="Arial" w:hAnsi="Arial" w:cs="FrankRuehl"/>
            <w:noProof w:val="0"/>
            <w:color w:val="0000FF"/>
            <w:sz w:val="28"/>
            <w:szCs w:val="28"/>
            <w:u w:val="single"/>
            <w:rtl/>
          </w:rPr>
          <w:t>סעיף 144 ו</w:t>
        </w:r>
      </w:hyperlink>
      <w:r w:rsidR="004B3D43">
        <w:rPr>
          <w:rFonts w:ascii="Arial" w:hAnsi="Arial" w:cs="FrankRuehl" w:hint="cs"/>
          <w:noProof w:val="0"/>
          <w:sz w:val="28"/>
          <w:szCs w:val="28"/>
          <w:rtl/>
        </w:rPr>
        <w:t xml:space="preserve">' לחוק העונשין והפרת הוראה חוקית , עבירה לפי </w:t>
      </w:r>
      <w:hyperlink r:id="rId26" w:history="1">
        <w:r w:rsidR="00BF5318" w:rsidRPr="00BF5318">
          <w:rPr>
            <w:rFonts w:ascii="Arial" w:hAnsi="Arial" w:cs="FrankRuehl"/>
            <w:noProof w:val="0"/>
            <w:color w:val="0000FF"/>
            <w:sz w:val="28"/>
            <w:szCs w:val="28"/>
            <w:u w:val="single"/>
            <w:rtl/>
          </w:rPr>
          <w:t>סעיף 287(א)</w:t>
        </w:r>
      </w:hyperlink>
      <w:r w:rsidR="004B3D43">
        <w:rPr>
          <w:rFonts w:ascii="Arial" w:hAnsi="Arial" w:cs="FrankRuehl" w:hint="cs"/>
          <w:noProof w:val="0"/>
          <w:sz w:val="28"/>
          <w:szCs w:val="28"/>
          <w:rtl/>
        </w:rPr>
        <w:t xml:space="preserve"> לחוק העונשין.</w:t>
      </w:r>
    </w:p>
    <w:p w14:paraId="035AC4BC" w14:textId="77777777" w:rsidR="004B3D43" w:rsidRDefault="00247D7E" w:rsidP="00760F7A">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w:t>
      </w:r>
      <w:r>
        <w:rPr>
          <w:rFonts w:ascii="Arial" w:hAnsi="Arial" w:cs="FrankRuehl" w:hint="cs"/>
          <w:noProof w:val="0"/>
          <w:sz w:val="28"/>
          <w:szCs w:val="28"/>
          <w:rtl/>
        </w:rPr>
        <w:tab/>
        <w:t>הודאה זו באה לאחר שתי ישיבות הוכחות במהלכן העידו שותפיו של הנאשם לביצוע העבירות (למעט עבירת הפרת ההוראה החוקית) וחוקרי שירות הב</w:t>
      </w:r>
      <w:r w:rsidR="001207CA">
        <w:rPr>
          <w:rFonts w:ascii="Arial" w:hAnsi="Arial" w:cs="FrankRuehl" w:hint="cs"/>
          <w:noProof w:val="0"/>
          <w:sz w:val="28"/>
          <w:szCs w:val="28"/>
          <w:rtl/>
        </w:rPr>
        <w:t>י</w:t>
      </w:r>
      <w:r>
        <w:rPr>
          <w:rFonts w:ascii="Arial" w:hAnsi="Arial" w:cs="FrankRuehl" w:hint="cs"/>
          <w:noProof w:val="0"/>
          <w:sz w:val="28"/>
          <w:szCs w:val="28"/>
          <w:rtl/>
        </w:rPr>
        <w:t>טחון הכללי.</w:t>
      </w:r>
    </w:p>
    <w:p w14:paraId="4C3A17F8" w14:textId="77777777" w:rsidR="00247D7E" w:rsidRDefault="00247D7E" w:rsidP="00D12207">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3.</w:t>
      </w:r>
      <w:r>
        <w:rPr>
          <w:rFonts w:ascii="Arial" w:hAnsi="Arial" w:cs="FrankRuehl" w:hint="cs"/>
          <w:noProof w:val="0"/>
          <w:sz w:val="28"/>
          <w:szCs w:val="28"/>
          <w:rtl/>
        </w:rPr>
        <w:tab/>
      </w:r>
      <w:r w:rsidR="00142849">
        <w:rPr>
          <w:rFonts w:ascii="Arial" w:hAnsi="Arial" w:cs="FrankRuehl" w:hint="cs"/>
          <w:noProof w:val="0"/>
          <w:sz w:val="28"/>
          <w:szCs w:val="28"/>
          <w:rtl/>
        </w:rPr>
        <w:t>על פי עובדות כתב האישום, המתוקן בשנית, ביום 18.11.13, בשעות הלילה, בביתו של יהודה לנדסברג בחוות גלעד, קש</w:t>
      </w:r>
      <w:r w:rsidR="00D12207">
        <w:rPr>
          <w:rFonts w:ascii="Arial" w:hAnsi="Arial" w:cs="FrankRuehl" w:hint="cs"/>
          <w:noProof w:val="0"/>
          <w:sz w:val="28"/>
          <w:szCs w:val="28"/>
          <w:rtl/>
        </w:rPr>
        <w:t>רו</w:t>
      </w:r>
      <w:r w:rsidR="00142849">
        <w:rPr>
          <w:rFonts w:ascii="Arial" w:hAnsi="Arial" w:cs="FrankRuehl" w:hint="cs"/>
          <w:noProof w:val="0"/>
          <w:sz w:val="28"/>
          <w:szCs w:val="28"/>
          <w:rtl/>
        </w:rPr>
        <w:t xml:space="preserve"> לנדסברג והנאשם קשר לצאת באישון לילה לפעילות הצתה והריסה של רכוש השייך לתושבי הכפר הפלשתיני פרעתא הסמוך לחווה, וזאת ממניע של גזענות או עוינות עלפי הציבור.</w:t>
      </w:r>
    </w:p>
    <w:p w14:paraId="6BB65D5B" w14:textId="77777777" w:rsidR="00142849" w:rsidRDefault="00142849" w:rsidP="00760F7A">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ab/>
        <w:t>טרם יציאתם, החליטו לנדסברג והנאשם להציע ליהודה סביר לחבור אליהם לפעילות. לפיכך, במסגרת הקשר ולשם קידומו, נגשו לנדסברג והנאשם לאוהל בו שהה סביר יחד עם מספר תושבי החווה, הציעו לו לחבור לפעילות והוא הסכים לכך.</w:t>
      </w:r>
    </w:p>
    <w:p w14:paraId="4E286B36" w14:textId="77777777" w:rsidR="00142849" w:rsidRDefault="00142849" w:rsidP="00760F7A">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ab/>
        <w:t>השלושה הצטיידו בחומר דליק, גפרורים, כיסויי פנים, כפפות ותרסיסי צבע, והחליטו כי ירססו סמלי מגן דוד.</w:t>
      </w:r>
    </w:p>
    <w:p w14:paraId="7FA5D9E5" w14:textId="77777777" w:rsidR="00142849" w:rsidRDefault="00142849" w:rsidP="00861D63">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lastRenderedPageBreak/>
        <w:t>בסמוך לשעה 02:30 יצאו השלושה מהחווה לכיוון פרעתא , כיסו פניהם בכיסויי פנים ועטו כפפות. עם הגעתם לפאתי פרעתא, בחנו השלושה אפשרות להצית כלי רכב בב</w:t>
      </w:r>
      <w:r w:rsidR="00861D63">
        <w:rPr>
          <w:rFonts w:ascii="Arial" w:hAnsi="Arial" w:cs="FrankRuehl" w:hint="cs"/>
          <w:noProof w:val="0"/>
          <w:sz w:val="28"/>
          <w:szCs w:val="28"/>
          <w:rtl/>
        </w:rPr>
        <w:t>ית הראשון אליו הגיעו אך כיוון שבית זה היה מוגן, התרחקו מהמקום והמשיכו לתור אחר כלי רכב אחר להצתה, תצפתו על האזור והבחינו בחצר בה חנו משאית מסוג וולבו ולידה מכונית מסוג מרצדס, שתיהן רכושו של בהג'ת סלמאן.</w:t>
      </w:r>
    </w:p>
    <w:p w14:paraId="18A519E2" w14:textId="77777777" w:rsidR="00861D63" w:rsidRDefault="00861D63" w:rsidP="00861D63">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השלושה חילקו ביניהם תפקידים באופן שהנאשם ירסס סמלי מגן דוד, סביר ישפוך חומר דליק על המשאית והמכונית ולנדסברג יצית את הבעירה באמצעות גפרורים וכך עשו.</w:t>
      </w:r>
    </w:p>
    <w:p w14:paraId="10DEB7F7" w14:textId="77777777" w:rsidR="00861D63" w:rsidRDefault="00861D63" w:rsidP="00861D63">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מייד לאחר ביצוע המעשים האמורים, נמלטו השלושה מהמקום וחזרו אל החווה.</w:t>
      </w:r>
    </w:p>
    <w:p w14:paraId="4B442F6F" w14:textId="77777777" w:rsidR="00861D63" w:rsidRDefault="00861D63" w:rsidP="00861D63">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כתוצאה מההצתה נגרם נזק רב למשאית שהצריך תיקון בעלות כספית ניכרת ואילו מכונית המרצדס הושבתה.</w:t>
      </w:r>
    </w:p>
    <w:p w14:paraId="11DC91B7" w14:textId="77777777" w:rsidR="00861D63" w:rsidRDefault="00861D63" w:rsidP="00A208BE">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הנאשם ביצע את המיוחס לו בכתב האישום כאשר במסגרת הליך אחר המתנהל נגדו ב</w:t>
      </w:r>
      <w:hyperlink r:id="rId27" w:history="1">
        <w:r w:rsidR="00F06FB6" w:rsidRPr="00F06FB6">
          <w:rPr>
            <w:rFonts w:ascii="Arial" w:hAnsi="Arial" w:cs="FrankRuehl"/>
            <w:noProof w:val="0"/>
            <w:color w:val="0000FF"/>
            <w:sz w:val="28"/>
            <w:szCs w:val="28"/>
            <w:u w:val="single"/>
            <w:rtl/>
          </w:rPr>
          <w:t>מ"ת 15542-05-13</w:t>
        </w:r>
      </w:hyperlink>
      <w:r>
        <w:rPr>
          <w:rFonts w:ascii="Arial" w:hAnsi="Arial" w:cs="FrankRuehl" w:hint="cs"/>
          <w:noProof w:val="0"/>
          <w:sz w:val="28"/>
          <w:szCs w:val="28"/>
          <w:rtl/>
        </w:rPr>
        <w:t xml:space="preserve"> הוטל עליו לשהות במעצר בית ביישובי אלון מורה או בחווה וכל תנועה בין הישובים היתה אמ</w:t>
      </w:r>
      <w:r w:rsidR="00207067">
        <w:rPr>
          <w:rFonts w:ascii="Arial" w:hAnsi="Arial" w:cs="FrankRuehl" w:hint="cs"/>
          <w:noProof w:val="0"/>
          <w:sz w:val="28"/>
          <w:szCs w:val="28"/>
          <w:rtl/>
        </w:rPr>
        <w:t xml:space="preserve">ורה להיות בפיקוח </w:t>
      </w:r>
      <w:r w:rsidR="00A208BE">
        <w:rPr>
          <w:rFonts w:ascii="Arial" w:hAnsi="Arial" w:cs="FrankRuehl" w:hint="cs"/>
          <w:noProof w:val="0"/>
          <w:sz w:val="28"/>
          <w:szCs w:val="28"/>
          <w:rtl/>
        </w:rPr>
        <w:t>אמו ה</w:t>
      </w:r>
      <w:r w:rsidR="00207067">
        <w:rPr>
          <w:rFonts w:ascii="Arial" w:hAnsi="Arial" w:cs="FrankRuehl" w:hint="cs"/>
          <w:noProof w:val="0"/>
          <w:sz w:val="28"/>
          <w:szCs w:val="28"/>
          <w:rtl/>
        </w:rPr>
        <w:t>ערב</w:t>
      </w:r>
      <w:r w:rsidR="00A208BE">
        <w:rPr>
          <w:rFonts w:ascii="Arial" w:hAnsi="Arial" w:cs="FrankRuehl" w:hint="cs"/>
          <w:noProof w:val="0"/>
          <w:sz w:val="28"/>
          <w:szCs w:val="28"/>
          <w:rtl/>
        </w:rPr>
        <w:t>ה</w:t>
      </w:r>
      <w:r w:rsidR="00207067">
        <w:rPr>
          <w:rFonts w:ascii="Arial" w:hAnsi="Arial" w:cs="FrankRuehl" w:hint="cs"/>
          <w:noProof w:val="0"/>
          <w:sz w:val="28"/>
          <w:szCs w:val="28"/>
          <w:rtl/>
        </w:rPr>
        <w:t>, ובמעשיו הפר הוראה חוקית.</w:t>
      </w:r>
    </w:p>
    <w:p w14:paraId="55CECB88" w14:textId="77777777" w:rsidR="008C322F" w:rsidRDefault="008C322F" w:rsidP="00861D63">
      <w:pPr>
        <w:spacing w:before="240" w:line="360" w:lineRule="auto"/>
        <w:ind w:left="720"/>
        <w:jc w:val="both"/>
        <w:rPr>
          <w:rFonts w:ascii="Arial" w:hAnsi="Arial" w:cs="FrankRuehl"/>
          <w:noProof w:val="0"/>
          <w:sz w:val="28"/>
          <w:szCs w:val="28"/>
          <w:rtl/>
        </w:rPr>
      </w:pPr>
    </w:p>
    <w:p w14:paraId="79630721" w14:textId="77777777" w:rsidR="008C322F" w:rsidRPr="008C322F" w:rsidRDefault="008C322F" w:rsidP="008C322F">
      <w:pPr>
        <w:spacing w:before="240" w:line="360" w:lineRule="auto"/>
        <w:rPr>
          <w:rFonts w:ascii="Arial" w:hAnsi="Arial" w:cs="FrankRuehl"/>
          <w:b/>
          <w:bCs/>
          <w:noProof w:val="0"/>
          <w:sz w:val="28"/>
          <w:szCs w:val="28"/>
          <w:u w:val="single"/>
          <w:rtl/>
        </w:rPr>
      </w:pPr>
      <w:r w:rsidRPr="008C322F">
        <w:rPr>
          <w:rFonts w:ascii="Arial" w:hAnsi="Arial" w:cs="FrankRuehl" w:hint="cs"/>
          <w:b/>
          <w:bCs/>
          <w:noProof w:val="0"/>
          <w:sz w:val="28"/>
          <w:szCs w:val="28"/>
          <w:u w:val="single"/>
          <w:rtl/>
        </w:rPr>
        <w:t>טיעוני ב"כ הצדדים</w:t>
      </w:r>
    </w:p>
    <w:p w14:paraId="67157E50" w14:textId="77777777" w:rsidR="00B5220E" w:rsidRDefault="00C229A2" w:rsidP="00A0122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4.</w:t>
      </w:r>
      <w:r>
        <w:rPr>
          <w:rFonts w:ascii="Arial" w:hAnsi="Arial" w:cs="FrankRuehl" w:hint="cs"/>
          <w:noProof w:val="0"/>
          <w:sz w:val="28"/>
          <w:szCs w:val="28"/>
          <w:rtl/>
        </w:rPr>
        <w:tab/>
      </w:r>
      <w:r w:rsidR="008C322F">
        <w:rPr>
          <w:rFonts w:ascii="Arial" w:hAnsi="Arial" w:cs="FrankRuehl" w:hint="cs"/>
          <w:noProof w:val="0"/>
          <w:sz w:val="28"/>
          <w:szCs w:val="28"/>
          <w:rtl/>
        </w:rPr>
        <w:t xml:space="preserve">ב"כ המאשימה </w:t>
      </w:r>
      <w:r w:rsidR="00D6097B">
        <w:rPr>
          <w:rFonts w:ascii="Arial" w:hAnsi="Arial" w:cs="FrankRuehl" w:hint="cs"/>
          <w:noProof w:val="0"/>
          <w:sz w:val="28"/>
          <w:szCs w:val="28"/>
          <w:rtl/>
        </w:rPr>
        <w:t xml:space="preserve">טען כי </w:t>
      </w:r>
      <w:r w:rsidR="00B5220E">
        <w:rPr>
          <w:rFonts w:ascii="Arial" w:hAnsi="Arial" w:cs="FrankRuehl" w:hint="cs"/>
          <w:noProof w:val="0"/>
          <w:sz w:val="28"/>
          <w:szCs w:val="28"/>
          <w:rtl/>
        </w:rPr>
        <w:t xml:space="preserve">הערך החברתי </w:t>
      </w:r>
      <w:r w:rsidR="00A0122E">
        <w:rPr>
          <w:rFonts w:ascii="Arial" w:hAnsi="Arial" w:cs="FrankRuehl" w:hint="cs"/>
          <w:noProof w:val="0"/>
          <w:sz w:val="28"/>
          <w:szCs w:val="28"/>
          <w:rtl/>
        </w:rPr>
        <w:t xml:space="preserve">המיידי </w:t>
      </w:r>
      <w:r w:rsidR="00B5220E">
        <w:rPr>
          <w:rFonts w:ascii="Arial" w:hAnsi="Arial" w:cs="FrankRuehl" w:hint="cs"/>
          <w:noProof w:val="0"/>
          <w:sz w:val="28"/>
          <w:szCs w:val="28"/>
          <w:rtl/>
        </w:rPr>
        <w:t>המוגן בעבירות הפליליות אותן ביצע הנאשם, הינו השחתת רכוש, הפגיעה בקניין ו</w:t>
      </w:r>
      <w:r w:rsidR="00135B7B">
        <w:rPr>
          <w:rFonts w:ascii="Arial" w:hAnsi="Arial" w:cs="FrankRuehl" w:hint="cs"/>
          <w:noProof w:val="0"/>
          <w:sz w:val="28"/>
          <w:szCs w:val="28"/>
          <w:rtl/>
        </w:rPr>
        <w:t>ה</w:t>
      </w:r>
      <w:r w:rsidR="00B5220E">
        <w:rPr>
          <w:rFonts w:ascii="Arial" w:hAnsi="Arial" w:cs="FrankRuehl" w:hint="cs"/>
          <w:noProof w:val="0"/>
          <w:sz w:val="28"/>
          <w:szCs w:val="28"/>
          <w:rtl/>
        </w:rPr>
        <w:t xml:space="preserve">סיכון לפגיעה בנפש, ואילו הערך המוגן בפן הביטחוני </w:t>
      </w:r>
      <w:r w:rsidR="00A0122E">
        <w:rPr>
          <w:rFonts w:ascii="Arial" w:hAnsi="Arial" w:cs="FrankRuehl" w:hint="cs"/>
          <w:noProof w:val="0"/>
          <w:sz w:val="28"/>
          <w:szCs w:val="28"/>
          <w:rtl/>
        </w:rPr>
        <w:t xml:space="preserve">וארוך הטווח </w:t>
      </w:r>
      <w:r w:rsidR="00B5220E">
        <w:rPr>
          <w:rFonts w:ascii="Arial" w:hAnsi="Arial" w:cs="FrankRuehl" w:hint="cs"/>
          <w:noProof w:val="0"/>
          <w:sz w:val="28"/>
          <w:szCs w:val="28"/>
          <w:rtl/>
        </w:rPr>
        <w:t xml:space="preserve">של העבירות הינו בטחון </w:t>
      </w:r>
      <w:r w:rsidR="00137059">
        <w:rPr>
          <w:rFonts w:ascii="Arial" w:hAnsi="Arial" w:cs="FrankRuehl" w:hint="cs"/>
          <w:noProof w:val="0"/>
          <w:sz w:val="28"/>
          <w:szCs w:val="28"/>
          <w:rtl/>
        </w:rPr>
        <w:t xml:space="preserve">הציבור ובטחון </w:t>
      </w:r>
      <w:r w:rsidR="00B5220E">
        <w:rPr>
          <w:rFonts w:ascii="Arial" w:hAnsi="Arial" w:cs="FrankRuehl" w:hint="cs"/>
          <w:noProof w:val="0"/>
          <w:sz w:val="28"/>
          <w:szCs w:val="28"/>
          <w:rtl/>
        </w:rPr>
        <w:t>המדינה</w:t>
      </w:r>
      <w:r w:rsidR="00137059">
        <w:rPr>
          <w:rFonts w:ascii="Arial" w:hAnsi="Arial" w:cs="FrankRuehl" w:hint="cs"/>
          <w:noProof w:val="0"/>
          <w:sz w:val="28"/>
          <w:szCs w:val="28"/>
          <w:rtl/>
        </w:rPr>
        <w:t xml:space="preserve">, שכן מדובר בפשע שנאה </w:t>
      </w:r>
      <w:r w:rsidR="00A0122E">
        <w:rPr>
          <w:rFonts w:ascii="Arial" w:hAnsi="Arial" w:cs="FrankRuehl" w:hint="cs"/>
          <w:noProof w:val="0"/>
          <w:sz w:val="28"/>
          <w:szCs w:val="28"/>
          <w:rtl/>
        </w:rPr>
        <w:t>המעודד את מעגל האיבה</w:t>
      </w:r>
      <w:r w:rsidR="00137059">
        <w:rPr>
          <w:rFonts w:ascii="Arial" w:hAnsi="Arial" w:cs="FrankRuehl" w:hint="cs"/>
          <w:noProof w:val="0"/>
          <w:sz w:val="28"/>
          <w:szCs w:val="28"/>
          <w:rtl/>
        </w:rPr>
        <w:t xml:space="preserve"> ו</w:t>
      </w:r>
      <w:r w:rsidR="00A0122E">
        <w:rPr>
          <w:rFonts w:ascii="Arial" w:hAnsi="Arial" w:cs="FrankRuehl" w:hint="cs"/>
          <w:noProof w:val="0"/>
          <w:sz w:val="28"/>
          <w:szCs w:val="28"/>
          <w:rtl/>
        </w:rPr>
        <w:t>אשר</w:t>
      </w:r>
      <w:r w:rsidR="00137059">
        <w:rPr>
          <w:rFonts w:ascii="Arial" w:hAnsi="Arial" w:cs="FrankRuehl" w:hint="cs"/>
          <w:noProof w:val="0"/>
          <w:sz w:val="28"/>
          <w:szCs w:val="28"/>
          <w:rtl/>
        </w:rPr>
        <w:t xml:space="preserve"> עלול לפגוע בתדמיתה </w:t>
      </w:r>
      <w:r w:rsidR="00A0122E">
        <w:rPr>
          <w:rFonts w:ascii="Arial" w:hAnsi="Arial" w:cs="FrankRuehl" w:hint="cs"/>
          <w:noProof w:val="0"/>
          <w:sz w:val="28"/>
          <w:szCs w:val="28"/>
          <w:rtl/>
        </w:rPr>
        <w:t xml:space="preserve">הבינלאומית </w:t>
      </w:r>
      <w:r w:rsidR="00137059">
        <w:rPr>
          <w:rFonts w:ascii="Arial" w:hAnsi="Arial" w:cs="FrankRuehl" w:hint="cs"/>
          <w:noProof w:val="0"/>
          <w:sz w:val="28"/>
          <w:szCs w:val="28"/>
          <w:rtl/>
        </w:rPr>
        <w:t>של מדינת ישראל, ומידת הפגיעה בערכים אלה הינה גבוהה.</w:t>
      </w:r>
    </w:p>
    <w:p w14:paraId="3E9BB0AF" w14:textId="77777777" w:rsidR="003144F4" w:rsidRDefault="00FE068A" w:rsidP="006E55B4">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ab/>
      </w:r>
      <w:r w:rsidR="003144F4">
        <w:rPr>
          <w:rFonts w:ascii="Arial" w:hAnsi="Arial" w:cs="FrankRuehl" w:hint="cs"/>
          <w:noProof w:val="0"/>
          <w:sz w:val="28"/>
          <w:szCs w:val="28"/>
          <w:rtl/>
        </w:rPr>
        <w:t xml:space="preserve">כתימוכין </w:t>
      </w:r>
      <w:r w:rsidR="002B4F14">
        <w:rPr>
          <w:rFonts w:ascii="Arial" w:hAnsi="Arial" w:cs="FrankRuehl" w:hint="cs"/>
          <w:noProof w:val="0"/>
          <w:sz w:val="28"/>
          <w:szCs w:val="28"/>
          <w:rtl/>
        </w:rPr>
        <w:t xml:space="preserve">לדבריו הגיש ב"כ המאשימה חוות דעת של גורמי שירות הביטחון הכללי, המתייחסת </w:t>
      </w:r>
      <w:r w:rsidR="006E55B4">
        <w:rPr>
          <w:rFonts w:ascii="Arial" w:hAnsi="Arial" w:cs="FrankRuehl" w:hint="cs"/>
          <w:noProof w:val="0"/>
          <w:sz w:val="28"/>
          <w:szCs w:val="28"/>
          <w:rtl/>
        </w:rPr>
        <w:t xml:space="preserve">הן </w:t>
      </w:r>
      <w:r w:rsidR="002B4F14">
        <w:rPr>
          <w:rFonts w:ascii="Arial" w:hAnsi="Arial" w:cs="FrankRuehl" w:hint="cs"/>
          <w:noProof w:val="0"/>
          <w:sz w:val="28"/>
          <w:szCs w:val="28"/>
          <w:rtl/>
        </w:rPr>
        <w:t>לסכנה לשלומם של מבצעי העבירות והסיכון כי האירוע יתדרד</w:t>
      </w:r>
      <w:r w:rsidR="006E55B4">
        <w:rPr>
          <w:rFonts w:ascii="Arial" w:hAnsi="Arial" w:cs="FrankRuehl" w:hint="cs"/>
          <w:noProof w:val="0"/>
          <w:sz w:val="28"/>
          <w:szCs w:val="28"/>
          <w:rtl/>
        </w:rPr>
        <w:t xml:space="preserve">ר ויצריך מעורבות גורמי הביטחון </w:t>
      </w:r>
      <w:r w:rsidR="002B4F14">
        <w:rPr>
          <w:rFonts w:ascii="Arial" w:hAnsi="Arial" w:cs="FrankRuehl" w:hint="cs"/>
          <w:noProof w:val="0"/>
          <w:sz w:val="28"/>
          <w:szCs w:val="28"/>
          <w:rtl/>
        </w:rPr>
        <w:t>ו</w:t>
      </w:r>
      <w:r w:rsidR="006E55B4">
        <w:rPr>
          <w:rFonts w:ascii="Arial" w:hAnsi="Arial" w:cs="FrankRuehl" w:hint="cs"/>
          <w:noProof w:val="0"/>
          <w:sz w:val="28"/>
          <w:szCs w:val="28"/>
          <w:rtl/>
        </w:rPr>
        <w:t>הן</w:t>
      </w:r>
      <w:r w:rsidR="002B4F14">
        <w:rPr>
          <w:rFonts w:ascii="Arial" w:hAnsi="Arial" w:cs="FrankRuehl" w:hint="cs"/>
          <w:noProof w:val="0"/>
          <w:sz w:val="28"/>
          <w:szCs w:val="28"/>
          <w:rtl/>
        </w:rPr>
        <w:t xml:space="preserve"> לתסיסה ולשנאה שאירועים מסוג זה מעוררים בקרב פלשתינאים המובילה לביצועם של פיגועים ופעולות נקם כלפי האוכלוסייה היהודית באזור וכלפי כוחות הביטחון. </w:t>
      </w:r>
    </w:p>
    <w:p w14:paraId="75D5F972" w14:textId="77777777" w:rsidR="002B4F14" w:rsidRDefault="002B4F14" w:rsidP="002B4F14">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ab/>
        <w:t xml:space="preserve">כן הפנה ב"כ המאשימה לחוות דעת מטעם משרד החוץ, </w:t>
      </w:r>
      <w:r w:rsidR="007E2C93">
        <w:rPr>
          <w:rFonts w:ascii="Arial" w:hAnsi="Arial" w:cs="FrankRuehl" w:hint="cs"/>
          <w:noProof w:val="0"/>
          <w:sz w:val="28"/>
          <w:szCs w:val="28"/>
          <w:rtl/>
        </w:rPr>
        <w:t>שכותרתה "ביקורת בינלא</w:t>
      </w:r>
      <w:r w:rsidR="00CB15B5">
        <w:rPr>
          <w:rFonts w:ascii="Arial" w:hAnsi="Arial" w:cs="FrankRuehl" w:hint="cs"/>
          <w:noProof w:val="0"/>
          <w:sz w:val="28"/>
          <w:szCs w:val="28"/>
          <w:rtl/>
        </w:rPr>
        <w:t xml:space="preserve">ומית ונזקים בינלאומיים בעקבות אירועי פגיעה ברכוש פלסטיני בליווי ריסוס כתובות מתסיסות", </w:t>
      </w:r>
      <w:r>
        <w:rPr>
          <w:rFonts w:ascii="Arial" w:hAnsi="Arial" w:cs="FrankRuehl" w:hint="cs"/>
          <w:noProof w:val="0"/>
          <w:sz w:val="28"/>
          <w:szCs w:val="28"/>
          <w:rtl/>
        </w:rPr>
        <w:t>המפרטת את הפגיעה של מעשים מסוג זה בתדמיתה של מדינת ישראל כמדינת חוק דמוקרטית.</w:t>
      </w:r>
    </w:p>
    <w:p w14:paraId="2CCF7C62" w14:textId="77777777" w:rsidR="000B6D8E" w:rsidRDefault="00CA7BCF" w:rsidP="00135B7B">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5.</w:t>
      </w:r>
      <w:r>
        <w:rPr>
          <w:rFonts w:ascii="Arial" w:hAnsi="Arial" w:cs="FrankRuehl" w:hint="cs"/>
          <w:noProof w:val="0"/>
          <w:sz w:val="28"/>
          <w:szCs w:val="28"/>
          <w:rtl/>
        </w:rPr>
        <w:tab/>
      </w:r>
      <w:r w:rsidR="000B6D8E">
        <w:rPr>
          <w:rFonts w:ascii="Arial" w:hAnsi="Arial" w:cs="FrankRuehl" w:hint="cs"/>
          <w:noProof w:val="0"/>
          <w:sz w:val="28"/>
          <w:szCs w:val="28"/>
          <w:rtl/>
        </w:rPr>
        <w:t>ב"כ המאשימה טען כי נסיבות ביצוע העבירה כוללות תכנון מוקדם, הצטיידות ותצפית; כי חלקו של הנאשם שווה לחלקם של שותפיו בהתאם לדיני השותפות, וכי חלוקת התפקידים ביניהם היתה ספונטנית ובוצעה בסמוך לביצוע המעשים; כי הנאשם ולנדסברג היו שותפים לגיוסו של סביר לקשר; כי ההצתה בוצעה בשני מוקדים, בלב אזור מיושב, והנזק הצפוי מביצועה של העבירה הינו גדול וכולל פגיעה בנפש; הנזק שנגרם בפועל כתוצאה מהמעשים הינו גם נשק לרכוש וגם נזק למדינת ישראל ולביטחונה.</w:t>
      </w:r>
    </w:p>
    <w:p w14:paraId="2EE379B8" w14:textId="77777777" w:rsidR="00F45A2B" w:rsidRDefault="00CA7BCF" w:rsidP="00CA7BCF">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6.</w:t>
      </w:r>
      <w:r>
        <w:rPr>
          <w:rFonts w:ascii="Arial" w:hAnsi="Arial" w:cs="FrankRuehl" w:hint="cs"/>
          <w:noProof w:val="0"/>
          <w:sz w:val="28"/>
          <w:szCs w:val="28"/>
          <w:rtl/>
        </w:rPr>
        <w:tab/>
      </w:r>
      <w:r w:rsidR="00F45A2B">
        <w:rPr>
          <w:rFonts w:ascii="Arial" w:hAnsi="Arial" w:cs="FrankRuehl" w:hint="cs"/>
          <w:noProof w:val="0"/>
          <w:sz w:val="28"/>
          <w:szCs w:val="28"/>
          <w:rtl/>
        </w:rPr>
        <w:t>ה</w:t>
      </w:r>
      <w:r>
        <w:rPr>
          <w:rFonts w:ascii="Arial" w:hAnsi="Arial" w:cs="FrankRuehl" w:hint="cs"/>
          <w:noProof w:val="0"/>
          <w:sz w:val="28"/>
          <w:szCs w:val="28"/>
          <w:rtl/>
        </w:rPr>
        <w:t>עובדה ש</w:t>
      </w:r>
      <w:r w:rsidR="00F45A2B">
        <w:rPr>
          <w:rFonts w:ascii="Arial" w:hAnsi="Arial" w:cs="FrankRuehl" w:hint="cs"/>
          <w:noProof w:val="0"/>
          <w:sz w:val="28"/>
          <w:szCs w:val="28"/>
          <w:rtl/>
        </w:rPr>
        <w:t xml:space="preserve">מעשיו של הנאשם מונעים מגזענות מובילה </w:t>
      </w:r>
      <w:r w:rsidR="009343B5">
        <w:rPr>
          <w:rFonts w:ascii="Arial" w:hAnsi="Arial" w:cs="FrankRuehl" w:hint="cs"/>
          <w:noProof w:val="0"/>
          <w:sz w:val="28"/>
          <w:szCs w:val="28"/>
          <w:rtl/>
        </w:rPr>
        <w:t xml:space="preserve">לדעת המחוקק לכך שדינו של הנאשם כפל העונש הקבוע לצידה של העבירה, בהתאם </w:t>
      </w:r>
      <w:hyperlink r:id="rId28" w:history="1">
        <w:r w:rsidR="00BF5318" w:rsidRPr="00BF5318">
          <w:rPr>
            <w:rFonts w:ascii="Arial" w:hAnsi="Arial" w:cs="FrankRuehl"/>
            <w:noProof w:val="0"/>
            <w:color w:val="0000FF"/>
            <w:sz w:val="28"/>
            <w:szCs w:val="28"/>
            <w:u w:val="single"/>
            <w:rtl/>
          </w:rPr>
          <w:t>לסעיף 144ו.</w:t>
        </w:r>
      </w:hyperlink>
      <w:r w:rsidR="009343B5">
        <w:rPr>
          <w:rFonts w:ascii="Arial" w:hAnsi="Arial" w:cs="FrankRuehl" w:hint="cs"/>
          <w:noProof w:val="0"/>
          <w:sz w:val="28"/>
          <w:szCs w:val="28"/>
          <w:rtl/>
        </w:rPr>
        <w:t xml:space="preserve"> </w:t>
      </w:r>
    </w:p>
    <w:p w14:paraId="67C15192" w14:textId="77777777" w:rsidR="009343B5" w:rsidRDefault="00CA7BCF" w:rsidP="00CA7BCF">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7.</w:t>
      </w:r>
      <w:r>
        <w:rPr>
          <w:rFonts w:ascii="Arial" w:hAnsi="Arial" w:cs="FrankRuehl" w:hint="cs"/>
          <w:noProof w:val="0"/>
          <w:sz w:val="28"/>
          <w:szCs w:val="28"/>
          <w:rtl/>
        </w:rPr>
        <w:tab/>
      </w:r>
      <w:r w:rsidR="009343B5">
        <w:rPr>
          <w:rFonts w:ascii="Arial" w:hAnsi="Arial" w:cs="FrankRuehl" w:hint="cs"/>
          <w:noProof w:val="0"/>
          <w:sz w:val="28"/>
          <w:szCs w:val="28"/>
          <w:rtl/>
        </w:rPr>
        <w:t>אם לא די בכל אלה, הרי שמעשיו של הנאשם בוצעו בעודו אמור להיות נתון במעצר בית בגין תיק אחר.</w:t>
      </w:r>
    </w:p>
    <w:p w14:paraId="7E63440C" w14:textId="77777777" w:rsidR="00861D63" w:rsidRDefault="00CA7BCF" w:rsidP="00CA7BCF">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8.</w:t>
      </w:r>
      <w:r>
        <w:rPr>
          <w:rFonts w:ascii="Arial" w:hAnsi="Arial" w:cs="FrankRuehl" w:hint="cs"/>
          <w:noProof w:val="0"/>
          <w:sz w:val="28"/>
          <w:szCs w:val="28"/>
          <w:rtl/>
        </w:rPr>
        <w:tab/>
      </w:r>
      <w:r w:rsidR="00137059">
        <w:rPr>
          <w:rFonts w:ascii="Arial" w:hAnsi="Arial" w:cs="FrankRuehl" w:hint="cs"/>
          <w:noProof w:val="0"/>
          <w:sz w:val="28"/>
          <w:szCs w:val="28"/>
          <w:rtl/>
        </w:rPr>
        <w:t xml:space="preserve">על כן, טען ב"כ המאשימה כי </w:t>
      </w:r>
      <w:r w:rsidR="00D6097B">
        <w:rPr>
          <w:rFonts w:ascii="Arial" w:hAnsi="Arial" w:cs="FrankRuehl" w:hint="cs"/>
          <w:noProof w:val="0"/>
          <w:sz w:val="28"/>
          <w:szCs w:val="28"/>
          <w:rtl/>
        </w:rPr>
        <w:t>מתחם העונש ההולם למעשיו של הנאשם נע בין 3 שנות מאסר ל-6 שנות מאסר</w:t>
      </w:r>
      <w:r w:rsidR="00B5220E">
        <w:rPr>
          <w:rFonts w:ascii="Arial" w:hAnsi="Arial" w:cs="FrankRuehl" w:hint="cs"/>
          <w:noProof w:val="0"/>
          <w:sz w:val="28"/>
          <w:szCs w:val="28"/>
          <w:rtl/>
        </w:rPr>
        <w:t>, ועתר להטיל על הנאשם עונש המצוי בטווח שבין אמצע המתחם לרף העליון של המתחם</w:t>
      </w:r>
      <w:r w:rsidR="00D6097B">
        <w:rPr>
          <w:rFonts w:ascii="Arial" w:hAnsi="Arial" w:cs="FrankRuehl" w:hint="cs"/>
          <w:noProof w:val="0"/>
          <w:sz w:val="28"/>
          <w:szCs w:val="28"/>
          <w:rtl/>
        </w:rPr>
        <w:t xml:space="preserve">. </w:t>
      </w:r>
      <w:r w:rsidR="007F5F40">
        <w:rPr>
          <w:rFonts w:ascii="Arial" w:hAnsi="Arial" w:cs="FrankRuehl" w:hint="cs"/>
          <w:noProof w:val="0"/>
          <w:sz w:val="28"/>
          <w:szCs w:val="28"/>
          <w:rtl/>
        </w:rPr>
        <w:t xml:space="preserve">כן </w:t>
      </w:r>
      <w:r w:rsidR="007C1842">
        <w:rPr>
          <w:rFonts w:ascii="Arial" w:hAnsi="Arial" w:cs="FrankRuehl" w:hint="cs"/>
          <w:noProof w:val="0"/>
          <w:sz w:val="28"/>
          <w:szCs w:val="28"/>
          <w:rtl/>
        </w:rPr>
        <w:t>עתר להשית על הנאשם ע</w:t>
      </w:r>
      <w:r w:rsidR="007F5F40">
        <w:rPr>
          <w:rFonts w:ascii="Arial" w:hAnsi="Arial" w:cs="FrankRuehl" w:hint="cs"/>
          <w:noProof w:val="0"/>
          <w:sz w:val="28"/>
          <w:szCs w:val="28"/>
          <w:rtl/>
        </w:rPr>
        <w:t>ונש של מאסר מותנה ופיצוי בסך 15,000 ₪ לנפגע העבירה.</w:t>
      </w:r>
    </w:p>
    <w:p w14:paraId="413683C9" w14:textId="77777777" w:rsidR="007C1842" w:rsidRDefault="0046600E" w:rsidP="0046600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9.</w:t>
      </w:r>
      <w:r>
        <w:rPr>
          <w:rFonts w:ascii="Arial" w:hAnsi="Arial" w:cs="FrankRuehl" w:hint="cs"/>
          <w:noProof w:val="0"/>
          <w:sz w:val="28"/>
          <w:szCs w:val="28"/>
          <w:rtl/>
        </w:rPr>
        <w:tab/>
      </w:r>
      <w:r w:rsidR="007C1842">
        <w:rPr>
          <w:rFonts w:ascii="Arial" w:hAnsi="Arial" w:cs="FrankRuehl" w:hint="cs"/>
          <w:noProof w:val="0"/>
          <w:sz w:val="28"/>
          <w:szCs w:val="28"/>
          <w:rtl/>
        </w:rPr>
        <w:t xml:space="preserve">ב"כ המאשימה הבהיר, כי מתחם הענישה שהוצג שונה מעניינם של שותפיו לעבירה, בעניינם עתרה המאשימה לטווח ענישה הנע בין שנתיים וחצי לחמש וחצי שנות מאסר, מהטעם שלנאשם מיוחסת בנוסף עבירת הפרת הוראה חוקית. </w:t>
      </w:r>
      <w:r w:rsidR="00CD75B5">
        <w:rPr>
          <w:rFonts w:ascii="Arial" w:hAnsi="Arial" w:cs="FrankRuehl" w:hint="cs"/>
          <w:noProof w:val="0"/>
          <w:sz w:val="28"/>
          <w:szCs w:val="28"/>
          <w:rtl/>
        </w:rPr>
        <w:t xml:space="preserve">כן הבהיר, כי העונש המוסכם בן 30 החודשים לו עתרו בעניינם של השותפים, נבע מהודאתם המיידית בחקירתם והודאתם בבית המשפט, </w:t>
      </w:r>
      <w:r w:rsidR="00F207DA">
        <w:rPr>
          <w:rFonts w:ascii="Arial" w:hAnsi="Arial" w:cs="FrankRuehl" w:hint="cs"/>
          <w:noProof w:val="0"/>
          <w:sz w:val="28"/>
          <w:szCs w:val="28"/>
          <w:rtl/>
        </w:rPr>
        <w:t xml:space="preserve">שיש בהם ללמד על הפנמה וחרטה, ומכך שעברם הפלילי היה נקודתי ובוצע בגיל צעיר מאוד. לטענת ב"כ המאשימה, המאשימה מבקשת להוציא מסר ולפיו הודאה ולקיחת אחריות בעבירות מסוג זה, שאכיפתן קשה, תביא להקלה משמעותית בענישה. </w:t>
      </w:r>
    </w:p>
    <w:p w14:paraId="636A8092" w14:textId="77777777" w:rsidR="00137059" w:rsidRDefault="0046600E" w:rsidP="0046600E">
      <w:pPr>
        <w:spacing w:before="240" w:line="360" w:lineRule="auto"/>
        <w:jc w:val="both"/>
        <w:rPr>
          <w:rFonts w:ascii="Arial" w:hAnsi="Arial" w:cs="FrankRuehl"/>
          <w:noProof w:val="0"/>
          <w:sz w:val="28"/>
          <w:szCs w:val="28"/>
          <w:rtl/>
        </w:rPr>
      </w:pPr>
      <w:r>
        <w:rPr>
          <w:rFonts w:ascii="Arial" w:hAnsi="Arial" w:cs="FrankRuehl" w:hint="cs"/>
          <w:noProof w:val="0"/>
          <w:sz w:val="28"/>
          <w:szCs w:val="28"/>
          <w:rtl/>
        </w:rPr>
        <w:t>10.</w:t>
      </w:r>
      <w:r>
        <w:rPr>
          <w:rFonts w:ascii="Arial" w:hAnsi="Arial" w:cs="FrankRuehl" w:hint="cs"/>
          <w:noProof w:val="0"/>
          <w:sz w:val="28"/>
          <w:szCs w:val="28"/>
          <w:rtl/>
        </w:rPr>
        <w:tab/>
      </w:r>
      <w:r w:rsidR="00137059">
        <w:rPr>
          <w:rFonts w:ascii="Arial" w:hAnsi="Arial" w:cs="FrankRuehl" w:hint="cs"/>
          <w:noProof w:val="0"/>
          <w:sz w:val="28"/>
          <w:szCs w:val="28"/>
          <w:rtl/>
        </w:rPr>
        <w:t>כתימוכין לרמת הענישה האמורה הפנה ב"כ המאשימה למספר פסקי דין:</w:t>
      </w:r>
    </w:p>
    <w:p w14:paraId="07D356FB" w14:textId="77777777" w:rsidR="00137059" w:rsidRDefault="00137059" w:rsidP="00137059">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א. </w:t>
      </w:r>
      <w:hyperlink r:id="rId29" w:history="1">
        <w:r w:rsidR="00F06FB6" w:rsidRPr="00F06FB6">
          <w:rPr>
            <w:rFonts w:ascii="Arial" w:hAnsi="Arial" w:cs="FrankRuehl"/>
            <w:noProof w:val="0"/>
            <w:color w:val="0000FF"/>
            <w:sz w:val="28"/>
            <w:szCs w:val="28"/>
            <w:u w:val="single"/>
            <w:rtl/>
          </w:rPr>
          <w:t>ע"פ 7496/12</w:t>
        </w:r>
      </w:hyperlink>
      <w:r>
        <w:rPr>
          <w:rFonts w:ascii="Arial" w:hAnsi="Arial" w:cs="FrankRuehl" w:hint="cs"/>
          <w:noProof w:val="0"/>
          <w:sz w:val="28"/>
          <w:szCs w:val="28"/>
          <w:rtl/>
        </w:rPr>
        <w:t xml:space="preserve"> חגי זיתוני נגד מדינת ישראל ו</w:t>
      </w:r>
      <w:hyperlink r:id="rId30" w:history="1">
        <w:r w:rsidR="00F06FB6" w:rsidRPr="00F06FB6">
          <w:rPr>
            <w:rFonts w:ascii="Arial" w:hAnsi="Arial" w:cs="FrankRuehl"/>
            <w:noProof w:val="0"/>
            <w:color w:val="0000FF"/>
            <w:sz w:val="28"/>
            <w:szCs w:val="28"/>
            <w:u w:val="single"/>
            <w:rtl/>
          </w:rPr>
          <w:t>ת"פ (מחוזי נצרת) 14785-10-13</w:t>
        </w:r>
      </w:hyperlink>
      <w:r>
        <w:rPr>
          <w:rFonts w:ascii="Arial" w:hAnsi="Arial" w:cs="FrankRuehl" w:hint="cs"/>
          <w:noProof w:val="0"/>
          <w:sz w:val="28"/>
          <w:szCs w:val="28"/>
          <w:rtl/>
        </w:rPr>
        <w:t xml:space="preserve"> </w:t>
      </w:r>
      <w:r w:rsidR="00A21D20">
        <w:rPr>
          <w:rFonts w:ascii="Arial" w:hAnsi="Arial" w:cs="FrankRuehl" w:hint="cs"/>
          <w:noProof w:val="0"/>
          <w:sz w:val="28"/>
          <w:szCs w:val="28"/>
          <w:rtl/>
        </w:rPr>
        <w:t>היתם מגארבה ואח' נגד מדינת ישראל</w:t>
      </w:r>
      <w:r w:rsidR="00557C3E">
        <w:rPr>
          <w:rFonts w:ascii="Arial" w:hAnsi="Arial" w:cs="FrankRuehl" w:hint="cs"/>
          <w:noProof w:val="0"/>
          <w:sz w:val="28"/>
          <w:szCs w:val="28"/>
          <w:rtl/>
        </w:rPr>
        <w:t xml:space="preserve"> </w:t>
      </w:r>
      <w:r w:rsidR="00557C3E" w:rsidRPr="00557C3E">
        <w:rPr>
          <w:noProof w:val="0"/>
          <w:sz w:val="22"/>
          <w:rtl/>
        </w:rPr>
        <w:t xml:space="preserve">[פורסם בנבו] </w:t>
      </w:r>
      <w:r w:rsidR="00A21D20">
        <w:rPr>
          <w:rFonts w:ascii="Arial" w:hAnsi="Arial" w:cs="FrankRuehl" w:hint="cs"/>
          <w:noProof w:val="0"/>
          <w:sz w:val="28"/>
          <w:szCs w:val="28"/>
          <w:rtl/>
        </w:rPr>
        <w:t xml:space="preserve">, </w:t>
      </w:r>
      <w:r>
        <w:rPr>
          <w:rFonts w:ascii="Arial" w:hAnsi="Arial" w:cs="FrankRuehl" w:hint="cs"/>
          <w:noProof w:val="0"/>
          <w:sz w:val="28"/>
          <w:szCs w:val="28"/>
          <w:rtl/>
        </w:rPr>
        <w:t xml:space="preserve">בהם נקבע כי מתחם הענישה בגין הצתת רכב </w:t>
      </w:r>
      <w:r w:rsidR="008E4EE3">
        <w:rPr>
          <w:rFonts w:ascii="Arial" w:hAnsi="Arial" w:cs="FrankRuehl" w:hint="cs"/>
          <w:noProof w:val="0"/>
          <w:sz w:val="28"/>
          <w:szCs w:val="28"/>
          <w:rtl/>
        </w:rPr>
        <w:t xml:space="preserve">בשל מניע פלילי </w:t>
      </w:r>
      <w:r>
        <w:rPr>
          <w:rFonts w:ascii="Arial" w:hAnsi="Arial" w:cs="FrankRuehl" w:hint="cs"/>
          <w:noProof w:val="0"/>
          <w:sz w:val="28"/>
          <w:szCs w:val="28"/>
          <w:rtl/>
        </w:rPr>
        <w:t xml:space="preserve">נע בין 5 ל-8 שנות מאסר. </w:t>
      </w:r>
    </w:p>
    <w:p w14:paraId="51BC8AEA" w14:textId="77777777" w:rsidR="00137059" w:rsidRDefault="00137059" w:rsidP="00FE068A">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ב. </w:t>
      </w:r>
      <w:hyperlink r:id="rId31" w:history="1">
        <w:r w:rsidR="00F06FB6" w:rsidRPr="00F06FB6">
          <w:rPr>
            <w:rFonts w:ascii="Arial" w:hAnsi="Arial" w:cs="FrankRuehl"/>
            <w:noProof w:val="0"/>
            <w:color w:val="0000FF"/>
            <w:sz w:val="28"/>
            <w:szCs w:val="28"/>
            <w:u w:val="single"/>
            <w:rtl/>
          </w:rPr>
          <w:t>ת"פ (מחוזי באר שבע) 36833-05-13</w:t>
        </w:r>
      </w:hyperlink>
      <w:r w:rsidR="00FE068A">
        <w:rPr>
          <w:rFonts w:ascii="Arial" w:hAnsi="Arial" w:cs="FrankRuehl" w:hint="cs"/>
          <w:noProof w:val="0"/>
          <w:sz w:val="28"/>
          <w:szCs w:val="28"/>
          <w:rtl/>
        </w:rPr>
        <w:t xml:space="preserve"> </w:t>
      </w:r>
      <w:r w:rsidR="00CB15B5">
        <w:rPr>
          <w:rFonts w:ascii="Arial" w:hAnsi="Arial" w:cs="FrankRuehl" w:hint="cs"/>
          <w:noProof w:val="0"/>
          <w:sz w:val="28"/>
          <w:szCs w:val="28"/>
          <w:rtl/>
        </w:rPr>
        <w:t>מדינת ישראל נגד אמיר פינטו</w:t>
      </w:r>
      <w:r w:rsidR="00557C3E">
        <w:rPr>
          <w:rFonts w:hint="cs"/>
          <w:noProof w:val="0"/>
          <w:sz w:val="22"/>
          <w:rtl/>
        </w:rPr>
        <w:t xml:space="preserve"> </w:t>
      </w:r>
      <w:r w:rsidR="00557C3E" w:rsidRPr="00557C3E">
        <w:rPr>
          <w:noProof w:val="0"/>
          <w:sz w:val="22"/>
          <w:rtl/>
        </w:rPr>
        <w:t xml:space="preserve">[פורסם בנבו] </w:t>
      </w:r>
      <w:r w:rsidR="00CB15B5">
        <w:rPr>
          <w:rFonts w:ascii="Arial" w:hAnsi="Arial" w:cs="FrankRuehl" w:hint="cs"/>
          <w:noProof w:val="0"/>
          <w:sz w:val="28"/>
          <w:szCs w:val="28"/>
          <w:rtl/>
        </w:rPr>
        <w:t xml:space="preserve">, </w:t>
      </w:r>
      <w:r>
        <w:rPr>
          <w:rFonts w:ascii="Arial" w:hAnsi="Arial" w:cs="FrankRuehl" w:hint="cs"/>
          <w:noProof w:val="0"/>
          <w:sz w:val="28"/>
          <w:szCs w:val="28"/>
          <w:rtl/>
        </w:rPr>
        <w:t xml:space="preserve">בו נקבע כי מתחם הענישה בגין הצתת </w:t>
      </w:r>
      <w:r w:rsidR="00FE068A">
        <w:rPr>
          <w:rFonts w:ascii="Arial" w:hAnsi="Arial" w:cs="FrankRuehl" w:hint="cs"/>
          <w:noProof w:val="0"/>
          <w:sz w:val="28"/>
          <w:szCs w:val="28"/>
          <w:rtl/>
        </w:rPr>
        <w:t>סוכת מציל</w:t>
      </w:r>
      <w:r>
        <w:rPr>
          <w:rFonts w:ascii="Arial" w:hAnsi="Arial" w:cs="FrankRuehl" w:hint="cs"/>
          <w:noProof w:val="0"/>
          <w:sz w:val="28"/>
          <w:szCs w:val="28"/>
          <w:rtl/>
        </w:rPr>
        <w:t xml:space="preserve"> נע בין </w:t>
      </w:r>
      <w:r w:rsidR="00FE068A">
        <w:rPr>
          <w:rFonts w:ascii="Arial" w:hAnsi="Arial" w:cs="FrankRuehl" w:hint="cs"/>
          <w:noProof w:val="0"/>
          <w:sz w:val="28"/>
          <w:szCs w:val="28"/>
          <w:rtl/>
        </w:rPr>
        <w:t xml:space="preserve">28 ל-58 חודשי </w:t>
      </w:r>
      <w:r>
        <w:rPr>
          <w:rFonts w:ascii="Arial" w:hAnsi="Arial" w:cs="FrankRuehl" w:hint="cs"/>
          <w:noProof w:val="0"/>
          <w:sz w:val="28"/>
          <w:szCs w:val="28"/>
          <w:rtl/>
        </w:rPr>
        <w:t xml:space="preserve">מאסר. </w:t>
      </w:r>
    </w:p>
    <w:p w14:paraId="492A0188" w14:textId="77777777" w:rsidR="00FE068A" w:rsidRDefault="00FE068A" w:rsidP="00FE068A">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ג. </w:t>
      </w:r>
      <w:hyperlink r:id="rId32" w:history="1">
        <w:r w:rsidR="00F06FB6" w:rsidRPr="00F06FB6">
          <w:rPr>
            <w:rFonts w:ascii="Arial" w:hAnsi="Arial" w:cs="FrankRuehl"/>
            <w:noProof w:val="0"/>
            <w:color w:val="0000FF"/>
            <w:sz w:val="28"/>
            <w:szCs w:val="28"/>
            <w:u w:val="single"/>
            <w:rtl/>
          </w:rPr>
          <w:t>ע"פ 48/10</w:t>
        </w:r>
      </w:hyperlink>
      <w:r>
        <w:rPr>
          <w:rFonts w:ascii="Arial" w:hAnsi="Arial" w:cs="FrankRuehl" w:hint="cs"/>
          <w:noProof w:val="0"/>
          <w:sz w:val="28"/>
          <w:szCs w:val="28"/>
          <w:rtl/>
        </w:rPr>
        <w:t xml:space="preserve"> </w:t>
      </w:r>
      <w:r w:rsidR="00CB15B5">
        <w:rPr>
          <w:rFonts w:ascii="Arial" w:hAnsi="Arial" w:cs="FrankRuehl" w:hint="cs"/>
          <w:noProof w:val="0"/>
          <w:sz w:val="28"/>
          <w:szCs w:val="28"/>
          <w:rtl/>
        </w:rPr>
        <w:t>הייתם חליל נגד מדינת ישראל</w:t>
      </w:r>
      <w:r w:rsidR="00557C3E">
        <w:rPr>
          <w:rFonts w:ascii="Arial" w:hAnsi="Arial" w:cs="FrankRuehl" w:hint="cs"/>
          <w:noProof w:val="0"/>
          <w:sz w:val="28"/>
          <w:szCs w:val="28"/>
          <w:rtl/>
        </w:rPr>
        <w:t xml:space="preserve"> </w:t>
      </w:r>
      <w:r w:rsidR="00557C3E" w:rsidRPr="00557C3E">
        <w:rPr>
          <w:noProof w:val="0"/>
          <w:sz w:val="22"/>
          <w:rtl/>
        </w:rPr>
        <w:t xml:space="preserve">[פורסם בנבו] </w:t>
      </w:r>
      <w:r w:rsidR="00CB15B5">
        <w:rPr>
          <w:rFonts w:ascii="Arial" w:hAnsi="Arial" w:cs="FrankRuehl" w:hint="cs"/>
          <w:noProof w:val="0"/>
          <w:sz w:val="28"/>
          <w:szCs w:val="28"/>
          <w:rtl/>
        </w:rPr>
        <w:t xml:space="preserve">, בו נגזרו על צעיר נעדר עבר פלילי </w:t>
      </w:r>
      <w:r>
        <w:rPr>
          <w:rFonts w:ascii="Arial" w:hAnsi="Arial" w:cs="FrankRuehl" w:hint="cs"/>
          <w:noProof w:val="0"/>
          <w:sz w:val="28"/>
          <w:szCs w:val="28"/>
          <w:rtl/>
        </w:rPr>
        <w:t>30 חודשי מאסר בגין הצתת רכוש.</w:t>
      </w:r>
    </w:p>
    <w:p w14:paraId="6B89A608" w14:textId="77777777" w:rsidR="00FE068A" w:rsidRDefault="00FE068A" w:rsidP="00FE068A">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ב"כ המאשימה הוסיף וטען כי נסיבות העבירה במקרה דנן הינן חמורות יותר מהמתוארות בפסיקה האמורה. </w:t>
      </w:r>
    </w:p>
    <w:p w14:paraId="1AB362C4" w14:textId="77777777" w:rsidR="000170EC" w:rsidRDefault="0046600E" w:rsidP="00017387">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11.</w:t>
      </w:r>
      <w:r>
        <w:rPr>
          <w:rFonts w:ascii="Arial" w:hAnsi="Arial" w:cs="FrankRuehl" w:hint="cs"/>
          <w:noProof w:val="0"/>
          <w:sz w:val="28"/>
          <w:szCs w:val="28"/>
          <w:rtl/>
        </w:rPr>
        <w:tab/>
      </w:r>
      <w:r w:rsidR="000170EC">
        <w:rPr>
          <w:rFonts w:ascii="Arial" w:hAnsi="Arial" w:cs="FrankRuehl" w:hint="cs"/>
          <w:noProof w:val="0"/>
          <w:sz w:val="28"/>
          <w:szCs w:val="28"/>
          <w:rtl/>
        </w:rPr>
        <w:t xml:space="preserve">אשר לגזירת העונש בתוך המתחם, הפנה ב"כ המאשימה </w:t>
      </w:r>
      <w:hyperlink r:id="rId33" w:history="1">
        <w:r w:rsidR="00BF5318" w:rsidRPr="00BF5318">
          <w:rPr>
            <w:rFonts w:ascii="Arial" w:hAnsi="Arial" w:cs="FrankRuehl"/>
            <w:noProof w:val="0"/>
            <w:color w:val="0000FF"/>
            <w:sz w:val="28"/>
            <w:szCs w:val="28"/>
            <w:u w:val="single"/>
            <w:rtl/>
          </w:rPr>
          <w:t>לסעיפים 40ו'</w:t>
        </w:r>
      </w:hyperlink>
      <w:r w:rsidR="000170EC">
        <w:rPr>
          <w:rFonts w:ascii="Arial" w:hAnsi="Arial" w:cs="FrankRuehl" w:hint="cs"/>
          <w:noProof w:val="0"/>
          <w:sz w:val="28"/>
          <w:szCs w:val="28"/>
          <w:rtl/>
        </w:rPr>
        <w:t xml:space="preserve"> ו-</w:t>
      </w:r>
      <w:hyperlink r:id="rId34" w:history="1">
        <w:r w:rsidR="00BF5318" w:rsidRPr="00BF5318">
          <w:rPr>
            <w:rFonts w:ascii="Arial" w:hAnsi="Arial" w:cs="FrankRuehl"/>
            <w:noProof w:val="0"/>
            <w:color w:val="0000FF"/>
            <w:sz w:val="28"/>
            <w:szCs w:val="28"/>
            <w:u w:val="single"/>
            <w:rtl/>
          </w:rPr>
          <w:t>40ז</w:t>
        </w:r>
      </w:hyperlink>
      <w:r w:rsidR="000170EC">
        <w:rPr>
          <w:rFonts w:ascii="Arial" w:hAnsi="Arial" w:cs="FrankRuehl" w:hint="cs"/>
          <w:noProof w:val="0"/>
          <w:sz w:val="28"/>
          <w:szCs w:val="28"/>
          <w:rtl/>
        </w:rPr>
        <w:t>' ל</w:t>
      </w:r>
      <w:hyperlink r:id="rId35" w:history="1">
        <w:r w:rsidR="00F06FB6" w:rsidRPr="00F06FB6">
          <w:rPr>
            <w:rFonts w:ascii="Arial" w:hAnsi="Arial" w:cs="FrankRuehl"/>
            <w:noProof w:val="0"/>
            <w:color w:val="0000FF"/>
            <w:sz w:val="28"/>
            <w:szCs w:val="28"/>
            <w:u w:val="single"/>
            <w:rtl/>
          </w:rPr>
          <w:t>חוק העונשין</w:t>
        </w:r>
      </w:hyperlink>
      <w:r w:rsidR="000170EC">
        <w:rPr>
          <w:rFonts w:ascii="Arial" w:hAnsi="Arial" w:cs="FrankRuehl" w:hint="cs"/>
          <w:noProof w:val="0"/>
          <w:sz w:val="28"/>
          <w:szCs w:val="28"/>
          <w:rtl/>
        </w:rPr>
        <w:t>, המתייחסים להרתעת היחיד והרבים, ועמד על הצורך בקיומם מקום שהעבירה בוצעה על רקע אידאולוגי.</w:t>
      </w:r>
    </w:p>
    <w:p w14:paraId="6EE0B55E" w14:textId="77777777" w:rsidR="004E16BD" w:rsidRDefault="0046600E" w:rsidP="00FF2B0C">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12.</w:t>
      </w:r>
      <w:r>
        <w:rPr>
          <w:rFonts w:ascii="Arial" w:hAnsi="Arial" w:cs="FrankRuehl" w:hint="cs"/>
          <w:noProof w:val="0"/>
          <w:sz w:val="28"/>
          <w:szCs w:val="28"/>
          <w:rtl/>
        </w:rPr>
        <w:tab/>
      </w:r>
      <w:r w:rsidR="000170EC">
        <w:rPr>
          <w:rFonts w:ascii="Arial" w:hAnsi="Arial" w:cs="FrankRuehl" w:hint="cs"/>
          <w:noProof w:val="0"/>
          <w:sz w:val="28"/>
          <w:szCs w:val="28"/>
          <w:rtl/>
        </w:rPr>
        <w:t>כן נטען כי הנאשם לא לקח אחריות מיידית על מעשיו, אלא שתק בחקירותיו</w:t>
      </w:r>
      <w:r w:rsidR="007F5F40">
        <w:rPr>
          <w:rFonts w:ascii="Arial" w:hAnsi="Arial" w:cs="FrankRuehl" w:hint="cs"/>
          <w:noProof w:val="0"/>
          <w:sz w:val="28"/>
          <w:szCs w:val="28"/>
          <w:rtl/>
        </w:rPr>
        <w:t xml:space="preserve"> והתנהל כלפי גורמי החקירה בהתעלמות מוחלטת</w:t>
      </w:r>
      <w:r w:rsidR="000170EC">
        <w:rPr>
          <w:rFonts w:ascii="Arial" w:hAnsi="Arial" w:cs="FrankRuehl" w:hint="cs"/>
          <w:noProof w:val="0"/>
          <w:sz w:val="28"/>
          <w:szCs w:val="28"/>
          <w:rtl/>
        </w:rPr>
        <w:t xml:space="preserve">, בחר לנהל הוכחות ולהשמיע עדים, ורק לאחר ששני שותפיו לביצוע העבירה הודו, בחר להודות אף הוא במעשיו.  </w:t>
      </w:r>
      <w:r w:rsidR="007F5F40">
        <w:rPr>
          <w:rFonts w:ascii="Arial" w:hAnsi="Arial" w:cs="FrankRuehl" w:hint="cs"/>
          <w:noProof w:val="0"/>
          <w:sz w:val="28"/>
          <w:szCs w:val="28"/>
          <w:rtl/>
        </w:rPr>
        <w:t xml:space="preserve">הנאשם לא פיצה את נפגע העבירה הישיר, ואף לא הציע לעשות כן, ועל כן אין ללמוד על חרטה אמיתית וכנה. </w:t>
      </w:r>
      <w:r w:rsidR="00135B7B">
        <w:rPr>
          <w:rFonts w:ascii="Arial" w:hAnsi="Arial" w:cs="FrankRuehl" w:hint="cs"/>
          <w:noProof w:val="0"/>
          <w:sz w:val="28"/>
          <w:szCs w:val="28"/>
          <w:rtl/>
        </w:rPr>
        <w:t xml:space="preserve">לנוכח כל אלה, נתבקש בית המשפט </w:t>
      </w:r>
      <w:r w:rsidR="004E16BD">
        <w:rPr>
          <w:rFonts w:ascii="Arial" w:hAnsi="Arial" w:cs="FrankRuehl" w:hint="cs"/>
          <w:noProof w:val="0"/>
          <w:sz w:val="28"/>
          <w:szCs w:val="28"/>
          <w:rtl/>
        </w:rPr>
        <w:t>להטיל על הנאשם עונש בטווח הנע בין אמצעו של המתחם לרף העליון של המתחם.</w:t>
      </w:r>
    </w:p>
    <w:p w14:paraId="3D9AD1E2" w14:textId="77777777" w:rsidR="00500BE4" w:rsidRDefault="0046600E" w:rsidP="00135B7B">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13.</w:t>
      </w:r>
      <w:r>
        <w:rPr>
          <w:rFonts w:ascii="Arial" w:hAnsi="Arial" w:cs="FrankRuehl" w:hint="cs"/>
          <w:noProof w:val="0"/>
          <w:sz w:val="28"/>
          <w:szCs w:val="28"/>
          <w:rtl/>
        </w:rPr>
        <w:tab/>
      </w:r>
      <w:r w:rsidR="000976C5">
        <w:rPr>
          <w:rFonts w:ascii="Arial" w:hAnsi="Arial" w:cs="FrankRuehl" w:hint="cs"/>
          <w:noProof w:val="0"/>
          <w:sz w:val="28"/>
          <w:szCs w:val="28"/>
          <w:rtl/>
        </w:rPr>
        <w:t xml:space="preserve">ב"כ הנאשם </w:t>
      </w:r>
      <w:r w:rsidR="003E4E71">
        <w:rPr>
          <w:rFonts w:ascii="Arial" w:hAnsi="Arial" w:cs="FrankRuehl" w:hint="cs"/>
          <w:noProof w:val="0"/>
          <w:sz w:val="28"/>
          <w:szCs w:val="28"/>
          <w:rtl/>
        </w:rPr>
        <w:t>טען, כי הנאשם שיתף פעולה והודה ברוב החלק העובדתי בכתב האישום, וכפר אך במניע האידאולוגי למעשים</w:t>
      </w:r>
      <w:r w:rsidR="000976C5">
        <w:rPr>
          <w:rFonts w:ascii="Arial" w:hAnsi="Arial" w:cs="FrankRuehl" w:hint="cs"/>
          <w:noProof w:val="0"/>
          <w:sz w:val="28"/>
          <w:szCs w:val="28"/>
          <w:rtl/>
        </w:rPr>
        <w:t>, ו</w:t>
      </w:r>
      <w:r w:rsidR="00500BE4">
        <w:rPr>
          <w:rFonts w:ascii="Arial" w:hAnsi="Arial" w:cs="FrankRuehl" w:hint="cs"/>
          <w:noProof w:val="0"/>
          <w:sz w:val="28"/>
          <w:szCs w:val="28"/>
          <w:rtl/>
        </w:rPr>
        <w:t xml:space="preserve">ביקש להתחשב בחלקו של הנאשם במעשים, בכך שריסס ציור של מגן דוד ולא תוכן אלים, ובכך שלא ביצע בפועל את מעשה ההצתה. </w:t>
      </w:r>
    </w:p>
    <w:p w14:paraId="777292F4" w14:textId="77777777" w:rsidR="00500BE4" w:rsidRDefault="0046600E" w:rsidP="0046600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14.</w:t>
      </w:r>
      <w:r>
        <w:rPr>
          <w:rFonts w:ascii="Arial" w:hAnsi="Arial" w:cs="FrankRuehl" w:hint="cs"/>
          <w:noProof w:val="0"/>
          <w:sz w:val="28"/>
          <w:szCs w:val="28"/>
          <w:rtl/>
        </w:rPr>
        <w:tab/>
      </w:r>
      <w:r w:rsidR="000976C5">
        <w:rPr>
          <w:rFonts w:ascii="Arial" w:hAnsi="Arial" w:cs="FrankRuehl" w:hint="cs"/>
          <w:noProof w:val="0"/>
          <w:sz w:val="28"/>
          <w:szCs w:val="28"/>
          <w:rtl/>
        </w:rPr>
        <w:t xml:space="preserve">כן </w:t>
      </w:r>
      <w:r w:rsidR="00500BE4">
        <w:rPr>
          <w:rFonts w:ascii="Arial" w:hAnsi="Arial" w:cs="FrankRuehl" w:hint="cs"/>
          <w:noProof w:val="0"/>
          <w:sz w:val="28"/>
          <w:szCs w:val="28"/>
          <w:rtl/>
        </w:rPr>
        <w:t>טען</w:t>
      </w:r>
      <w:r w:rsidR="000976C5">
        <w:rPr>
          <w:rFonts w:ascii="Arial" w:hAnsi="Arial" w:cs="FrankRuehl" w:hint="cs"/>
          <w:noProof w:val="0"/>
          <w:sz w:val="28"/>
          <w:szCs w:val="28"/>
          <w:rtl/>
        </w:rPr>
        <w:t>,</w:t>
      </w:r>
      <w:r w:rsidR="00500BE4">
        <w:rPr>
          <w:rFonts w:ascii="Arial" w:hAnsi="Arial" w:cs="FrankRuehl" w:hint="cs"/>
          <w:noProof w:val="0"/>
          <w:sz w:val="28"/>
          <w:szCs w:val="28"/>
          <w:rtl/>
        </w:rPr>
        <w:t xml:space="preserve"> כי חוות הדעת שהוגשו מטעם המאשימה הן כלליות ואין ראיה ישירה לנזק שנגרם כתוצאה ממעשיו של הנאשם.</w:t>
      </w:r>
    </w:p>
    <w:p w14:paraId="017CA244" w14:textId="77777777" w:rsidR="000976C5" w:rsidRDefault="0046600E" w:rsidP="006905F4">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15.</w:t>
      </w:r>
      <w:r>
        <w:rPr>
          <w:rFonts w:ascii="Arial" w:hAnsi="Arial" w:cs="FrankRuehl" w:hint="cs"/>
          <w:noProof w:val="0"/>
          <w:sz w:val="28"/>
          <w:szCs w:val="28"/>
          <w:rtl/>
        </w:rPr>
        <w:tab/>
      </w:r>
      <w:r w:rsidR="000976C5">
        <w:rPr>
          <w:rFonts w:ascii="Arial" w:hAnsi="Arial" w:cs="FrankRuehl" w:hint="cs"/>
          <w:noProof w:val="0"/>
          <w:sz w:val="28"/>
          <w:szCs w:val="28"/>
          <w:rtl/>
        </w:rPr>
        <w:t>ב"כ הנאשם טען כי רמת הענישה במקרים בהם בוצעו עבירות הצתה על רקע אידאולוגי נמו</w:t>
      </w:r>
      <w:r w:rsidR="00E23A51">
        <w:rPr>
          <w:rFonts w:ascii="Arial" w:hAnsi="Arial" w:cs="FrankRuehl" w:hint="cs"/>
          <w:noProof w:val="0"/>
          <w:sz w:val="28"/>
          <w:szCs w:val="28"/>
          <w:rtl/>
        </w:rPr>
        <w:t>כה</w:t>
      </w:r>
      <w:r w:rsidR="000976C5">
        <w:rPr>
          <w:rFonts w:ascii="Arial" w:hAnsi="Arial" w:cs="FrankRuehl" w:hint="cs"/>
          <w:noProof w:val="0"/>
          <w:sz w:val="28"/>
          <w:szCs w:val="28"/>
          <w:rtl/>
        </w:rPr>
        <w:t xml:space="preserve"> יותר מעתירת התביעה, ונע</w:t>
      </w:r>
      <w:r w:rsidR="00CC411E">
        <w:rPr>
          <w:rFonts w:ascii="Arial" w:hAnsi="Arial" w:cs="FrankRuehl" w:hint="cs"/>
          <w:noProof w:val="0"/>
          <w:sz w:val="28"/>
          <w:szCs w:val="28"/>
          <w:rtl/>
        </w:rPr>
        <w:t>ה</w:t>
      </w:r>
      <w:r w:rsidR="000976C5">
        <w:rPr>
          <w:rFonts w:ascii="Arial" w:hAnsi="Arial" w:cs="FrankRuehl" w:hint="cs"/>
          <w:noProof w:val="0"/>
          <w:sz w:val="28"/>
          <w:szCs w:val="28"/>
          <w:rtl/>
        </w:rPr>
        <w:t xml:space="preserve"> בין שישה חודשי</w:t>
      </w:r>
      <w:r w:rsidR="006905F4">
        <w:rPr>
          <w:rFonts w:ascii="Arial" w:hAnsi="Arial" w:cs="FrankRuehl" w:hint="cs"/>
          <w:noProof w:val="0"/>
          <w:sz w:val="28"/>
          <w:szCs w:val="28"/>
          <w:rtl/>
        </w:rPr>
        <w:t xml:space="preserve"> מאסר, שיש וירוצו בעבודות שירות, </w:t>
      </w:r>
      <w:r w:rsidR="000976C5">
        <w:rPr>
          <w:rFonts w:ascii="Arial" w:hAnsi="Arial" w:cs="FrankRuehl" w:hint="cs"/>
          <w:noProof w:val="0"/>
          <w:sz w:val="28"/>
          <w:szCs w:val="28"/>
          <w:rtl/>
        </w:rPr>
        <w:t>ל</w:t>
      </w:r>
      <w:r w:rsidR="006905F4">
        <w:rPr>
          <w:rFonts w:ascii="Arial" w:hAnsi="Arial" w:cs="FrankRuehl" w:hint="cs"/>
          <w:noProof w:val="0"/>
          <w:sz w:val="28"/>
          <w:szCs w:val="28"/>
          <w:rtl/>
        </w:rPr>
        <w:t xml:space="preserve">בין </w:t>
      </w:r>
      <w:r w:rsidR="000976C5">
        <w:rPr>
          <w:rFonts w:ascii="Arial" w:hAnsi="Arial" w:cs="FrankRuehl" w:hint="cs"/>
          <w:noProof w:val="0"/>
          <w:sz w:val="28"/>
          <w:szCs w:val="28"/>
          <w:rtl/>
        </w:rPr>
        <w:t xml:space="preserve">30 חודשי מאסר </w:t>
      </w:r>
      <w:r w:rsidR="006905F4">
        <w:rPr>
          <w:rFonts w:ascii="Arial" w:hAnsi="Arial" w:cs="FrankRuehl" w:hint="cs"/>
          <w:noProof w:val="0"/>
          <w:sz w:val="28"/>
          <w:szCs w:val="28"/>
          <w:rtl/>
        </w:rPr>
        <w:t xml:space="preserve">בפועל, </w:t>
      </w:r>
      <w:r w:rsidR="00CC411E">
        <w:rPr>
          <w:rFonts w:ascii="Arial" w:hAnsi="Arial" w:cs="FrankRuehl" w:hint="cs"/>
          <w:noProof w:val="0"/>
          <w:sz w:val="28"/>
          <w:szCs w:val="28"/>
          <w:rtl/>
        </w:rPr>
        <w:t xml:space="preserve">ועל כן ביקש </w:t>
      </w:r>
      <w:r w:rsidR="000976C5">
        <w:rPr>
          <w:rFonts w:ascii="Arial" w:hAnsi="Arial" w:cs="FrankRuehl" w:hint="cs"/>
          <w:noProof w:val="0"/>
          <w:sz w:val="28"/>
          <w:szCs w:val="28"/>
          <w:rtl/>
        </w:rPr>
        <w:t>ל</w:t>
      </w:r>
      <w:r w:rsidR="009720F0">
        <w:rPr>
          <w:rFonts w:ascii="Arial" w:hAnsi="Arial" w:cs="FrankRuehl" w:hint="cs"/>
          <w:noProof w:val="0"/>
          <w:sz w:val="28"/>
          <w:szCs w:val="28"/>
          <w:rtl/>
        </w:rPr>
        <w:t>אמץ מתחם זה לענייננו</w:t>
      </w:r>
      <w:r w:rsidR="000976C5">
        <w:rPr>
          <w:rFonts w:ascii="Arial" w:hAnsi="Arial" w:cs="FrankRuehl" w:hint="cs"/>
          <w:noProof w:val="0"/>
          <w:sz w:val="28"/>
          <w:szCs w:val="28"/>
          <w:rtl/>
        </w:rPr>
        <w:t>.</w:t>
      </w:r>
      <w:r w:rsidR="00E23A51">
        <w:rPr>
          <w:rFonts w:ascii="Arial" w:hAnsi="Arial" w:cs="FrankRuehl" w:hint="cs"/>
          <w:noProof w:val="0"/>
          <w:sz w:val="28"/>
          <w:szCs w:val="28"/>
          <w:rtl/>
        </w:rPr>
        <w:t xml:space="preserve"> כתימוכין לטענתו, הפנה לפסיקה </w:t>
      </w:r>
      <w:r w:rsidR="007E56B6">
        <w:rPr>
          <w:rFonts w:ascii="Arial" w:hAnsi="Arial" w:cs="FrankRuehl" w:hint="cs"/>
          <w:noProof w:val="0"/>
          <w:sz w:val="28"/>
          <w:szCs w:val="28"/>
          <w:rtl/>
        </w:rPr>
        <w:t xml:space="preserve">רבה, אלא שמרביתה ניתנה לפני תיקון 113, </w:t>
      </w:r>
      <w:r w:rsidR="00E23A51">
        <w:rPr>
          <w:rFonts w:ascii="Arial" w:hAnsi="Arial" w:cs="FrankRuehl" w:hint="cs"/>
          <w:noProof w:val="0"/>
          <w:sz w:val="28"/>
          <w:szCs w:val="28"/>
          <w:rtl/>
        </w:rPr>
        <w:t>כדלקמן:</w:t>
      </w:r>
    </w:p>
    <w:p w14:paraId="2569B57D" w14:textId="77777777" w:rsidR="00E23A51" w:rsidRDefault="00E23A51" w:rsidP="00E737CB">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א. </w:t>
      </w:r>
      <w:r w:rsidR="008326B0">
        <w:rPr>
          <w:rFonts w:ascii="Arial" w:hAnsi="Arial" w:cs="FrankRuehl" w:hint="cs"/>
          <w:noProof w:val="0"/>
          <w:sz w:val="28"/>
          <w:szCs w:val="28"/>
          <w:rtl/>
        </w:rPr>
        <w:t xml:space="preserve">ת"פ (מחוזי י-ם) 3126/07 מדינת ישראל נגד עבאסי ואח' </w:t>
      </w:r>
      <w:r w:rsidR="008326B0">
        <w:rPr>
          <w:rFonts w:ascii="Arial" w:hAnsi="Arial" w:cs="FrankRuehl"/>
          <w:noProof w:val="0"/>
          <w:sz w:val="28"/>
          <w:szCs w:val="28"/>
          <w:rtl/>
        </w:rPr>
        <w:t>–</w:t>
      </w:r>
      <w:r w:rsidR="008326B0">
        <w:rPr>
          <w:rFonts w:ascii="Arial" w:hAnsi="Arial" w:cs="FrankRuehl" w:hint="cs"/>
          <w:noProof w:val="0"/>
          <w:sz w:val="28"/>
          <w:szCs w:val="28"/>
          <w:rtl/>
        </w:rPr>
        <w:t xml:space="preserve"> בגין </w:t>
      </w:r>
      <w:r w:rsidR="001917DB">
        <w:rPr>
          <w:rFonts w:ascii="Arial" w:hAnsi="Arial" w:cs="FrankRuehl" w:hint="cs"/>
          <w:noProof w:val="0"/>
          <w:sz w:val="28"/>
          <w:szCs w:val="28"/>
          <w:rtl/>
        </w:rPr>
        <w:t xml:space="preserve">מספר אירועי </w:t>
      </w:r>
      <w:r w:rsidR="008326B0">
        <w:rPr>
          <w:rFonts w:ascii="Arial" w:hAnsi="Arial" w:cs="FrankRuehl" w:hint="cs"/>
          <w:noProof w:val="0"/>
          <w:sz w:val="28"/>
          <w:szCs w:val="28"/>
          <w:rtl/>
        </w:rPr>
        <w:t>השלכת בקבוק</w:t>
      </w:r>
      <w:r w:rsidR="001917DB">
        <w:rPr>
          <w:rFonts w:ascii="Arial" w:hAnsi="Arial" w:cs="FrankRuehl" w:hint="cs"/>
          <w:noProof w:val="0"/>
          <w:sz w:val="28"/>
          <w:szCs w:val="28"/>
          <w:rtl/>
        </w:rPr>
        <w:t>י</w:t>
      </w:r>
      <w:r w:rsidR="008326B0">
        <w:rPr>
          <w:rFonts w:ascii="Arial" w:hAnsi="Arial" w:cs="FrankRuehl" w:hint="cs"/>
          <w:noProof w:val="0"/>
          <w:sz w:val="28"/>
          <w:szCs w:val="28"/>
          <w:rtl/>
        </w:rPr>
        <w:t xml:space="preserve"> תבערה </w:t>
      </w:r>
      <w:r w:rsidR="001917DB">
        <w:rPr>
          <w:rFonts w:ascii="Arial" w:hAnsi="Arial" w:cs="FrankRuehl" w:hint="cs"/>
          <w:noProof w:val="0"/>
          <w:sz w:val="28"/>
          <w:szCs w:val="28"/>
          <w:rtl/>
        </w:rPr>
        <w:t>ואירועי נקמה חמורים הושתו על הנאשמים עונשים הנעים בין 6 חודשי עבודות שירות לבין 10 חודשי מאסר בפועל. דא עקא, כי כתבי האישום הוגשו בחלוף</w:t>
      </w:r>
      <w:r w:rsidR="00E737CB">
        <w:rPr>
          <w:rFonts w:ascii="Arial" w:hAnsi="Arial" w:cs="FrankRuehl" w:hint="cs"/>
          <w:noProof w:val="0"/>
          <w:sz w:val="28"/>
          <w:szCs w:val="28"/>
          <w:rtl/>
        </w:rPr>
        <w:t xml:space="preserve"> כ-7</w:t>
      </w:r>
      <w:r w:rsidR="001917DB">
        <w:rPr>
          <w:rFonts w:ascii="Arial" w:hAnsi="Arial" w:cs="FrankRuehl" w:hint="cs"/>
          <w:noProof w:val="0"/>
          <w:sz w:val="28"/>
          <w:szCs w:val="28"/>
          <w:rtl/>
        </w:rPr>
        <w:t xml:space="preserve"> שנים מקרות האירועים, </w:t>
      </w:r>
      <w:r w:rsidR="00E737CB">
        <w:rPr>
          <w:rFonts w:ascii="Arial" w:hAnsi="Arial" w:cs="FrankRuehl" w:hint="cs"/>
          <w:noProof w:val="0"/>
          <w:sz w:val="28"/>
          <w:szCs w:val="28"/>
          <w:rtl/>
        </w:rPr>
        <w:t>שהיו נקודתיים, והנאשמים, שהיו קטינים במועד ביצוע העבירות, לא חזרו על ביצוע עבירות.</w:t>
      </w:r>
    </w:p>
    <w:p w14:paraId="63644B62" w14:textId="77777777" w:rsidR="00E737CB" w:rsidRDefault="00E737CB" w:rsidP="00655191">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ב. </w:t>
      </w:r>
      <w:hyperlink r:id="rId36" w:history="1">
        <w:r w:rsidR="00F06FB6" w:rsidRPr="00F06FB6">
          <w:rPr>
            <w:rFonts w:ascii="Arial" w:hAnsi="Arial" w:cs="FrankRuehl"/>
            <w:noProof w:val="0"/>
            <w:color w:val="0000FF"/>
            <w:sz w:val="28"/>
            <w:szCs w:val="28"/>
            <w:u w:val="single"/>
            <w:rtl/>
          </w:rPr>
          <w:t>ת"פ (מחוזי י-ם) 430/04</w:t>
        </w:r>
      </w:hyperlink>
      <w:r w:rsidR="002E2F23">
        <w:rPr>
          <w:rFonts w:ascii="Arial" w:hAnsi="Arial" w:cs="FrankRuehl" w:hint="cs"/>
          <w:noProof w:val="0"/>
          <w:sz w:val="28"/>
          <w:szCs w:val="28"/>
          <w:rtl/>
        </w:rPr>
        <w:t xml:space="preserve"> מדינת ישראל נגד אסחק גול </w:t>
      </w:r>
      <w:r w:rsidR="00557C3E" w:rsidRPr="00557C3E">
        <w:rPr>
          <w:noProof w:val="0"/>
          <w:sz w:val="22"/>
          <w:rtl/>
        </w:rPr>
        <w:t xml:space="preserve">[פורסם בנבו] </w:t>
      </w:r>
      <w:r w:rsidR="002E2F23">
        <w:rPr>
          <w:rFonts w:ascii="Arial" w:hAnsi="Arial" w:cs="FrankRuehl"/>
          <w:noProof w:val="0"/>
          <w:sz w:val="28"/>
          <w:szCs w:val="28"/>
          <w:rtl/>
        </w:rPr>
        <w:t>–</w:t>
      </w:r>
      <w:r w:rsidR="002E2F23">
        <w:rPr>
          <w:rFonts w:ascii="Arial" w:hAnsi="Arial" w:cs="FrankRuehl" w:hint="cs"/>
          <w:noProof w:val="0"/>
          <w:sz w:val="28"/>
          <w:szCs w:val="28"/>
          <w:rtl/>
        </w:rPr>
        <w:t xml:space="preserve"> שם בגין עבירות של תמיכה בארגון טרוריסטי, התפרעות, קשירת קשר לפשע, חבלה בכוונה מחמירה והצתה</w:t>
      </w:r>
      <w:r w:rsidR="00655191">
        <w:rPr>
          <w:rFonts w:ascii="Arial" w:hAnsi="Arial" w:cs="FrankRuehl" w:hint="cs"/>
          <w:noProof w:val="0"/>
          <w:sz w:val="28"/>
          <w:szCs w:val="28"/>
          <w:rtl/>
        </w:rPr>
        <w:t xml:space="preserve"> הושתו על הנאשם 20 חודשי מאסר לריצוי בפועל, אלא שבית המשפט התחשב בנסיבות מיוחדות, ביניהן חלוף הזמן והעובדה שהנאשם שם סיים לרצות עונש מאסר בגין עבירות דומות וביקש לשקם את חייו, אך מספר ימים לאחר שחרורו ממאסר נעצר שוב בגין עבירות אלה. </w:t>
      </w:r>
    </w:p>
    <w:p w14:paraId="19ACE52E" w14:textId="77777777" w:rsidR="0038216E" w:rsidRDefault="00655191" w:rsidP="006905F4">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ג. </w:t>
      </w:r>
      <w:hyperlink r:id="rId37" w:history="1">
        <w:r w:rsidR="00F06FB6" w:rsidRPr="00F06FB6">
          <w:rPr>
            <w:rFonts w:ascii="Arial" w:hAnsi="Arial" w:cs="FrankRuehl"/>
            <w:noProof w:val="0"/>
            <w:color w:val="0000FF"/>
            <w:sz w:val="28"/>
            <w:szCs w:val="28"/>
            <w:u w:val="single"/>
            <w:rtl/>
          </w:rPr>
          <w:t>ת"פ (מחוזי חיפה) 4847-11-08</w:t>
        </w:r>
      </w:hyperlink>
      <w:r w:rsidR="0038216E">
        <w:rPr>
          <w:rFonts w:ascii="Arial" w:hAnsi="Arial" w:cs="FrankRuehl" w:hint="cs"/>
          <w:noProof w:val="0"/>
          <w:sz w:val="28"/>
          <w:szCs w:val="28"/>
          <w:rtl/>
        </w:rPr>
        <w:t xml:space="preserve"> מדינת ישראל נגד איברהים ביומי</w:t>
      </w:r>
      <w:r w:rsidR="00557C3E">
        <w:rPr>
          <w:rFonts w:ascii="Arial" w:hAnsi="Arial" w:cs="FrankRuehl" w:hint="cs"/>
          <w:noProof w:val="0"/>
          <w:sz w:val="28"/>
          <w:szCs w:val="28"/>
          <w:rtl/>
        </w:rPr>
        <w:t xml:space="preserve"> </w:t>
      </w:r>
      <w:r w:rsidR="00557C3E" w:rsidRPr="00557C3E">
        <w:rPr>
          <w:noProof w:val="0"/>
          <w:sz w:val="22"/>
          <w:rtl/>
        </w:rPr>
        <w:t xml:space="preserve">[פורסם בנבו] </w:t>
      </w:r>
      <w:r w:rsidR="0038216E">
        <w:rPr>
          <w:rFonts w:ascii="Arial" w:hAnsi="Arial" w:cs="FrankRuehl" w:hint="cs"/>
          <w:noProof w:val="0"/>
          <w:sz w:val="28"/>
          <w:szCs w:val="28"/>
          <w:rtl/>
        </w:rPr>
        <w:t xml:space="preserve"> </w:t>
      </w:r>
      <w:r w:rsidR="0038216E">
        <w:rPr>
          <w:rFonts w:ascii="Arial" w:hAnsi="Arial" w:cs="FrankRuehl"/>
          <w:noProof w:val="0"/>
          <w:sz w:val="28"/>
          <w:szCs w:val="28"/>
          <w:rtl/>
        </w:rPr>
        <w:t>–</w:t>
      </w:r>
      <w:r w:rsidR="0038216E">
        <w:rPr>
          <w:rFonts w:ascii="Arial" w:hAnsi="Arial" w:cs="FrankRuehl" w:hint="cs"/>
          <w:noProof w:val="0"/>
          <w:sz w:val="28"/>
          <w:szCs w:val="28"/>
          <w:rtl/>
        </w:rPr>
        <w:t xml:space="preserve"> הנאשם יחד עם </w:t>
      </w:r>
      <w:r w:rsidR="00A17AEC">
        <w:rPr>
          <w:rFonts w:ascii="Arial" w:hAnsi="Arial" w:cs="FrankRuehl" w:hint="cs"/>
          <w:noProof w:val="0"/>
          <w:sz w:val="28"/>
          <w:szCs w:val="28"/>
          <w:rtl/>
        </w:rPr>
        <w:t xml:space="preserve">שני </w:t>
      </w:r>
      <w:r w:rsidR="0038216E">
        <w:rPr>
          <w:rFonts w:ascii="Arial" w:hAnsi="Arial" w:cs="FrankRuehl" w:hint="cs"/>
          <w:noProof w:val="0"/>
          <w:sz w:val="28"/>
          <w:szCs w:val="28"/>
          <w:rtl/>
        </w:rPr>
        <w:t xml:space="preserve">אחרים קשרו קשר להצית ישיבת הסדר כנקמה, הכינו בקבוק תבערה והשליכו אותו. </w:t>
      </w:r>
      <w:r w:rsidR="00A17AEC">
        <w:rPr>
          <w:rFonts w:ascii="Arial" w:hAnsi="Arial" w:cs="FrankRuehl" w:hint="cs"/>
          <w:noProof w:val="0"/>
          <w:sz w:val="28"/>
          <w:szCs w:val="28"/>
          <w:rtl/>
        </w:rPr>
        <w:t xml:space="preserve">בית המשפט עמדמ על חומרת העבירות ועל הצורך בגינוי נקמה לאומנית והשית על הנאשם, בעל עבר פלילי משמעותי, 3 שנות מאסר לריצוי בפועל בגין העבירות בתיק זה. על נאשם </w:t>
      </w:r>
      <w:r w:rsidR="006905F4">
        <w:rPr>
          <w:rFonts w:ascii="Arial" w:hAnsi="Arial" w:cs="FrankRuehl" w:hint="cs"/>
          <w:noProof w:val="0"/>
          <w:sz w:val="28"/>
          <w:szCs w:val="28"/>
          <w:rtl/>
        </w:rPr>
        <w:t xml:space="preserve">נוסף, צעיר בעל עבר שאינו מכביד, הוטלו 30 חודשי מאסר בפועל ועל נאשם שלישי שהורשע בסיוע הוטלו 6 חודשי מאסר, שיש וירוצו בדרך של עבודות שירות. </w:t>
      </w:r>
    </w:p>
    <w:p w14:paraId="18E0C72B" w14:textId="77777777" w:rsidR="00447563" w:rsidRDefault="00447563" w:rsidP="00447563">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ד. </w:t>
      </w:r>
      <w:hyperlink r:id="rId38" w:history="1">
        <w:r w:rsidR="00F06FB6" w:rsidRPr="00F06FB6">
          <w:rPr>
            <w:rFonts w:ascii="Arial" w:hAnsi="Arial" w:cs="FrankRuehl"/>
            <w:noProof w:val="0"/>
            <w:color w:val="0000FF"/>
            <w:sz w:val="28"/>
            <w:szCs w:val="28"/>
            <w:u w:val="single"/>
            <w:rtl/>
          </w:rPr>
          <w:t>ע"פ 7351/07</w:t>
        </w:r>
      </w:hyperlink>
      <w:r>
        <w:rPr>
          <w:rFonts w:ascii="Arial" w:hAnsi="Arial" w:cs="FrankRuehl" w:hint="cs"/>
          <w:noProof w:val="0"/>
          <w:sz w:val="28"/>
          <w:szCs w:val="28"/>
          <w:rtl/>
        </w:rPr>
        <w:t xml:space="preserve"> מוחמד עסילה נגד מדינת ישראל </w:t>
      </w:r>
      <w:r w:rsidR="00557C3E" w:rsidRPr="00557C3E">
        <w:rPr>
          <w:noProof w:val="0"/>
          <w:sz w:val="22"/>
          <w:rtl/>
        </w:rPr>
        <w:t xml:space="preserve">[פורסם בנבו] </w:t>
      </w:r>
      <w:r>
        <w:rPr>
          <w:rFonts w:ascii="Arial" w:hAnsi="Arial" w:cs="FrankRuehl"/>
          <w:noProof w:val="0"/>
          <w:sz w:val="28"/>
          <w:szCs w:val="28"/>
          <w:rtl/>
        </w:rPr>
        <w:t>–</w:t>
      </w:r>
      <w:r>
        <w:rPr>
          <w:rFonts w:ascii="Arial" w:hAnsi="Arial" w:cs="FrankRuehl" w:hint="cs"/>
          <w:noProof w:val="0"/>
          <w:sz w:val="28"/>
          <w:szCs w:val="28"/>
          <w:rtl/>
        </w:rPr>
        <w:t xml:space="preserve"> המערער, צעיר בעל עבר בעבירת סיכון חיי אדם בנתיב תחבורה, הצית יחד עם אחר בית כנסת וכן הציתו מספר כלי רכב בכמה הזדמנויות, ונדון ל-37 חודשי מאסר בפועל. </w:t>
      </w:r>
    </w:p>
    <w:p w14:paraId="02456B9B" w14:textId="77777777" w:rsidR="00655191" w:rsidRDefault="007E56B6" w:rsidP="00655191">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לא מצאתי לפרט פסיקה נוספת דומה אליה הפנה ב"כ הנאשם ולפסקי דין שנסתיימו בהסדר טיעון. </w:t>
      </w:r>
    </w:p>
    <w:p w14:paraId="3C3DC884" w14:textId="77777777" w:rsidR="00500BE4" w:rsidRDefault="0046600E" w:rsidP="00CC411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16.</w:t>
      </w:r>
      <w:r>
        <w:rPr>
          <w:rFonts w:ascii="Arial" w:hAnsi="Arial" w:cs="FrankRuehl" w:hint="cs"/>
          <w:noProof w:val="0"/>
          <w:sz w:val="28"/>
          <w:szCs w:val="28"/>
          <w:rtl/>
        </w:rPr>
        <w:tab/>
      </w:r>
      <w:r w:rsidR="000976C5">
        <w:rPr>
          <w:rFonts w:ascii="Arial" w:hAnsi="Arial" w:cs="FrankRuehl" w:hint="cs"/>
          <w:noProof w:val="0"/>
          <w:sz w:val="28"/>
          <w:szCs w:val="28"/>
          <w:rtl/>
        </w:rPr>
        <w:t xml:space="preserve">אשר לקביעת העונש בתוך המתחם, </w:t>
      </w:r>
      <w:r w:rsidR="009720F0">
        <w:rPr>
          <w:rFonts w:ascii="Arial" w:hAnsi="Arial" w:cs="FrankRuehl" w:hint="cs"/>
          <w:noProof w:val="0"/>
          <w:sz w:val="28"/>
          <w:szCs w:val="28"/>
          <w:rtl/>
        </w:rPr>
        <w:t xml:space="preserve">נטען כי הנאשם צעיר, ללא עבר פלילי, זאת בניגוד לשותפיו, ומעצרו פגע </w:t>
      </w:r>
      <w:r w:rsidR="00CC411E">
        <w:rPr>
          <w:rFonts w:ascii="Arial" w:hAnsi="Arial" w:cs="FrankRuehl" w:hint="cs"/>
          <w:noProof w:val="0"/>
          <w:sz w:val="28"/>
          <w:szCs w:val="28"/>
          <w:rtl/>
        </w:rPr>
        <w:t xml:space="preserve">בו </w:t>
      </w:r>
      <w:r w:rsidR="009720F0">
        <w:rPr>
          <w:rFonts w:ascii="Arial" w:hAnsi="Arial" w:cs="FrankRuehl" w:hint="cs"/>
          <w:noProof w:val="0"/>
          <w:sz w:val="28"/>
          <w:szCs w:val="28"/>
          <w:rtl/>
        </w:rPr>
        <w:t>רבות ו</w:t>
      </w:r>
      <w:r w:rsidR="00CC411E">
        <w:rPr>
          <w:rFonts w:ascii="Arial" w:hAnsi="Arial" w:cs="FrankRuehl" w:hint="cs"/>
          <w:noProof w:val="0"/>
          <w:sz w:val="28"/>
          <w:szCs w:val="28"/>
          <w:rtl/>
        </w:rPr>
        <w:t xml:space="preserve">כן </w:t>
      </w:r>
      <w:r w:rsidR="009720F0">
        <w:rPr>
          <w:rFonts w:ascii="Arial" w:hAnsi="Arial" w:cs="FrankRuehl" w:hint="cs"/>
          <w:noProof w:val="0"/>
          <w:sz w:val="28"/>
          <w:szCs w:val="28"/>
          <w:rtl/>
        </w:rPr>
        <w:t xml:space="preserve">בבני משפחתו. </w:t>
      </w:r>
      <w:r w:rsidR="00452A51">
        <w:rPr>
          <w:rFonts w:ascii="Arial" w:hAnsi="Arial" w:cs="FrankRuehl" w:hint="cs"/>
          <w:noProof w:val="0"/>
          <w:sz w:val="28"/>
          <w:szCs w:val="28"/>
          <w:rtl/>
        </w:rPr>
        <w:t xml:space="preserve">כן נטען, כי חרטתו של הנאשם כנה. </w:t>
      </w:r>
    </w:p>
    <w:p w14:paraId="29423411" w14:textId="77777777" w:rsidR="004F1D27" w:rsidRDefault="0046600E" w:rsidP="0046600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 xml:space="preserve">17. </w:t>
      </w:r>
      <w:r>
        <w:rPr>
          <w:rFonts w:ascii="Arial" w:hAnsi="Arial" w:cs="FrankRuehl" w:hint="cs"/>
          <w:noProof w:val="0"/>
          <w:sz w:val="28"/>
          <w:szCs w:val="28"/>
          <w:rtl/>
        </w:rPr>
        <w:tab/>
      </w:r>
      <w:r w:rsidR="008C322F">
        <w:rPr>
          <w:rFonts w:ascii="Arial" w:hAnsi="Arial" w:cs="FrankRuehl" w:hint="cs"/>
          <w:noProof w:val="0"/>
          <w:sz w:val="28"/>
          <w:szCs w:val="28"/>
          <w:rtl/>
        </w:rPr>
        <w:t>מטעם הנאשם העידו שישה עדי אופי. הרב</w:t>
      </w:r>
      <w:r w:rsidR="004F1D27">
        <w:rPr>
          <w:rFonts w:ascii="Arial" w:hAnsi="Arial" w:cs="FrankRuehl" w:hint="cs"/>
          <w:noProof w:val="0"/>
          <w:sz w:val="28"/>
          <w:szCs w:val="28"/>
          <w:rtl/>
        </w:rPr>
        <w:t xml:space="preserve"> אליקים לבנון, רבה של אלון מורה, העיד כי מהיכרותו עם הנאשם למד כי מדובר באדם פעיל חברתית שקט ולא אלים. </w:t>
      </w:r>
    </w:p>
    <w:p w14:paraId="6BD43EEC" w14:textId="77777777" w:rsidR="004F1D27" w:rsidRDefault="004F1D27" w:rsidP="004F1D27">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הגברת שרה גלברד, חברה של משפחת הנאשם ומורה לאנגלית , העידה כי הנאשם הינו בחור שקט וחיובי ותמיד נכון לעזור. </w:t>
      </w:r>
    </w:p>
    <w:p w14:paraId="487EE044" w14:textId="77777777" w:rsidR="008C322F" w:rsidRDefault="004F1D27" w:rsidP="004F1D27">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מר מאיר גולדמינץ,  ראש ישיבת 'שאול המלך' בחוות גלעד ורבו של הנאשם, מסר בעדותו כי הנאשם היה פעיל חברתית ולימודית בישיבה, סייע לחבריו וקידם אותם. </w:t>
      </w:r>
      <w:r w:rsidR="008A4951">
        <w:rPr>
          <w:rFonts w:ascii="Arial" w:hAnsi="Arial" w:cs="FrankRuehl" w:hint="cs"/>
          <w:noProof w:val="0"/>
          <w:sz w:val="28"/>
          <w:szCs w:val="28"/>
          <w:rtl/>
        </w:rPr>
        <w:t>חסרונו בישיבה מורגש, ולעתים הוא שומע שיעורים באמצעות הטלפון ממקום מעצרו. ביחס למעשיו של הנאשם התבטא העד כי מדובר ב"תיק מטופש שנפל עליו".</w:t>
      </w:r>
    </w:p>
    <w:p w14:paraId="466E6659" w14:textId="77777777" w:rsidR="008A4951" w:rsidRDefault="008A4951" w:rsidP="00992709">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מר מיכאל צימרמן, עו"ס בהכשרתו, העיד כי </w:t>
      </w:r>
      <w:r w:rsidR="00992709">
        <w:rPr>
          <w:rFonts w:ascii="Arial" w:hAnsi="Arial" w:cs="FrankRuehl" w:hint="cs"/>
          <w:noProof w:val="0"/>
          <w:sz w:val="28"/>
          <w:szCs w:val="28"/>
          <w:rtl/>
        </w:rPr>
        <w:t xml:space="preserve">היה בקשר עם הנאשם במסגרת טיפול פרטני, והתרשם כי לנאשם עולם פנימי רגיש, עדין וילדותי. לנאשם הוענקו כלים להפרדה בין הילד והבוגר. במהלך מעצרו הפנים הנאשם כי מעשיו אינם תואמים את עולמו הפנימי והביע צער בגין מעשיו ורצון עז לשקם עצמו ולהקים בית ומשפחה. </w:t>
      </w:r>
    </w:p>
    <w:p w14:paraId="14592F6A" w14:textId="77777777" w:rsidR="00A208BE" w:rsidRDefault="00A208BE" w:rsidP="00D12207">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גברת לאה ריכטר, אמו של הנאשם, </w:t>
      </w:r>
      <w:r w:rsidR="00C42B8E">
        <w:rPr>
          <w:rFonts w:ascii="Arial" w:hAnsi="Arial" w:cs="FrankRuehl" w:hint="cs"/>
          <w:noProof w:val="0"/>
          <w:sz w:val="28"/>
          <w:szCs w:val="28"/>
          <w:rtl/>
        </w:rPr>
        <w:t>העידה כי היא ובעלה, אבי הנאשם, עלו ארצה מתוך ציונות ואהבת הארץ, הקימו את ביתם בחומש שבצפון השומרון ופונו ממנו במהלך פינוי גוש קטיף. לדבריה, היתה לכך השפעה על הנאשם ועל כל בני המשפחה, אולם הם הצליחו לשקם עצמם. הנאשם נחשף לפעולות איבה מצד פלשתינאים</w:t>
      </w:r>
      <w:r w:rsidR="008D524E">
        <w:rPr>
          <w:rFonts w:ascii="Arial" w:hAnsi="Arial" w:cs="FrankRuehl" w:hint="cs"/>
          <w:noProof w:val="0"/>
          <w:sz w:val="28"/>
          <w:szCs w:val="28"/>
          <w:rtl/>
        </w:rPr>
        <w:t xml:space="preserve"> אף באלון מורה, טעה במעשיו והוא משלם את המחיר במעצר ממושך, ומעוניין לשקם את חייו. </w:t>
      </w:r>
    </w:p>
    <w:p w14:paraId="3C7CA922" w14:textId="77777777" w:rsidR="008C322F" w:rsidRDefault="008D524E" w:rsidP="00D12207">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גברת פעשע גורדין, סבתו של הנאשם, העידה כי הנאשם הינו נכדה הבכור, הוא מאוד קרוב אליה, ועשה טעות בדרך בה בחר. העדה הביעה תקוותה כי הנאשם ישוב לשהות לצידה בקרוב</w:t>
      </w:r>
      <w:r w:rsidR="00D12207">
        <w:rPr>
          <w:rFonts w:ascii="Arial" w:hAnsi="Arial" w:cs="FrankRuehl" w:hint="cs"/>
          <w:noProof w:val="0"/>
          <w:sz w:val="28"/>
          <w:szCs w:val="28"/>
          <w:rtl/>
        </w:rPr>
        <w:t xml:space="preserve"> וביקשה כי יישפט במידת החסד והרחמים</w:t>
      </w:r>
      <w:r>
        <w:rPr>
          <w:rFonts w:ascii="Arial" w:hAnsi="Arial" w:cs="FrankRuehl" w:hint="cs"/>
          <w:noProof w:val="0"/>
          <w:sz w:val="28"/>
          <w:szCs w:val="28"/>
          <w:rtl/>
        </w:rPr>
        <w:t xml:space="preserve">. </w:t>
      </w:r>
    </w:p>
    <w:p w14:paraId="15715CF7" w14:textId="77777777" w:rsidR="009A1683" w:rsidRDefault="009A1683" w:rsidP="00875287">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כמו כן הוגש</w:t>
      </w:r>
      <w:r w:rsidR="00875287">
        <w:rPr>
          <w:rFonts w:ascii="Arial" w:hAnsi="Arial" w:cs="FrankRuehl" w:hint="cs"/>
          <w:noProof w:val="0"/>
          <w:sz w:val="28"/>
          <w:szCs w:val="28"/>
          <w:rtl/>
        </w:rPr>
        <w:t>ו</w:t>
      </w:r>
      <w:r>
        <w:rPr>
          <w:rFonts w:ascii="Arial" w:hAnsi="Arial" w:cs="FrankRuehl" w:hint="cs"/>
          <w:noProof w:val="0"/>
          <w:sz w:val="28"/>
          <w:szCs w:val="28"/>
          <w:rtl/>
        </w:rPr>
        <w:t xml:space="preserve"> לעיוני </w:t>
      </w:r>
      <w:r w:rsidR="0040315E">
        <w:rPr>
          <w:rFonts w:ascii="Arial" w:hAnsi="Arial" w:cs="FrankRuehl" w:hint="cs"/>
          <w:noProof w:val="0"/>
          <w:sz w:val="28"/>
          <w:szCs w:val="28"/>
          <w:rtl/>
        </w:rPr>
        <w:t>מכתבי הערכה בעניינו של הנאשם ו</w:t>
      </w:r>
      <w:r>
        <w:rPr>
          <w:rFonts w:ascii="Arial" w:hAnsi="Arial" w:cs="FrankRuehl" w:hint="cs"/>
          <w:noProof w:val="0"/>
          <w:sz w:val="28"/>
          <w:szCs w:val="28"/>
          <w:rtl/>
        </w:rPr>
        <w:t>מכתבו של הנאשם</w:t>
      </w:r>
      <w:r w:rsidR="0040315E">
        <w:rPr>
          <w:rFonts w:ascii="Arial" w:hAnsi="Arial" w:cs="FrankRuehl" w:hint="cs"/>
          <w:noProof w:val="0"/>
          <w:sz w:val="28"/>
          <w:szCs w:val="28"/>
          <w:rtl/>
        </w:rPr>
        <w:t xml:space="preserve"> עצמו</w:t>
      </w:r>
      <w:r>
        <w:rPr>
          <w:rFonts w:ascii="Arial" w:hAnsi="Arial" w:cs="FrankRuehl" w:hint="cs"/>
          <w:noProof w:val="0"/>
          <w:sz w:val="28"/>
          <w:szCs w:val="28"/>
          <w:rtl/>
        </w:rPr>
        <w:t xml:space="preserve">, בו ציין הלה כי </w:t>
      </w:r>
      <w:r w:rsidR="00A21D20">
        <w:rPr>
          <w:rFonts w:ascii="Arial" w:hAnsi="Arial" w:cs="FrankRuehl" w:hint="cs"/>
          <w:noProof w:val="0"/>
          <w:sz w:val="28"/>
          <w:szCs w:val="28"/>
          <w:rtl/>
        </w:rPr>
        <w:t>ביקש להביע דעה בגרפיטי ולא באלימות, וכי לא היה מודע לחומרת המעשים עליהם הוא מצר ואשר אין בדעתו לחזור עליהם. הנאשם ציין את הקושי שחש בחקירותיו ובמ</w:t>
      </w:r>
      <w:r w:rsidR="0040315E">
        <w:rPr>
          <w:rFonts w:ascii="Arial" w:hAnsi="Arial" w:cs="FrankRuehl" w:hint="cs"/>
          <w:noProof w:val="0"/>
          <w:sz w:val="28"/>
          <w:szCs w:val="28"/>
          <w:rtl/>
        </w:rPr>
        <w:t>הלך מעצרו וביקש לצאת לדרך חדשה.</w:t>
      </w:r>
    </w:p>
    <w:p w14:paraId="39081A84" w14:textId="77777777" w:rsidR="00B649C7" w:rsidRDefault="0046600E" w:rsidP="0046600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18.</w:t>
      </w:r>
      <w:r>
        <w:rPr>
          <w:rFonts w:ascii="Arial" w:hAnsi="Arial" w:cs="FrankRuehl" w:hint="cs"/>
          <w:noProof w:val="0"/>
          <w:sz w:val="28"/>
          <w:szCs w:val="28"/>
          <w:rtl/>
        </w:rPr>
        <w:tab/>
      </w:r>
      <w:r w:rsidR="00B649C7">
        <w:rPr>
          <w:rFonts w:ascii="Arial" w:hAnsi="Arial" w:cs="FrankRuehl" w:hint="cs"/>
          <w:noProof w:val="0"/>
          <w:sz w:val="28"/>
          <w:szCs w:val="28"/>
          <w:rtl/>
        </w:rPr>
        <w:t xml:space="preserve">ב"כ הנאשם טען כי אין לזקוף לחובתו של הנאשם את </w:t>
      </w:r>
      <w:r w:rsidR="00B00A31">
        <w:rPr>
          <w:rFonts w:ascii="Arial" w:hAnsi="Arial" w:cs="FrankRuehl" w:hint="cs"/>
          <w:noProof w:val="0"/>
          <w:sz w:val="28"/>
          <w:szCs w:val="28"/>
          <w:rtl/>
        </w:rPr>
        <w:t xml:space="preserve">שתיקתו </w:t>
      </w:r>
      <w:r w:rsidR="00B649C7">
        <w:rPr>
          <w:rFonts w:ascii="Arial" w:hAnsi="Arial" w:cs="FrankRuehl" w:hint="cs"/>
          <w:noProof w:val="0"/>
          <w:sz w:val="28"/>
          <w:szCs w:val="28"/>
          <w:rtl/>
        </w:rPr>
        <w:t xml:space="preserve">בחקירה </w:t>
      </w:r>
      <w:r w:rsidR="00B00A31">
        <w:rPr>
          <w:rFonts w:ascii="Arial" w:hAnsi="Arial" w:cs="FrankRuehl" w:hint="cs"/>
          <w:noProof w:val="0"/>
          <w:sz w:val="28"/>
          <w:szCs w:val="28"/>
          <w:rtl/>
        </w:rPr>
        <w:t>שכן מדובר בקיום זכות העומדת לו</w:t>
      </w:r>
      <w:r w:rsidR="00413B62">
        <w:rPr>
          <w:rFonts w:ascii="Arial" w:hAnsi="Arial" w:cs="FrankRuehl" w:hint="cs"/>
          <w:noProof w:val="0"/>
          <w:sz w:val="28"/>
          <w:szCs w:val="28"/>
          <w:rtl/>
        </w:rPr>
        <w:t xml:space="preserve">, וכי אף לנדסברג וסביר, אשר הודו בחקירתם, העידו עדות שקר בפני בית משפט זה </w:t>
      </w:r>
      <w:r w:rsidR="00B00A31">
        <w:rPr>
          <w:rFonts w:ascii="Arial" w:hAnsi="Arial" w:cs="FrankRuehl" w:hint="cs"/>
          <w:noProof w:val="0"/>
          <w:sz w:val="28"/>
          <w:szCs w:val="28"/>
          <w:rtl/>
        </w:rPr>
        <w:t xml:space="preserve">. </w:t>
      </w:r>
    </w:p>
    <w:p w14:paraId="06EE08EE" w14:textId="77777777" w:rsidR="00D12207" w:rsidRDefault="0046600E" w:rsidP="007C1ADA">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19.</w:t>
      </w:r>
      <w:r>
        <w:rPr>
          <w:rFonts w:ascii="Arial" w:hAnsi="Arial" w:cs="FrankRuehl" w:hint="cs"/>
          <w:noProof w:val="0"/>
          <w:sz w:val="28"/>
          <w:szCs w:val="28"/>
          <w:rtl/>
        </w:rPr>
        <w:tab/>
      </w:r>
      <w:r w:rsidR="00D12207">
        <w:rPr>
          <w:rFonts w:ascii="Arial" w:hAnsi="Arial" w:cs="FrankRuehl" w:hint="cs"/>
          <w:noProof w:val="0"/>
          <w:sz w:val="28"/>
          <w:szCs w:val="28"/>
          <w:rtl/>
        </w:rPr>
        <w:t xml:space="preserve">כן הגיש ב"כ הנאשם את גזרי הדין בעניינם של לנדסברג וסביר, </w:t>
      </w:r>
      <w:r w:rsidR="00B00A31">
        <w:rPr>
          <w:rFonts w:ascii="Arial" w:hAnsi="Arial" w:cs="FrankRuehl" w:hint="cs"/>
          <w:noProof w:val="0"/>
          <w:sz w:val="28"/>
          <w:szCs w:val="28"/>
          <w:rtl/>
        </w:rPr>
        <w:t>והפנה לכך שלשניהם עבר פלילי בעבירות חמורות, ו</w:t>
      </w:r>
      <w:r w:rsidR="007C1ADA">
        <w:rPr>
          <w:rFonts w:ascii="Arial" w:hAnsi="Arial" w:cs="FrankRuehl" w:hint="cs"/>
          <w:noProof w:val="0"/>
          <w:sz w:val="28"/>
          <w:szCs w:val="28"/>
          <w:rtl/>
        </w:rPr>
        <w:t>לכך שלנדסברג</w:t>
      </w:r>
      <w:r w:rsidR="00B00A31">
        <w:rPr>
          <w:rFonts w:ascii="Arial" w:hAnsi="Arial" w:cs="FrankRuehl" w:hint="cs"/>
          <w:noProof w:val="0"/>
          <w:sz w:val="28"/>
          <w:szCs w:val="28"/>
          <w:rtl/>
        </w:rPr>
        <w:t xml:space="preserve"> אף ביצע העבירות בסמוך לסיום עונש של עבודות שירות שהוטל עליו. </w:t>
      </w:r>
    </w:p>
    <w:p w14:paraId="74D9572B" w14:textId="77777777" w:rsidR="00B00A31" w:rsidRDefault="0046600E" w:rsidP="00F56D55">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20.</w:t>
      </w:r>
      <w:r>
        <w:rPr>
          <w:rFonts w:ascii="Arial" w:hAnsi="Arial" w:cs="FrankRuehl" w:hint="cs"/>
          <w:noProof w:val="0"/>
          <w:sz w:val="28"/>
          <w:szCs w:val="28"/>
          <w:rtl/>
        </w:rPr>
        <w:tab/>
      </w:r>
      <w:r w:rsidR="00B00A31">
        <w:rPr>
          <w:rFonts w:ascii="Arial" w:hAnsi="Arial" w:cs="FrankRuehl" w:hint="cs"/>
          <w:noProof w:val="0"/>
          <w:sz w:val="28"/>
          <w:szCs w:val="28"/>
          <w:rtl/>
        </w:rPr>
        <w:t xml:space="preserve">בנסיבות אלה נטען כי </w:t>
      </w:r>
      <w:r w:rsidR="00413B62">
        <w:rPr>
          <w:rFonts w:ascii="Arial" w:hAnsi="Arial" w:cs="FrankRuehl" w:hint="cs"/>
          <w:noProof w:val="0"/>
          <w:sz w:val="28"/>
          <w:szCs w:val="28"/>
          <w:rtl/>
        </w:rPr>
        <w:t>יש לקבוע את עונשו של הנאשם ברף הנמוך של המתחם, ו</w:t>
      </w:r>
      <w:r w:rsidR="00F56D55">
        <w:rPr>
          <w:rFonts w:ascii="Arial" w:hAnsi="Arial" w:cs="FrankRuehl" w:hint="cs"/>
          <w:noProof w:val="0"/>
          <w:sz w:val="28"/>
          <w:szCs w:val="28"/>
          <w:rtl/>
        </w:rPr>
        <w:t>לכל היותר יש ל</w:t>
      </w:r>
      <w:r w:rsidR="00B00A31">
        <w:rPr>
          <w:rFonts w:ascii="Arial" w:hAnsi="Arial" w:cs="FrankRuehl" w:hint="cs"/>
          <w:noProof w:val="0"/>
          <w:sz w:val="28"/>
          <w:szCs w:val="28"/>
          <w:rtl/>
        </w:rPr>
        <w:t xml:space="preserve">השוות </w:t>
      </w:r>
      <w:r w:rsidR="00F56D55">
        <w:rPr>
          <w:rFonts w:ascii="Arial" w:hAnsi="Arial" w:cs="FrankRuehl" w:hint="cs"/>
          <w:noProof w:val="0"/>
          <w:sz w:val="28"/>
          <w:szCs w:val="28"/>
          <w:rtl/>
        </w:rPr>
        <w:t xml:space="preserve">בין </w:t>
      </w:r>
      <w:r w:rsidR="00B00A31">
        <w:rPr>
          <w:rFonts w:ascii="Arial" w:hAnsi="Arial" w:cs="FrankRuehl" w:hint="cs"/>
          <w:noProof w:val="0"/>
          <w:sz w:val="28"/>
          <w:szCs w:val="28"/>
          <w:rtl/>
        </w:rPr>
        <w:t>עונש</w:t>
      </w:r>
      <w:r w:rsidR="00F56D55">
        <w:rPr>
          <w:rFonts w:ascii="Arial" w:hAnsi="Arial" w:cs="FrankRuehl" w:hint="cs"/>
          <w:noProof w:val="0"/>
          <w:sz w:val="28"/>
          <w:szCs w:val="28"/>
          <w:rtl/>
        </w:rPr>
        <w:t xml:space="preserve">ו של </w:t>
      </w:r>
      <w:r w:rsidR="00B00A31">
        <w:rPr>
          <w:rFonts w:ascii="Arial" w:hAnsi="Arial" w:cs="FrankRuehl" w:hint="cs"/>
          <w:noProof w:val="0"/>
          <w:sz w:val="28"/>
          <w:szCs w:val="28"/>
          <w:rtl/>
        </w:rPr>
        <w:t>הנאשם לעונשם של לנדסברג וסביר.</w:t>
      </w:r>
    </w:p>
    <w:p w14:paraId="50F1FC1D" w14:textId="77777777" w:rsidR="00FF2B0C" w:rsidRDefault="00FF2B0C" w:rsidP="00413B62">
      <w:pPr>
        <w:spacing w:before="240" w:line="360" w:lineRule="auto"/>
        <w:ind w:left="720" w:hanging="720"/>
        <w:jc w:val="both"/>
        <w:rPr>
          <w:rFonts w:ascii="Arial" w:hAnsi="Arial" w:cs="FrankRuehl"/>
          <w:b/>
          <w:bCs/>
          <w:noProof w:val="0"/>
          <w:sz w:val="28"/>
          <w:szCs w:val="28"/>
          <w:u w:val="single"/>
          <w:rtl/>
        </w:rPr>
      </w:pPr>
    </w:p>
    <w:p w14:paraId="6E61C929" w14:textId="77777777" w:rsidR="00413B62" w:rsidRPr="00413B62" w:rsidRDefault="00413B62" w:rsidP="00413B62">
      <w:pPr>
        <w:spacing w:before="240" w:line="360" w:lineRule="auto"/>
        <w:ind w:left="720" w:hanging="720"/>
        <w:jc w:val="both"/>
        <w:rPr>
          <w:rFonts w:ascii="Arial" w:hAnsi="Arial" w:cs="FrankRuehl"/>
          <w:b/>
          <w:bCs/>
          <w:noProof w:val="0"/>
          <w:sz w:val="28"/>
          <w:szCs w:val="28"/>
          <w:u w:val="single"/>
          <w:rtl/>
        </w:rPr>
      </w:pPr>
      <w:r w:rsidRPr="00413B62">
        <w:rPr>
          <w:rFonts w:ascii="Arial" w:hAnsi="Arial" w:cs="FrankRuehl" w:hint="cs"/>
          <w:b/>
          <w:bCs/>
          <w:noProof w:val="0"/>
          <w:sz w:val="28"/>
          <w:szCs w:val="28"/>
          <w:u w:val="single"/>
          <w:rtl/>
        </w:rPr>
        <w:t>דיון והכרעה</w:t>
      </w:r>
    </w:p>
    <w:p w14:paraId="386F27ED" w14:textId="77777777" w:rsidR="0046600E" w:rsidRPr="0046600E" w:rsidRDefault="0046600E" w:rsidP="00413B62">
      <w:pPr>
        <w:spacing w:before="240" w:line="360" w:lineRule="auto"/>
        <w:ind w:left="720" w:hanging="720"/>
        <w:jc w:val="both"/>
        <w:rPr>
          <w:rFonts w:ascii="Arial" w:hAnsi="Arial" w:cs="FrankRuehl"/>
          <w:noProof w:val="0"/>
          <w:sz w:val="28"/>
          <w:szCs w:val="28"/>
          <w:u w:val="single"/>
          <w:rtl/>
        </w:rPr>
      </w:pPr>
      <w:r w:rsidRPr="0046600E">
        <w:rPr>
          <w:rFonts w:ascii="Arial" w:hAnsi="Arial" w:cs="FrankRuehl" w:hint="cs"/>
          <w:noProof w:val="0"/>
          <w:sz w:val="28"/>
          <w:szCs w:val="28"/>
          <w:u w:val="single"/>
          <w:rtl/>
        </w:rPr>
        <w:t>מתחם העונש ההולם</w:t>
      </w:r>
    </w:p>
    <w:p w14:paraId="1B5B76A8" w14:textId="77777777" w:rsidR="007103E4" w:rsidRDefault="0046600E" w:rsidP="00792BBC">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21.</w:t>
      </w:r>
      <w:r>
        <w:rPr>
          <w:rFonts w:ascii="Arial" w:hAnsi="Arial" w:cs="FrankRuehl" w:hint="cs"/>
          <w:noProof w:val="0"/>
          <w:sz w:val="28"/>
          <w:szCs w:val="28"/>
          <w:rtl/>
        </w:rPr>
        <w:tab/>
      </w:r>
      <w:r w:rsidR="00C12629">
        <w:rPr>
          <w:rFonts w:ascii="Arial" w:hAnsi="Arial" w:cs="FrankRuehl" w:hint="cs"/>
          <w:noProof w:val="0"/>
          <w:sz w:val="28"/>
          <w:szCs w:val="28"/>
          <w:rtl/>
        </w:rPr>
        <w:t xml:space="preserve">בהתאם להוראות </w:t>
      </w:r>
      <w:hyperlink r:id="rId39" w:history="1">
        <w:r w:rsidR="00BF5318" w:rsidRPr="00BF5318">
          <w:rPr>
            <w:rFonts w:ascii="Arial" w:hAnsi="Arial" w:cs="FrankRuehl"/>
            <w:noProof w:val="0"/>
            <w:color w:val="0000FF"/>
            <w:sz w:val="28"/>
            <w:szCs w:val="28"/>
            <w:u w:val="single"/>
            <w:rtl/>
          </w:rPr>
          <w:t>סעיף 40ג.</w:t>
        </w:r>
      </w:hyperlink>
      <w:r w:rsidR="00C12629">
        <w:rPr>
          <w:rFonts w:ascii="Arial" w:hAnsi="Arial" w:cs="FrankRuehl" w:hint="cs"/>
          <w:noProof w:val="0"/>
          <w:sz w:val="28"/>
          <w:szCs w:val="28"/>
          <w:rtl/>
        </w:rPr>
        <w:t xml:space="preserve"> ל</w:t>
      </w:r>
      <w:hyperlink r:id="rId40" w:history="1">
        <w:r w:rsidR="00F06FB6" w:rsidRPr="00F06FB6">
          <w:rPr>
            <w:rFonts w:ascii="Arial" w:hAnsi="Arial" w:cs="FrankRuehl"/>
            <w:noProof w:val="0"/>
            <w:color w:val="0000FF"/>
            <w:sz w:val="28"/>
            <w:szCs w:val="28"/>
            <w:u w:val="single"/>
            <w:rtl/>
          </w:rPr>
          <w:t>חוק העונשין</w:t>
        </w:r>
      </w:hyperlink>
      <w:r w:rsidR="00C12629">
        <w:rPr>
          <w:rFonts w:ascii="Arial" w:hAnsi="Arial" w:cs="FrankRuehl" w:hint="cs"/>
          <w:noProof w:val="0"/>
          <w:sz w:val="28"/>
          <w:szCs w:val="28"/>
          <w:rtl/>
        </w:rPr>
        <w:t xml:space="preserve">, על בית המשפט לקבוע מתחם עונש הולם למעשה העבירה שביצע הנאשם בהתאם </w:t>
      </w:r>
      <w:r w:rsidR="007103E4">
        <w:rPr>
          <w:rFonts w:ascii="Arial" w:hAnsi="Arial" w:cs="FrankRuehl" w:hint="cs"/>
          <w:noProof w:val="0"/>
          <w:sz w:val="28"/>
          <w:szCs w:val="28"/>
          <w:rtl/>
        </w:rPr>
        <w:t xml:space="preserve">לערך החברתי שנפגע מביצוע העבירה </w:t>
      </w:r>
      <w:r w:rsidR="009206E4">
        <w:rPr>
          <w:rFonts w:ascii="Arial" w:hAnsi="Arial" w:cs="FrankRuehl" w:hint="cs"/>
          <w:noProof w:val="0"/>
          <w:sz w:val="28"/>
          <w:szCs w:val="28"/>
          <w:rtl/>
        </w:rPr>
        <w:t>ו</w:t>
      </w:r>
      <w:r w:rsidR="007103E4">
        <w:rPr>
          <w:rFonts w:ascii="Arial" w:hAnsi="Arial" w:cs="FrankRuehl" w:hint="cs"/>
          <w:noProof w:val="0"/>
          <w:sz w:val="28"/>
          <w:szCs w:val="28"/>
          <w:rtl/>
        </w:rPr>
        <w:t xml:space="preserve">מידת הפגיעה בו, </w:t>
      </w:r>
      <w:r w:rsidR="009206E4">
        <w:rPr>
          <w:rFonts w:ascii="Arial" w:hAnsi="Arial" w:cs="FrankRuehl" w:hint="cs"/>
          <w:noProof w:val="0"/>
          <w:sz w:val="28"/>
          <w:szCs w:val="28"/>
          <w:rtl/>
        </w:rPr>
        <w:t xml:space="preserve">ובהתחשב </w:t>
      </w:r>
      <w:r w:rsidR="007103E4">
        <w:rPr>
          <w:rFonts w:ascii="Arial" w:hAnsi="Arial" w:cs="FrankRuehl" w:hint="cs"/>
          <w:noProof w:val="0"/>
          <w:sz w:val="28"/>
          <w:szCs w:val="28"/>
          <w:rtl/>
        </w:rPr>
        <w:t>במדיניות הענישה הנהוגה ו</w:t>
      </w:r>
      <w:r w:rsidR="00792BBC">
        <w:rPr>
          <w:rFonts w:ascii="Arial" w:hAnsi="Arial" w:cs="FrankRuehl" w:hint="cs"/>
          <w:noProof w:val="0"/>
          <w:sz w:val="28"/>
          <w:szCs w:val="28"/>
          <w:rtl/>
        </w:rPr>
        <w:t>ב</w:t>
      </w:r>
      <w:r w:rsidR="007103E4">
        <w:rPr>
          <w:rFonts w:ascii="Arial" w:hAnsi="Arial" w:cs="FrankRuehl" w:hint="cs"/>
          <w:noProof w:val="0"/>
          <w:sz w:val="28"/>
          <w:szCs w:val="28"/>
          <w:rtl/>
        </w:rPr>
        <w:t xml:space="preserve">נסיבות הקשורות בביצוע העבירה. </w:t>
      </w:r>
    </w:p>
    <w:p w14:paraId="1EE3D06B" w14:textId="77777777" w:rsidR="008E4EE3" w:rsidRDefault="008E4EE3" w:rsidP="008E4EE3">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22.</w:t>
      </w:r>
      <w:r>
        <w:rPr>
          <w:rFonts w:ascii="Arial" w:hAnsi="Arial" w:cs="FrankRuehl" w:hint="cs"/>
          <w:noProof w:val="0"/>
          <w:sz w:val="28"/>
          <w:szCs w:val="28"/>
          <w:rtl/>
        </w:rPr>
        <w:tab/>
        <w:t>במקרה דנן, מצאתי כי מעשיו של הנאשם, שפורטו בהרחבה לעיל, מהווים אירוע אחד, ובהתאם לכך אקבע מתחם עונש כולל לכל העבירות באירוע זה.</w:t>
      </w:r>
    </w:p>
    <w:p w14:paraId="24BF53FE" w14:textId="77777777" w:rsidR="0089268D" w:rsidRDefault="008E4EE3" w:rsidP="008E4EE3">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23.</w:t>
      </w:r>
      <w:r>
        <w:rPr>
          <w:rFonts w:ascii="Arial" w:hAnsi="Arial" w:cs="FrankRuehl" w:hint="cs"/>
          <w:noProof w:val="0"/>
          <w:sz w:val="28"/>
          <w:szCs w:val="28"/>
          <w:rtl/>
        </w:rPr>
        <w:tab/>
      </w:r>
      <w:r w:rsidR="00E155EE">
        <w:rPr>
          <w:rFonts w:ascii="Arial" w:hAnsi="Arial" w:cs="FrankRuehl" w:hint="cs"/>
          <w:noProof w:val="0"/>
          <w:sz w:val="28"/>
          <w:szCs w:val="28"/>
          <w:rtl/>
        </w:rPr>
        <w:t xml:space="preserve">על פי עובדות כתב האישום המתוקן, הנאשם ולנדסברג היו </w:t>
      </w:r>
      <w:r w:rsidR="0089268D">
        <w:rPr>
          <w:rFonts w:ascii="Arial" w:hAnsi="Arial" w:cs="FrankRuehl" w:hint="cs"/>
          <w:noProof w:val="0"/>
          <w:sz w:val="28"/>
          <w:szCs w:val="28"/>
          <w:rtl/>
        </w:rPr>
        <w:t xml:space="preserve">ראש וראשונה </w:t>
      </w:r>
      <w:r w:rsidR="00E155EE">
        <w:rPr>
          <w:rFonts w:ascii="Arial" w:hAnsi="Arial" w:cs="FrankRuehl" w:hint="cs"/>
          <w:noProof w:val="0"/>
          <w:sz w:val="28"/>
          <w:szCs w:val="28"/>
          <w:rtl/>
        </w:rPr>
        <w:t xml:space="preserve">הקושרים לביצוען של עבירות פגיעה והצתה של רכוש פלסטינאי מתוך מניע של </w:t>
      </w:r>
      <w:r w:rsidR="0089268D">
        <w:rPr>
          <w:rFonts w:ascii="Arial" w:hAnsi="Arial" w:cs="FrankRuehl" w:hint="cs"/>
          <w:noProof w:val="0"/>
          <w:sz w:val="28"/>
          <w:szCs w:val="28"/>
          <w:rtl/>
        </w:rPr>
        <w:t>גזענות או עוינות כלפי ציבור זה, ובהמשך הציעו לסביר להצטרף אליהם לביצוע העביר</w:t>
      </w:r>
      <w:r w:rsidR="009139E0">
        <w:rPr>
          <w:rFonts w:ascii="Arial" w:hAnsi="Arial" w:cs="FrankRuehl" w:hint="cs"/>
          <w:noProof w:val="0"/>
          <w:sz w:val="28"/>
          <w:szCs w:val="28"/>
          <w:rtl/>
        </w:rPr>
        <w:t xml:space="preserve">ות, ויחד הוציאו אותן לפועל, </w:t>
      </w:r>
      <w:r w:rsidR="00FF33FC">
        <w:rPr>
          <w:rFonts w:ascii="Arial" w:hAnsi="Arial" w:cs="FrankRuehl" w:hint="cs"/>
          <w:noProof w:val="0"/>
          <w:sz w:val="28"/>
          <w:szCs w:val="28"/>
          <w:rtl/>
        </w:rPr>
        <w:t xml:space="preserve">לאחר תכנון מוקדם, הצטיידות והיערכות מתאימה ועריכת תצפיות, </w:t>
      </w:r>
      <w:r w:rsidR="009139E0">
        <w:rPr>
          <w:rFonts w:ascii="Arial" w:hAnsi="Arial" w:cs="FrankRuehl" w:hint="cs"/>
          <w:noProof w:val="0"/>
          <w:sz w:val="28"/>
          <w:szCs w:val="28"/>
          <w:rtl/>
        </w:rPr>
        <w:t>כפי שפורט בהרחבה לעיל</w:t>
      </w:r>
      <w:r w:rsidR="0089268D">
        <w:rPr>
          <w:rFonts w:ascii="Arial" w:hAnsi="Arial" w:cs="FrankRuehl" w:hint="cs"/>
          <w:noProof w:val="0"/>
          <w:sz w:val="28"/>
          <w:szCs w:val="28"/>
          <w:rtl/>
        </w:rPr>
        <w:t xml:space="preserve">. </w:t>
      </w:r>
    </w:p>
    <w:p w14:paraId="5B05F6D0" w14:textId="77777777" w:rsidR="0089268D" w:rsidRDefault="00BF5318" w:rsidP="00EC333B">
      <w:pPr>
        <w:spacing w:before="240" w:line="360" w:lineRule="auto"/>
        <w:ind w:left="720"/>
        <w:jc w:val="both"/>
        <w:rPr>
          <w:rFonts w:ascii="Arial" w:hAnsi="Arial" w:cs="FrankRuehl"/>
          <w:noProof w:val="0"/>
          <w:sz w:val="28"/>
          <w:szCs w:val="28"/>
          <w:rtl/>
        </w:rPr>
      </w:pPr>
      <w:hyperlink r:id="rId41" w:history="1">
        <w:r w:rsidRPr="00BF5318">
          <w:rPr>
            <w:rFonts w:ascii="Arial" w:hAnsi="Arial" w:cs="FrankRuehl"/>
            <w:noProof w:val="0"/>
            <w:color w:val="0000FF"/>
            <w:sz w:val="28"/>
            <w:szCs w:val="28"/>
            <w:u w:val="single"/>
            <w:rtl/>
          </w:rPr>
          <w:t>בסעיף 144ו.</w:t>
        </w:r>
      </w:hyperlink>
      <w:r w:rsidR="00E155EE">
        <w:rPr>
          <w:rFonts w:ascii="Arial" w:hAnsi="Arial" w:cs="FrankRuehl" w:hint="cs"/>
          <w:noProof w:val="0"/>
          <w:sz w:val="28"/>
          <w:szCs w:val="28"/>
          <w:rtl/>
        </w:rPr>
        <w:t xml:space="preserve"> בו הורשע הנאשם</w:t>
      </w:r>
      <w:r w:rsidR="0089268D">
        <w:rPr>
          <w:rFonts w:ascii="Arial" w:hAnsi="Arial" w:cs="FrankRuehl" w:hint="cs"/>
          <w:noProof w:val="0"/>
          <w:sz w:val="28"/>
          <w:szCs w:val="28"/>
          <w:rtl/>
        </w:rPr>
        <w:t xml:space="preserve"> יחד עם </w:t>
      </w:r>
      <w:hyperlink r:id="rId42" w:history="1">
        <w:r w:rsidRPr="00BF5318">
          <w:rPr>
            <w:rFonts w:ascii="Arial" w:hAnsi="Arial" w:cs="FrankRuehl"/>
            <w:noProof w:val="0"/>
            <w:color w:val="0000FF"/>
            <w:sz w:val="28"/>
            <w:szCs w:val="28"/>
            <w:u w:val="single"/>
            <w:rtl/>
          </w:rPr>
          <w:t>סעיף 499(א)</w:t>
        </w:r>
      </w:hyperlink>
      <w:r w:rsidR="00E155EE">
        <w:rPr>
          <w:rFonts w:ascii="Arial" w:hAnsi="Arial" w:cs="FrankRuehl" w:hint="cs"/>
          <w:noProof w:val="0"/>
          <w:sz w:val="28"/>
          <w:szCs w:val="28"/>
          <w:rtl/>
        </w:rPr>
        <w:t xml:space="preserve">, </w:t>
      </w:r>
      <w:r w:rsidR="0089268D">
        <w:rPr>
          <w:rFonts w:ascii="Arial" w:hAnsi="Arial" w:cs="FrankRuehl" w:hint="cs"/>
          <w:noProof w:val="0"/>
          <w:sz w:val="28"/>
          <w:szCs w:val="28"/>
          <w:rtl/>
        </w:rPr>
        <w:t>מצא המחוקק לבטא את חומרתן של עבירות המונעות ממניעים אלה, באשר אלה חותרות תחת אושיות המשפט והישות הדמוקרטית של מ</w:t>
      </w:r>
      <w:r w:rsidR="00EC333B">
        <w:rPr>
          <w:rFonts w:ascii="Arial" w:hAnsi="Arial" w:cs="FrankRuehl" w:hint="cs"/>
          <w:noProof w:val="0"/>
          <w:sz w:val="28"/>
          <w:szCs w:val="28"/>
          <w:rtl/>
        </w:rPr>
        <w:t>דינת ישראל, ומצא להכפיל את עונשן</w:t>
      </w:r>
      <w:r w:rsidR="0089268D">
        <w:rPr>
          <w:rFonts w:ascii="Arial" w:hAnsi="Arial" w:cs="FrankRuehl" w:hint="cs"/>
          <w:noProof w:val="0"/>
          <w:sz w:val="28"/>
          <w:szCs w:val="28"/>
          <w:rtl/>
        </w:rPr>
        <w:t xml:space="preserve">. </w:t>
      </w:r>
    </w:p>
    <w:p w14:paraId="0EDA649B" w14:textId="77777777" w:rsidR="0089268D" w:rsidRPr="0089268D" w:rsidRDefault="0089268D" w:rsidP="0089268D">
      <w:pPr>
        <w:spacing w:before="240" w:line="360" w:lineRule="auto"/>
        <w:ind w:left="720"/>
        <w:rPr>
          <w:rFonts w:ascii="Arial" w:hAnsi="Arial" w:cs="FrankRuehl"/>
          <w:noProof w:val="0"/>
          <w:sz w:val="28"/>
          <w:szCs w:val="28"/>
          <w:rtl/>
        </w:rPr>
      </w:pPr>
      <w:r w:rsidRPr="0089268D">
        <w:rPr>
          <w:rFonts w:ascii="Arial" w:hAnsi="Arial" w:cs="FrankRuehl"/>
          <w:noProof w:val="0"/>
          <w:sz w:val="28"/>
          <w:szCs w:val="28"/>
          <w:rtl/>
        </w:rPr>
        <w:t>כבוד השופטת בייניש ב</w:t>
      </w:r>
      <w:hyperlink r:id="rId43" w:history="1">
        <w:r w:rsidR="00F06FB6" w:rsidRPr="00F06FB6">
          <w:rPr>
            <w:rFonts w:ascii="Arial" w:hAnsi="Arial" w:cs="FrankRuehl"/>
            <w:noProof w:val="0"/>
            <w:color w:val="0000FF"/>
            <w:sz w:val="28"/>
            <w:szCs w:val="28"/>
            <w:u w:val="single"/>
            <w:rtl/>
          </w:rPr>
          <w:t>ע"פ 8469/99</w:t>
        </w:r>
      </w:hyperlink>
      <w:r w:rsidRPr="0089268D">
        <w:rPr>
          <w:rFonts w:ascii="Arial" w:hAnsi="Arial" w:cs="FrankRuehl"/>
          <w:noProof w:val="0"/>
          <w:sz w:val="28"/>
          <w:szCs w:val="28"/>
          <w:rtl/>
        </w:rPr>
        <w:t xml:space="preserve"> אביגדור אסקין נגד מדינת ישראל</w:t>
      </w:r>
      <w:r w:rsidR="00EC333B">
        <w:rPr>
          <w:rFonts w:ascii="Arial" w:hAnsi="Arial" w:cs="FrankRuehl" w:hint="cs"/>
          <w:noProof w:val="0"/>
          <w:sz w:val="28"/>
          <w:szCs w:val="28"/>
          <w:rtl/>
        </w:rPr>
        <w:t xml:space="preserve"> </w:t>
      </w:r>
      <w:r w:rsidR="00557C3E" w:rsidRPr="00557C3E">
        <w:rPr>
          <w:noProof w:val="0"/>
          <w:sz w:val="22"/>
          <w:rtl/>
        </w:rPr>
        <w:t xml:space="preserve">[פורסם בנבו] </w:t>
      </w:r>
      <w:r w:rsidR="00EC333B">
        <w:rPr>
          <w:rFonts w:ascii="Arial" w:hAnsi="Arial" w:cs="FrankRuehl" w:hint="cs"/>
          <w:noProof w:val="0"/>
          <w:sz w:val="28"/>
          <w:szCs w:val="28"/>
          <w:rtl/>
        </w:rPr>
        <w:t>פסקה בהאי לינשא</w:t>
      </w:r>
      <w:r w:rsidRPr="0089268D">
        <w:rPr>
          <w:rFonts w:ascii="Arial" w:hAnsi="Arial" w:cs="FrankRuehl"/>
          <w:noProof w:val="0"/>
          <w:sz w:val="28"/>
          <w:szCs w:val="28"/>
          <w:rtl/>
        </w:rPr>
        <w:t>:</w:t>
      </w:r>
    </w:p>
    <w:p w14:paraId="6B523605" w14:textId="77777777" w:rsidR="009139E0" w:rsidRDefault="0089268D" w:rsidP="0089268D">
      <w:pPr>
        <w:spacing w:before="240" w:line="360" w:lineRule="auto"/>
        <w:ind w:left="720"/>
        <w:jc w:val="both"/>
        <w:rPr>
          <w:rFonts w:ascii="Arial" w:hAnsi="Arial" w:cs="FrankRuehl"/>
          <w:noProof w:val="0"/>
          <w:sz w:val="28"/>
          <w:szCs w:val="28"/>
          <w:rtl/>
        </w:rPr>
      </w:pPr>
      <w:r w:rsidRPr="0089268D">
        <w:rPr>
          <w:rFonts w:ascii="Arial" w:hAnsi="Arial" w:cs="FrankRuehl"/>
          <w:noProof w:val="0"/>
          <w:sz w:val="28"/>
          <w:szCs w:val="28"/>
          <w:rtl/>
        </w:rPr>
        <w:t>" במציאות הישראלית יש בביצוע עבירות על רקע אידאולוגי המביאות להעמקת האיבה בין קבוצות שונות של האוכלוסיה משום ערעור על סדרי המשטר הדמוקרטי; כך כאשר מדובר במעשים המכוונים לפגוע ברגשות האוכלוסיה המוסלמית וכך גם כאשר המעשים מכוונים כנגד קבוצה אידאולוגית אחרת, שיש לעבריין יריבות עמה</w:t>
      </w:r>
      <w:r w:rsidR="009139E0">
        <w:rPr>
          <w:rFonts w:ascii="Arial" w:hAnsi="Arial" w:cs="FrankRuehl" w:hint="cs"/>
          <w:noProof w:val="0"/>
          <w:sz w:val="28"/>
          <w:szCs w:val="28"/>
          <w:rtl/>
        </w:rPr>
        <w:t>"</w:t>
      </w:r>
      <w:r w:rsidRPr="0089268D">
        <w:rPr>
          <w:rFonts w:ascii="Arial" w:hAnsi="Arial" w:cs="FrankRuehl"/>
          <w:noProof w:val="0"/>
          <w:sz w:val="28"/>
          <w:szCs w:val="28"/>
          <w:rtl/>
        </w:rPr>
        <w:t xml:space="preserve">. </w:t>
      </w:r>
    </w:p>
    <w:p w14:paraId="4BEF41FF" w14:textId="77777777" w:rsidR="009139E0" w:rsidRDefault="00E5658A" w:rsidP="00792BBC">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חוות הדעת מטעם משרד החוץ ושירות הבטחון הכללי </w:t>
      </w:r>
      <w:r w:rsidR="00792BBC">
        <w:rPr>
          <w:rFonts w:ascii="Arial" w:hAnsi="Arial" w:cs="FrankRuehl" w:hint="cs"/>
          <w:noProof w:val="0"/>
          <w:sz w:val="28"/>
          <w:szCs w:val="28"/>
          <w:rtl/>
        </w:rPr>
        <w:t xml:space="preserve">מלמדת אף היא על הפגיעה העצומה של עבירות אלה ומידת השפעתה בדרדור מערכת היחסים בין ישראל לבין הפלסטינאים והזנת מעגל האיבה הנמשך בין הצדדים הניצים, כמו גם על מעמדה של מדינת ישראל בעולם. אכן חוות הדעת הינן כלליות, כטענת ב"כ הנאשם, אלא שהדברים ברורים ואין  לצפות לאומדן ברור של מידת השלכתו של אירוע כזה או אחר, אלא מדובר בפגיעה מצטברת. </w:t>
      </w:r>
    </w:p>
    <w:p w14:paraId="34C3A7EF" w14:textId="77777777" w:rsidR="0089268D" w:rsidRDefault="009139E0" w:rsidP="00EC333B">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אשר לעבירת ההצתה </w:t>
      </w:r>
      <w:r w:rsidR="00EC333B">
        <w:rPr>
          <w:rFonts w:ascii="Arial" w:hAnsi="Arial" w:cs="FrankRuehl" w:hint="cs"/>
          <w:noProof w:val="0"/>
          <w:sz w:val="28"/>
          <w:szCs w:val="28"/>
          <w:rtl/>
        </w:rPr>
        <w:t>פסקה</w:t>
      </w:r>
      <w:r>
        <w:rPr>
          <w:rFonts w:ascii="Arial" w:hAnsi="Arial" w:cs="FrankRuehl" w:hint="cs"/>
          <w:noProof w:val="0"/>
          <w:sz w:val="28"/>
          <w:szCs w:val="28"/>
          <w:rtl/>
        </w:rPr>
        <w:t xml:space="preserve"> כבוד השופטת בייניש </w:t>
      </w:r>
      <w:r w:rsidR="00792BBC">
        <w:rPr>
          <w:rFonts w:ascii="Arial" w:hAnsi="Arial" w:cs="FrankRuehl" w:hint="cs"/>
          <w:noProof w:val="0"/>
          <w:sz w:val="28"/>
          <w:szCs w:val="28"/>
          <w:rtl/>
        </w:rPr>
        <w:t>בעניין אסקין</w:t>
      </w:r>
      <w:r>
        <w:rPr>
          <w:rFonts w:ascii="Arial" w:hAnsi="Arial" w:cs="FrankRuehl" w:hint="cs"/>
          <w:noProof w:val="0"/>
          <w:sz w:val="28"/>
          <w:szCs w:val="28"/>
          <w:rtl/>
        </w:rPr>
        <w:t>, כי "</w:t>
      </w:r>
      <w:r w:rsidR="0089268D" w:rsidRPr="0089268D">
        <w:rPr>
          <w:rFonts w:ascii="Arial" w:hAnsi="Arial" w:cs="FrankRuehl"/>
          <w:noProof w:val="0"/>
          <w:sz w:val="28"/>
          <w:szCs w:val="28"/>
          <w:rtl/>
        </w:rPr>
        <w:t>עבירת ההצתה היא מן העבירות החמורות בספר החוקים וטבוע בה תמיד סיכון לנפש, וכמובן לפגיעה ברכוש. במקרה זה, למרבה המזל, לא נגרמה פגיעה בנפש. אולם החומרה המיוחדת נעוצה במניע האידאולוגי שעמד בבסיס השידול להצתה...".</w:t>
      </w:r>
      <w:r w:rsidR="009E5300">
        <w:rPr>
          <w:rFonts w:ascii="Arial" w:hAnsi="Arial" w:cs="FrankRuehl" w:hint="cs"/>
          <w:noProof w:val="0"/>
          <w:sz w:val="28"/>
          <w:szCs w:val="28"/>
          <w:rtl/>
        </w:rPr>
        <w:t xml:space="preserve"> והדברים יפים גם למקרה דנן. </w:t>
      </w:r>
    </w:p>
    <w:p w14:paraId="510E3C90" w14:textId="77777777" w:rsidR="009139E0" w:rsidRDefault="00FF33FC" w:rsidP="002D120A">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אשר לחלוקת התפקידים באירוע בין השותפים השונים, </w:t>
      </w:r>
      <w:r w:rsidR="002D120A">
        <w:rPr>
          <w:rFonts w:ascii="Arial" w:hAnsi="Arial" w:cs="FrankRuehl" w:hint="cs"/>
          <w:noProof w:val="0"/>
          <w:sz w:val="28"/>
          <w:szCs w:val="28"/>
          <w:rtl/>
        </w:rPr>
        <w:t xml:space="preserve">הרי שהם נתנו דעתם יחד למעשים שיינקטו ובכלל זה הצתת המשאית והמכונית, וסיכמו על כך ביניהם מבעוד מועד, תוך צפיית התוצאות הטבעיות והידועות של מעשיהם, ועל כן איני מוצאת לקבל את טענתו של ב"כ הנאשם על פיה הנאשם בסופו של יום רק "ריסס" כתובת מגן דוד. </w:t>
      </w:r>
    </w:p>
    <w:p w14:paraId="2A3637C1" w14:textId="77777777" w:rsidR="000D2954" w:rsidRDefault="008E4EE3" w:rsidP="00EC333B">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אם לא די בכל אלה, הנאשם </w:t>
      </w:r>
      <w:r w:rsidR="00EC333B">
        <w:rPr>
          <w:rFonts w:ascii="Arial" w:hAnsi="Arial" w:cs="FrankRuehl" w:hint="cs"/>
          <w:noProof w:val="0"/>
          <w:sz w:val="28"/>
          <w:szCs w:val="28"/>
          <w:rtl/>
        </w:rPr>
        <w:t xml:space="preserve">ביצע </w:t>
      </w:r>
      <w:r>
        <w:rPr>
          <w:rFonts w:ascii="Arial" w:hAnsi="Arial" w:cs="FrankRuehl" w:hint="cs"/>
          <w:noProof w:val="0"/>
          <w:sz w:val="28"/>
          <w:szCs w:val="28"/>
          <w:rtl/>
        </w:rPr>
        <w:t>את המעשים בעודו אמור להיות מצוי במעצר בית בגין תיק חקירה אחר שנפתח כנגדו</w:t>
      </w:r>
      <w:r w:rsidR="00EC333B">
        <w:rPr>
          <w:rFonts w:ascii="Arial" w:hAnsi="Arial" w:cs="FrankRuehl" w:hint="cs"/>
          <w:noProof w:val="0"/>
          <w:sz w:val="28"/>
          <w:szCs w:val="28"/>
          <w:rtl/>
        </w:rPr>
        <w:t>, תוך מעילה באמון שבית המשפט ששחררו לחלופת מעצר בתנאים מגבילים נתן בו</w:t>
      </w:r>
      <w:r>
        <w:rPr>
          <w:rFonts w:ascii="Arial" w:hAnsi="Arial" w:cs="FrankRuehl" w:hint="cs"/>
          <w:noProof w:val="0"/>
          <w:sz w:val="28"/>
          <w:szCs w:val="28"/>
          <w:rtl/>
        </w:rPr>
        <w:t>.</w:t>
      </w:r>
    </w:p>
    <w:p w14:paraId="7D05BFFA" w14:textId="77777777" w:rsidR="003D5499" w:rsidRDefault="003D5499" w:rsidP="002D120A">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אל מול כל אלה כאמור, התחשבתי בכך שמדובר באירוע בודד, וכי לבד מהפגיעות המתוארות לא היו נפגעים נוספים בנפש כתוצאה מהמעשים.</w:t>
      </w:r>
    </w:p>
    <w:p w14:paraId="60A2C3FE" w14:textId="77777777" w:rsidR="000D2954" w:rsidRDefault="003736CE" w:rsidP="003736C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24.</w:t>
      </w:r>
      <w:r>
        <w:rPr>
          <w:rFonts w:ascii="Arial" w:hAnsi="Arial" w:cs="FrankRuehl" w:hint="cs"/>
          <w:noProof w:val="0"/>
          <w:sz w:val="28"/>
          <w:szCs w:val="28"/>
          <w:rtl/>
        </w:rPr>
        <w:tab/>
      </w:r>
      <w:r w:rsidR="009E5300">
        <w:rPr>
          <w:rFonts w:ascii="Arial" w:hAnsi="Arial" w:cs="FrankRuehl" w:hint="cs"/>
          <w:noProof w:val="0"/>
          <w:sz w:val="28"/>
          <w:szCs w:val="28"/>
          <w:rtl/>
        </w:rPr>
        <w:t xml:space="preserve">במסגרת </w:t>
      </w:r>
      <w:hyperlink r:id="rId44" w:history="1">
        <w:r w:rsidR="00F06FB6" w:rsidRPr="00F06FB6">
          <w:rPr>
            <w:rFonts w:ascii="Arial" w:hAnsi="Arial" w:cs="FrankRuehl"/>
            <w:noProof w:val="0"/>
            <w:color w:val="0000FF"/>
            <w:sz w:val="28"/>
            <w:szCs w:val="28"/>
            <w:u w:val="single"/>
            <w:rtl/>
          </w:rPr>
          <w:t>ע"פ 2337/13</w:t>
        </w:r>
      </w:hyperlink>
      <w:r w:rsidR="009E5300">
        <w:rPr>
          <w:rFonts w:ascii="Arial" w:hAnsi="Arial" w:cs="FrankRuehl" w:hint="cs"/>
          <w:noProof w:val="0"/>
          <w:sz w:val="28"/>
          <w:szCs w:val="28"/>
          <w:rtl/>
        </w:rPr>
        <w:t xml:space="preserve"> מוהנד קואסמה ואחרים נגד מדינת ישראל</w:t>
      </w:r>
      <w:r w:rsidR="00557C3E">
        <w:rPr>
          <w:rFonts w:ascii="Arial" w:hAnsi="Arial" w:cs="FrankRuehl" w:hint="cs"/>
          <w:noProof w:val="0"/>
          <w:sz w:val="28"/>
          <w:szCs w:val="28"/>
          <w:rtl/>
        </w:rPr>
        <w:t xml:space="preserve"> </w:t>
      </w:r>
      <w:r w:rsidR="00557C3E" w:rsidRPr="00557C3E">
        <w:rPr>
          <w:noProof w:val="0"/>
          <w:sz w:val="22"/>
          <w:rtl/>
        </w:rPr>
        <w:t xml:space="preserve">[פורסם בנבו] </w:t>
      </w:r>
      <w:r w:rsidR="009E5300">
        <w:rPr>
          <w:rFonts w:ascii="Arial" w:hAnsi="Arial" w:cs="FrankRuehl" w:hint="cs"/>
          <w:noProof w:val="0"/>
          <w:sz w:val="28"/>
          <w:szCs w:val="28"/>
          <w:rtl/>
        </w:rPr>
        <w:t>, ציינה כבוד השופטת ארבל</w:t>
      </w:r>
      <w:r>
        <w:rPr>
          <w:rFonts w:ascii="Arial" w:hAnsi="Arial" w:cs="FrankRuehl" w:hint="cs"/>
          <w:noProof w:val="0"/>
          <w:sz w:val="28"/>
          <w:szCs w:val="28"/>
          <w:rtl/>
        </w:rPr>
        <w:t>,</w:t>
      </w:r>
      <w:r w:rsidR="009E5300">
        <w:rPr>
          <w:rFonts w:ascii="Arial" w:hAnsi="Arial" w:cs="FrankRuehl" w:hint="cs"/>
          <w:noProof w:val="0"/>
          <w:sz w:val="28"/>
          <w:szCs w:val="28"/>
          <w:rtl/>
        </w:rPr>
        <w:t xml:space="preserve"> כי "</w:t>
      </w:r>
      <w:r w:rsidR="009E5300" w:rsidRPr="009E5300">
        <w:rPr>
          <w:rFonts w:ascii="Arial" w:hAnsi="Arial" w:cs="FrankRuehl"/>
          <w:noProof w:val="0"/>
          <w:sz w:val="28"/>
          <w:szCs w:val="28"/>
          <w:rtl/>
        </w:rPr>
        <w:t>בית המשפט המחוזי קבע כי מתחם הענישה ההולם בכל אישום הכולל עבירות של יידוי בקבוק תבערה לעבר כלי רכב או לעבר בניין מגורים, שבו הייתה הרשעה בעבירות של ייצור נשק, ניסיון הצתה וניסיון לגרימת חבלה בכוונה מחמירה הוא בין 12 חודשים ל-40 חודשי מאסר למבצע העיקרי, ובין 8 חודשים ל-30 חודשי מאסר למסייע</w:t>
      </w:r>
      <w:r w:rsidR="009E5300">
        <w:rPr>
          <w:rFonts w:ascii="Arial" w:hAnsi="Arial" w:cs="FrankRuehl" w:hint="cs"/>
          <w:noProof w:val="0"/>
          <w:sz w:val="28"/>
          <w:szCs w:val="28"/>
          <w:rtl/>
        </w:rPr>
        <w:t>" וכי מדובר במתחם הולם</w:t>
      </w:r>
      <w:r w:rsidR="009E5300" w:rsidRPr="009E5300">
        <w:rPr>
          <w:rFonts w:ascii="Arial" w:hAnsi="Arial" w:cs="FrankRuehl"/>
          <w:noProof w:val="0"/>
          <w:sz w:val="28"/>
          <w:szCs w:val="28"/>
          <w:rtl/>
        </w:rPr>
        <w:t>.</w:t>
      </w:r>
      <w:r w:rsidR="009E5300">
        <w:rPr>
          <w:rFonts w:ascii="Arial" w:hAnsi="Arial" w:cs="FrankRuehl" w:hint="cs"/>
          <w:noProof w:val="0"/>
          <w:sz w:val="28"/>
          <w:szCs w:val="28"/>
          <w:rtl/>
        </w:rPr>
        <w:t xml:space="preserve">  </w:t>
      </w:r>
    </w:p>
    <w:p w14:paraId="5F45CFF2" w14:textId="77777777" w:rsidR="00EC333B" w:rsidRDefault="00EC333B" w:rsidP="002D120A">
      <w:pPr>
        <w:spacing w:before="240" w:line="360" w:lineRule="auto"/>
        <w:ind w:left="720"/>
        <w:jc w:val="both"/>
        <w:rPr>
          <w:rFonts w:ascii="Arial" w:hAnsi="Arial" w:cs="FrankRuehl"/>
          <w:noProof w:val="0"/>
          <w:sz w:val="28"/>
          <w:szCs w:val="28"/>
          <w:rtl/>
        </w:rPr>
      </w:pPr>
    </w:p>
    <w:p w14:paraId="14476D9A" w14:textId="77777777" w:rsidR="000D2954" w:rsidRPr="00F603F5" w:rsidRDefault="003736CE" w:rsidP="002D120A">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ובמקום אחר ציינה כי </w:t>
      </w:r>
      <w:r w:rsidR="00F603F5">
        <w:rPr>
          <w:rFonts w:ascii="Arial" w:hAnsi="Arial" w:cs="FrankRuehl" w:hint="cs"/>
          <w:noProof w:val="0"/>
          <w:sz w:val="28"/>
          <w:szCs w:val="28"/>
          <w:rtl/>
        </w:rPr>
        <w:t>"</w:t>
      </w:r>
      <w:r w:rsidR="00F603F5" w:rsidRPr="00F603F5">
        <w:rPr>
          <w:rFonts w:ascii="Arial" w:hAnsi="Arial" w:cs="FrankRuehl"/>
          <w:noProof w:val="0"/>
          <w:sz w:val="28"/>
          <w:szCs w:val="28"/>
          <w:rtl/>
        </w:rPr>
        <w:t>בעבירות בעלות רקע בטחוני, יש להעביר מסר חד משמעי ונוקב של הרתעה, וכאשר מדובר בעבריינות המתבצעת על רקע אידיאולוגי-לאומני "נדחים שיקולי ענישה אחרים מפני שיקול ההרתעה" (</w:t>
      </w:r>
      <w:hyperlink r:id="rId45" w:history="1">
        <w:r w:rsidR="00F06FB6" w:rsidRPr="00F06FB6">
          <w:rPr>
            <w:rFonts w:ascii="Arial" w:hAnsi="Arial" w:cs="FrankRuehl"/>
            <w:noProof w:val="0"/>
            <w:color w:val="0000FF"/>
            <w:sz w:val="28"/>
            <w:szCs w:val="28"/>
            <w:u w:val="single"/>
            <w:rtl/>
          </w:rPr>
          <w:t>ע"פ 1163/07</w:t>
        </w:r>
      </w:hyperlink>
      <w:r w:rsidR="00F603F5" w:rsidRPr="00F603F5">
        <w:rPr>
          <w:rFonts w:ascii="Arial" w:hAnsi="Arial" w:cs="FrankRuehl"/>
          <w:noProof w:val="0"/>
          <w:sz w:val="28"/>
          <w:szCs w:val="28"/>
          <w:rtl/>
        </w:rPr>
        <w:t xml:space="preserve"> אבו ח'דיר נ' מדינת ישראל [פורסם בנבו] (29.3.2007), וראו גם, </w:t>
      </w:r>
      <w:hyperlink r:id="rId46" w:history="1">
        <w:r w:rsidR="00F06FB6" w:rsidRPr="00F06FB6">
          <w:rPr>
            <w:rFonts w:ascii="Arial" w:hAnsi="Arial" w:cs="FrankRuehl"/>
            <w:noProof w:val="0"/>
            <w:color w:val="0000FF"/>
            <w:sz w:val="28"/>
            <w:szCs w:val="28"/>
            <w:u w:val="single"/>
            <w:rtl/>
          </w:rPr>
          <w:t>ע"פ 9201/06</w:t>
        </w:r>
      </w:hyperlink>
      <w:r w:rsidR="00F603F5" w:rsidRPr="00F603F5">
        <w:rPr>
          <w:rFonts w:ascii="Arial" w:hAnsi="Arial" w:cs="FrankRuehl"/>
          <w:noProof w:val="0"/>
          <w:sz w:val="28"/>
          <w:szCs w:val="28"/>
          <w:rtl/>
        </w:rPr>
        <w:t xml:space="preserve"> פלוני נ' מדינת ישראל [פורסם בנבו] (6.3.2007)).</w:t>
      </w:r>
    </w:p>
    <w:p w14:paraId="13447BFF" w14:textId="77777777" w:rsidR="000D2954" w:rsidRDefault="000A4C43" w:rsidP="000A4C43">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בהתחשב בכך וברמת הענישה שהוצגה לעיוני, סבורני כי בנסיבות מעשה העבירה בתיק זה </w:t>
      </w:r>
      <w:r w:rsidR="00EC333B">
        <w:rPr>
          <w:rFonts w:ascii="Arial" w:hAnsi="Arial" w:cs="FrankRuehl" w:hint="cs"/>
          <w:noProof w:val="0"/>
          <w:sz w:val="28"/>
          <w:szCs w:val="28"/>
          <w:rtl/>
        </w:rPr>
        <w:t>,</w:t>
      </w:r>
      <w:r>
        <w:rPr>
          <w:rFonts w:ascii="Arial" w:hAnsi="Arial" w:cs="FrankRuehl" w:hint="cs"/>
          <w:noProof w:val="0"/>
          <w:sz w:val="28"/>
          <w:szCs w:val="28"/>
          <w:rtl/>
        </w:rPr>
        <w:t>מתחם העונש ההולם נע בין 25 ל-50 חודשי מאסר בפועל.</w:t>
      </w:r>
    </w:p>
    <w:p w14:paraId="4555B150" w14:textId="77777777" w:rsidR="00933E86" w:rsidRPr="00933E86" w:rsidRDefault="00933E86" w:rsidP="00933E86">
      <w:pPr>
        <w:spacing w:before="240" w:line="360" w:lineRule="auto"/>
        <w:jc w:val="both"/>
        <w:rPr>
          <w:rFonts w:ascii="Arial" w:hAnsi="Arial" w:cs="FrankRuehl"/>
          <w:noProof w:val="0"/>
          <w:sz w:val="28"/>
          <w:szCs w:val="28"/>
          <w:u w:val="single"/>
          <w:rtl/>
        </w:rPr>
      </w:pPr>
      <w:r w:rsidRPr="00933E86">
        <w:rPr>
          <w:rFonts w:ascii="Arial" w:hAnsi="Arial" w:cs="FrankRuehl" w:hint="cs"/>
          <w:noProof w:val="0"/>
          <w:sz w:val="28"/>
          <w:szCs w:val="28"/>
          <w:u w:val="single"/>
          <w:rtl/>
        </w:rPr>
        <w:t>קביעת העונש בתוך המתחם</w:t>
      </w:r>
    </w:p>
    <w:p w14:paraId="03803570" w14:textId="77777777" w:rsidR="00933E86" w:rsidRDefault="00ED14C2" w:rsidP="00EC333B">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25.</w:t>
      </w:r>
      <w:r>
        <w:rPr>
          <w:rFonts w:ascii="Arial" w:hAnsi="Arial" w:cs="FrankRuehl" w:hint="cs"/>
          <w:noProof w:val="0"/>
          <w:sz w:val="28"/>
          <w:szCs w:val="28"/>
          <w:rtl/>
        </w:rPr>
        <w:tab/>
      </w:r>
      <w:r w:rsidR="00377672">
        <w:rPr>
          <w:rFonts w:ascii="Arial" w:hAnsi="Arial" w:cs="FrankRuehl" w:hint="cs"/>
          <w:noProof w:val="0"/>
          <w:sz w:val="28"/>
          <w:szCs w:val="28"/>
          <w:rtl/>
        </w:rPr>
        <w:t>במסגרת הנסיבות שאינן קשורות לביצוע העבירה שקלתי את גילו הצעיר של הנאשם</w:t>
      </w:r>
      <w:r w:rsidR="00017387">
        <w:rPr>
          <w:rFonts w:ascii="Arial" w:hAnsi="Arial" w:cs="FrankRuehl" w:hint="cs"/>
          <w:noProof w:val="0"/>
          <w:sz w:val="28"/>
          <w:szCs w:val="28"/>
          <w:rtl/>
        </w:rPr>
        <w:t xml:space="preserve">, </w:t>
      </w:r>
      <w:r w:rsidR="00EC333B">
        <w:rPr>
          <w:rFonts w:ascii="Arial" w:hAnsi="Arial" w:cs="FrankRuehl" w:hint="cs"/>
          <w:noProof w:val="0"/>
          <w:sz w:val="28"/>
          <w:szCs w:val="28"/>
          <w:rtl/>
        </w:rPr>
        <w:t xml:space="preserve">את העובדה כי אין לחובתו </w:t>
      </w:r>
      <w:r w:rsidR="00017387">
        <w:rPr>
          <w:rFonts w:ascii="Arial" w:hAnsi="Arial" w:cs="FrankRuehl" w:hint="cs"/>
          <w:noProof w:val="0"/>
          <w:sz w:val="28"/>
          <w:szCs w:val="28"/>
          <w:rtl/>
        </w:rPr>
        <w:t>עבר פלילי,</w:t>
      </w:r>
      <w:r w:rsidR="00377672">
        <w:rPr>
          <w:rFonts w:ascii="Arial" w:hAnsi="Arial" w:cs="FrankRuehl" w:hint="cs"/>
          <w:noProof w:val="0"/>
          <w:sz w:val="28"/>
          <w:szCs w:val="28"/>
          <w:rtl/>
        </w:rPr>
        <w:t xml:space="preserve"> </w:t>
      </w:r>
      <w:r w:rsidR="003D5499">
        <w:rPr>
          <w:rFonts w:ascii="Arial" w:hAnsi="Arial" w:cs="FrankRuehl" w:hint="cs"/>
          <w:noProof w:val="0"/>
          <w:sz w:val="28"/>
          <w:szCs w:val="28"/>
          <w:rtl/>
        </w:rPr>
        <w:t>את העובדה ששוהה הוא במעצר מיום 26.1.14 ואת מידת ה</w:t>
      </w:r>
      <w:r w:rsidR="00377672">
        <w:rPr>
          <w:rFonts w:ascii="Arial" w:hAnsi="Arial" w:cs="FrankRuehl" w:hint="cs"/>
          <w:noProof w:val="0"/>
          <w:sz w:val="28"/>
          <w:szCs w:val="28"/>
          <w:rtl/>
        </w:rPr>
        <w:t>פגיעה שהסב לו מ</w:t>
      </w:r>
      <w:r w:rsidR="003D5499">
        <w:rPr>
          <w:rFonts w:ascii="Arial" w:hAnsi="Arial" w:cs="FrankRuehl" w:hint="cs"/>
          <w:noProof w:val="0"/>
          <w:sz w:val="28"/>
          <w:szCs w:val="28"/>
          <w:rtl/>
        </w:rPr>
        <w:t>עצ</w:t>
      </w:r>
      <w:r w:rsidR="00377672">
        <w:rPr>
          <w:rFonts w:ascii="Arial" w:hAnsi="Arial" w:cs="FrankRuehl" w:hint="cs"/>
          <w:noProof w:val="0"/>
          <w:sz w:val="28"/>
          <w:szCs w:val="28"/>
          <w:rtl/>
        </w:rPr>
        <w:t>רו, כפי שת</w:t>
      </w:r>
      <w:r w:rsidR="00FF2B0C">
        <w:rPr>
          <w:rFonts w:ascii="Arial" w:hAnsi="Arial" w:cs="FrankRuehl" w:hint="cs"/>
          <w:noProof w:val="0"/>
          <w:sz w:val="28"/>
          <w:szCs w:val="28"/>
          <w:rtl/>
        </w:rPr>
        <w:t>י</w:t>
      </w:r>
      <w:r w:rsidR="00377672">
        <w:rPr>
          <w:rFonts w:ascii="Arial" w:hAnsi="Arial" w:cs="FrankRuehl" w:hint="cs"/>
          <w:noProof w:val="0"/>
          <w:sz w:val="28"/>
          <w:szCs w:val="28"/>
          <w:rtl/>
        </w:rPr>
        <w:t>אר אותה במכתבו וכפי שת</w:t>
      </w:r>
      <w:r w:rsidR="00FF2B0C">
        <w:rPr>
          <w:rFonts w:ascii="Arial" w:hAnsi="Arial" w:cs="FrankRuehl" w:hint="cs"/>
          <w:noProof w:val="0"/>
          <w:sz w:val="28"/>
          <w:szCs w:val="28"/>
          <w:rtl/>
        </w:rPr>
        <w:t>י</w:t>
      </w:r>
      <w:r w:rsidR="00377672">
        <w:rPr>
          <w:rFonts w:ascii="Arial" w:hAnsi="Arial" w:cs="FrankRuehl" w:hint="cs"/>
          <w:noProof w:val="0"/>
          <w:sz w:val="28"/>
          <w:szCs w:val="28"/>
          <w:rtl/>
        </w:rPr>
        <w:t xml:space="preserve">ארו אותה העדים מטעמו. כן שקלתי לזכותו את הודאתו בסופו של יום בכתב אישום מתוקן, אף שזו באה לאחר </w:t>
      </w:r>
      <w:r w:rsidR="00EC333B">
        <w:rPr>
          <w:rFonts w:ascii="Arial" w:hAnsi="Arial" w:cs="FrankRuehl" w:hint="cs"/>
          <w:noProof w:val="0"/>
          <w:sz w:val="28"/>
          <w:szCs w:val="28"/>
          <w:rtl/>
        </w:rPr>
        <w:t>שתיקה והתעלמות מופגנת מחוקריו</w:t>
      </w:r>
      <w:r w:rsidR="00377672">
        <w:rPr>
          <w:rFonts w:ascii="Arial" w:hAnsi="Arial" w:cs="FrankRuehl" w:hint="cs"/>
          <w:noProof w:val="0"/>
          <w:sz w:val="28"/>
          <w:szCs w:val="28"/>
          <w:rtl/>
        </w:rPr>
        <w:t xml:space="preserve"> במהלך חקירתו במשטרה וכן לאחר שכפר והחלו להישמע בעניינו עדים, ובהם עדים מטעם שירות הביטחון הכללי, ועל כן ההק</w:t>
      </w:r>
      <w:r w:rsidR="00EC333B">
        <w:rPr>
          <w:rFonts w:ascii="Arial" w:hAnsi="Arial" w:cs="FrankRuehl" w:hint="cs"/>
          <w:noProof w:val="0"/>
          <w:sz w:val="28"/>
          <w:szCs w:val="28"/>
          <w:rtl/>
        </w:rPr>
        <w:t>לה בגין הודאתו ולקיחת אחריות מצ</w:t>
      </w:r>
      <w:r w:rsidR="00377672">
        <w:rPr>
          <w:rFonts w:ascii="Arial" w:hAnsi="Arial" w:cs="FrankRuehl" w:hint="cs"/>
          <w:noProof w:val="0"/>
          <w:sz w:val="28"/>
          <w:szCs w:val="28"/>
          <w:rtl/>
        </w:rPr>
        <w:t xml:space="preserve">דו אינו מלאה. </w:t>
      </w:r>
    </w:p>
    <w:p w14:paraId="688EC853" w14:textId="77777777" w:rsidR="00B00A31" w:rsidRDefault="00ED14C2" w:rsidP="002535BC">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כמו כן נתתי דעתי ל</w:t>
      </w:r>
      <w:r w:rsidR="00D8694F">
        <w:rPr>
          <w:rFonts w:ascii="Arial" w:hAnsi="Arial" w:cs="FrankRuehl" w:hint="cs"/>
          <w:noProof w:val="0"/>
          <w:sz w:val="28"/>
          <w:szCs w:val="28"/>
          <w:rtl/>
        </w:rPr>
        <w:t>גזר דינם של לנדסברג וסביר</w:t>
      </w:r>
      <w:r w:rsidR="003D5499">
        <w:rPr>
          <w:rFonts w:ascii="Arial" w:hAnsi="Arial" w:cs="FrankRuehl" w:hint="cs"/>
          <w:noProof w:val="0"/>
          <w:sz w:val="28"/>
          <w:szCs w:val="28"/>
          <w:rtl/>
        </w:rPr>
        <w:t>,</w:t>
      </w:r>
      <w:r w:rsidR="00D8694F">
        <w:rPr>
          <w:rFonts w:ascii="Arial" w:hAnsi="Arial" w:cs="FrankRuehl" w:hint="cs"/>
          <w:noProof w:val="0"/>
          <w:sz w:val="28"/>
          <w:szCs w:val="28"/>
          <w:rtl/>
        </w:rPr>
        <w:t xml:space="preserve"> </w:t>
      </w:r>
      <w:r w:rsidR="002535BC">
        <w:rPr>
          <w:rFonts w:ascii="Arial" w:hAnsi="Arial" w:cs="FrankRuehl" w:hint="cs"/>
          <w:noProof w:val="0"/>
          <w:sz w:val="28"/>
          <w:szCs w:val="28"/>
          <w:rtl/>
        </w:rPr>
        <w:t xml:space="preserve">במסגרתו הושתו </w:t>
      </w:r>
      <w:r w:rsidR="003D5499">
        <w:rPr>
          <w:rFonts w:ascii="Arial" w:hAnsi="Arial" w:cs="FrankRuehl" w:hint="cs"/>
          <w:noProof w:val="0"/>
          <w:sz w:val="28"/>
          <w:szCs w:val="28"/>
          <w:rtl/>
        </w:rPr>
        <w:t xml:space="preserve">על כל אחד מהם 30 חודשי מאסר לריצוי בפועל, </w:t>
      </w:r>
      <w:r w:rsidR="002535BC">
        <w:rPr>
          <w:rFonts w:ascii="Arial" w:hAnsi="Arial" w:cs="FrankRuehl" w:hint="cs"/>
          <w:noProof w:val="0"/>
          <w:sz w:val="28"/>
          <w:szCs w:val="28"/>
          <w:rtl/>
        </w:rPr>
        <w:t xml:space="preserve">גזר דין שלקח בחשבון </w:t>
      </w:r>
      <w:r w:rsidR="00D8694F">
        <w:rPr>
          <w:rFonts w:ascii="Arial" w:hAnsi="Arial" w:cs="FrankRuehl" w:hint="cs"/>
          <w:noProof w:val="0"/>
          <w:sz w:val="28"/>
          <w:szCs w:val="28"/>
          <w:rtl/>
        </w:rPr>
        <w:t>שיקולים לקולא ובהם שיתוף הפעולה של הנאשמים החל משלב החקירה וכלה בהודאתם בכתב אישום מתוקן בבית</w:t>
      </w:r>
      <w:r w:rsidR="002535BC">
        <w:rPr>
          <w:rFonts w:ascii="Arial" w:hAnsi="Arial" w:cs="FrankRuehl" w:hint="cs"/>
          <w:noProof w:val="0"/>
          <w:sz w:val="28"/>
          <w:szCs w:val="28"/>
          <w:rtl/>
        </w:rPr>
        <w:t xml:space="preserve"> </w:t>
      </w:r>
      <w:r w:rsidR="00D8694F">
        <w:rPr>
          <w:rFonts w:ascii="Arial" w:hAnsi="Arial" w:cs="FrankRuehl" w:hint="cs"/>
          <w:noProof w:val="0"/>
          <w:sz w:val="28"/>
          <w:szCs w:val="28"/>
          <w:rtl/>
        </w:rPr>
        <w:t xml:space="preserve"> </w:t>
      </w:r>
      <w:r w:rsidR="002535BC">
        <w:rPr>
          <w:rFonts w:ascii="Arial" w:hAnsi="Arial" w:cs="FrankRuehl" w:hint="cs"/>
          <w:noProof w:val="0"/>
          <w:sz w:val="28"/>
          <w:szCs w:val="28"/>
          <w:rtl/>
        </w:rPr>
        <w:t>ה</w:t>
      </w:r>
      <w:r w:rsidR="00D8694F">
        <w:rPr>
          <w:rFonts w:ascii="Arial" w:hAnsi="Arial" w:cs="FrankRuehl" w:hint="cs"/>
          <w:noProof w:val="0"/>
          <w:sz w:val="28"/>
          <w:szCs w:val="28"/>
          <w:rtl/>
        </w:rPr>
        <w:t xml:space="preserve">משפט, תוך חיסכון בשמיעת מספר בלתי מבוטל של עדים ועדויות מומחים מטעם גורמי הביטחון. </w:t>
      </w:r>
      <w:r w:rsidR="00875287">
        <w:rPr>
          <w:rFonts w:ascii="Arial" w:hAnsi="Arial" w:cs="FrankRuehl" w:hint="cs"/>
          <w:noProof w:val="0"/>
          <w:sz w:val="28"/>
          <w:szCs w:val="28"/>
          <w:rtl/>
        </w:rPr>
        <w:t>כמו כן, בעניינו של לנדסברג התחשב בית המשפט בנסיבותיו האישיות ובהיותו נשוי ואב לשלושה ילדים הסובלים בדומה לאימם ממחלה נדירה המצריכה טיפול תמידי, וכן לגילו הצעיר של נאשם 2 ולמצבו הכלכלי הרעוע.</w:t>
      </w:r>
    </w:p>
    <w:p w14:paraId="48A812A9" w14:textId="77777777" w:rsidR="00C84A71" w:rsidRDefault="00C84A71" w:rsidP="00C84A71">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מכל מקום, ציין השופט עמית בהתייחסו לעקרון אחידות הענישה, כי "</w:t>
      </w:r>
      <w:r w:rsidRPr="00C84A71">
        <w:rPr>
          <w:rFonts w:ascii="Arial" w:hAnsi="Arial" w:cs="FrankRuehl"/>
          <w:noProof w:val="0"/>
          <w:sz w:val="28"/>
          <w:szCs w:val="28"/>
          <w:rtl/>
        </w:rPr>
        <w:t>עונש מקל יתר על המידה לנאשם אחד אינו מונע מבית המשפט מלגזור לנאשם אחר באותה פרשה עונש הולם וראוי: "עקרו</w:t>
      </w:r>
      <w:r w:rsidR="00FF2B0C">
        <w:rPr>
          <w:rFonts w:ascii="Arial" w:hAnsi="Arial" w:cs="FrankRuehl"/>
          <w:noProof w:val="0"/>
          <w:sz w:val="28"/>
          <w:szCs w:val="28"/>
          <w:rtl/>
        </w:rPr>
        <w:t>ן אחידות הענישה נועד למנוע אפלי</w:t>
      </w:r>
      <w:r w:rsidRPr="00C84A71">
        <w:rPr>
          <w:rFonts w:ascii="Arial" w:hAnsi="Arial" w:cs="FrankRuehl"/>
          <w:noProof w:val="0"/>
          <w:sz w:val="28"/>
          <w:szCs w:val="28"/>
          <w:rtl/>
        </w:rPr>
        <w:t>ה בין נאשמים שפשעו יחדיו ובנסיבות דומות; אך לא בא לכפות על בית המשפט אמת-מידה עונשית מוטעית, רק מפני שהיא ננקטה במקרהו של אחד הנאשמים המשותפים" (</w:t>
      </w:r>
      <w:hyperlink r:id="rId47" w:history="1">
        <w:r w:rsidR="00F06FB6" w:rsidRPr="00F06FB6">
          <w:rPr>
            <w:rFonts w:ascii="Arial" w:hAnsi="Arial" w:cs="FrankRuehl"/>
            <w:noProof w:val="0"/>
            <w:color w:val="0000FF"/>
            <w:sz w:val="28"/>
            <w:szCs w:val="28"/>
            <w:u w:val="single"/>
            <w:rtl/>
          </w:rPr>
          <w:t>דנ"פ 1109/02</w:t>
        </w:r>
      </w:hyperlink>
      <w:r w:rsidRPr="00C84A71">
        <w:rPr>
          <w:rFonts w:ascii="Arial" w:hAnsi="Arial" w:cs="FrankRuehl"/>
          <w:noProof w:val="0"/>
          <w:sz w:val="28"/>
          <w:szCs w:val="28"/>
          <w:rtl/>
        </w:rPr>
        <w:t xml:space="preserve"> מרדכי שושני נ' מדינת ישראל, [פורסם בנבו] פסקה 8 (12.2.2002)</w:t>
      </w:r>
      <w:r>
        <w:rPr>
          <w:rFonts w:ascii="Arial" w:hAnsi="Arial" w:cs="FrankRuehl" w:hint="cs"/>
          <w:noProof w:val="0"/>
          <w:sz w:val="28"/>
          <w:szCs w:val="28"/>
          <w:rtl/>
        </w:rPr>
        <w:t>(</w:t>
      </w:r>
      <w:hyperlink r:id="rId48" w:history="1">
        <w:r w:rsidR="00F06FB6" w:rsidRPr="00F06FB6">
          <w:rPr>
            <w:rFonts w:ascii="Arial" w:hAnsi="Arial" w:cs="FrankRuehl"/>
            <w:noProof w:val="0"/>
            <w:color w:val="0000FF"/>
            <w:sz w:val="28"/>
            <w:szCs w:val="28"/>
            <w:u w:val="single"/>
            <w:rtl/>
          </w:rPr>
          <w:t>ע"פ 1727/14</w:t>
        </w:r>
      </w:hyperlink>
      <w:r>
        <w:rPr>
          <w:rFonts w:ascii="Arial" w:hAnsi="Arial" w:cs="FrankRuehl" w:hint="cs"/>
          <w:noProof w:val="0"/>
          <w:sz w:val="28"/>
          <w:szCs w:val="28"/>
          <w:rtl/>
        </w:rPr>
        <w:t xml:space="preserve"> אבנר מימון נגד מדינת ישראל</w:t>
      </w:r>
      <w:r w:rsidRPr="00C84A71">
        <w:rPr>
          <w:rFonts w:ascii="Arial" w:hAnsi="Arial" w:cs="FrankRuehl"/>
          <w:noProof w:val="0"/>
          <w:sz w:val="28"/>
          <w:szCs w:val="28"/>
          <w:rtl/>
        </w:rPr>
        <w:t>)</w:t>
      </w:r>
      <w:r w:rsidR="00557C3E">
        <w:rPr>
          <w:rFonts w:ascii="Arial" w:hAnsi="Arial" w:cs="FrankRuehl" w:hint="cs"/>
          <w:noProof w:val="0"/>
          <w:sz w:val="28"/>
          <w:szCs w:val="28"/>
          <w:rtl/>
        </w:rPr>
        <w:t xml:space="preserve"> </w:t>
      </w:r>
      <w:r w:rsidR="00557C3E" w:rsidRPr="00557C3E">
        <w:rPr>
          <w:noProof w:val="0"/>
          <w:sz w:val="22"/>
          <w:rtl/>
        </w:rPr>
        <w:t xml:space="preserve">[פורסם בנבו] </w:t>
      </w:r>
      <w:r w:rsidRPr="00C84A71">
        <w:rPr>
          <w:rFonts w:ascii="Arial" w:hAnsi="Arial" w:cs="FrankRuehl"/>
          <w:noProof w:val="0"/>
          <w:sz w:val="28"/>
          <w:szCs w:val="28"/>
          <w:rtl/>
        </w:rPr>
        <w:t>.</w:t>
      </w:r>
    </w:p>
    <w:p w14:paraId="72E0B68E" w14:textId="77777777" w:rsidR="002535BC" w:rsidRDefault="002535BC" w:rsidP="002A132A">
      <w:pPr>
        <w:spacing w:before="240" w:line="360" w:lineRule="auto"/>
        <w:ind w:left="720"/>
        <w:jc w:val="both"/>
        <w:rPr>
          <w:rFonts w:ascii="Arial" w:hAnsi="Arial" w:cs="FrankRuehl"/>
          <w:noProof w:val="0"/>
          <w:sz w:val="28"/>
          <w:szCs w:val="28"/>
          <w:rtl/>
        </w:rPr>
      </w:pPr>
      <w:r>
        <w:rPr>
          <w:rFonts w:ascii="Arial" w:hAnsi="Arial" w:cs="FrankRuehl" w:hint="cs"/>
          <w:noProof w:val="0"/>
          <w:sz w:val="28"/>
          <w:szCs w:val="28"/>
          <w:rtl/>
        </w:rPr>
        <w:t xml:space="preserve">עם זאת, לא מצאתי לחרוג במידה ניכרת מן העונש שהושת על לנדסברג וסביר לאור העובדה כי העידו בפני עדות </w:t>
      </w:r>
      <w:r w:rsidR="002A132A">
        <w:rPr>
          <w:rFonts w:ascii="Arial" w:hAnsi="Arial" w:cs="FrankRuehl" w:hint="cs"/>
          <w:noProof w:val="0"/>
          <w:sz w:val="28"/>
          <w:szCs w:val="28"/>
          <w:rtl/>
        </w:rPr>
        <w:t>בלתי אמינה בלשון המעטה</w:t>
      </w:r>
      <w:r>
        <w:rPr>
          <w:rFonts w:ascii="Arial" w:hAnsi="Arial" w:cs="FrankRuehl" w:hint="cs"/>
          <w:noProof w:val="0"/>
          <w:sz w:val="28"/>
          <w:szCs w:val="28"/>
          <w:rtl/>
        </w:rPr>
        <w:t xml:space="preserve"> במשפטו של הנאשם, ולאור העובדה כי לחובתם הרשעות קודמות </w:t>
      </w:r>
      <w:r w:rsidR="002A132A">
        <w:rPr>
          <w:rFonts w:ascii="Arial" w:hAnsi="Arial" w:cs="FrankRuehl" w:hint="cs"/>
          <w:noProof w:val="0"/>
          <w:sz w:val="28"/>
          <w:szCs w:val="28"/>
          <w:rtl/>
        </w:rPr>
        <w:t xml:space="preserve">. </w:t>
      </w:r>
      <w:r>
        <w:rPr>
          <w:rFonts w:ascii="Arial" w:hAnsi="Arial" w:cs="FrankRuehl" w:hint="cs"/>
          <w:noProof w:val="0"/>
          <w:sz w:val="28"/>
          <w:szCs w:val="28"/>
          <w:rtl/>
        </w:rPr>
        <w:t xml:space="preserve">הנאשם לנדסברג סיים לרצות עבודות שירות </w:t>
      </w:r>
      <w:r w:rsidR="002A132A">
        <w:rPr>
          <w:rFonts w:ascii="Arial" w:hAnsi="Arial" w:cs="FrankRuehl" w:hint="cs"/>
          <w:noProof w:val="0"/>
          <w:sz w:val="28"/>
          <w:szCs w:val="28"/>
          <w:rtl/>
        </w:rPr>
        <w:t>כ</w:t>
      </w:r>
      <w:r>
        <w:rPr>
          <w:rFonts w:ascii="Arial" w:hAnsi="Arial" w:cs="FrankRuehl" w:hint="cs"/>
          <w:noProof w:val="0"/>
          <w:sz w:val="28"/>
          <w:szCs w:val="28"/>
          <w:rtl/>
        </w:rPr>
        <w:t>חודש לפני ביצוע העבירות מושא תיק זה.</w:t>
      </w:r>
    </w:p>
    <w:p w14:paraId="31C86BA2" w14:textId="77777777" w:rsidR="00ED14C2" w:rsidRDefault="00ED14C2" w:rsidP="001E69BE">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26.</w:t>
      </w:r>
      <w:r>
        <w:rPr>
          <w:rFonts w:ascii="Arial" w:hAnsi="Arial" w:cs="FrankRuehl" w:hint="cs"/>
          <w:noProof w:val="0"/>
          <w:sz w:val="28"/>
          <w:szCs w:val="28"/>
          <w:rtl/>
        </w:rPr>
        <w:tab/>
        <w:t>לאור כל אלה, באתי לכלל מסקנה כי יש להשית על הנאשם את העונשים הבאים:</w:t>
      </w:r>
    </w:p>
    <w:p w14:paraId="70D5FE0A" w14:textId="77777777" w:rsidR="00ED14C2" w:rsidRDefault="00ED14C2" w:rsidP="00ED14C2">
      <w:pPr>
        <w:spacing w:before="240" w:line="360" w:lineRule="auto"/>
        <w:ind w:left="720" w:hanging="720"/>
        <w:jc w:val="both"/>
        <w:rPr>
          <w:rFonts w:ascii="Arial" w:hAnsi="Arial" w:cs="FrankRuehl"/>
          <w:noProof w:val="0"/>
          <w:sz w:val="28"/>
          <w:szCs w:val="28"/>
          <w:rtl/>
        </w:rPr>
      </w:pPr>
      <w:r>
        <w:rPr>
          <w:rFonts w:ascii="Arial" w:hAnsi="Arial" w:cs="FrankRuehl" w:hint="cs"/>
          <w:noProof w:val="0"/>
          <w:sz w:val="28"/>
          <w:szCs w:val="28"/>
          <w:rtl/>
        </w:rPr>
        <w:tab/>
        <w:t xml:space="preserve">א. </w:t>
      </w:r>
      <w:r w:rsidR="002A132A">
        <w:rPr>
          <w:rFonts w:ascii="Arial" w:hAnsi="Arial" w:cs="FrankRuehl" w:hint="cs"/>
          <w:noProof w:val="0"/>
          <w:sz w:val="28"/>
          <w:szCs w:val="28"/>
          <w:rtl/>
        </w:rPr>
        <w:tab/>
      </w:r>
      <w:r>
        <w:rPr>
          <w:rFonts w:ascii="Arial" w:hAnsi="Arial" w:cs="FrankRuehl" w:hint="cs"/>
          <w:noProof w:val="0"/>
          <w:sz w:val="28"/>
          <w:szCs w:val="28"/>
          <w:rtl/>
        </w:rPr>
        <w:t>36 חוד</w:t>
      </w:r>
      <w:r w:rsidR="002A132A">
        <w:rPr>
          <w:rFonts w:ascii="Arial" w:hAnsi="Arial" w:cs="FrankRuehl" w:hint="cs"/>
          <w:noProof w:val="0"/>
          <w:sz w:val="28"/>
          <w:szCs w:val="28"/>
          <w:rtl/>
        </w:rPr>
        <w:t>שי מאסר בפועל החל מיום מעצרו 26.1.2014.</w:t>
      </w:r>
    </w:p>
    <w:p w14:paraId="5C7FBDD1" w14:textId="77777777" w:rsidR="002535BC" w:rsidRDefault="002535BC" w:rsidP="007531FE">
      <w:pPr>
        <w:ind w:left="720"/>
        <w:jc w:val="both"/>
        <w:rPr>
          <w:rFonts w:ascii="Arial" w:hAnsi="Arial" w:cs="FrankRuehl"/>
          <w:noProof w:val="0"/>
          <w:sz w:val="28"/>
          <w:szCs w:val="28"/>
          <w:rtl/>
        </w:rPr>
      </w:pPr>
    </w:p>
    <w:p w14:paraId="2BA1E241" w14:textId="77777777" w:rsidR="00ED14C2" w:rsidRDefault="007531FE" w:rsidP="002A132A">
      <w:pPr>
        <w:spacing w:line="360" w:lineRule="auto"/>
        <w:ind w:left="1440" w:hanging="720"/>
        <w:jc w:val="both"/>
        <w:rPr>
          <w:rFonts w:ascii="Arial" w:hAnsi="Arial" w:cs="FrankRuehl"/>
          <w:sz w:val="28"/>
          <w:szCs w:val="28"/>
          <w:rtl/>
        </w:rPr>
      </w:pPr>
      <w:r>
        <w:rPr>
          <w:rFonts w:ascii="Arial" w:hAnsi="Arial" w:cs="FrankRuehl" w:hint="cs"/>
          <w:noProof w:val="0"/>
          <w:sz w:val="28"/>
          <w:szCs w:val="28"/>
          <w:rtl/>
        </w:rPr>
        <w:t xml:space="preserve">ב. </w:t>
      </w:r>
      <w:r w:rsidR="002A132A">
        <w:rPr>
          <w:rFonts w:ascii="Arial" w:hAnsi="Arial" w:cs="FrankRuehl" w:hint="cs"/>
          <w:noProof w:val="0"/>
          <w:sz w:val="28"/>
          <w:szCs w:val="28"/>
          <w:rtl/>
        </w:rPr>
        <w:tab/>
      </w:r>
      <w:r w:rsidR="00ED14C2" w:rsidRPr="007531FE">
        <w:rPr>
          <w:rFonts w:ascii="Arial" w:hAnsi="Arial" w:cs="FrankRuehl" w:hint="cs"/>
          <w:noProof w:val="0"/>
          <w:sz w:val="28"/>
          <w:szCs w:val="28"/>
          <w:rtl/>
        </w:rPr>
        <w:t xml:space="preserve">12 חודשי מאסר על תנאי, והתנאי הוא </w:t>
      </w:r>
      <w:r w:rsidR="002A132A">
        <w:rPr>
          <w:rFonts w:ascii="Arial" w:hAnsi="Arial" w:cs="FrankRuehl" w:hint="cs"/>
          <w:sz w:val="28"/>
          <w:szCs w:val="28"/>
          <w:rtl/>
        </w:rPr>
        <w:t xml:space="preserve">שתוך שלוש שנים מיום שחרורו ממאסר </w:t>
      </w:r>
      <w:r w:rsidR="00ED14C2" w:rsidRPr="007531FE">
        <w:rPr>
          <w:rFonts w:ascii="Arial" w:hAnsi="Arial" w:cs="FrankRuehl" w:hint="eastAsia"/>
          <w:sz w:val="28"/>
          <w:szCs w:val="28"/>
          <w:rtl/>
        </w:rPr>
        <w:t>לא</w:t>
      </w:r>
      <w:r w:rsidR="00ED14C2" w:rsidRPr="007531FE">
        <w:rPr>
          <w:rFonts w:ascii="Arial" w:hAnsi="Arial" w:cs="FrankRuehl"/>
          <w:sz w:val="28"/>
          <w:szCs w:val="28"/>
          <w:rtl/>
        </w:rPr>
        <w:t xml:space="preserve"> </w:t>
      </w:r>
      <w:r w:rsidR="002A132A">
        <w:rPr>
          <w:rFonts w:ascii="Arial" w:hAnsi="Arial" w:cs="FrankRuehl" w:hint="cs"/>
          <w:sz w:val="28"/>
          <w:szCs w:val="28"/>
          <w:rtl/>
        </w:rPr>
        <w:t>י</w:t>
      </w:r>
      <w:r w:rsidR="00ED14C2" w:rsidRPr="007531FE">
        <w:rPr>
          <w:rFonts w:ascii="Arial" w:hAnsi="Arial" w:cs="FrankRuehl" w:hint="eastAsia"/>
          <w:sz w:val="28"/>
          <w:szCs w:val="28"/>
          <w:rtl/>
        </w:rPr>
        <w:t>עבור</w:t>
      </w:r>
      <w:r w:rsidR="00ED14C2" w:rsidRPr="007531FE">
        <w:rPr>
          <w:rFonts w:ascii="Arial" w:hAnsi="Arial" w:cs="FrankRuehl"/>
          <w:sz w:val="28"/>
          <w:szCs w:val="28"/>
          <w:rtl/>
        </w:rPr>
        <w:t xml:space="preserve"> </w:t>
      </w:r>
      <w:r w:rsidR="00ED14C2" w:rsidRPr="007531FE">
        <w:rPr>
          <w:rFonts w:ascii="Arial" w:hAnsi="Arial" w:cs="FrankRuehl" w:hint="eastAsia"/>
          <w:sz w:val="28"/>
          <w:szCs w:val="28"/>
          <w:rtl/>
        </w:rPr>
        <w:t>עבירה</w:t>
      </w:r>
      <w:r w:rsidR="00ED14C2" w:rsidRPr="007531FE">
        <w:rPr>
          <w:rFonts w:ascii="Arial" w:hAnsi="Arial" w:cs="FrankRuehl"/>
          <w:sz w:val="28"/>
          <w:szCs w:val="28"/>
          <w:rtl/>
        </w:rPr>
        <w:t xml:space="preserve"> </w:t>
      </w:r>
      <w:r w:rsidR="002A132A">
        <w:rPr>
          <w:rFonts w:ascii="Arial" w:hAnsi="Arial" w:cs="FrankRuehl" w:hint="cs"/>
          <w:sz w:val="28"/>
          <w:szCs w:val="28"/>
          <w:rtl/>
        </w:rPr>
        <w:t xml:space="preserve">מן העבירות </w:t>
      </w:r>
      <w:r w:rsidR="00ED14C2" w:rsidRPr="007531FE">
        <w:rPr>
          <w:rFonts w:ascii="Arial" w:hAnsi="Arial" w:cs="FrankRuehl" w:hint="eastAsia"/>
          <w:sz w:val="28"/>
          <w:szCs w:val="28"/>
          <w:rtl/>
        </w:rPr>
        <w:t>בה</w:t>
      </w:r>
      <w:r w:rsidR="002A132A">
        <w:rPr>
          <w:rFonts w:ascii="Arial" w:hAnsi="Arial" w:cs="FrankRuehl" w:hint="cs"/>
          <w:sz w:val="28"/>
          <w:szCs w:val="28"/>
          <w:rtl/>
        </w:rPr>
        <w:t>ן</w:t>
      </w:r>
      <w:r w:rsidR="00ED14C2" w:rsidRPr="007531FE">
        <w:rPr>
          <w:rFonts w:ascii="Arial" w:hAnsi="Arial" w:cs="FrankRuehl"/>
          <w:sz w:val="28"/>
          <w:szCs w:val="28"/>
          <w:rtl/>
        </w:rPr>
        <w:t xml:space="preserve"> </w:t>
      </w:r>
      <w:r w:rsidR="00ED14C2" w:rsidRPr="007531FE">
        <w:rPr>
          <w:rFonts w:ascii="Arial" w:hAnsi="Arial" w:cs="FrankRuehl" w:hint="eastAsia"/>
          <w:sz w:val="28"/>
          <w:szCs w:val="28"/>
          <w:rtl/>
        </w:rPr>
        <w:t>הורשע</w:t>
      </w:r>
      <w:r w:rsidR="002A132A">
        <w:rPr>
          <w:rFonts w:ascii="Arial" w:hAnsi="Arial" w:cs="FrankRuehl" w:hint="cs"/>
          <w:sz w:val="28"/>
          <w:szCs w:val="28"/>
          <w:rtl/>
        </w:rPr>
        <w:t xml:space="preserve"> בתיק זה</w:t>
      </w:r>
      <w:r w:rsidR="00ED14C2" w:rsidRPr="007531FE">
        <w:rPr>
          <w:rFonts w:ascii="Arial" w:hAnsi="Arial" w:cs="FrankRuehl"/>
          <w:sz w:val="28"/>
          <w:szCs w:val="28"/>
          <w:rtl/>
        </w:rPr>
        <w:t>.</w:t>
      </w:r>
    </w:p>
    <w:p w14:paraId="7C719D98" w14:textId="77777777" w:rsidR="002535BC" w:rsidRDefault="002535BC" w:rsidP="007531FE">
      <w:pPr>
        <w:ind w:left="720"/>
        <w:jc w:val="both"/>
        <w:rPr>
          <w:rFonts w:ascii="Arial" w:hAnsi="Arial" w:cs="FrankRuehl"/>
          <w:sz w:val="28"/>
          <w:szCs w:val="28"/>
          <w:rtl/>
        </w:rPr>
      </w:pPr>
    </w:p>
    <w:p w14:paraId="2DB7C316" w14:textId="77777777" w:rsidR="007531FE" w:rsidRDefault="007531FE" w:rsidP="007531FE">
      <w:pPr>
        <w:ind w:left="720"/>
        <w:jc w:val="both"/>
        <w:rPr>
          <w:rFonts w:ascii="Arial" w:hAnsi="Arial" w:cs="FrankRuehl"/>
          <w:sz w:val="28"/>
          <w:szCs w:val="28"/>
          <w:rtl/>
        </w:rPr>
      </w:pPr>
      <w:r>
        <w:rPr>
          <w:rFonts w:ascii="Arial" w:hAnsi="Arial" w:cs="FrankRuehl" w:hint="cs"/>
          <w:sz w:val="28"/>
          <w:szCs w:val="28"/>
          <w:rtl/>
        </w:rPr>
        <w:t xml:space="preserve">ג. </w:t>
      </w:r>
      <w:r w:rsidR="002A132A">
        <w:rPr>
          <w:rFonts w:ascii="Arial" w:hAnsi="Arial" w:cs="FrankRuehl" w:hint="cs"/>
          <w:sz w:val="28"/>
          <w:szCs w:val="28"/>
          <w:rtl/>
        </w:rPr>
        <w:tab/>
      </w:r>
      <w:r>
        <w:rPr>
          <w:rFonts w:ascii="Arial" w:hAnsi="Arial" w:cs="FrankRuehl" w:hint="cs"/>
          <w:sz w:val="28"/>
          <w:szCs w:val="28"/>
          <w:rtl/>
        </w:rPr>
        <w:t xml:space="preserve">פיצוי למתלונן בסך של 15,000 ₪. </w:t>
      </w:r>
    </w:p>
    <w:p w14:paraId="7DC3E7FF" w14:textId="77777777" w:rsidR="007531FE" w:rsidRPr="00F06FB6" w:rsidRDefault="00F06FB6" w:rsidP="007531FE">
      <w:pPr>
        <w:ind w:left="720"/>
        <w:jc w:val="both"/>
        <w:rPr>
          <w:rFonts w:ascii="Arial" w:hAnsi="Arial" w:cs="FrankRuehl"/>
          <w:color w:val="FFFFFF"/>
          <w:sz w:val="2"/>
          <w:szCs w:val="2"/>
          <w:rtl/>
        </w:rPr>
      </w:pPr>
      <w:r w:rsidRPr="00F06FB6">
        <w:rPr>
          <w:rFonts w:ascii="Arial" w:hAnsi="Arial" w:cs="FrankRuehl"/>
          <w:color w:val="FFFFFF"/>
          <w:sz w:val="2"/>
          <w:szCs w:val="2"/>
          <w:rtl/>
        </w:rPr>
        <w:t>5129371</w:t>
      </w:r>
    </w:p>
    <w:p w14:paraId="5FA82D00" w14:textId="77777777" w:rsidR="007531FE" w:rsidRPr="00F06FB6" w:rsidRDefault="00F06FB6" w:rsidP="007531FE">
      <w:pPr>
        <w:ind w:left="720"/>
        <w:jc w:val="both"/>
        <w:rPr>
          <w:rFonts w:ascii="Arial" w:hAnsi="Arial" w:cs="FrankRuehl"/>
          <w:color w:val="FFFFFF"/>
          <w:sz w:val="2"/>
          <w:szCs w:val="2"/>
          <w:rtl/>
        </w:rPr>
      </w:pPr>
      <w:r w:rsidRPr="00F06FB6">
        <w:rPr>
          <w:rFonts w:ascii="Arial" w:hAnsi="Arial" w:cs="FrankRuehl"/>
          <w:color w:val="FFFFFF"/>
          <w:sz w:val="2"/>
          <w:szCs w:val="2"/>
          <w:rtl/>
        </w:rPr>
        <w:t>54678313</w:t>
      </w:r>
    </w:p>
    <w:p w14:paraId="51D35382" w14:textId="77777777" w:rsidR="007531FE" w:rsidRPr="002535BC" w:rsidRDefault="007531FE" w:rsidP="007531FE">
      <w:pPr>
        <w:jc w:val="both"/>
        <w:rPr>
          <w:rFonts w:ascii="Arial" w:hAnsi="Arial" w:cs="FrankRuehl"/>
          <w:b/>
          <w:bCs/>
          <w:sz w:val="28"/>
          <w:szCs w:val="28"/>
        </w:rPr>
      </w:pPr>
      <w:r w:rsidRPr="002535BC">
        <w:rPr>
          <w:rFonts w:ascii="Arial" w:hAnsi="Arial" w:cs="FrankRuehl" w:hint="cs"/>
          <w:b/>
          <w:bCs/>
          <w:sz w:val="28"/>
          <w:szCs w:val="28"/>
          <w:rtl/>
        </w:rPr>
        <w:t xml:space="preserve">זכות ערעור לבית המשפט העליון בתוך 45 יום מהיום. </w:t>
      </w:r>
    </w:p>
    <w:p w14:paraId="33377B64" w14:textId="77777777" w:rsidR="00694556" w:rsidRPr="00FC1C15" w:rsidRDefault="00694556" w:rsidP="00FC1C15">
      <w:pPr>
        <w:spacing w:line="360" w:lineRule="auto"/>
        <w:jc w:val="both"/>
        <w:rPr>
          <w:rFonts w:ascii="Arial" w:hAnsi="Arial" w:cs="FrankRuehl"/>
          <w:noProof w:val="0"/>
          <w:sz w:val="28"/>
          <w:szCs w:val="28"/>
          <w:rtl/>
        </w:rPr>
      </w:pPr>
    </w:p>
    <w:p w14:paraId="72858B02" w14:textId="77777777" w:rsidR="00C43648" w:rsidRPr="00FC1C15" w:rsidRDefault="00F06FB6" w:rsidP="00FC1C15">
      <w:pPr>
        <w:tabs>
          <w:tab w:val="left" w:pos="2553"/>
        </w:tabs>
        <w:spacing w:line="360" w:lineRule="auto"/>
        <w:ind w:left="5040"/>
        <w:rPr>
          <w:rFonts w:cs="FrankRuehl"/>
          <w:sz w:val="28"/>
          <w:szCs w:val="28"/>
          <w:rtl/>
        </w:rPr>
      </w:pPr>
      <w:r>
        <w:rPr>
          <w:rFonts w:ascii="Arial" w:hAnsi="Arial" w:cs="FrankRuehl"/>
          <w:noProof w:val="0"/>
          <w:sz w:val="28"/>
          <w:szCs w:val="28"/>
          <w:rtl/>
        </w:rPr>
        <w:t xml:space="preserve">ניתנה היום, ט"ו שבט תשע"ה, 04 פברואר 2015, בהעדר הצדדים. </w:t>
      </w:r>
      <w:r w:rsidR="00C43648" w:rsidRPr="00FC1C15">
        <w:rPr>
          <w:rFonts w:cs="FrankRuehl" w:hint="cs"/>
          <w:sz w:val="28"/>
          <w:szCs w:val="28"/>
          <w:rtl/>
        </w:rPr>
        <w:t xml:space="preserve">     </w:t>
      </w:r>
    </w:p>
    <w:p w14:paraId="0832CA36" w14:textId="77777777" w:rsidR="00694556" w:rsidRPr="00FC1C15" w:rsidRDefault="00BD6531" w:rsidP="00B7445D">
      <w:pPr>
        <w:tabs>
          <w:tab w:val="left" w:pos="2553"/>
        </w:tabs>
        <w:spacing w:line="360" w:lineRule="auto"/>
      </w:pPr>
      <w:r w:rsidRPr="00FC1C15">
        <w:rPr>
          <w:rFonts w:cs="FrankRuehl" w:hint="cs"/>
          <w:sz w:val="28"/>
          <w:szCs w:val="28"/>
          <w:rtl/>
        </w:rPr>
        <w:tab/>
      </w:r>
      <w:r w:rsidRPr="00FC1C15">
        <w:rPr>
          <w:rFonts w:cs="FrankRuehl" w:hint="cs"/>
          <w:sz w:val="28"/>
          <w:szCs w:val="28"/>
          <w:rtl/>
        </w:rPr>
        <w:tab/>
      </w:r>
      <w:r w:rsidRPr="00FC1C15">
        <w:rPr>
          <w:rFonts w:cs="FrankRuehl" w:hint="cs"/>
          <w:sz w:val="28"/>
          <w:szCs w:val="28"/>
          <w:rtl/>
        </w:rPr>
        <w:tab/>
      </w:r>
      <w:r w:rsidRPr="00FC1C15">
        <w:rPr>
          <w:rFonts w:cs="FrankRuehl" w:hint="cs"/>
          <w:sz w:val="28"/>
          <w:szCs w:val="28"/>
          <w:rtl/>
        </w:rPr>
        <w:tab/>
        <w:t xml:space="preserve">        </w:t>
      </w:r>
    </w:p>
    <w:p w14:paraId="1F841E1C" w14:textId="77777777" w:rsidR="00F06FB6" w:rsidRPr="00F06FB6" w:rsidRDefault="00F06FB6" w:rsidP="00F06FB6">
      <w:pPr>
        <w:keepNext/>
        <w:tabs>
          <w:tab w:val="left" w:pos="2553"/>
        </w:tabs>
        <w:spacing w:line="360" w:lineRule="auto"/>
        <w:rPr>
          <w:rFonts w:ascii="David" w:hAnsi="David"/>
          <w:noProof w:val="0"/>
          <w:color w:val="000000"/>
          <w:sz w:val="22"/>
          <w:szCs w:val="22"/>
          <w:rtl/>
        </w:rPr>
      </w:pPr>
    </w:p>
    <w:p w14:paraId="2A83DD42" w14:textId="77777777" w:rsidR="00F06FB6" w:rsidRPr="00F06FB6" w:rsidRDefault="00F06FB6" w:rsidP="00F06FB6">
      <w:pPr>
        <w:keepNext/>
        <w:tabs>
          <w:tab w:val="left" w:pos="2553"/>
        </w:tabs>
        <w:spacing w:line="360" w:lineRule="auto"/>
        <w:rPr>
          <w:rFonts w:ascii="David" w:hAnsi="David"/>
          <w:noProof w:val="0"/>
          <w:color w:val="000000"/>
          <w:sz w:val="22"/>
          <w:szCs w:val="22"/>
          <w:rtl/>
        </w:rPr>
      </w:pPr>
      <w:r w:rsidRPr="00F06FB6">
        <w:rPr>
          <w:rFonts w:ascii="David" w:hAnsi="David"/>
          <w:noProof w:val="0"/>
          <w:color w:val="000000"/>
          <w:sz w:val="22"/>
          <w:szCs w:val="22"/>
          <w:rtl/>
        </w:rPr>
        <w:t>מיכל ברנט 54678313</w:t>
      </w:r>
    </w:p>
    <w:p w14:paraId="1FCBF296" w14:textId="77777777" w:rsidR="00F06FB6" w:rsidRDefault="00F06FB6" w:rsidP="00F06FB6">
      <w:pPr>
        <w:tabs>
          <w:tab w:val="left" w:pos="2553"/>
        </w:tabs>
        <w:spacing w:line="360" w:lineRule="auto"/>
        <w:rPr>
          <w:rFonts w:ascii="Arial" w:hAnsi="Arial" w:cs="FrankRuehl"/>
          <w:noProof w:val="0"/>
          <w:sz w:val="28"/>
          <w:szCs w:val="28"/>
          <w:rtl/>
        </w:rPr>
      </w:pPr>
      <w:r w:rsidRPr="00F06FB6">
        <w:rPr>
          <w:rFonts w:ascii="Arial" w:hAnsi="Arial" w:cs="FrankRuehl"/>
          <w:noProof w:val="0"/>
          <w:color w:val="000000"/>
          <w:sz w:val="28"/>
          <w:szCs w:val="28"/>
          <w:rtl/>
        </w:rPr>
        <w:t>נוסח מסמך זה כפוף לשינויי ניסוח ועריכה</w:t>
      </w:r>
    </w:p>
    <w:p w14:paraId="6E263483" w14:textId="77777777" w:rsidR="00F06FB6" w:rsidRDefault="00F06FB6" w:rsidP="00F06FB6">
      <w:pPr>
        <w:tabs>
          <w:tab w:val="left" w:pos="2553"/>
        </w:tabs>
        <w:spacing w:line="360" w:lineRule="auto"/>
        <w:rPr>
          <w:rFonts w:ascii="Arial" w:hAnsi="Arial" w:cs="FrankRuehl"/>
          <w:noProof w:val="0"/>
          <w:sz w:val="28"/>
          <w:szCs w:val="28"/>
          <w:rtl/>
        </w:rPr>
      </w:pPr>
    </w:p>
    <w:p w14:paraId="4AB9857E" w14:textId="77777777" w:rsidR="00F06FB6" w:rsidRDefault="00F06FB6" w:rsidP="00F06FB6">
      <w:pPr>
        <w:tabs>
          <w:tab w:val="left" w:pos="2553"/>
        </w:tabs>
        <w:spacing w:line="360" w:lineRule="auto"/>
        <w:jc w:val="center"/>
        <w:rPr>
          <w:rFonts w:ascii="Arial" w:hAnsi="Arial"/>
          <w:noProof w:val="0"/>
          <w:color w:val="0000FF"/>
          <w:sz w:val="28"/>
          <w:u w:val="single"/>
          <w:rtl/>
        </w:rPr>
      </w:pPr>
      <w:hyperlink r:id="rId49" w:history="1">
        <w:r>
          <w:rPr>
            <w:rFonts w:ascii="Arial" w:hAnsi="Arial"/>
            <w:noProof w:val="0"/>
            <w:color w:val="0000FF"/>
            <w:sz w:val="28"/>
            <w:u w:val="single"/>
            <w:rtl/>
          </w:rPr>
          <w:t>בעניין עריכה ושינויים במסמכי פסיקה, חקיקה ועוד באתר נבו – הקש כאן</w:t>
        </w:r>
      </w:hyperlink>
    </w:p>
    <w:p w14:paraId="4A430F03" w14:textId="77777777" w:rsidR="00694556" w:rsidRPr="00F06FB6" w:rsidRDefault="00694556" w:rsidP="00F06FB6">
      <w:pPr>
        <w:tabs>
          <w:tab w:val="left" w:pos="2553"/>
        </w:tabs>
        <w:spacing w:line="360" w:lineRule="auto"/>
        <w:jc w:val="center"/>
        <w:rPr>
          <w:rFonts w:ascii="Arial" w:hAnsi="Arial"/>
          <w:noProof w:val="0"/>
          <w:color w:val="0000FF"/>
          <w:sz w:val="28"/>
          <w:u w:val="single"/>
          <w:rtl/>
        </w:rPr>
      </w:pPr>
    </w:p>
    <w:sectPr w:rsidR="00694556" w:rsidRPr="00F06FB6" w:rsidSect="00F06FB6">
      <w:headerReference w:type="even" r:id="rId50"/>
      <w:headerReference w:type="default" r:id="rId51"/>
      <w:footerReference w:type="even" r:id="rId52"/>
      <w:footerReference w:type="default" r:id="rId53"/>
      <w:pgSz w:w="11907" w:h="16840" w:code="9"/>
      <w:pgMar w:top="1701" w:right="1701" w:bottom="1701" w:left="1701" w:header="720" w:footer="510"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7D884" w14:textId="77777777" w:rsidR="002315B1" w:rsidRDefault="002315B1">
      <w:r>
        <w:separator/>
      </w:r>
    </w:p>
  </w:endnote>
  <w:endnote w:type="continuationSeparator" w:id="0">
    <w:p w14:paraId="260BE4B2" w14:textId="77777777" w:rsidR="002315B1" w:rsidRDefault="0023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D29BF" w14:textId="77777777" w:rsidR="00F06FB6" w:rsidRDefault="00F06FB6" w:rsidP="00F06F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3A781BF" w14:textId="77777777" w:rsidR="00F06FB6" w:rsidRPr="00F06FB6" w:rsidRDefault="00F06FB6" w:rsidP="00F06FB6">
    <w:pPr>
      <w:pStyle w:val="a4"/>
      <w:pBdr>
        <w:top w:val="single" w:sz="4" w:space="1" w:color="auto"/>
        <w:between w:val="single" w:sz="4" w:space="0" w:color="auto"/>
      </w:pBdr>
      <w:spacing w:after="60"/>
      <w:jc w:val="center"/>
      <w:rPr>
        <w:rFonts w:ascii="FrankRuehl" w:hAnsi="FrankRuehl" w:cs="FrankRuehl"/>
        <w:color w:val="000000"/>
      </w:rPr>
    </w:pPr>
    <w:r w:rsidRPr="00F06F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74A75" w14:textId="77777777" w:rsidR="00F06FB6" w:rsidRDefault="00F06FB6" w:rsidP="00F06FB6">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557C3E">
      <w:rPr>
        <w:rStyle w:val="ab"/>
        <w:rFonts w:ascii="FrankRuehl" w:hAnsi="FrankRuehl" w:cs="FrankRuehl"/>
        <w:rtl/>
      </w:rPr>
      <w:t>1</w:t>
    </w:r>
    <w:r>
      <w:rPr>
        <w:rStyle w:val="ab"/>
        <w:rFonts w:ascii="FrankRuehl" w:hAnsi="FrankRuehl" w:cs="FrankRuehl"/>
        <w:rtl/>
      </w:rPr>
      <w:fldChar w:fldCharType="end"/>
    </w:r>
  </w:p>
  <w:p w14:paraId="15704CBD" w14:textId="77777777" w:rsidR="00694556" w:rsidRPr="00F06FB6" w:rsidRDefault="00F06FB6" w:rsidP="00F06FB6">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F06FB6">
      <w:rPr>
        <w:rStyle w:val="ab"/>
        <w:rFonts w:ascii="FrankRuehl" w:hAnsi="FrankRuehl" w:cs="FrankRuehl" w:hint="cs"/>
        <w:color w:val="000000"/>
      </w:rPr>
      <w:pict w14:anchorId="5CAE6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999A4" w14:textId="77777777" w:rsidR="002315B1" w:rsidRDefault="002315B1">
      <w:r>
        <w:separator/>
      </w:r>
    </w:p>
  </w:footnote>
  <w:footnote w:type="continuationSeparator" w:id="0">
    <w:p w14:paraId="295FB1AF" w14:textId="77777777" w:rsidR="002315B1" w:rsidRDefault="0023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27E4D" w14:textId="77777777" w:rsidR="00F06FB6" w:rsidRPr="00F06FB6" w:rsidRDefault="00F06FB6" w:rsidP="00F06F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8718-02-14</w:t>
    </w:r>
    <w:r>
      <w:rPr>
        <w:rFonts w:ascii="David" w:hAnsi="David"/>
        <w:color w:val="000000"/>
        <w:sz w:val="22"/>
        <w:szCs w:val="22"/>
        <w:rtl/>
      </w:rPr>
      <w:tab/>
      <w:t xml:space="preserve"> מדינת ישראל נ' בנימין ריכטר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04CEA" w14:textId="77777777" w:rsidR="00694556" w:rsidRPr="00F06FB6" w:rsidRDefault="00F06FB6" w:rsidP="00F06F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8718-02-14</w:t>
    </w:r>
    <w:r>
      <w:rPr>
        <w:rFonts w:ascii="David" w:hAnsi="David"/>
        <w:color w:val="000000"/>
        <w:sz w:val="22"/>
        <w:szCs w:val="22"/>
        <w:rtl/>
      </w:rPr>
      <w:tab/>
      <w:t xml:space="preserve"> מדינת ישראל נ' בנימין ריכטר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06711"/>
    <w:multiLevelType w:val="hybridMultilevel"/>
    <w:tmpl w:val="4A20FCC4"/>
    <w:lvl w:ilvl="0" w:tplc="EF66D1CE">
      <w:start w:val="3"/>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F7848"/>
    <w:multiLevelType w:val="hybridMultilevel"/>
    <w:tmpl w:val="27C89D42"/>
    <w:lvl w:ilvl="0" w:tplc="5EDC9C34">
      <w:start w:val="3"/>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358F8"/>
    <w:multiLevelType w:val="hybridMultilevel"/>
    <w:tmpl w:val="B24A718A"/>
    <w:lvl w:ilvl="0" w:tplc="8A66DB1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422382177">
    <w:abstractNumId w:val="2"/>
  </w:num>
  <w:num w:numId="2" w16cid:durableId="1542282382">
    <w:abstractNumId w:val="0"/>
  </w:num>
  <w:num w:numId="3" w16cid:durableId="2115244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669564"/>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669564&amp;lt;/CaseID&amp;gt;_x000d__x000a_        &amp;lt;CaseMonth&amp;gt;2&amp;lt;/CaseMonth&amp;gt;_x000d__x000a_        &amp;lt;CaseYear&amp;gt;2014&amp;lt;/CaseYear&amp;gt;_x000d__x000a_        &amp;lt;CaseNumber&amp;gt;8718&amp;lt;/CaseNumber&amp;gt;_x000d__x000a_        &amp;lt;NumeratorGroupID&amp;gt;1&amp;lt;/NumeratorGroupID&amp;gt;_x000d__x000a_        &amp;lt;CaseName&amp;gt;מדינת ישראל נ&amp;#39; ריכטר(עציר)&amp;lt;/CaseName&amp;gt;_x000d__x000a_        &amp;lt;CourtID&amp;gt;896&amp;lt;/CourtID&amp;gt;_x000d__x000a_        &amp;lt;CaseTypeID&amp;gt;10048&amp;lt;/CaseTypeID&amp;gt;_x000d__x000a_        &amp;lt;CaseJudgeName&amp;gt;מיכל ברנט&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8718-02-14&amp;lt;/CaseDisplayIdentifier&amp;gt;_x000d__x000a_        &amp;lt;CaseTypeDesc&amp;gt;ת&amp;quot;פ&amp;lt;/CaseTypeDesc&amp;gt;_x000d__x000a_        &amp;lt;CourtDesc&amp;gt;המחוזי מרכז &amp;lt;/CourtDesc&amp;gt;_x000d__x000a_        &amp;lt;CaseStageDesc&amp;gt;תיק אלקטרוני&amp;lt;/CaseStageDesc&amp;gt;_x000d__x000a_        &amp;lt;CaseNextDeterminingTask&amp;gt;150&amp;lt;/CaseNextDeterminingTask&amp;gt;_x000d__x000a_        &amp;lt;CaseOpenDate&amp;gt;2014-02-05T09:13:00+02:00&amp;lt;/CaseOpenDate&amp;gt;_x000d__x000a_        &amp;lt;PleaTypeID&amp;gt;8&amp;lt;/PleaTypeID&amp;gt;_x000d__x000a_        &amp;lt;CourtLevelID&amp;gt;2&amp;lt;/CourtLevelID&amp;gt;_x000d__x000a_        &amp;lt;CaseJudgeFirstName&amp;gt;מיכל&amp;lt;/CaseJudgeFirstName&amp;gt;_x000d__x000a_        &amp;lt;CaseJudgeLastName&amp;gt;ברנט&amp;lt;/CaseJudgeLastName&amp;gt;_x000d__x000a_        &amp;lt;JudicalPersonID&amp;gt;055486252@GOV.IL&amp;lt;/JudicalPersonID&amp;gt;_x000d__x000a_        &amp;lt;IsJudicalPanel&amp;gt;false&amp;lt;/IsJudicalPanel&amp;gt;_x000d__x000a_        &amp;lt;CourtDisplayName&amp;gt;בית המשפט המחוזי מרכז-לוד&amp;lt;/CourtDisplayName&amp;gt;_x000d__x000a_        &amp;lt;IsAllStartDataCollected&amp;gt;true&amp;lt;/IsAllStartDataCollected&amp;gt;_x000d__x000a_        &amp;lt;IsMainCase&amp;gt;false&amp;lt;/IsMainCase&amp;gt;_x000d__x000a_        &amp;lt;CaseDesc&amp;gt;החלטה מיום 16/12 נשלחה לצדדים. אלה_x000d__x000a_זימון נשלח לשבס&amp;lt;/CaseDesc&amp;gt;_x000d__x000a_        &amp;lt;isExistMinorSide&amp;gt;false&amp;lt;/isExistMinorSide&amp;gt;_x000d__x000a_        &amp;lt;isExistMinorWitness&amp;gt;false&amp;lt;/isExistMinorWitness&amp;gt;_x000d__x000a_        &amp;lt;ArchivingActivityID&amp;gt;1&amp;lt;/ArchivingActivityID&amp;gt;_x000d__x000a_        &amp;lt;IsDecisionTypeZaveElyon&amp;gt;false&amp;lt;/IsDecisionTypeZaveElyon&amp;gt;_x000d__x000a_        &amp;lt;IsGuaranteeDeposit&amp;gt;true&amp;lt;/IsGuaranteeDeposit&amp;gt;_x000d__x000a_        &amp;lt;IsExistPrisoner&amp;gt;false&amp;lt;/IsExistPrisoner&amp;gt;_x000d__x000a_        &amp;lt;IsExistDetainee&amp;gt;true&amp;lt;/IsExistDetainee&amp;gt;_x000d__x000a_        &amp;lt;IsDebitExist&amp;gt;false&amp;lt;/IsDebitExist&amp;gt;_x000d__x000a_        &amp;lt;DebitExsitDate&amp;gt;2015-02-04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669564&amp;lt;/CaseID&amp;gt;_x000d__x000a_        &amp;lt;CaseMonth&amp;gt;2&amp;lt;/CaseMonth&amp;gt;_x000d__x000a_        &amp;lt;CaseYear&amp;gt;2014&amp;lt;/CaseYear&amp;gt;_x000d__x000a_        &amp;lt;CaseNumber&amp;gt;8718&amp;lt;/CaseNumber&amp;gt;_x000d__x000a_        &amp;lt;NumeratorGroupID&amp;gt;1&amp;lt;/NumeratorGroupID&amp;gt;_x000d__x000a_        &amp;lt;CaseName&amp;gt;מדינת ישראל נ&amp;#39; ריכטר(עציר)&amp;lt;/CaseName&amp;gt;_x000d__x000a_        &amp;lt;CourtID&amp;gt;896&amp;lt;/CourtID&amp;gt;_x000d__x000a_        &amp;lt;CaseTypeID&amp;gt;10048&amp;lt;/CaseTypeID&amp;gt;_x000d__x000a_        &amp;lt;CaseJudgeName&amp;gt;מיכל ברנט&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8718-02-14&amp;lt;/CaseDisplayIdentifier&amp;gt;_x000d__x000a_        &amp;lt;CaseTypeDesc&amp;gt;ת&amp;quot;פ&amp;lt;/CaseTypeDesc&amp;gt;_x000d__x000a_        &amp;lt;CourtDesc&amp;gt;המחוזי מרכז &amp;lt;/CourtDesc&amp;gt;_x000d__x000a_        &amp;lt;CaseStageDesc&amp;gt;תיק אלקטרוני&amp;lt;/CaseStageDesc&amp;gt;_x000d__x000a_        &amp;lt;CaseNextDeterminingTask&amp;gt;150&amp;lt;/CaseNextDeterminingTask&amp;gt;_x000d__x000a_        &amp;lt;CaseOpenDate&amp;gt;2014-02-05T09:13:00+02:00&amp;lt;/CaseOpenDate&amp;gt;_x000d__x000a_        &amp;lt;PleaTypeID&amp;gt;8&amp;lt;/PleaTypeID&amp;gt;_x000d__x000a_        &amp;lt;CourtLevelID&amp;gt;2&amp;lt;/CourtLevelID&amp;gt;_x000d__x000a_        &amp;lt;CaseJudgeFirstName&amp;gt;מיכל&amp;lt;/CaseJudgeFirstName&amp;gt;_x000d__x000a_        &amp;lt;CaseJudgeLastName&amp;gt;ברנט&amp;lt;/CaseJudgeLastName&amp;gt;_x000d__x000a_        &amp;lt;JudicalPersonID&amp;gt;055486252@GOV.IL&amp;lt;/JudicalPersonID&amp;gt;_x000d__x000a_        &amp;lt;IsJudicalPanel&amp;gt;false&amp;lt;/IsJudicalPanel&amp;gt;_x000d__x000a_        &amp;lt;CourtDisplayName&amp;gt;בית המשפט המחוזי מרכז-לוד&amp;lt;/CourtDisplayName&amp;gt;_x000d__x000a_        &amp;lt;IsAllStartDataCollected&amp;gt;true&amp;lt;/IsAllStartDataCollected&amp;gt;_x000d__x000a_        &amp;lt;IsMainCase&amp;gt;false&amp;lt;/IsMainCase&amp;gt;_x000d__x000a_        &amp;lt;CaseDesc&amp;gt;החלטה מיום 16/12 נשלחה לצדדים. אלה_x000d__x000a_זימון נשלח לשבס&amp;lt;/CaseDesc&amp;gt;_x000d__x000a_        &amp;lt;ArchivingActivityID&amp;gt;1&amp;lt;/ArchivingActivityID&amp;gt;_x000d__x000a_      &amp;lt;/CasePresentationDataSet&amp;gt;_x000d__x000a_    &amp;lt;/diffgr:before&amp;gt;_x000d__x000a_  &amp;lt;/diffgr:diffgram&amp;gt;_x000d__x000a_&amp;lt;/CasePresentationDS&amp;gt;"/>
    <w:docVar w:name="CourtID" w:val="89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3900593&amp;lt;/DecisionID&amp;gt;_x000d__x000a_        &amp;lt;DecisionName&amp;gt;החלטה  שניתנה ע&amp;quot;י  מיכל ברנט&amp;lt;/DecisionName&amp;gt;_x000d__x000a_        &amp;lt;DecisionStatusID&amp;gt;1&amp;lt;/DecisionStatusID&amp;gt;_x000d__x000a_        &amp;lt;DecisionStatusChangeDate&amp;gt;2015-02-01T12:58:49.197+02:00&amp;lt;/DecisionStatusChangeDate&amp;gt;_x000d__x000a_        &amp;lt;DecisionSignatureDate&amp;gt;2015-01-29T08:06:14.003+02:00&amp;lt;/DecisionSignatureDate&amp;gt;_x000d__x000a_        &amp;lt;DecisionSignatureUserID&amp;gt;055486252@GOV.IL&amp;lt;/DecisionSignatureUserID&amp;gt;_x000d__x000a_        &amp;lt;DecisionCreateDate&amp;gt;2015-01-29T08:10:52.13+02:00&amp;lt;/DecisionCreateDate&amp;gt;_x000d__x000a_        &amp;lt;DecisionChangeDate&amp;gt;2015-02-01T12:58:49.347+02:00&amp;lt;/DecisionChangeDate&amp;gt;_x000d__x000a_        &amp;lt;DecisionChangeUserID&amp;gt;055486252@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1&amp;lt;/DecisionTypeID&amp;gt;_x000d__x000a_        &amp;lt;IsOnlyOneParty&amp;gt;false&amp;lt;/IsOnlyOneParty&amp;gt;_x000d__x000a_        &amp;lt;IsCanceledDecision&amp;gt;false&amp;lt;/IsCanceledDecision&amp;gt;_x000d__x000a_        &amp;lt;DocumentID&amp;gt;195796148&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5486252@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5486252@GOV.IL&amp;lt;/DecisionCreationUserID&amp;gt;_x000d__x000a_        &amp;lt;DecisionDisplayName&amp;gt;החלטה  שניתנה ע&amp;quot;י  מיכל ברנט&amp;lt;/DecisionDisplayName&amp;gt;_x000d__x000a_        &amp;lt;IsScanned&amp;gt;false&amp;lt;/IsScanned&amp;gt;_x000d__x000a_        &amp;lt;DecisionSignatureUserName&amp;gt;מיכל ברנט&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3900593&amp;lt;/DecisionID&amp;gt;_x000d__x000a_        &amp;lt;CaseID&amp;gt;71669564&amp;lt;/CaseID&amp;gt;_x000d__x000a_        &amp;lt;IsOriginal&amp;gt;true&amp;lt;/IsOriginal&amp;gt;_x000d__x000a_        &amp;lt;IsDeleted&amp;gt;false&amp;lt;/IsDeleted&amp;gt;_x000d__x000a_        &amp;lt;CaseName&amp;gt;מדינת ישראל נ&amp;#39; ריכטר(עציר)&amp;lt;/CaseName&amp;gt;_x000d__x000a_        &amp;lt;CaseDisplayIdentifier&amp;gt;8718-02-14 ת&amp;quot;פ&amp;lt;/CaseDisplayIdentifier&amp;gt;_x000d__x000a_      &amp;lt;/dt_DecisionCase&amp;gt;_x000d__x000a_    &amp;lt;/DecisionDS&amp;gt;_x000d__x000a_  &amp;lt;/diffgr:diffgram&amp;gt;_x000d__x000a_&amp;lt;/DecisionDS&amp;gt;"/>
    <w:docVar w:name="DecisionID" w:val="93900593"/>
    <w:docVar w:name="MyInfo" w:val="This document was extracted from Nevo's site"/>
    <w:docVar w:name="WordClientAssemblyName" w:val="NGCS.Decision.ClientWordBL"/>
    <w:docVar w:name="WordClientClassName" w:val="NGCS.Decision.ClientWordBL.DecisionClient"/>
  </w:docVars>
  <w:rsids>
    <w:rsidRoot w:val="00694556"/>
    <w:rsid w:val="00000062"/>
    <w:rsid w:val="0000226B"/>
    <w:rsid w:val="00005C8B"/>
    <w:rsid w:val="000170EC"/>
    <w:rsid w:val="00017387"/>
    <w:rsid w:val="00055E3F"/>
    <w:rsid w:val="000564AB"/>
    <w:rsid w:val="00064FBD"/>
    <w:rsid w:val="00082AB2"/>
    <w:rsid w:val="000906FE"/>
    <w:rsid w:val="00096AF7"/>
    <w:rsid w:val="000976C5"/>
    <w:rsid w:val="000A4C43"/>
    <w:rsid w:val="000B344B"/>
    <w:rsid w:val="000B6D8E"/>
    <w:rsid w:val="000C3B0F"/>
    <w:rsid w:val="000C3B60"/>
    <w:rsid w:val="000D2954"/>
    <w:rsid w:val="000E0DD2"/>
    <w:rsid w:val="000E3AF1"/>
    <w:rsid w:val="000F0BC8"/>
    <w:rsid w:val="000F0DD6"/>
    <w:rsid w:val="00107E6D"/>
    <w:rsid w:val="0011194C"/>
    <w:rsid w:val="0011424C"/>
    <w:rsid w:val="001207CA"/>
    <w:rsid w:val="00135B7B"/>
    <w:rsid w:val="001363CC"/>
    <w:rsid w:val="001367BC"/>
    <w:rsid w:val="00137059"/>
    <w:rsid w:val="00142849"/>
    <w:rsid w:val="001434D7"/>
    <w:rsid w:val="00144D2A"/>
    <w:rsid w:val="0014653E"/>
    <w:rsid w:val="00180519"/>
    <w:rsid w:val="00187F9B"/>
    <w:rsid w:val="001917DB"/>
    <w:rsid w:val="00191C82"/>
    <w:rsid w:val="001C4003"/>
    <w:rsid w:val="001D4DBF"/>
    <w:rsid w:val="001E6518"/>
    <w:rsid w:val="001E69BE"/>
    <w:rsid w:val="001E75CA"/>
    <w:rsid w:val="00207067"/>
    <w:rsid w:val="0022434D"/>
    <w:rsid w:val="002265FF"/>
    <w:rsid w:val="002315B1"/>
    <w:rsid w:val="00236A3C"/>
    <w:rsid w:val="00247D7E"/>
    <w:rsid w:val="002535BC"/>
    <w:rsid w:val="00271B56"/>
    <w:rsid w:val="00271F26"/>
    <w:rsid w:val="002A132A"/>
    <w:rsid w:val="002B4F14"/>
    <w:rsid w:val="002C344E"/>
    <w:rsid w:val="002D120A"/>
    <w:rsid w:val="002E2F23"/>
    <w:rsid w:val="002E37C4"/>
    <w:rsid w:val="002E5A7F"/>
    <w:rsid w:val="002E75E9"/>
    <w:rsid w:val="002F18AB"/>
    <w:rsid w:val="00307A6A"/>
    <w:rsid w:val="00307C40"/>
    <w:rsid w:val="003144F4"/>
    <w:rsid w:val="00320433"/>
    <w:rsid w:val="003230C7"/>
    <w:rsid w:val="00327E50"/>
    <w:rsid w:val="0033597A"/>
    <w:rsid w:val="00342111"/>
    <w:rsid w:val="00345DF9"/>
    <w:rsid w:val="00350AB4"/>
    <w:rsid w:val="00362612"/>
    <w:rsid w:val="0036743F"/>
    <w:rsid w:val="003715DD"/>
    <w:rsid w:val="003736CE"/>
    <w:rsid w:val="00377672"/>
    <w:rsid w:val="0038216E"/>
    <w:rsid w:val="003823E0"/>
    <w:rsid w:val="003A4521"/>
    <w:rsid w:val="003D1C8C"/>
    <w:rsid w:val="003D5499"/>
    <w:rsid w:val="003E4E71"/>
    <w:rsid w:val="003E5928"/>
    <w:rsid w:val="003F1441"/>
    <w:rsid w:val="003F3A47"/>
    <w:rsid w:val="0040096C"/>
    <w:rsid w:val="0040315E"/>
    <w:rsid w:val="00413B62"/>
    <w:rsid w:val="00414F1F"/>
    <w:rsid w:val="00427342"/>
    <w:rsid w:val="0043125D"/>
    <w:rsid w:val="0043502B"/>
    <w:rsid w:val="004443AC"/>
    <w:rsid w:val="004443D6"/>
    <w:rsid w:val="00447563"/>
    <w:rsid w:val="00451E28"/>
    <w:rsid w:val="00452A51"/>
    <w:rsid w:val="00462C62"/>
    <w:rsid w:val="00463806"/>
    <w:rsid w:val="00465D36"/>
    <w:rsid w:val="0046600E"/>
    <w:rsid w:val="00481462"/>
    <w:rsid w:val="004903C3"/>
    <w:rsid w:val="0049519B"/>
    <w:rsid w:val="004979D6"/>
    <w:rsid w:val="004A2E8E"/>
    <w:rsid w:val="004B1225"/>
    <w:rsid w:val="004B3D43"/>
    <w:rsid w:val="004C4BDF"/>
    <w:rsid w:val="004D01D9"/>
    <w:rsid w:val="004D1187"/>
    <w:rsid w:val="004E16BD"/>
    <w:rsid w:val="004E1987"/>
    <w:rsid w:val="004E2E15"/>
    <w:rsid w:val="004E6E3C"/>
    <w:rsid w:val="004F1D27"/>
    <w:rsid w:val="004F64DD"/>
    <w:rsid w:val="00500BE4"/>
    <w:rsid w:val="00520798"/>
    <w:rsid w:val="00520898"/>
    <w:rsid w:val="00523621"/>
    <w:rsid w:val="00524986"/>
    <w:rsid w:val="005268F6"/>
    <w:rsid w:val="00547DB7"/>
    <w:rsid w:val="00557C3E"/>
    <w:rsid w:val="005A4CE2"/>
    <w:rsid w:val="005A5638"/>
    <w:rsid w:val="005C1207"/>
    <w:rsid w:val="005F4F09"/>
    <w:rsid w:val="0061431B"/>
    <w:rsid w:val="00615304"/>
    <w:rsid w:val="00622BAA"/>
    <w:rsid w:val="006306CF"/>
    <w:rsid w:val="00644E9A"/>
    <w:rsid w:val="00655191"/>
    <w:rsid w:val="0066063E"/>
    <w:rsid w:val="00671BD5"/>
    <w:rsid w:val="0067337D"/>
    <w:rsid w:val="006805C1"/>
    <w:rsid w:val="006835B3"/>
    <w:rsid w:val="00685253"/>
    <w:rsid w:val="00686C21"/>
    <w:rsid w:val="006905F4"/>
    <w:rsid w:val="006923CA"/>
    <w:rsid w:val="006931C1"/>
    <w:rsid w:val="00694556"/>
    <w:rsid w:val="006C30C5"/>
    <w:rsid w:val="006D3B31"/>
    <w:rsid w:val="006E0D96"/>
    <w:rsid w:val="006E1A53"/>
    <w:rsid w:val="006E55B4"/>
    <w:rsid w:val="006F578E"/>
    <w:rsid w:val="0070298F"/>
    <w:rsid w:val="00704EDA"/>
    <w:rsid w:val="007103E4"/>
    <w:rsid w:val="00716065"/>
    <w:rsid w:val="00721122"/>
    <w:rsid w:val="00753019"/>
    <w:rsid w:val="007531FE"/>
    <w:rsid w:val="00754801"/>
    <w:rsid w:val="00760F7A"/>
    <w:rsid w:val="00785E03"/>
    <w:rsid w:val="00792BBC"/>
    <w:rsid w:val="00795365"/>
    <w:rsid w:val="007A351D"/>
    <w:rsid w:val="007B7765"/>
    <w:rsid w:val="007C1842"/>
    <w:rsid w:val="007C1ADA"/>
    <w:rsid w:val="007D1825"/>
    <w:rsid w:val="007D45E3"/>
    <w:rsid w:val="007D73BB"/>
    <w:rsid w:val="007E2C93"/>
    <w:rsid w:val="007E3CF0"/>
    <w:rsid w:val="007E56B6"/>
    <w:rsid w:val="007E6115"/>
    <w:rsid w:val="007F4609"/>
    <w:rsid w:val="007F5F40"/>
    <w:rsid w:val="00801690"/>
    <w:rsid w:val="00811299"/>
    <w:rsid w:val="008176A1"/>
    <w:rsid w:val="00820005"/>
    <w:rsid w:val="008326B0"/>
    <w:rsid w:val="00844318"/>
    <w:rsid w:val="00856635"/>
    <w:rsid w:val="00861D63"/>
    <w:rsid w:val="008621C7"/>
    <w:rsid w:val="00870890"/>
    <w:rsid w:val="00873602"/>
    <w:rsid w:val="00875287"/>
    <w:rsid w:val="00875D12"/>
    <w:rsid w:val="0088479D"/>
    <w:rsid w:val="0089268D"/>
    <w:rsid w:val="00896889"/>
    <w:rsid w:val="008A4951"/>
    <w:rsid w:val="008A55EA"/>
    <w:rsid w:val="008C322F"/>
    <w:rsid w:val="008C5714"/>
    <w:rsid w:val="008C6712"/>
    <w:rsid w:val="008D10B2"/>
    <w:rsid w:val="008D524E"/>
    <w:rsid w:val="008E4EE3"/>
    <w:rsid w:val="008F242E"/>
    <w:rsid w:val="00903896"/>
    <w:rsid w:val="00906F3D"/>
    <w:rsid w:val="009103C0"/>
    <w:rsid w:val="009139E0"/>
    <w:rsid w:val="009206E4"/>
    <w:rsid w:val="00933E86"/>
    <w:rsid w:val="009343B5"/>
    <w:rsid w:val="0094424E"/>
    <w:rsid w:val="00944E9A"/>
    <w:rsid w:val="009622DF"/>
    <w:rsid w:val="0096376E"/>
    <w:rsid w:val="00967DFF"/>
    <w:rsid w:val="009720F0"/>
    <w:rsid w:val="009905E7"/>
    <w:rsid w:val="00992709"/>
    <w:rsid w:val="00994341"/>
    <w:rsid w:val="009A1683"/>
    <w:rsid w:val="009C00FC"/>
    <w:rsid w:val="009C0B2B"/>
    <w:rsid w:val="009D1A48"/>
    <w:rsid w:val="009E0760"/>
    <w:rsid w:val="009E1CE7"/>
    <w:rsid w:val="009E4659"/>
    <w:rsid w:val="009E5300"/>
    <w:rsid w:val="009F164B"/>
    <w:rsid w:val="009F323C"/>
    <w:rsid w:val="00A0122E"/>
    <w:rsid w:val="00A17AEC"/>
    <w:rsid w:val="00A2031F"/>
    <w:rsid w:val="00A208BE"/>
    <w:rsid w:val="00A21D20"/>
    <w:rsid w:val="00A3392B"/>
    <w:rsid w:val="00A94B64"/>
    <w:rsid w:val="00A94BBD"/>
    <w:rsid w:val="00AA26E7"/>
    <w:rsid w:val="00AA3229"/>
    <w:rsid w:val="00AA7596"/>
    <w:rsid w:val="00AB3CCF"/>
    <w:rsid w:val="00AB5E52"/>
    <w:rsid w:val="00AC32C1"/>
    <w:rsid w:val="00AC3B02"/>
    <w:rsid w:val="00AC3B7B"/>
    <w:rsid w:val="00AC4B3E"/>
    <w:rsid w:val="00AC5209"/>
    <w:rsid w:val="00AE7752"/>
    <w:rsid w:val="00AF62F2"/>
    <w:rsid w:val="00AF7FDA"/>
    <w:rsid w:val="00B00A31"/>
    <w:rsid w:val="00B124E7"/>
    <w:rsid w:val="00B30FAE"/>
    <w:rsid w:val="00B5220E"/>
    <w:rsid w:val="00B6428F"/>
    <w:rsid w:val="00B649C7"/>
    <w:rsid w:val="00B7445D"/>
    <w:rsid w:val="00B761E9"/>
    <w:rsid w:val="00B809AD"/>
    <w:rsid w:val="00B80CBD"/>
    <w:rsid w:val="00B86096"/>
    <w:rsid w:val="00BA0A7C"/>
    <w:rsid w:val="00BA517C"/>
    <w:rsid w:val="00BB3D05"/>
    <w:rsid w:val="00BB73BE"/>
    <w:rsid w:val="00BC2D89"/>
    <w:rsid w:val="00BD6531"/>
    <w:rsid w:val="00BE05B2"/>
    <w:rsid w:val="00BF0534"/>
    <w:rsid w:val="00BF1908"/>
    <w:rsid w:val="00BF4A4C"/>
    <w:rsid w:val="00BF5318"/>
    <w:rsid w:val="00C12629"/>
    <w:rsid w:val="00C229A2"/>
    <w:rsid w:val="00C22D93"/>
    <w:rsid w:val="00C30B33"/>
    <w:rsid w:val="00C31120"/>
    <w:rsid w:val="00C34482"/>
    <w:rsid w:val="00C42B8E"/>
    <w:rsid w:val="00C43648"/>
    <w:rsid w:val="00C50A9F"/>
    <w:rsid w:val="00C642FA"/>
    <w:rsid w:val="00C84A71"/>
    <w:rsid w:val="00CA7BCF"/>
    <w:rsid w:val="00CB15B5"/>
    <w:rsid w:val="00CC411E"/>
    <w:rsid w:val="00CC7622"/>
    <w:rsid w:val="00CD75B5"/>
    <w:rsid w:val="00D05D9A"/>
    <w:rsid w:val="00D12207"/>
    <w:rsid w:val="00D2621C"/>
    <w:rsid w:val="00D27982"/>
    <w:rsid w:val="00D33B86"/>
    <w:rsid w:val="00D36E63"/>
    <w:rsid w:val="00D53924"/>
    <w:rsid w:val="00D55D0C"/>
    <w:rsid w:val="00D6097B"/>
    <w:rsid w:val="00D8694F"/>
    <w:rsid w:val="00D87E78"/>
    <w:rsid w:val="00D96D8C"/>
    <w:rsid w:val="00DA0708"/>
    <w:rsid w:val="00DA6649"/>
    <w:rsid w:val="00DB4AC6"/>
    <w:rsid w:val="00DC1259"/>
    <w:rsid w:val="00DC1BD2"/>
    <w:rsid w:val="00DC2571"/>
    <w:rsid w:val="00DC487C"/>
    <w:rsid w:val="00DE6BF6"/>
    <w:rsid w:val="00E00CEA"/>
    <w:rsid w:val="00E1068A"/>
    <w:rsid w:val="00E155EE"/>
    <w:rsid w:val="00E2203D"/>
    <w:rsid w:val="00E23A51"/>
    <w:rsid w:val="00E25884"/>
    <w:rsid w:val="00E31C2B"/>
    <w:rsid w:val="00E405CD"/>
    <w:rsid w:val="00E5426A"/>
    <w:rsid w:val="00E54642"/>
    <w:rsid w:val="00E5658A"/>
    <w:rsid w:val="00E6187C"/>
    <w:rsid w:val="00E6215E"/>
    <w:rsid w:val="00E737CB"/>
    <w:rsid w:val="00E74B62"/>
    <w:rsid w:val="00E962E3"/>
    <w:rsid w:val="00EB6C79"/>
    <w:rsid w:val="00EC333B"/>
    <w:rsid w:val="00EC37E9"/>
    <w:rsid w:val="00EC4225"/>
    <w:rsid w:val="00ED14C2"/>
    <w:rsid w:val="00F06995"/>
    <w:rsid w:val="00F06FB6"/>
    <w:rsid w:val="00F13623"/>
    <w:rsid w:val="00F207DA"/>
    <w:rsid w:val="00F31A92"/>
    <w:rsid w:val="00F45A2B"/>
    <w:rsid w:val="00F56D55"/>
    <w:rsid w:val="00F603F5"/>
    <w:rsid w:val="00F77FCE"/>
    <w:rsid w:val="00F84B6D"/>
    <w:rsid w:val="00FA5FDA"/>
    <w:rsid w:val="00FC1C15"/>
    <w:rsid w:val="00FD1419"/>
    <w:rsid w:val="00FD79E4"/>
    <w:rsid w:val="00FE068A"/>
    <w:rsid w:val="00FE2894"/>
    <w:rsid w:val="00FF2B0C"/>
    <w:rsid w:val="00FF33FC"/>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1093700"/>
  <w15:chartTrackingRefBased/>
  <w15:docId w15:val="{92A55698-CB99-4B1A-8495-211EAEB7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uiPriority w:val="99"/>
    <w:semiHidden/>
    <w:rsid w:val="003230C7"/>
    <w:rPr>
      <w:color w:val="808080"/>
    </w:rPr>
  </w:style>
  <w:style w:type="paragraph" w:styleId="ad">
    <w:name w:val="List Paragraph"/>
    <w:basedOn w:val="a"/>
    <w:uiPriority w:val="34"/>
    <w:qFormat/>
    <w:rsid w:val="00ED14C2"/>
    <w:pPr>
      <w:spacing w:after="200" w:line="276" w:lineRule="auto"/>
      <w:ind w:left="720"/>
      <w:contextualSpacing/>
    </w:pPr>
    <w:rPr>
      <w:rFonts w:ascii="Calibri" w:hAnsi="Calibri" w:cs="Arial"/>
      <w:noProof w:val="0"/>
      <w:sz w:val="22"/>
      <w:szCs w:val="22"/>
    </w:rPr>
  </w:style>
  <w:style w:type="character" w:styleId="Hyperlink">
    <w:name w:val="Hyperlink"/>
    <w:basedOn w:val="a0"/>
    <w:rsid w:val="00F06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f" TargetMode="External"/><Relationship Id="rId18" Type="http://schemas.openxmlformats.org/officeDocument/2006/relationships/hyperlink" Target="http://www.nevo.co.il/law/70301/499.a" TargetMode="External"/><Relationship Id="rId26" Type="http://schemas.openxmlformats.org/officeDocument/2006/relationships/hyperlink" Target="http://www.nevo.co.il/law/70301/287.a" TargetMode="External"/><Relationship Id="rId39" Type="http://schemas.openxmlformats.org/officeDocument/2006/relationships/hyperlink" Target="http://www.nevo.co.il/law/70301/40c" TargetMode="External"/><Relationship Id="rId21" Type="http://schemas.openxmlformats.org/officeDocument/2006/relationships/hyperlink" Target="http://www.nevo.co.il/law/70301/448.a" TargetMode="External"/><Relationship Id="rId34" Type="http://schemas.openxmlformats.org/officeDocument/2006/relationships/hyperlink" Target="http://www.nevo.co.il/law/70301/40g" TargetMode="External"/><Relationship Id="rId42" Type="http://schemas.openxmlformats.org/officeDocument/2006/relationships/hyperlink" Target="http://www.nevo.co.il/law/70301/499.a" TargetMode="External"/><Relationship Id="rId47" Type="http://schemas.openxmlformats.org/officeDocument/2006/relationships/hyperlink" Target="http://www.nevo.co.il/case/56961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448.a" TargetMode="External"/><Relationship Id="rId29" Type="http://schemas.openxmlformats.org/officeDocument/2006/relationships/hyperlink" Target="http://www.nevo.co.il/case/5601467"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5673419" TargetMode="External"/><Relationship Id="rId37" Type="http://schemas.openxmlformats.org/officeDocument/2006/relationships/hyperlink" Target="http://www.nevo.co.il/case/5564595"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750760"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nevo.co.il/law/70301/40c" TargetMode="External"/><Relationship Id="rId19" Type="http://schemas.openxmlformats.org/officeDocument/2006/relationships/hyperlink" Target="http://www.nevo.co.il/law/70301/144f" TargetMode="External"/><Relationship Id="rId31" Type="http://schemas.openxmlformats.org/officeDocument/2006/relationships/hyperlink" Target="http://www.nevo.co.il/case/7849278" TargetMode="External"/><Relationship Id="rId44" Type="http://schemas.openxmlformats.org/officeDocument/2006/relationships/hyperlink" Target="http://www.nevo.co.il/case/6859579"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29" TargetMode="External"/><Relationship Id="rId14" Type="http://schemas.openxmlformats.org/officeDocument/2006/relationships/hyperlink" Target="http://www.nevo.co.il/law/70301/196"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7001384" TargetMode="External"/><Relationship Id="rId30" Type="http://schemas.openxmlformats.org/officeDocument/2006/relationships/hyperlink" Target="http://www.nevo.co.il/case/8266786"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130237" TargetMode="External"/><Relationship Id="rId48" Type="http://schemas.openxmlformats.org/officeDocument/2006/relationships/hyperlink" Target="http://www.nevo.co.il/case/17016454" TargetMode="External"/><Relationship Id="rId8" Type="http://schemas.openxmlformats.org/officeDocument/2006/relationships/hyperlink" Target="http://www.nevo.co.il/law/70301"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nevo.co.il/law/70301/40g" TargetMode="External"/><Relationship Id="rId17" Type="http://schemas.openxmlformats.org/officeDocument/2006/relationships/hyperlink" Target="http://www.nevo.co.il/law/70301/499.a" TargetMode="External"/><Relationship Id="rId25" Type="http://schemas.openxmlformats.org/officeDocument/2006/relationships/hyperlink" Target="http://www.nevo.co.il/law/70301/144f" TargetMode="External"/><Relationship Id="rId33" Type="http://schemas.openxmlformats.org/officeDocument/2006/relationships/hyperlink" Target="http://www.nevo.co.il/law/70301/40f" TargetMode="External"/><Relationship Id="rId38" Type="http://schemas.openxmlformats.org/officeDocument/2006/relationships/hyperlink" Target="http://www.nevo.co.il/case/6101844" TargetMode="External"/><Relationship Id="rId46" Type="http://schemas.openxmlformats.org/officeDocument/2006/relationships/hyperlink" Target="http://www.nevo.co.il/case/6239953"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144f" TargetMode="External"/><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287.a" TargetMode="External"/><Relationship Id="rId23" Type="http://schemas.openxmlformats.org/officeDocument/2006/relationships/hyperlink" Target="http://www.nevo.co.il/law/70301/196" TargetMode="External"/><Relationship Id="rId28" Type="http://schemas.openxmlformats.org/officeDocument/2006/relationships/hyperlink" Target="http://www.nevo.co.il/law/70301/144f" TargetMode="External"/><Relationship Id="rId36" Type="http://schemas.openxmlformats.org/officeDocument/2006/relationships/hyperlink" Target="http://www.nevo.co.il/case/33543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3190</Words>
  <Characters>15952</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19104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3276918</vt:i4>
      </vt:variant>
      <vt:variant>
        <vt:i4>120</vt:i4>
      </vt:variant>
      <vt:variant>
        <vt:i4>0</vt:i4>
      </vt:variant>
      <vt:variant>
        <vt:i4>5</vt:i4>
      </vt:variant>
      <vt:variant>
        <vt:lpwstr>http://www.nevo.co.il/case/17016454</vt:lpwstr>
      </vt:variant>
      <vt:variant>
        <vt:lpwstr/>
      </vt:variant>
      <vt:variant>
        <vt:i4>3932276</vt:i4>
      </vt:variant>
      <vt:variant>
        <vt:i4>117</vt:i4>
      </vt:variant>
      <vt:variant>
        <vt:i4>0</vt:i4>
      </vt:variant>
      <vt:variant>
        <vt:i4>5</vt:i4>
      </vt:variant>
      <vt:variant>
        <vt:lpwstr>http://www.nevo.co.il/case/5696101</vt:lpwstr>
      </vt:variant>
      <vt:variant>
        <vt:lpwstr/>
      </vt:variant>
      <vt:variant>
        <vt:i4>4128890</vt:i4>
      </vt:variant>
      <vt:variant>
        <vt:i4>114</vt:i4>
      </vt:variant>
      <vt:variant>
        <vt:i4>0</vt:i4>
      </vt:variant>
      <vt:variant>
        <vt:i4>5</vt:i4>
      </vt:variant>
      <vt:variant>
        <vt:lpwstr>http://www.nevo.co.il/case/6239953</vt:lpwstr>
      </vt:variant>
      <vt:variant>
        <vt:lpwstr/>
      </vt:variant>
      <vt:variant>
        <vt:i4>3604597</vt:i4>
      </vt:variant>
      <vt:variant>
        <vt:i4>111</vt:i4>
      </vt:variant>
      <vt:variant>
        <vt:i4>0</vt:i4>
      </vt:variant>
      <vt:variant>
        <vt:i4>5</vt:i4>
      </vt:variant>
      <vt:variant>
        <vt:lpwstr>http://www.nevo.co.il/case/5750760</vt:lpwstr>
      </vt:variant>
      <vt:variant>
        <vt:lpwstr/>
      </vt:variant>
      <vt:variant>
        <vt:i4>4128882</vt:i4>
      </vt:variant>
      <vt:variant>
        <vt:i4>108</vt:i4>
      </vt:variant>
      <vt:variant>
        <vt:i4>0</vt:i4>
      </vt:variant>
      <vt:variant>
        <vt:i4>5</vt:i4>
      </vt:variant>
      <vt:variant>
        <vt:lpwstr>http://www.nevo.co.il/case/6859579</vt:lpwstr>
      </vt:variant>
      <vt:variant>
        <vt:lpwstr/>
      </vt:variant>
      <vt:variant>
        <vt:i4>3145846</vt:i4>
      </vt:variant>
      <vt:variant>
        <vt:i4>105</vt:i4>
      </vt:variant>
      <vt:variant>
        <vt:i4>0</vt:i4>
      </vt:variant>
      <vt:variant>
        <vt:i4>5</vt:i4>
      </vt:variant>
      <vt:variant>
        <vt:lpwstr>http://www.nevo.co.il/case/6130237</vt:lpwstr>
      </vt:variant>
      <vt:variant>
        <vt:lpwstr/>
      </vt:variant>
      <vt:variant>
        <vt:i4>4325464</vt:i4>
      </vt:variant>
      <vt:variant>
        <vt:i4>102</vt:i4>
      </vt:variant>
      <vt:variant>
        <vt:i4>0</vt:i4>
      </vt:variant>
      <vt:variant>
        <vt:i4>5</vt:i4>
      </vt:variant>
      <vt:variant>
        <vt:lpwstr>http://www.nevo.co.il/law/70301/499.a</vt:lpwstr>
      </vt:variant>
      <vt:variant>
        <vt:lpwstr/>
      </vt:variant>
      <vt:variant>
        <vt:i4>458832</vt:i4>
      </vt:variant>
      <vt:variant>
        <vt:i4>99</vt:i4>
      </vt:variant>
      <vt:variant>
        <vt:i4>0</vt:i4>
      </vt:variant>
      <vt:variant>
        <vt:i4>5</vt:i4>
      </vt:variant>
      <vt:variant>
        <vt:lpwstr>http://www.nevo.co.il/law/70301/144f</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http://www.nevo.co.il/law/70301/40c</vt:lpwstr>
      </vt:variant>
      <vt:variant>
        <vt:lpwstr/>
      </vt:variant>
      <vt:variant>
        <vt:i4>3801200</vt:i4>
      </vt:variant>
      <vt:variant>
        <vt:i4>90</vt:i4>
      </vt:variant>
      <vt:variant>
        <vt:i4>0</vt:i4>
      </vt:variant>
      <vt:variant>
        <vt:i4>5</vt:i4>
      </vt:variant>
      <vt:variant>
        <vt:lpwstr>http://www.nevo.co.il/case/6101844</vt:lpwstr>
      </vt:variant>
      <vt:variant>
        <vt:lpwstr/>
      </vt:variant>
      <vt:variant>
        <vt:i4>3342460</vt:i4>
      </vt:variant>
      <vt:variant>
        <vt:i4>87</vt:i4>
      </vt:variant>
      <vt:variant>
        <vt:i4>0</vt:i4>
      </vt:variant>
      <vt:variant>
        <vt:i4>5</vt:i4>
      </vt:variant>
      <vt:variant>
        <vt:lpwstr>http://www.nevo.co.il/case/5564595</vt:lpwstr>
      </vt:variant>
      <vt:variant>
        <vt:lpwstr/>
      </vt:variant>
      <vt:variant>
        <vt:i4>327747</vt:i4>
      </vt:variant>
      <vt:variant>
        <vt:i4>84</vt:i4>
      </vt:variant>
      <vt:variant>
        <vt:i4>0</vt:i4>
      </vt:variant>
      <vt:variant>
        <vt:i4>5</vt:i4>
      </vt:variant>
      <vt:variant>
        <vt:lpwstr>http://www.nevo.co.il/case/335431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http://www.nevo.co.il/law/70301/40g</vt:lpwstr>
      </vt:variant>
      <vt:variant>
        <vt:lpwstr/>
      </vt:variant>
      <vt:variant>
        <vt:i4>6619233</vt:i4>
      </vt:variant>
      <vt:variant>
        <vt:i4>75</vt:i4>
      </vt:variant>
      <vt:variant>
        <vt:i4>0</vt:i4>
      </vt:variant>
      <vt:variant>
        <vt:i4>5</vt:i4>
      </vt:variant>
      <vt:variant>
        <vt:lpwstr>http://www.nevo.co.il/law/70301/40f</vt:lpwstr>
      </vt:variant>
      <vt:variant>
        <vt:lpwstr/>
      </vt:variant>
      <vt:variant>
        <vt:i4>4128880</vt:i4>
      </vt:variant>
      <vt:variant>
        <vt:i4>72</vt:i4>
      </vt:variant>
      <vt:variant>
        <vt:i4>0</vt:i4>
      </vt:variant>
      <vt:variant>
        <vt:i4>5</vt:i4>
      </vt:variant>
      <vt:variant>
        <vt:lpwstr>http://www.nevo.co.il/case/5673419</vt:lpwstr>
      </vt:variant>
      <vt:variant>
        <vt:lpwstr/>
      </vt:variant>
      <vt:variant>
        <vt:i4>3735666</vt:i4>
      </vt:variant>
      <vt:variant>
        <vt:i4>69</vt:i4>
      </vt:variant>
      <vt:variant>
        <vt:i4>0</vt:i4>
      </vt:variant>
      <vt:variant>
        <vt:i4>5</vt:i4>
      </vt:variant>
      <vt:variant>
        <vt:lpwstr>http://www.nevo.co.il/case/7849278</vt:lpwstr>
      </vt:variant>
      <vt:variant>
        <vt:lpwstr/>
      </vt:variant>
      <vt:variant>
        <vt:i4>4128888</vt:i4>
      </vt:variant>
      <vt:variant>
        <vt:i4>66</vt:i4>
      </vt:variant>
      <vt:variant>
        <vt:i4>0</vt:i4>
      </vt:variant>
      <vt:variant>
        <vt:i4>5</vt:i4>
      </vt:variant>
      <vt:variant>
        <vt:lpwstr>http://www.nevo.co.il/case/8266786</vt:lpwstr>
      </vt:variant>
      <vt:variant>
        <vt:lpwstr/>
      </vt:variant>
      <vt:variant>
        <vt:i4>3539061</vt:i4>
      </vt:variant>
      <vt:variant>
        <vt:i4>63</vt:i4>
      </vt:variant>
      <vt:variant>
        <vt:i4>0</vt:i4>
      </vt:variant>
      <vt:variant>
        <vt:i4>5</vt:i4>
      </vt:variant>
      <vt:variant>
        <vt:lpwstr>http://www.nevo.co.il/case/5601467</vt:lpwstr>
      </vt:variant>
      <vt:variant>
        <vt:lpwstr/>
      </vt:variant>
      <vt:variant>
        <vt:i4>458832</vt:i4>
      </vt:variant>
      <vt:variant>
        <vt:i4>60</vt:i4>
      </vt:variant>
      <vt:variant>
        <vt:i4>0</vt:i4>
      </vt:variant>
      <vt:variant>
        <vt:i4>5</vt:i4>
      </vt:variant>
      <vt:variant>
        <vt:lpwstr>http://www.nevo.co.il/law/70301/144f</vt:lpwstr>
      </vt:variant>
      <vt:variant>
        <vt:lpwstr/>
      </vt:variant>
      <vt:variant>
        <vt:i4>3145853</vt:i4>
      </vt:variant>
      <vt:variant>
        <vt:i4>57</vt:i4>
      </vt:variant>
      <vt:variant>
        <vt:i4>0</vt:i4>
      </vt:variant>
      <vt:variant>
        <vt:i4>5</vt:i4>
      </vt:variant>
      <vt:variant>
        <vt:lpwstr>http://www.nevo.co.il/case/7001384</vt:lpwstr>
      </vt:variant>
      <vt:variant>
        <vt:lpwstr/>
      </vt:variant>
      <vt:variant>
        <vt:i4>4390992</vt:i4>
      </vt:variant>
      <vt:variant>
        <vt:i4>54</vt:i4>
      </vt:variant>
      <vt:variant>
        <vt:i4>0</vt:i4>
      </vt:variant>
      <vt:variant>
        <vt:i4>5</vt:i4>
      </vt:variant>
      <vt:variant>
        <vt:lpwstr>http://www.nevo.co.il/law/70301/287.a</vt:lpwstr>
      </vt:variant>
      <vt:variant>
        <vt:lpwstr/>
      </vt:variant>
      <vt:variant>
        <vt:i4>458832</vt:i4>
      </vt:variant>
      <vt:variant>
        <vt:i4>51</vt:i4>
      </vt:variant>
      <vt:variant>
        <vt:i4>0</vt:i4>
      </vt:variant>
      <vt:variant>
        <vt:i4>5</vt:i4>
      </vt:variant>
      <vt:variant>
        <vt:lpwstr>http://www.nevo.co.il/law/70301/144f</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7077988</vt:i4>
      </vt:variant>
      <vt:variant>
        <vt:i4>45</vt:i4>
      </vt:variant>
      <vt:variant>
        <vt:i4>0</vt:i4>
      </vt:variant>
      <vt:variant>
        <vt:i4>5</vt:i4>
      </vt:variant>
      <vt:variant>
        <vt:lpwstr>http://www.nevo.co.il/law/70301/196</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7995492</vt:i4>
      </vt:variant>
      <vt:variant>
        <vt:i4>36</vt:i4>
      </vt:variant>
      <vt:variant>
        <vt:i4>0</vt:i4>
      </vt:variant>
      <vt:variant>
        <vt:i4>5</vt:i4>
      </vt:variant>
      <vt:variant>
        <vt:lpwstr>http://www.nevo.co.il/law/70301</vt:lpwstr>
      </vt:variant>
      <vt:variant>
        <vt:lpwstr/>
      </vt:variant>
      <vt:variant>
        <vt:i4>458832</vt:i4>
      </vt:variant>
      <vt:variant>
        <vt:i4>33</vt:i4>
      </vt:variant>
      <vt:variant>
        <vt:i4>0</vt:i4>
      </vt:variant>
      <vt:variant>
        <vt:i4>5</vt:i4>
      </vt:variant>
      <vt:variant>
        <vt:lpwstr>http://www.nevo.co.il/law/70301/144f</vt:lpwstr>
      </vt:variant>
      <vt:variant>
        <vt:lpwstr/>
      </vt:variant>
      <vt:variant>
        <vt:i4>4325464</vt:i4>
      </vt:variant>
      <vt:variant>
        <vt:i4>30</vt:i4>
      </vt:variant>
      <vt:variant>
        <vt:i4>0</vt:i4>
      </vt:variant>
      <vt:variant>
        <vt:i4>5</vt:i4>
      </vt:variant>
      <vt:variant>
        <vt:lpwstr>http://www.nevo.co.il/law/70301/499.a</vt:lpwstr>
      </vt:variant>
      <vt:variant>
        <vt:lpwstr/>
      </vt:variant>
      <vt:variant>
        <vt:i4>4325464</vt:i4>
      </vt:variant>
      <vt:variant>
        <vt:i4>27</vt:i4>
      </vt:variant>
      <vt:variant>
        <vt:i4>0</vt:i4>
      </vt:variant>
      <vt:variant>
        <vt:i4>5</vt:i4>
      </vt:variant>
      <vt:variant>
        <vt:lpwstr>http://www.nevo.co.il/law/70301/499.a</vt:lpwstr>
      </vt:variant>
      <vt:variant>
        <vt:lpwstr/>
      </vt:variant>
      <vt:variant>
        <vt:i4>5177433</vt:i4>
      </vt:variant>
      <vt:variant>
        <vt:i4>24</vt:i4>
      </vt:variant>
      <vt:variant>
        <vt:i4>0</vt:i4>
      </vt:variant>
      <vt:variant>
        <vt:i4>5</vt:i4>
      </vt:variant>
      <vt:variant>
        <vt:lpwstr>http://www.nevo.co.il/law/70301/448.a</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7077988</vt:i4>
      </vt:variant>
      <vt:variant>
        <vt:i4>18</vt:i4>
      </vt:variant>
      <vt:variant>
        <vt:i4>0</vt:i4>
      </vt:variant>
      <vt:variant>
        <vt:i4>5</vt:i4>
      </vt:variant>
      <vt:variant>
        <vt:lpwstr>http://www.nevo.co.il/law/70301/196</vt:lpwstr>
      </vt:variant>
      <vt:variant>
        <vt:lpwstr/>
      </vt:variant>
      <vt:variant>
        <vt:i4>458832</vt:i4>
      </vt:variant>
      <vt:variant>
        <vt:i4>15</vt:i4>
      </vt:variant>
      <vt:variant>
        <vt:i4>0</vt:i4>
      </vt:variant>
      <vt:variant>
        <vt:i4>5</vt:i4>
      </vt:variant>
      <vt:variant>
        <vt:lpwstr>http://www.nevo.co.il/law/70301/144f</vt:lpwstr>
      </vt:variant>
      <vt:variant>
        <vt:lpwstr/>
      </vt:variant>
      <vt:variant>
        <vt:i4>6619233</vt:i4>
      </vt:variant>
      <vt:variant>
        <vt:i4>12</vt:i4>
      </vt:variant>
      <vt:variant>
        <vt:i4>0</vt:i4>
      </vt:variant>
      <vt:variant>
        <vt:i4>5</vt:i4>
      </vt:variant>
      <vt:variant>
        <vt:lpwstr>http://www.nevo.co.il/law/70301/40g</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8718</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בנימין ריכטר</vt:lpwstr>
  </property>
  <property fmtid="{D5CDD505-2E9C-101B-9397-08002B2CF9AE}" pid="10" name="LAWYER">
    <vt:lpwstr>יעל עצמון;ניצן ביילין;גלעד כצמן</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20150204</vt:lpwstr>
  </property>
  <property fmtid="{D5CDD505-2E9C-101B-9397-08002B2CF9AE}" pid="14" name="TYPE_N_DATE">
    <vt:lpwstr>39020150204</vt:lpwstr>
  </property>
  <property fmtid="{D5CDD505-2E9C-101B-9397-08002B2CF9AE}" pid="15" name="CASESLISTTMP1">
    <vt:lpwstr>7001384;5601467;8266786;7849278;5673419;335431;5564595;6101844;6130237;6859579;5750760;6239953;5696101;17016454</vt:lpwstr>
  </property>
  <property fmtid="{D5CDD505-2E9C-101B-9397-08002B2CF9AE}" pid="16" name="CASENOTES1">
    <vt:lpwstr>ProcID=209&amp;PartA=3126&amp;PartC=07</vt:lpwstr>
  </property>
  <property fmtid="{D5CDD505-2E9C-101B-9397-08002B2CF9AE}" pid="17" name="WORDNUMPAGES">
    <vt:lpwstr>11</vt:lpwstr>
  </property>
  <property fmtid="{D5CDD505-2E9C-101B-9397-08002B2CF9AE}" pid="18" name="TYPE_ABS_DATE">
    <vt:lpwstr>390120150204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70301/499.a:2;144f;448.a;029;196;287.a;040f;040g;040c</vt:lpwstr>
  </property>
  <property fmtid="{D5CDD505-2E9C-101B-9397-08002B2CF9AE}" pid="38" name="METAKZER">
    <vt:lpwstr>מיכל</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8986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המרדה וגזענות</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20150211</vt:lpwstr>
  </property>
</Properties>
</file>