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36"/>
        <w:gridCol w:w="3085"/>
      </w:tblGrid>
      <w:tr w:rsidR="00A075FD" w:rsidRPr="00131090" w14:paraId="0A3F587A" w14:textId="77777777">
        <w:trPr>
          <w:trHeight w:hRule="exact" w:val="418"/>
          <w:jc w:val="center"/>
        </w:trPr>
        <w:tc>
          <w:tcPr>
            <w:tcW w:w="8721" w:type="dxa"/>
            <w:gridSpan w:val="2"/>
          </w:tcPr>
          <w:p w14:paraId="0A8ACF4C" w14:textId="77777777" w:rsidR="00A075FD" w:rsidRPr="00131090" w:rsidRDefault="00131090">
            <w:pPr>
              <w:pStyle w:val="a3"/>
              <w:jc w:val="center"/>
              <w:rPr>
                <w:rFonts w:ascii="Tahoma" w:hAnsi="Tahoma" w:cs="Tahoma"/>
                <w:color w:val="000080"/>
                <w:rtl/>
              </w:rPr>
            </w:pPr>
            <w:bookmarkStart w:id="0" w:name="LastJudge"/>
            <w:r w:rsidRPr="00131090">
              <w:rPr>
                <w:rFonts w:ascii="Tahoma" w:hAnsi="Tahoma" w:cs="Tahoma"/>
                <w:b/>
                <w:bCs/>
                <w:color w:val="000080"/>
                <w:rtl/>
              </w:rPr>
              <w:t>בית המשפט המחוזי בחיפה</w:t>
            </w:r>
          </w:p>
        </w:tc>
      </w:tr>
      <w:tr w:rsidR="00A075FD" w:rsidRPr="00131090" w14:paraId="4B302B81" w14:textId="77777777">
        <w:trPr>
          <w:trHeight w:val="337"/>
          <w:jc w:val="center"/>
        </w:trPr>
        <w:tc>
          <w:tcPr>
            <w:tcW w:w="5636" w:type="dxa"/>
          </w:tcPr>
          <w:p w14:paraId="3B31E6D6" w14:textId="77777777" w:rsidR="00A075FD" w:rsidRPr="00131090" w:rsidRDefault="00131090">
            <w:pPr>
              <w:rPr>
                <w:b/>
                <w:bCs/>
                <w:sz w:val="28"/>
                <w:szCs w:val="28"/>
                <w:rtl/>
              </w:rPr>
            </w:pPr>
            <w:r w:rsidRPr="00131090">
              <w:rPr>
                <w:b/>
                <w:bCs/>
                <w:rtl/>
              </w:rPr>
              <w:br/>
            </w:r>
            <w:r w:rsidRPr="00131090">
              <w:rPr>
                <w:b/>
                <w:bCs/>
                <w:sz w:val="28"/>
                <w:szCs w:val="28"/>
                <w:rtl/>
              </w:rPr>
              <w:t>ת"פ</w:t>
            </w:r>
            <w:r w:rsidRPr="00131090">
              <w:rPr>
                <w:rFonts w:hint="cs"/>
                <w:b/>
                <w:bCs/>
                <w:sz w:val="28"/>
                <w:szCs w:val="28"/>
                <w:rtl/>
              </w:rPr>
              <w:t xml:space="preserve"> </w:t>
            </w:r>
            <w:r w:rsidRPr="00131090">
              <w:rPr>
                <w:b/>
                <w:bCs/>
                <w:sz w:val="28"/>
                <w:szCs w:val="28"/>
                <w:rtl/>
              </w:rPr>
              <w:t>17809-03-14</w:t>
            </w:r>
            <w:r w:rsidRPr="00131090">
              <w:rPr>
                <w:rFonts w:hint="cs"/>
                <w:b/>
                <w:bCs/>
                <w:sz w:val="28"/>
                <w:szCs w:val="28"/>
                <w:rtl/>
              </w:rPr>
              <w:t xml:space="preserve"> </w:t>
            </w:r>
            <w:r w:rsidRPr="00131090">
              <w:rPr>
                <w:b/>
                <w:bCs/>
                <w:sz w:val="28"/>
                <w:szCs w:val="28"/>
                <w:rtl/>
              </w:rPr>
              <w:t>מדינת ישראל נ' מוסטפא(עציר)</w:t>
            </w:r>
          </w:p>
          <w:p w14:paraId="04716129" w14:textId="77777777" w:rsidR="00A075FD" w:rsidRPr="00131090" w:rsidRDefault="00A075FD">
            <w:pPr>
              <w:pStyle w:val="a3"/>
              <w:rPr>
                <w:rFonts w:cs="FrankRuehl"/>
                <w:sz w:val="28"/>
                <w:szCs w:val="28"/>
                <w:rtl/>
              </w:rPr>
            </w:pPr>
          </w:p>
        </w:tc>
        <w:tc>
          <w:tcPr>
            <w:tcW w:w="3085" w:type="dxa"/>
          </w:tcPr>
          <w:p w14:paraId="0CA904F7" w14:textId="77777777" w:rsidR="00A075FD" w:rsidRPr="00131090" w:rsidRDefault="00A075FD">
            <w:pPr>
              <w:pStyle w:val="a3"/>
              <w:jc w:val="right"/>
              <w:rPr>
                <w:rFonts w:cs="FrankRuehl"/>
                <w:sz w:val="28"/>
                <w:szCs w:val="28"/>
                <w:rtl/>
              </w:rPr>
            </w:pPr>
          </w:p>
        </w:tc>
      </w:tr>
    </w:tbl>
    <w:p w14:paraId="1201E169" w14:textId="77777777" w:rsidR="00A075FD" w:rsidRPr="00131090" w:rsidRDefault="00131090">
      <w:pPr>
        <w:pStyle w:val="a3"/>
        <w:rPr>
          <w:rtl/>
        </w:rPr>
      </w:pPr>
      <w:r w:rsidRPr="00131090">
        <w:rPr>
          <w:rFonts w:hint="cs"/>
          <w:rtl/>
        </w:rPr>
        <w:t xml:space="preserve"> </w:t>
      </w:r>
    </w:p>
    <w:p w14:paraId="6D31420C" w14:textId="77777777" w:rsidR="00A075FD" w:rsidRPr="00131090" w:rsidRDefault="00A075FD">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075FD" w:rsidRPr="00131090" w14:paraId="77AD4571" w14:textId="77777777">
        <w:trPr>
          <w:gridAfter w:val="1"/>
          <w:wAfter w:w="55" w:type="dxa"/>
        </w:trPr>
        <w:tc>
          <w:tcPr>
            <w:tcW w:w="8719" w:type="dxa"/>
            <w:gridSpan w:val="2"/>
          </w:tcPr>
          <w:p w14:paraId="15BFBC73" w14:textId="77777777" w:rsidR="00A075FD" w:rsidRPr="00131090" w:rsidRDefault="00131090">
            <w:pPr>
              <w:spacing w:line="360" w:lineRule="auto"/>
              <w:rPr>
                <w:b/>
                <w:bCs/>
                <w:sz w:val="26"/>
                <w:szCs w:val="26"/>
              </w:rPr>
            </w:pPr>
            <w:r w:rsidRPr="00131090">
              <w:rPr>
                <w:rFonts w:hint="cs"/>
                <w:b/>
                <w:bCs/>
                <w:sz w:val="26"/>
                <w:szCs w:val="26"/>
                <w:rtl/>
              </w:rPr>
              <w:t>בפני כב' ה</w:t>
            </w:r>
            <w:r w:rsidRPr="00131090">
              <w:rPr>
                <w:rFonts w:hint="cs"/>
                <w:rtl/>
              </w:rPr>
              <w:t>שופט אמיר טובי</w:t>
            </w:r>
            <w:r w:rsidRPr="00131090">
              <w:rPr>
                <w:rStyle w:val="TimesNewRomanTimesNewRoman"/>
                <w:rFonts w:hint="cs"/>
                <w:rtl/>
              </w:rPr>
              <w:t xml:space="preserve"> </w:t>
            </w:r>
          </w:p>
        </w:tc>
      </w:tr>
      <w:tr w:rsidR="00A075FD" w:rsidRPr="00131090" w14:paraId="0A3813BC" w14:textId="77777777">
        <w:tc>
          <w:tcPr>
            <w:tcW w:w="2880" w:type="dxa"/>
          </w:tcPr>
          <w:p w14:paraId="4D4DECB2" w14:textId="77777777" w:rsidR="00A075FD" w:rsidRPr="00131090" w:rsidRDefault="00131090">
            <w:pPr>
              <w:ind w:left="26"/>
              <w:rPr>
                <w:b/>
                <w:bCs/>
                <w:sz w:val="26"/>
                <w:szCs w:val="26"/>
              </w:rPr>
            </w:pPr>
            <w:bookmarkStart w:id="1" w:name="FirstAppellant"/>
            <w:r w:rsidRPr="00131090">
              <w:rPr>
                <w:rFonts w:hint="cs"/>
                <w:b/>
                <w:bCs/>
                <w:sz w:val="26"/>
                <w:szCs w:val="26"/>
                <w:rtl/>
              </w:rPr>
              <w:t>ה</w:t>
            </w:r>
            <w:r w:rsidRPr="00131090">
              <w:rPr>
                <w:rFonts w:hint="cs"/>
                <w:rtl/>
              </w:rPr>
              <w:t>מאשימה</w:t>
            </w:r>
          </w:p>
        </w:tc>
        <w:tc>
          <w:tcPr>
            <w:tcW w:w="5922" w:type="dxa"/>
            <w:gridSpan w:val="2"/>
          </w:tcPr>
          <w:p w14:paraId="417E5130" w14:textId="77777777" w:rsidR="00A075FD" w:rsidRPr="00131090" w:rsidRDefault="00131090">
            <w:pPr>
              <w:rPr>
                <w:b/>
                <w:bCs/>
                <w:sz w:val="26"/>
                <w:szCs w:val="26"/>
                <w:rtl/>
              </w:rPr>
            </w:pPr>
            <w:r w:rsidRPr="00131090">
              <w:rPr>
                <w:rFonts w:hint="cs"/>
                <w:rtl/>
              </w:rPr>
              <w:t>מדינת ישראל</w:t>
            </w:r>
          </w:p>
          <w:p w14:paraId="25FD8730" w14:textId="77777777" w:rsidR="00A075FD" w:rsidRPr="00131090" w:rsidRDefault="00A075FD">
            <w:pPr>
              <w:rPr>
                <w:b/>
                <w:bCs/>
                <w:sz w:val="26"/>
                <w:szCs w:val="26"/>
              </w:rPr>
            </w:pPr>
          </w:p>
        </w:tc>
      </w:tr>
      <w:bookmarkEnd w:id="1"/>
      <w:tr w:rsidR="00A075FD" w:rsidRPr="00131090" w14:paraId="1B0F7C18" w14:textId="77777777">
        <w:tc>
          <w:tcPr>
            <w:tcW w:w="8802" w:type="dxa"/>
            <w:gridSpan w:val="3"/>
          </w:tcPr>
          <w:p w14:paraId="2459B7DD" w14:textId="77777777" w:rsidR="00A075FD" w:rsidRPr="00131090" w:rsidRDefault="00131090">
            <w:pPr>
              <w:jc w:val="center"/>
              <w:rPr>
                <w:rFonts w:ascii="Arial" w:hAnsi="Arial"/>
                <w:b/>
                <w:bCs/>
                <w:sz w:val="26"/>
                <w:szCs w:val="26"/>
                <w:rtl/>
              </w:rPr>
            </w:pPr>
            <w:r w:rsidRPr="00131090">
              <w:rPr>
                <w:rFonts w:ascii="Arial" w:hAnsi="Arial" w:hint="cs"/>
                <w:b/>
                <w:bCs/>
                <w:sz w:val="26"/>
                <w:szCs w:val="26"/>
                <w:rtl/>
              </w:rPr>
              <w:t>נגד</w:t>
            </w:r>
          </w:p>
          <w:p w14:paraId="20EF6557" w14:textId="77777777" w:rsidR="00A075FD" w:rsidRPr="00131090" w:rsidRDefault="00A075FD">
            <w:pPr>
              <w:jc w:val="center"/>
              <w:rPr>
                <w:rFonts w:ascii="Arial" w:hAnsi="Arial"/>
                <w:b/>
                <w:bCs/>
                <w:sz w:val="26"/>
                <w:szCs w:val="26"/>
              </w:rPr>
            </w:pPr>
          </w:p>
        </w:tc>
      </w:tr>
      <w:tr w:rsidR="00A075FD" w:rsidRPr="00131090" w14:paraId="09D4F2D9" w14:textId="77777777">
        <w:tc>
          <w:tcPr>
            <w:tcW w:w="2880" w:type="dxa"/>
          </w:tcPr>
          <w:p w14:paraId="3C18751E" w14:textId="77777777" w:rsidR="00A075FD" w:rsidRPr="00131090" w:rsidRDefault="00131090">
            <w:pPr>
              <w:ind w:left="26"/>
              <w:rPr>
                <w:b/>
                <w:bCs/>
                <w:sz w:val="26"/>
                <w:szCs w:val="26"/>
              </w:rPr>
            </w:pPr>
            <w:r w:rsidRPr="00131090">
              <w:rPr>
                <w:rFonts w:hint="cs"/>
                <w:b/>
                <w:bCs/>
                <w:sz w:val="26"/>
                <w:szCs w:val="26"/>
                <w:rtl/>
              </w:rPr>
              <w:t>ה</w:t>
            </w:r>
            <w:r w:rsidRPr="00131090">
              <w:rPr>
                <w:rFonts w:hint="cs"/>
                <w:rtl/>
              </w:rPr>
              <w:t>נאשם</w:t>
            </w:r>
          </w:p>
        </w:tc>
        <w:tc>
          <w:tcPr>
            <w:tcW w:w="5922" w:type="dxa"/>
            <w:gridSpan w:val="2"/>
          </w:tcPr>
          <w:p w14:paraId="1151D5EB" w14:textId="77777777" w:rsidR="00A075FD" w:rsidRPr="00131090" w:rsidRDefault="00131090">
            <w:pPr>
              <w:rPr>
                <w:b/>
                <w:bCs/>
                <w:sz w:val="26"/>
                <w:szCs w:val="26"/>
                <w:rtl/>
              </w:rPr>
            </w:pPr>
            <w:r w:rsidRPr="00131090">
              <w:rPr>
                <w:rFonts w:hint="cs"/>
                <w:rtl/>
              </w:rPr>
              <w:t>מוחמד מוסטפא (עציר)</w:t>
            </w:r>
          </w:p>
          <w:p w14:paraId="0B885FEE" w14:textId="77777777" w:rsidR="00A075FD" w:rsidRPr="00131090" w:rsidRDefault="00A075FD">
            <w:pPr>
              <w:rPr>
                <w:b/>
                <w:bCs/>
                <w:sz w:val="26"/>
                <w:szCs w:val="26"/>
              </w:rPr>
            </w:pPr>
          </w:p>
        </w:tc>
      </w:tr>
    </w:tbl>
    <w:p w14:paraId="497529F3" w14:textId="77777777" w:rsidR="00A075FD" w:rsidRPr="00131090" w:rsidRDefault="00131090">
      <w:pPr>
        <w:spacing w:line="360" w:lineRule="auto"/>
        <w:jc w:val="both"/>
        <w:rPr>
          <w:rFonts w:ascii="David" w:hAnsi="David"/>
          <w:sz w:val="6"/>
          <w:szCs w:val="6"/>
        </w:rPr>
      </w:pPr>
      <w:r w:rsidRPr="00131090">
        <w:rPr>
          <w:rFonts w:hint="cs"/>
          <w:sz w:val="6"/>
          <w:szCs w:val="6"/>
          <w:rtl/>
        </w:rPr>
        <w:t>&lt;#1#&gt;</w:t>
      </w:r>
    </w:p>
    <w:p w14:paraId="2ED7352E" w14:textId="77777777" w:rsidR="00A075FD" w:rsidRPr="00131090" w:rsidRDefault="00A075FD">
      <w:pPr>
        <w:pStyle w:val="12"/>
        <w:rPr>
          <w:b w:val="0"/>
          <w:bCs w:val="0"/>
          <w:u w:val="none"/>
          <w:rtl/>
        </w:rPr>
      </w:pPr>
    </w:p>
    <w:p w14:paraId="112000C1" w14:textId="77777777" w:rsidR="00A075FD" w:rsidRPr="00131090" w:rsidRDefault="00131090">
      <w:pPr>
        <w:pStyle w:val="12"/>
        <w:rPr>
          <w:u w:val="none"/>
          <w:rtl/>
        </w:rPr>
      </w:pPr>
      <w:r w:rsidRPr="00131090">
        <w:rPr>
          <w:rFonts w:hint="cs"/>
          <w:u w:val="none"/>
          <w:rtl/>
        </w:rPr>
        <w:t>נוכחים:</w:t>
      </w:r>
    </w:p>
    <w:p w14:paraId="13C993D4" w14:textId="77777777" w:rsidR="00A075FD" w:rsidRPr="00131090" w:rsidRDefault="00131090">
      <w:pPr>
        <w:pStyle w:val="12"/>
        <w:rPr>
          <w:u w:val="none"/>
          <w:rtl/>
        </w:rPr>
      </w:pPr>
      <w:bookmarkStart w:id="2" w:name="FirstLawyer"/>
      <w:r w:rsidRPr="00131090">
        <w:rPr>
          <w:rFonts w:hint="cs"/>
          <w:u w:val="none"/>
          <w:rtl/>
        </w:rPr>
        <w:t>ב"כ</w:t>
      </w:r>
      <w:bookmarkEnd w:id="2"/>
      <w:r w:rsidRPr="00131090">
        <w:rPr>
          <w:rFonts w:hint="cs"/>
          <w:u w:val="none"/>
          <w:rtl/>
        </w:rPr>
        <w:t xml:space="preserve"> המאשימה עו"ד שגב אדלר </w:t>
      </w:r>
    </w:p>
    <w:p w14:paraId="3738E9D5" w14:textId="77777777" w:rsidR="00A075FD" w:rsidRPr="00131090" w:rsidRDefault="00131090">
      <w:pPr>
        <w:pStyle w:val="12"/>
        <w:rPr>
          <w:u w:val="none"/>
          <w:rtl/>
        </w:rPr>
      </w:pPr>
      <w:r w:rsidRPr="00131090">
        <w:rPr>
          <w:rFonts w:hint="cs"/>
          <w:u w:val="none"/>
          <w:rtl/>
        </w:rPr>
        <w:t xml:space="preserve">ב"כ הנאשם עו"ד מוחמד בדארנה </w:t>
      </w:r>
    </w:p>
    <w:p w14:paraId="1D6F649A" w14:textId="77777777" w:rsidR="00BA7E9D" w:rsidRDefault="00131090">
      <w:pPr>
        <w:pStyle w:val="12"/>
        <w:rPr>
          <w:b w:val="0"/>
          <w:bCs w:val="0"/>
          <w:u w:val="none"/>
          <w:rtl/>
        </w:rPr>
      </w:pPr>
      <w:r w:rsidRPr="00131090">
        <w:rPr>
          <w:rFonts w:hint="cs"/>
          <w:u w:val="none"/>
          <w:rtl/>
        </w:rPr>
        <w:t>הנאשם באמצעות הליווי</w:t>
      </w:r>
      <w:bookmarkStart w:id="3" w:name="LawTable"/>
      <w:bookmarkEnd w:id="3"/>
    </w:p>
    <w:p w14:paraId="557321B7" w14:textId="77777777" w:rsidR="00BA7E9D" w:rsidRPr="00BA7E9D" w:rsidRDefault="00BA7E9D" w:rsidP="00BA7E9D">
      <w:pPr>
        <w:pStyle w:val="12"/>
        <w:spacing w:after="120" w:line="240" w:lineRule="exact"/>
        <w:ind w:left="283" w:hanging="283"/>
        <w:jc w:val="both"/>
        <w:rPr>
          <w:rFonts w:ascii="FrankRuehl" w:hAnsi="FrankRuehl" w:cs="FrankRuehl"/>
          <w:b w:val="0"/>
          <w:bCs w:val="0"/>
          <w:u w:val="none"/>
          <w:rtl/>
        </w:rPr>
      </w:pPr>
    </w:p>
    <w:p w14:paraId="3CE1450B" w14:textId="77777777" w:rsidR="00BA7E9D" w:rsidRPr="00BA7E9D" w:rsidRDefault="00BA7E9D" w:rsidP="00BA7E9D">
      <w:pPr>
        <w:pStyle w:val="12"/>
        <w:spacing w:after="120" w:line="240" w:lineRule="exact"/>
        <w:ind w:left="283" w:hanging="283"/>
        <w:jc w:val="both"/>
        <w:rPr>
          <w:rFonts w:ascii="FrankRuehl" w:hAnsi="FrankRuehl" w:cs="FrankRuehl"/>
          <w:b w:val="0"/>
          <w:bCs w:val="0"/>
          <w:u w:val="none"/>
          <w:rtl/>
        </w:rPr>
      </w:pPr>
      <w:r w:rsidRPr="00BA7E9D">
        <w:rPr>
          <w:rFonts w:ascii="FrankRuehl" w:hAnsi="FrankRuehl" w:cs="FrankRuehl"/>
          <w:b w:val="0"/>
          <w:bCs w:val="0"/>
          <w:u w:val="none"/>
          <w:rtl/>
        </w:rPr>
        <w:t xml:space="preserve">חקיקה שאוזכרה: </w:t>
      </w:r>
    </w:p>
    <w:p w14:paraId="29228F7D" w14:textId="77777777" w:rsidR="00BA7E9D" w:rsidRPr="00BA7E9D" w:rsidRDefault="00BA7E9D" w:rsidP="00BA7E9D">
      <w:pPr>
        <w:pStyle w:val="12"/>
        <w:spacing w:after="120" w:line="240" w:lineRule="exact"/>
        <w:ind w:left="283" w:hanging="283"/>
        <w:jc w:val="both"/>
        <w:rPr>
          <w:rFonts w:ascii="FrankRuehl" w:hAnsi="FrankRuehl" w:cs="FrankRuehl"/>
          <w:b w:val="0"/>
          <w:bCs w:val="0"/>
          <w:u w:val="none"/>
          <w:rtl/>
        </w:rPr>
      </w:pPr>
      <w:hyperlink r:id="rId6" w:history="1">
        <w:r w:rsidRPr="00BA7E9D">
          <w:rPr>
            <w:rFonts w:ascii="FrankRuehl" w:hAnsi="FrankRuehl" w:cs="FrankRuehl"/>
            <w:b w:val="0"/>
            <w:bCs w:val="0"/>
            <w:color w:val="0000FF"/>
            <w:rtl/>
          </w:rPr>
          <w:t>חוק העונשין, תשל"ז-1977</w:t>
        </w:r>
      </w:hyperlink>
      <w:r w:rsidRPr="00BA7E9D">
        <w:rPr>
          <w:rFonts w:ascii="FrankRuehl" w:hAnsi="FrankRuehl" w:cs="FrankRuehl"/>
          <w:b w:val="0"/>
          <w:bCs w:val="0"/>
          <w:u w:val="none"/>
          <w:rtl/>
        </w:rPr>
        <w:t xml:space="preserve">: סע'  </w:t>
      </w:r>
      <w:hyperlink r:id="rId7" w:history="1">
        <w:r w:rsidRPr="00BA7E9D">
          <w:rPr>
            <w:rFonts w:ascii="FrankRuehl" w:hAnsi="FrankRuehl" w:cs="FrankRuehl"/>
            <w:b w:val="0"/>
            <w:bCs w:val="0"/>
            <w:color w:val="0000FF"/>
            <w:rtl/>
          </w:rPr>
          <w:t>40ט(א)</w:t>
        </w:r>
      </w:hyperlink>
      <w:r w:rsidRPr="00BA7E9D">
        <w:rPr>
          <w:rFonts w:ascii="FrankRuehl" w:hAnsi="FrankRuehl" w:cs="FrankRuehl"/>
          <w:b w:val="0"/>
          <w:bCs w:val="0"/>
          <w:u w:val="none"/>
          <w:rtl/>
        </w:rPr>
        <w:t xml:space="preserve">, </w:t>
      </w:r>
      <w:hyperlink r:id="rId8" w:history="1">
        <w:r w:rsidRPr="00BA7E9D">
          <w:rPr>
            <w:rFonts w:ascii="FrankRuehl" w:hAnsi="FrankRuehl" w:cs="FrankRuehl"/>
            <w:b w:val="0"/>
            <w:bCs w:val="0"/>
            <w:color w:val="0000FF"/>
            <w:rtl/>
          </w:rPr>
          <w:t>144(ב)</w:t>
        </w:r>
      </w:hyperlink>
      <w:r w:rsidRPr="00BA7E9D">
        <w:rPr>
          <w:rFonts w:ascii="FrankRuehl" w:hAnsi="FrankRuehl" w:cs="FrankRuehl"/>
          <w:b w:val="0"/>
          <w:bCs w:val="0"/>
          <w:u w:val="none"/>
          <w:rtl/>
        </w:rPr>
        <w:t xml:space="preserve">, </w:t>
      </w:r>
      <w:hyperlink r:id="rId9" w:history="1">
        <w:r w:rsidRPr="00BA7E9D">
          <w:rPr>
            <w:rFonts w:ascii="FrankRuehl" w:hAnsi="FrankRuehl" w:cs="FrankRuehl"/>
            <w:b w:val="0"/>
            <w:bCs w:val="0"/>
            <w:color w:val="0000FF"/>
            <w:rtl/>
          </w:rPr>
          <w:t>244</w:t>
        </w:r>
      </w:hyperlink>
      <w:r w:rsidRPr="00BA7E9D">
        <w:rPr>
          <w:rFonts w:ascii="FrankRuehl" w:hAnsi="FrankRuehl" w:cs="FrankRuehl"/>
          <w:b w:val="0"/>
          <w:bCs w:val="0"/>
          <w:u w:val="none"/>
          <w:rtl/>
        </w:rPr>
        <w:t xml:space="preserve">, </w:t>
      </w:r>
      <w:hyperlink r:id="rId10" w:history="1">
        <w:r w:rsidRPr="00BA7E9D">
          <w:rPr>
            <w:rFonts w:ascii="FrankRuehl" w:hAnsi="FrankRuehl" w:cs="FrankRuehl"/>
            <w:b w:val="0"/>
            <w:bCs w:val="0"/>
            <w:color w:val="0000FF"/>
            <w:rtl/>
          </w:rPr>
          <w:t>340א</w:t>
        </w:r>
      </w:hyperlink>
      <w:r w:rsidRPr="00BA7E9D">
        <w:rPr>
          <w:rFonts w:ascii="FrankRuehl" w:hAnsi="FrankRuehl" w:cs="FrankRuehl"/>
          <w:b w:val="0"/>
          <w:bCs w:val="0"/>
          <w:u w:val="none"/>
          <w:rtl/>
        </w:rPr>
        <w:t xml:space="preserve">, </w:t>
      </w:r>
      <w:hyperlink r:id="rId11" w:history="1">
        <w:r w:rsidRPr="00BA7E9D">
          <w:rPr>
            <w:rFonts w:ascii="FrankRuehl" w:hAnsi="FrankRuehl" w:cs="FrankRuehl"/>
            <w:b w:val="0"/>
            <w:bCs w:val="0"/>
            <w:color w:val="0000FF"/>
            <w:rtl/>
          </w:rPr>
          <w:t>40יא</w:t>
        </w:r>
      </w:hyperlink>
      <w:r w:rsidRPr="00BA7E9D">
        <w:rPr>
          <w:rFonts w:ascii="FrankRuehl" w:hAnsi="FrankRuehl" w:cs="FrankRuehl"/>
          <w:b w:val="0"/>
          <w:bCs w:val="0"/>
          <w:u w:val="none"/>
          <w:rtl/>
        </w:rPr>
        <w:t xml:space="preserve">, </w:t>
      </w:r>
      <w:hyperlink r:id="rId12" w:history="1">
        <w:r w:rsidRPr="00BA7E9D">
          <w:rPr>
            <w:rFonts w:ascii="FrankRuehl" w:hAnsi="FrankRuehl" w:cs="FrankRuehl"/>
            <w:b w:val="0"/>
            <w:bCs w:val="0"/>
            <w:color w:val="0000FF"/>
            <w:rtl/>
          </w:rPr>
          <w:t>40יא(7)</w:t>
        </w:r>
      </w:hyperlink>
      <w:r w:rsidRPr="00BA7E9D">
        <w:rPr>
          <w:rFonts w:ascii="FrankRuehl" w:hAnsi="FrankRuehl" w:cs="FrankRuehl"/>
          <w:b w:val="0"/>
          <w:bCs w:val="0"/>
          <w:u w:val="none"/>
          <w:rtl/>
        </w:rPr>
        <w:t xml:space="preserve">, </w:t>
      </w:r>
      <w:hyperlink r:id="rId13" w:history="1">
        <w:r w:rsidRPr="00BA7E9D">
          <w:rPr>
            <w:rFonts w:ascii="FrankRuehl" w:hAnsi="FrankRuehl" w:cs="FrankRuehl"/>
            <w:b w:val="0"/>
            <w:bCs w:val="0"/>
            <w:color w:val="0000FF"/>
            <w:rtl/>
          </w:rPr>
          <w:t>40יג(א)</w:t>
        </w:r>
      </w:hyperlink>
    </w:p>
    <w:p w14:paraId="2DE775BE" w14:textId="77777777" w:rsidR="00BA7E9D" w:rsidRPr="00BA7E9D" w:rsidRDefault="00BA7E9D" w:rsidP="00BA7E9D">
      <w:pPr>
        <w:pStyle w:val="12"/>
        <w:spacing w:after="120" w:line="240" w:lineRule="exact"/>
        <w:ind w:left="283" w:hanging="283"/>
        <w:jc w:val="both"/>
        <w:rPr>
          <w:rFonts w:ascii="FrankRuehl" w:hAnsi="FrankRuehl" w:cs="FrankRuehl"/>
          <w:b w:val="0"/>
          <w:bCs w:val="0"/>
          <w:u w:val="none"/>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075FD" w14:paraId="3C4382C4" w14:textId="77777777">
        <w:trPr>
          <w:trHeight w:val="355"/>
          <w:jc w:val="center"/>
        </w:trPr>
        <w:tc>
          <w:tcPr>
            <w:tcW w:w="8820" w:type="dxa"/>
            <w:tcBorders>
              <w:top w:val="nil"/>
              <w:left w:val="nil"/>
              <w:bottom w:val="nil"/>
              <w:right w:val="nil"/>
            </w:tcBorders>
          </w:tcPr>
          <w:p w14:paraId="239CD0DE" w14:textId="77777777" w:rsidR="00131090" w:rsidRPr="00131090" w:rsidRDefault="00131090" w:rsidP="00131090">
            <w:pPr>
              <w:jc w:val="center"/>
              <w:rPr>
                <w:rFonts w:ascii="Arial" w:hAnsi="Arial" w:cs="FrankRuehl"/>
                <w:b/>
                <w:bCs/>
                <w:sz w:val="32"/>
                <w:szCs w:val="32"/>
                <w:u w:val="single"/>
                <w:rtl/>
              </w:rPr>
            </w:pPr>
            <w:bookmarkStart w:id="4" w:name="LawTable_End"/>
            <w:bookmarkStart w:id="5" w:name="PsakDin" w:colFirst="0" w:colLast="0"/>
            <w:bookmarkEnd w:id="0"/>
            <w:bookmarkEnd w:id="4"/>
            <w:r w:rsidRPr="00131090">
              <w:rPr>
                <w:rFonts w:ascii="Arial" w:hAnsi="Arial" w:cs="FrankRuehl"/>
                <w:b/>
                <w:bCs/>
                <w:sz w:val="32"/>
                <w:szCs w:val="32"/>
                <w:u w:val="single"/>
                <w:rtl/>
              </w:rPr>
              <w:t>גזר דין</w:t>
            </w:r>
          </w:p>
          <w:p w14:paraId="52059C21" w14:textId="77777777" w:rsidR="00A075FD" w:rsidRPr="00131090" w:rsidRDefault="00A075FD" w:rsidP="00131090">
            <w:pPr>
              <w:jc w:val="center"/>
              <w:rPr>
                <w:rFonts w:ascii="Arial" w:hAnsi="Arial" w:cs="FrankRuehl"/>
                <w:bCs/>
                <w:sz w:val="32"/>
                <w:szCs w:val="32"/>
                <w:u w:val="single"/>
                <w:rtl/>
              </w:rPr>
            </w:pPr>
          </w:p>
        </w:tc>
      </w:tr>
      <w:bookmarkEnd w:id="5"/>
    </w:tbl>
    <w:p w14:paraId="04FC7ECF" w14:textId="77777777" w:rsidR="00A075FD" w:rsidRDefault="00A075FD">
      <w:pPr>
        <w:rPr>
          <w:rFonts w:ascii="Arial" w:hAnsi="Arial"/>
          <w:rtl/>
        </w:rPr>
      </w:pPr>
    </w:p>
    <w:p w14:paraId="65998A5D" w14:textId="77777777" w:rsidR="00A075FD" w:rsidRDefault="00131090">
      <w:pPr>
        <w:tabs>
          <w:tab w:val="left" w:pos="566"/>
          <w:tab w:val="left" w:pos="1134"/>
          <w:tab w:val="left" w:pos="1701"/>
        </w:tabs>
        <w:spacing w:line="360" w:lineRule="auto"/>
        <w:ind w:left="566" w:hanging="566"/>
        <w:rPr>
          <w:u w:val="single"/>
          <w:rtl/>
        </w:rPr>
      </w:pPr>
      <w:r>
        <w:rPr>
          <w:u w:val="single"/>
          <w:rtl/>
        </w:rPr>
        <w:t>ההליך ועובדות כתב האישום</w:t>
      </w:r>
    </w:p>
    <w:p w14:paraId="4E5DF058" w14:textId="77777777" w:rsidR="00A075FD" w:rsidRDefault="00A075FD">
      <w:pPr>
        <w:tabs>
          <w:tab w:val="left" w:pos="566"/>
          <w:tab w:val="left" w:pos="1134"/>
          <w:tab w:val="left" w:pos="1701"/>
        </w:tabs>
        <w:spacing w:line="360" w:lineRule="auto"/>
        <w:ind w:left="566" w:hanging="566"/>
        <w:rPr>
          <w:rtl/>
        </w:rPr>
      </w:pPr>
    </w:p>
    <w:p w14:paraId="04DA42A7" w14:textId="77777777" w:rsidR="00A075FD" w:rsidRDefault="00131090">
      <w:pPr>
        <w:tabs>
          <w:tab w:val="left" w:pos="566"/>
          <w:tab w:val="left" w:pos="1134"/>
          <w:tab w:val="left" w:pos="1701"/>
        </w:tabs>
        <w:spacing w:line="360" w:lineRule="auto"/>
        <w:ind w:left="566" w:hanging="566"/>
        <w:jc w:val="both"/>
        <w:rPr>
          <w:rtl/>
        </w:rPr>
      </w:pPr>
      <w:r>
        <w:rPr>
          <w:rtl/>
        </w:rPr>
        <w:t>1.</w:t>
      </w:r>
      <w:r>
        <w:rPr>
          <w:rtl/>
        </w:rPr>
        <w:tab/>
      </w:r>
      <w:bookmarkStart w:id="6" w:name="ABSTRACT_START"/>
      <w:bookmarkEnd w:id="6"/>
      <w:r>
        <w:rPr>
          <w:rtl/>
        </w:rPr>
        <w:t xml:space="preserve">הנאשם הורשע על סמך הודייתו בעבירות המיוחסות לו בכתב האישום, וזאת לאחר תיקונו שנעשה במסגרת הסדר טיעון. ההסדר לא כלל הסכמה לגבי העונש ונקבע כי כל צד יעלה טענותיו לעניין זה באופן חופשי. </w:t>
      </w:r>
    </w:p>
    <w:p w14:paraId="443BBC9C" w14:textId="77777777" w:rsidR="00A075FD" w:rsidRDefault="00A075FD">
      <w:pPr>
        <w:tabs>
          <w:tab w:val="left" w:pos="566"/>
          <w:tab w:val="left" w:pos="1134"/>
          <w:tab w:val="left" w:pos="1701"/>
        </w:tabs>
        <w:spacing w:line="360" w:lineRule="auto"/>
        <w:ind w:left="566" w:hanging="566"/>
        <w:jc w:val="both"/>
        <w:rPr>
          <w:rtl/>
        </w:rPr>
      </w:pPr>
      <w:bookmarkStart w:id="7" w:name="ABSTRACT_END"/>
      <w:bookmarkEnd w:id="7"/>
    </w:p>
    <w:p w14:paraId="42BF9280" w14:textId="77777777" w:rsidR="00A075FD" w:rsidRDefault="00131090">
      <w:pPr>
        <w:tabs>
          <w:tab w:val="left" w:pos="566"/>
          <w:tab w:val="left" w:pos="1134"/>
          <w:tab w:val="left" w:pos="1701"/>
        </w:tabs>
        <w:spacing w:line="360" w:lineRule="auto"/>
        <w:ind w:left="566" w:hanging="566"/>
        <w:jc w:val="both"/>
        <w:rPr>
          <w:rtl/>
        </w:rPr>
      </w:pPr>
      <w:r>
        <w:rPr>
          <w:rtl/>
        </w:rPr>
        <w:t>2.</w:t>
      </w:r>
      <w:r>
        <w:rPr>
          <w:rtl/>
        </w:rPr>
        <w:tab/>
        <w:t xml:space="preserve">בעובדות כתב האישום המתוקן (להלן: "כתב האישום") נאמר כי ביום 27.2.2014 סמוך לשעה 19:00 הגיע הנאשם לקרבת בית הוריו בכפר בענה כשהוא נושא אקדח חצי אוטומטי מסוג </w:t>
      </w:r>
      <w:r>
        <w:rPr>
          <w:sz w:val="20"/>
          <w:szCs w:val="20"/>
        </w:rPr>
        <w:t>CZ</w:t>
      </w:r>
      <w:r>
        <w:rPr>
          <w:rtl/>
        </w:rPr>
        <w:t xml:space="preserve">, קליבר </w:t>
      </w:r>
      <w:smartTag w:uri="urn:schemas-microsoft-com:office:smarttags" w:element="metricconverter">
        <w:smartTagPr>
          <w:attr w:name="ProductID" w:val="9 מ&quot;מ"/>
        </w:smartTagPr>
        <w:r>
          <w:rPr>
            <w:rtl/>
          </w:rPr>
          <w:t>9 מ"מ</w:t>
        </w:r>
      </w:smartTag>
      <w:r>
        <w:rPr>
          <w:rtl/>
        </w:rPr>
        <w:t xml:space="preserve"> ומחסנית ובה לפחות 6 כדורים בל</w:t>
      </w:r>
      <w:r>
        <w:rPr>
          <w:rFonts w:hint="cs"/>
          <w:rtl/>
        </w:rPr>
        <w:t>א</w:t>
      </w:r>
      <w:r>
        <w:rPr>
          <w:rtl/>
        </w:rPr>
        <w:t xml:space="preserve"> רשות על פי דין. בהמשך ירה הנאשם ברחבת הבית 6 כדורים ללא הסבר סביר. </w:t>
      </w:r>
    </w:p>
    <w:p w14:paraId="4A640C92" w14:textId="77777777" w:rsidR="00A075FD" w:rsidRDefault="00A075FD">
      <w:pPr>
        <w:tabs>
          <w:tab w:val="left" w:pos="566"/>
          <w:tab w:val="left" w:pos="1134"/>
          <w:tab w:val="left" w:pos="1701"/>
        </w:tabs>
        <w:spacing w:line="360" w:lineRule="auto"/>
        <w:ind w:left="566" w:hanging="566"/>
        <w:jc w:val="both"/>
        <w:rPr>
          <w:rtl/>
        </w:rPr>
      </w:pPr>
    </w:p>
    <w:p w14:paraId="7B430F3B" w14:textId="77777777" w:rsidR="00A075FD" w:rsidRDefault="00131090">
      <w:pPr>
        <w:tabs>
          <w:tab w:val="left" w:pos="566"/>
          <w:tab w:val="left" w:pos="1134"/>
          <w:tab w:val="left" w:pos="1701"/>
        </w:tabs>
        <w:spacing w:line="360" w:lineRule="auto"/>
        <w:ind w:left="566" w:hanging="566"/>
        <w:jc w:val="both"/>
        <w:rPr>
          <w:rtl/>
        </w:rPr>
      </w:pPr>
      <w:r>
        <w:rPr>
          <w:rtl/>
        </w:rPr>
        <w:tab/>
        <w:t xml:space="preserve">לאחר אותם מעשים, עזב הנאשם את המקום כשהוא מוביל את הנשק והתחמושת ותוך שהוא נוהג ברכב אופל אסטרה. במהלך הנסיעה השליך הנאשם את הנשק מהרכב, מתוך חשש מהגעת אנשי משטרה למקום בעקבות הירי שביצע. לאחר מכן, החנה הנאשם את הרכב במרחק מה מהמקום בו השליך את הנשק, יצא מהרכב ונמלט מהמקום. </w:t>
      </w:r>
    </w:p>
    <w:p w14:paraId="56AC549A" w14:textId="77777777" w:rsidR="00A075FD" w:rsidRDefault="00A075FD">
      <w:pPr>
        <w:tabs>
          <w:tab w:val="left" w:pos="566"/>
          <w:tab w:val="left" w:pos="1134"/>
          <w:tab w:val="left" w:pos="1701"/>
        </w:tabs>
        <w:spacing w:line="360" w:lineRule="auto"/>
        <w:ind w:left="566" w:hanging="566"/>
        <w:jc w:val="both"/>
        <w:rPr>
          <w:rtl/>
        </w:rPr>
      </w:pPr>
    </w:p>
    <w:p w14:paraId="2C366FB0" w14:textId="77777777" w:rsidR="00A075FD" w:rsidRDefault="00131090">
      <w:pPr>
        <w:tabs>
          <w:tab w:val="left" w:pos="566"/>
          <w:tab w:val="left" w:pos="1134"/>
          <w:tab w:val="left" w:pos="1701"/>
        </w:tabs>
        <w:spacing w:line="360" w:lineRule="auto"/>
        <w:ind w:left="566" w:hanging="566"/>
        <w:jc w:val="both"/>
        <w:rPr>
          <w:rtl/>
        </w:rPr>
      </w:pPr>
      <w:r>
        <w:rPr>
          <w:rtl/>
        </w:rPr>
        <w:t>3.</w:t>
      </w:r>
      <w:r>
        <w:rPr>
          <w:rtl/>
        </w:rPr>
        <w:tab/>
        <w:t xml:space="preserve">במעשיו המתוארים לעיל נשא והוביל הנאשם נשק ותחמושת בלא רשות על פי דין, ירה מנשק חם באזור מגורים ללא הסבר סביר ועשה מעשה בכוונה למנוע או להכשיל הליך שיפוטי, בין בהעלמת ראיות ובין בדרך אחרת. </w:t>
      </w:r>
    </w:p>
    <w:p w14:paraId="3F678150" w14:textId="77777777" w:rsidR="00A075FD" w:rsidRDefault="00A075FD">
      <w:pPr>
        <w:tabs>
          <w:tab w:val="left" w:pos="566"/>
          <w:tab w:val="left" w:pos="1134"/>
          <w:tab w:val="left" w:pos="1701"/>
        </w:tabs>
        <w:spacing w:line="360" w:lineRule="auto"/>
        <w:ind w:left="566" w:hanging="566"/>
        <w:jc w:val="both"/>
        <w:rPr>
          <w:rtl/>
        </w:rPr>
      </w:pPr>
    </w:p>
    <w:p w14:paraId="00D8B3C1" w14:textId="77777777" w:rsidR="00A075FD" w:rsidRDefault="00131090">
      <w:pPr>
        <w:tabs>
          <w:tab w:val="left" w:pos="566"/>
          <w:tab w:val="left" w:pos="1134"/>
          <w:tab w:val="left" w:pos="1701"/>
        </w:tabs>
        <w:spacing w:line="360" w:lineRule="auto"/>
        <w:ind w:left="566" w:hanging="566"/>
        <w:jc w:val="both"/>
        <w:rPr>
          <w:rtl/>
        </w:rPr>
      </w:pPr>
      <w:r>
        <w:rPr>
          <w:rtl/>
        </w:rPr>
        <w:tab/>
        <w:t xml:space="preserve">בגין מעשיו אלה </w:t>
      </w:r>
      <w:r>
        <w:rPr>
          <w:rFonts w:hint="cs"/>
          <w:rtl/>
        </w:rPr>
        <w:t xml:space="preserve">ייחסה </w:t>
      </w:r>
      <w:r>
        <w:rPr>
          <w:rtl/>
        </w:rPr>
        <w:t xml:space="preserve">לו המאשימה את העבירות שלהלן: עבירות בנשק - לפי </w:t>
      </w:r>
      <w:hyperlink r:id="rId14" w:history="1">
        <w:r w:rsidR="00BA7E9D" w:rsidRPr="00BA7E9D">
          <w:rPr>
            <w:color w:val="0000FF"/>
            <w:u w:val="single"/>
            <w:rtl/>
          </w:rPr>
          <w:t>סעיף 144(ב)</w:t>
        </w:r>
      </w:hyperlink>
      <w:r>
        <w:rPr>
          <w:rtl/>
        </w:rPr>
        <w:t xml:space="preserve"> רישא ל</w:t>
      </w:r>
      <w:hyperlink r:id="rId15" w:history="1">
        <w:r w:rsidRPr="00131090">
          <w:rPr>
            <w:color w:val="0000FF"/>
            <w:u w:val="single"/>
            <w:rtl/>
          </w:rPr>
          <w:t>חוק העונשין</w:t>
        </w:r>
      </w:hyperlink>
      <w:r>
        <w:rPr>
          <w:rtl/>
        </w:rPr>
        <w:t>, התשל"ז -1977 (להלן: "חוק</w:t>
      </w:r>
      <w:r>
        <w:rPr>
          <w:rFonts w:hint="cs"/>
          <w:rtl/>
        </w:rPr>
        <w:t xml:space="preserve"> העונשין</w:t>
      </w:r>
      <w:r>
        <w:rPr>
          <w:rtl/>
        </w:rPr>
        <w:t xml:space="preserve">"); יריות באזור מגורים - עבירה לפי </w:t>
      </w:r>
      <w:hyperlink r:id="rId16" w:history="1">
        <w:r w:rsidR="00BA7E9D" w:rsidRPr="00BA7E9D">
          <w:rPr>
            <w:color w:val="0000FF"/>
            <w:u w:val="single"/>
            <w:rtl/>
          </w:rPr>
          <w:t>סעיף 340א</w:t>
        </w:r>
      </w:hyperlink>
      <w:r>
        <w:rPr>
          <w:rtl/>
        </w:rPr>
        <w:t xml:space="preserve"> לחוק </w:t>
      </w:r>
      <w:r>
        <w:rPr>
          <w:rFonts w:hint="cs"/>
          <w:rtl/>
        </w:rPr>
        <w:t xml:space="preserve">העונשין </w:t>
      </w:r>
      <w:r>
        <w:rPr>
          <w:rtl/>
        </w:rPr>
        <w:t xml:space="preserve">ושיבוש מהלכי משפטי - עבירה לפי </w:t>
      </w:r>
      <w:hyperlink r:id="rId17" w:history="1">
        <w:r w:rsidR="00BA7E9D" w:rsidRPr="00BA7E9D">
          <w:rPr>
            <w:color w:val="0000FF"/>
            <w:u w:val="single"/>
            <w:rtl/>
          </w:rPr>
          <w:t>סעיף 244</w:t>
        </w:r>
      </w:hyperlink>
      <w:r>
        <w:rPr>
          <w:rtl/>
        </w:rPr>
        <w:t xml:space="preserve"> לחוק</w:t>
      </w:r>
      <w:r>
        <w:rPr>
          <w:rFonts w:hint="cs"/>
          <w:rtl/>
        </w:rPr>
        <w:t xml:space="preserve"> העונשין</w:t>
      </w:r>
      <w:r>
        <w:rPr>
          <w:rtl/>
        </w:rPr>
        <w:t xml:space="preserve">. </w:t>
      </w:r>
    </w:p>
    <w:p w14:paraId="1474B6DA" w14:textId="77777777" w:rsidR="00A075FD" w:rsidRDefault="00A075FD">
      <w:pPr>
        <w:tabs>
          <w:tab w:val="left" w:pos="566"/>
          <w:tab w:val="left" w:pos="1134"/>
          <w:tab w:val="left" w:pos="1701"/>
        </w:tabs>
        <w:spacing w:line="360" w:lineRule="auto"/>
        <w:ind w:left="566" w:hanging="566"/>
        <w:jc w:val="both"/>
        <w:rPr>
          <w:rtl/>
        </w:rPr>
      </w:pPr>
    </w:p>
    <w:p w14:paraId="5C978477" w14:textId="77777777" w:rsidR="00A075FD" w:rsidRDefault="00131090">
      <w:pPr>
        <w:tabs>
          <w:tab w:val="left" w:pos="566"/>
          <w:tab w:val="left" w:pos="1134"/>
          <w:tab w:val="left" w:pos="1701"/>
        </w:tabs>
        <w:spacing w:line="360" w:lineRule="auto"/>
        <w:ind w:left="566" w:hanging="566"/>
        <w:jc w:val="both"/>
        <w:rPr>
          <w:rtl/>
        </w:rPr>
      </w:pPr>
      <w:r>
        <w:rPr>
          <w:rtl/>
        </w:rPr>
        <w:t>4.</w:t>
      </w:r>
      <w:r>
        <w:rPr>
          <w:rtl/>
        </w:rPr>
        <w:tab/>
        <w:t xml:space="preserve">בעקבות הרשעתו של הנאשם, נעתרתי לבקשת סנגורו והוריתי לשירות המבחן לערוך תסקיר בעניינו, בטרם שמיעת הטיעונים לעונש. </w:t>
      </w:r>
    </w:p>
    <w:p w14:paraId="3BC1A235" w14:textId="77777777" w:rsidR="00A075FD" w:rsidRDefault="00A075FD">
      <w:pPr>
        <w:tabs>
          <w:tab w:val="left" w:pos="566"/>
          <w:tab w:val="left" w:pos="1134"/>
          <w:tab w:val="left" w:pos="1701"/>
        </w:tabs>
        <w:spacing w:line="360" w:lineRule="auto"/>
        <w:ind w:left="566" w:hanging="566"/>
        <w:jc w:val="both"/>
        <w:rPr>
          <w:rtl/>
        </w:rPr>
      </w:pPr>
    </w:p>
    <w:p w14:paraId="0E78ACAA" w14:textId="77777777" w:rsidR="00A075FD" w:rsidRDefault="00131090">
      <w:pPr>
        <w:tabs>
          <w:tab w:val="left" w:pos="566"/>
          <w:tab w:val="left" w:pos="1134"/>
          <w:tab w:val="left" w:pos="1701"/>
        </w:tabs>
        <w:spacing w:line="360" w:lineRule="auto"/>
        <w:ind w:left="566" w:hanging="566"/>
        <w:jc w:val="both"/>
        <w:rPr>
          <w:u w:val="single"/>
          <w:rtl/>
        </w:rPr>
      </w:pPr>
      <w:r>
        <w:rPr>
          <w:u w:val="single"/>
          <w:rtl/>
        </w:rPr>
        <w:t>תסקיר שירות המבחן</w:t>
      </w:r>
    </w:p>
    <w:p w14:paraId="4684AE54" w14:textId="77777777" w:rsidR="00A075FD" w:rsidRDefault="00A075FD">
      <w:pPr>
        <w:tabs>
          <w:tab w:val="left" w:pos="566"/>
          <w:tab w:val="left" w:pos="1134"/>
          <w:tab w:val="left" w:pos="1701"/>
        </w:tabs>
        <w:spacing w:line="360" w:lineRule="auto"/>
        <w:ind w:left="566" w:hanging="566"/>
        <w:jc w:val="both"/>
        <w:rPr>
          <w:u w:val="single"/>
          <w:rtl/>
        </w:rPr>
      </w:pPr>
    </w:p>
    <w:p w14:paraId="6B20ABAC" w14:textId="77777777" w:rsidR="00A075FD" w:rsidRDefault="00131090">
      <w:pPr>
        <w:tabs>
          <w:tab w:val="left" w:pos="566"/>
          <w:tab w:val="left" w:pos="1134"/>
          <w:tab w:val="left" w:pos="1701"/>
        </w:tabs>
        <w:spacing w:line="360" w:lineRule="auto"/>
        <w:ind w:left="566" w:hanging="566"/>
        <w:jc w:val="both"/>
        <w:rPr>
          <w:rtl/>
        </w:rPr>
      </w:pPr>
      <w:r>
        <w:rPr>
          <w:rtl/>
        </w:rPr>
        <w:t>5.</w:t>
      </w:r>
      <w:r>
        <w:rPr>
          <w:rtl/>
        </w:rPr>
        <w:tab/>
        <w:t>בתסקיר שירות המבחן מיום 16.6.2014 נסקרו פרטיו ונסיבותיו של הנאשם. נאמר כי מד</w:t>
      </w:r>
      <w:r>
        <w:rPr>
          <w:rFonts w:hint="cs"/>
          <w:rtl/>
        </w:rPr>
        <w:t>ו</w:t>
      </w:r>
      <w:r>
        <w:rPr>
          <w:rtl/>
        </w:rPr>
        <w:t xml:space="preserve">בר בצעיר בן 23 שהשלים 12 שנות לימוד </w:t>
      </w:r>
      <w:r>
        <w:rPr>
          <w:rFonts w:hint="cs"/>
          <w:rtl/>
        </w:rPr>
        <w:t>ו</w:t>
      </w:r>
      <w:r>
        <w:rPr>
          <w:rtl/>
        </w:rPr>
        <w:t xml:space="preserve">גדל בתנאי מחיה מצומצמים ומצב סוציו אקונומי נמוך. לאחר סיום לימודיו, עבד תקופה בניקיון ובהמשך התגייס לצבא ושירת בתפקיד נהג משאית. הנאשם שלל כל עבירת משמעת במהלך שירותו הצבאי. לאחר שחרורו, החל הנאשם לעבוד כנהג משאית עד סמוך למעצרו. כחודש עובר למעצרו, הוא נישא. </w:t>
      </w:r>
    </w:p>
    <w:p w14:paraId="5F66D98C" w14:textId="77777777" w:rsidR="00A075FD" w:rsidRDefault="00A075FD">
      <w:pPr>
        <w:tabs>
          <w:tab w:val="left" w:pos="566"/>
          <w:tab w:val="left" w:pos="1134"/>
          <w:tab w:val="left" w:pos="1701"/>
        </w:tabs>
        <w:spacing w:line="360" w:lineRule="auto"/>
        <w:ind w:left="566" w:hanging="566"/>
        <w:jc w:val="both"/>
        <w:rPr>
          <w:rtl/>
        </w:rPr>
      </w:pPr>
    </w:p>
    <w:p w14:paraId="07B4B7A4" w14:textId="77777777" w:rsidR="00A075FD" w:rsidRDefault="00131090">
      <w:pPr>
        <w:tabs>
          <w:tab w:val="left" w:pos="566"/>
          <w:tab w:val="left" w:pos="1134"/>
          <w:tab w:val="left" w:pos="1701"/>
        </w:tabs>
        <w:spacing w:line="360" w:lineRule="auto"/>
        <w:ind w:left="566" w:hanging="566"/>
        <w:jc w:val="both"/>
        <w:rPr>
          <w:rtl/>
        </w:rPr>
      </w:pPr>
      <w:r>
        <w:rPr>
          <w:rtl/>
        </w:rPr>
        <w:t>6.</w:t>
      </w:r>
      <w:r>
        <w:rPr>
          <w:rtl/>
        </w:rPr>
        <w:tab/>
        <w:t>בהתייחס לעבירות נשוא הדיון, התרשם שירות המבחן כי הנאשם נטל אחריות מלאה על מעשיו. לדבריו, הוא קיבל את האקדח מקרוב משפחה שהציע לו שילכו למקום רחוק מהכפר וינסו את האקדח. הנאשם סרב ובקש שילכו לבית הוריו בכפר. לאחר שהגיעו לבית, נטל הנאשם את האקדח וירה שתי יריות. לאחר שהירי הפחיד אותו, נטל קרוב משפחתו את האקדח והמשיך בירי. הנאשם הביע צער וחרטה כנים על מעשיו.</w:t>
      </w:r>
    </w:p>
    <w:p w14:paraId="3AF5B1A5" w14:textId="77777777" w:rsidR="00A075FD" w:rsidRDefault="00131090">
      <w:pPr>
        <w:tabs>
          <w:tab w:val="left" w:pos="566"/>
          <w:tab w:val="left" w:pos="1134"/>
          <w:tab w:val="left" w:pos="1701"/>
        </w:tabs>
        <w:spacing w:line="360" w:lineRule="auto"/>
        <w:ind w:left="566" w:hanging="566"/>
        <w:jc w:val="both"/>
        <w:rPr>
          <w:rtl/>
        </w:rPr>
      </w:pPr>
      <w:r>
        <w:rPr>
          <w:rtl/>
        </w:rPr>
        <w:br/>
        <w:t>יוער כי לאור ה</w:t>
      </w:r>
      <w:r>
        <w:rPr>
          <w:rFonts w:hint="cs"/>
          <w:rtl/>
        </w:rPr>
        <w:t xml:space="preserve">גרסה שהעלה הנאשם </w:t>
      </w:r>
      <w:r>
        <w:rPr>
          <w:rtl/>
        </w:rPr>
        <w:t>בפני קצינת המבחן</w:t>
      </w:r>
      <w:r>
        <w:rPr>
          <w:rFonts w:hint="cs"/>
          <w:rtl/>
        </w:rPr>
        <w:t xml:space="preserve"> כמתואר לעיל</w:t>
      </w:r>
      <w:r>
        <w:rPr>
          <w:rtl/>
        </w:rPr>
        <w:t>, ובשים לב לכך ש</w:t>
      </w:r>
      <w:r>
        <w:rPr>
          <w:rFonts w:hint="cs"/>
          <w:rtl/>
        </w:rPr>
        <w:t>ה</w:t>
      </w:r>
      <w:r>
        <w:rPr>
          <w:rtl/>
        </w:rPr>
        <w:t xml:space="preserve">דברים אינם תואמים באופן מלא את עובדות כתב האישום, התבקש הנאשם להתייחס לכך בטרם נשמעו הטיעונים לעונש. הנאשם חזר באופן מלא וחד משמעי על הודייתו בעובדות כתב האישום. </w:t>
      </w:r>
    </w:p>
    <w:p w14:paraId="7EACE114" w14:textId="77777777" w:rsidR="00A075FD" w:rsidRDefault="00A075FD">
      <w:pPr>
        <w:tabs>
          <w:tab w:val="left" w:pos="566"/>
          <w:tab w:val="left" w:pos="1134"/>
          <w:tab w:val="left" w:pos="1701"/>
        </w:tabs>
        <w:spacing w:line="360" w:lineRule="auto"/>
        <w:ind w:left="566" w:hanging="566"/>
        <w:jc w:val="both"/>
        <w:rPr>
          <w:rtl/>
        </w:rPr>
      </w:pPr>
    </w:p>
    <w:p w14:paraId="4943A9D0" w14:textId="77777777" w:rsidR="00A075FD" w:rsidRDefault="00131090">
      <w:pPr>
        <w:tabs>
          <w:tab w:val="left" w:pos="566"/>
          <w:tab w:val="left" w:pos="1134"/>
          <w:tab w:val="left" w:pos="1701"/>
        </w:tabs>
        <w:spacing w:line="360" w:lineRule="auto"/>
        <w:ind w:left="566" w:hanging="566"/>
        <w:jc w:val="both"/>
        <w:rPr>
          <w:rtl/>
        </w:rPr>
      </w:pPr>
      <w:r>
        <w:rPr>
          <w:rtl/>
        </w:rPr>
        <w:t>7.</w:t>
      </w:r>
      <w:r>
        <w:rPr>
          <w:rtl/>
        </w:rPr>
        <w:tab/>
        <w:t>קצינת המבחן התרשמה כי הנאשם מצוי בשלב גיבוש זהותו הבוגרת, מנהל לרוב אורח חיים נורמטיבי ללא דפוסים עברייניים מושרשים, בעל יכולת וורבאלית וקוגניטיבית תקינה. עוד התרש</w:t>
      </w:r>
      <w:r>
        <w:rPr>
          <w:rFonts w:hint="cs"/>
          <w:rtl/>
        </w:rPr>
        <w:t>מה</w:t>
      </w:r>
      <w:r>
        <w:rPr>
          <w:rtl/>
        </w:rPr>
        <w:t xml:space="preserve"> מקיומם של יסודות בריאים בתפקודו, הבאים לידי ביטוי ביציבות במסגרת תעסוקה, בשירותו הצבאי ודאגתו לבני משפחתו. יחד עם זאת, ס</w:t>
      </w:r>
      <w:r>
        <w:rPr>
          <w:rFonts w:hint="cs"/>
          <w:rtl/>
        </w:rPr>
        <w:t>ב</w:t>
      </w:r>
      <w:r>
        <w:rPr>
          <w:rtl/>
        </w:rPr>
        <w:t xml:space="preserve">ורה קצינת המבחן כי </w:t>
      </w:r>
      <w:r>
        <w:rPr>
          <w:rtl/>
        </w:rPr>
        <w:lastRenderedPageBreak/>
        <w:t>מדבור בבחור העלול להיגרר לסיטואציות של</w:t>
      </w:r>
      <w:r>
        <w:rPr>
          <w:rFonts w:hint="cs"/>
          <w:rtl/>
        </w:rPr>
        <w:t>י</w:t>
      </w:r>
      <w:r>
        <w:rPr>
          <w:rtl/>
        </w:rPr>
        <w:t xml:space="preserve">ליות, המתקשה להציב גבולות עבור הזולת. מעורבותו בעבירות </w:t>
      </w:r>
      <w:r>
        <w:rPr>
          <w:rFonts w:hint="cs"/>
          <w:rtl/>
        </w:rPr>
        <w:t xml:space="preserve">נשוא תיק זה </w:t>
      </w:r>
      <w:r>
        <w:rPr>
          <w:rtl/>
        </w:rPr>
        <w:t>חריגה לדפוסי אישיותו והתנהגותו בדרך כלל</w:t>
      </w:r>
      <w:r>
        <w:rPr>
          <w:rFonts w:hint="cs"/>
          <w:rtl/>
        </w:rPr>
        <w:t>,</w:t>
      </w:r>
      <w:r>
        <w:rPr>
          <w:rtl/>
        </w:rPr>
        <w:t xml:space="preserve"> וייתכן והסתבכותו בעבירות הנדונות קשורה לנטייתו להיגרר אחר חזקים ממנו ונוכח רצונו לרצ</w:t>
      </w:r>
      <w:r>
        <w:rPr>
          <w:rFonts w:hint="cs"/>
          <w:rtl/>
        </w:rPr>
        <w:t>ו</w:t>
      </w:r>
      <w:r>
        <w:rPr>
          <w:rtl/>
        </w:rPr>
        <w:t>ת וקשייו להציב גבולות. שירות המבחן הוסיף כי מדובר באדם המצליח להתחבר לחומרת מעשיו ולכישלונו ההתנהגותי וכי להערכתו רמת הסיכון להישנות עבירות דומות בעתיד הנה נמוכה.</w:t>
      </w:r>
    </w:p>
    <w:p w14:paraId="43D6599E" w14:textId="77777777" w:rsidR="00A075FD" w:rsidRDefault="00A075FD">
      <w:pPr>
        <w:tabs>
          <w:tab w:val="left" w:pos="566"/>
          <w:tab w:val="left" w:pos="1134"/>
          <w:tab w:val="left" w:pos="1701"/>
        </w:tabs>
        <w:spacing w:line="360" w:lineRule="auto"/>
        <w:ind w:left="566" w:hanging="566"/>
        <w:jc w:val="both"/>
        <w:rPr>
          <w:rtl/>
        </w:rPr>
      </w:pPr>
    </w:p>
    <w:p w14:paraId="1138E010" w14:textId="77777777" w:rsidR="00A075FD" w:rsidRDefault="00131090">
      <w:pPr>
        <w:tabs>
          <w:tab w:val="left" w:pos="566"/>
          <w:tab w:val="left" w:pos="1134"/>
          <w:tab w:val="left" w:pos="1701"/>
        </w:tabs>
        <w:spacing w:line="360" w:lineRule="auto"/>
        <w:ind w:left="566" w:hanging="566"/>
        <w:jc w:val="both"/>
        <w:rPr>
          <w:rtl/>
        </w:rPr>
      </w:pPr>
      <w:r>
        <w:rPr>
          <w:rtl/>
        </w:rPr>
        <w:t>8.</w:t>
      </w:r>
      <w:r>
        <w:rPr>
          <w:rtl/>
        </w:rPr>
        <w:tab/>
        <w:t>בסיכום התסקיר, נוכח העובדה כי הנאשם מצליח להתחבר ולהפנים את חומרת מעשיו וכישלונו ההתנהגותי, בהעדר עבר פלילי, ונוכח הס</w:t>
      </w:r>
      <w:r>
        <w:rPr>
          <w:rFonts w:hint="cs"/>
          <w:rtl/>
        </w:rPr>
        <w:t>כ</w:t>
      </w:r>
      <w:r>
        <w:rPr>
          <w:rtl/>
        </w:rPr>
        <w:t>מתו להשתלב בהליך טיפולי במסגרת שירות המבחן, הומלץ לשקול הטלת צו מב</w:t>
      </w:r>
      <w:r>
        <w:rPr>
          <w:rFonts w:hint="cs"/>
          <w:rtl/>
        </w:rPr>
        <w:t>ח</w:t>
      </w:r>
      <w:r>
        <w:rPr>
          <w:rtl/>
        </w:rPr>
        <w:t xml:space="preserve">ן לתקופה של שנה וחצי. במהלך תקופת הצו ישולב הנאשם בהליך טיפולי לצורך הקניית כלים אדפטיביים להתמודדות במצבי לחץ ומשבר והעלאת רמת המודעות העצמית. כמו כן הומלץ לשקול הטלת מאסר שירוצה בעבודות שירות לצד מאסר מותנה מרתיע וקנס. עוד הוסיף שירות המבחן כי להערכתו שליחתו של הנאשם לריצוי מאסר מאחורי סורג ובריח עלולה להשפיע על דפוסי התנהגותו ולגרום לרגרסיה משמעותית בתפקודו, בבואו במגע עם גורמים עברייניים. </w:t>
      </w:r>
    </w:p>
    <w:p w14:paraId="4DF87B3C" w14:textId="77777777" w:rsidR="00A075FD" w:rsidRDefault="00A075FD">
      <w:pPr>
        <w:tabs>
          <w:tab w:val="left" w:pos="566"/>
          <w:tab w:val="left" w:pos="1134"/>
          <w:tab w:val="left" w:pos="1701"/>
        </w:tabs>
        <w:spacing w:line="360" w:lineRule="auto"/>
        <w:ind w:left="566" w:hanging="566"/>
        <w:jc w:val="both"/>
        <w:rPr>
          <w:rtl/>
        </w:rPr>
      </w:pPr>
    </w:p>
    <w:p w14:paraId="509C9A31" w14:textId="77777777" w:rsidR="00A075FD" w:rsidRDefault="00131090">
      <w:pPr>
        <w:tabs>
          <w:tab w:val="left" w:pos="566"/>
          <w:tab w:val="left" w:pos="1134"/>
          <w:tab w:val="left" w:pos="1701"/>
        </w:tabs>
        <w:spacing w:line="360" w:lineRule="auto"/>
        <w:ind w:left="566" w:hanging="566"/>
        <w:jc w:val="both"/>
        <w:rPr>
          <w:u w:val="single"/>
          <w:rtl/>
        </w:rPr>
      </w:pPr>
      <w:r>
        <w:rPr>
          <w:u w:val="single"/>
          <w:rtl/>
        </w:rPr>
        <w:t>עדי האופי</w:t>
      </w:r>
    </w:p>
    <w:p w14:paraId="22D42B22" w14:textId="77777777" w:rsidR="00A075FD" w:rsidRDefault="00A075FD">
      <w:pPr>
        <w:tabs>
          <w:tab w:val="left" w:pos="566"/>
          <w:tab w:val="left" w:pos="1134"/>
          <w:tab w:val="left" w:pos="1701"/>
        </w:tabs>
        <w:spacing w:line="360" w:lineRule="auto"/>
        <w:ind w:left="566" w:hanging="566"/>
        <w:jc w:val="both"/>
        <w:rPr>
          <w:rtl/>
        </w:rPr>
      </w:pPr>
    </w:p>
    <w:p w14:paraId="40878F51" w14:textId="77777777" w:rsidR="00A075FD" w:rsidRDefault="00131090">
      <w:pPr>
        <w:tabs>
          <w:tab w:val="left" w:pos="566"/>
          <w:tab w:val="left" w:pos="1134"/>
          <w:tab w:val="left" w:pos="1701"/>
        </w:tabs>
        <w:spacing w:line="360" w:lineRule="auto"/>
        <w:ind w:left="566" w:hanging="566"/>
        <w:jc w:val="both"/>
        <w:rPr>
          <w:rtl/>
        </w:rPr>
      </w:pPr>
      <w:r>
        <w:rPr>
          <w:rtl/>
        </w:rPr>
        <w:t>9.</w:t>
      </w:r>
      <w:r>
        <w:rPr>
          <w:rtl/>
        </w:rPr>
        <w:tab/>
        <w:t xml:space="preserve">מטעם ההגנה העידו שני עדי אופי, אריאל ארביב ואופיר ישראל, תחת פיקודם שירת הנאשם במהלך שירותו הצבאי. </w:t>
      </w:r>
    </w:p>
    <w:p w14:paraId="2B91F9B5" w14:textId="77777777" w:rsidR="00A075FD" w:rsidRDefault="00A075FD">
      <w:pPr>
        <w:tabs>
          <w:tab w:val="left" w:pos="566"/>
          <w:tab w:val="left" w:pos="1134"/>
          <w:tab w:val="left" w:pos="1701"/>
        </w:tabs>
        <w:spacing w:line="360" w:lineRule="auto"/>
        <w:ind w:left="566" w:hanging="566"/>
        <w:jc w:val="both"/>
        <w:rPr>
          <w:rtl/>
        </w:rPr>
      </w:pPr>
    </w:p>
    <w:p w14:paraId="1A256215" w14:textId="77777777" w:rsidR="00A075FD" w:rsidRDefault="00131090">
      <w:pPr>
        <w:tabs>
          <w:tab w:val="left" w:pos="566"/>
          <w:tab w:val="left" w:pos="1134"/>
          <w:tab w:val="left" w:pos="1701"/>
        </w:tabs>
        <w:spacing w:line="360" w:lineRule="auto"/>
        <w:ind w:left="566" w:hanging="566"/>
        <w:jc w:val="both"/>
        <w:rPr>
          <w:rtl/>
        </w:rPr>
      </w:pPr>
      <w:r>
        <w:rPr>
          <w:rtl/>
        </w:rPr>
        <w:tab/>
        <w:t>אריאל ארביב, מש"ק בכיר פלוגתי בפלוגת משאי</w:t>
      </w:r>
      <w:r>
        <w:rPr>
          <w:rFonts w:hint="cs"/>
          <w:rtl/>
        </w:rPr>
        <w:t>ו</w:t>
      </w:r>
      <w:r>
        <w:rPr>
          <w:rtl/>
        </w:rPr>
        <w:t xml:space="preserve">ת בגדוד הובלה צפוני סיפר כי הכיר את הנאשם משך שנה וחצי כחייל בפלוגתו. </w:t>
      </w:r>
      <w:r>
        <w:rPr>
          <w:rFonts w:hint="cs"/>
          <w:rtl/>
        </w:rPr>
        <w:t xml:space="preserve">לדבריו, </w:t>
      </w:r>
      <w:r>
        <w:rPr>
          <w:rtl/>
        </w:rPr>
        <w:t>מדובר בצעיר נורמטיבי, אחד החיילים היותר טובים של הפלוגה, שביצע את המשימות הפשוטות והמורכבות כאחת</w:t>
      </w:r>
      <w:r>
        <w:rPr>
          <w:rFonts w:hint="cs"/>
          <w:rtl/>
        </w:rPr>
        <w:t>,</w:t>
      </w:r>
      <w:r>
        <w:rPr>
          <w:rtl/>
        </w:rPr>
        <w:t xml:space="preserve"> מעולם לא התווכח, מעולם לא הרים קול ונהג במפקדיו ביראת כבוד.</w:t>
      </w:r>
    </w:p>
    <w:p w14:paraId="2730847D" w14:textId="77777777" w:rsidR="00A075FD" w:rsidRDefault="00A075FD">
      <w:pPr>
        <w:tabs>
          <w:tab w:val="left" w:pos="566"/>
          <w:tab w:val="left" w:pos="1134"/>
          <w:tab w:val="left" w:pos="1701"/>
        </w:tabs>
        <w:spacing w:line="360" w:lineRule="auto"/>
        <w:ind w:left="566" w:hanging="566"/>
        <w:jc w:val="both"/>
        <w:rPr>
          <w:rtl/>
        </w:rPr>
      </w:pPr>
    </w:p>
    <w:p w14:paraId="0B57867B" w14:textId="77777777" w:rsidR="00A075FD" w:rsidRDefault="00131090">
      <w:pPr>
        <w:tabs>
          <w:tab w:val="left" w:pos="566"/>
          <w:tab w:val="left" w:pos="1134"/>
          <w:tab w:val="left" w:pos="1701"/>
        </w:tabs>
        <w:spacing w:line="360" w:lineRule="auto"/>
        <w:ind w:left="566" w:hanging="566"/>
        <w:jc w:val="both"/>
        <w:rPr>
          <w:rtl/>
        </w:rPr>
      </w:pPr>
      <w:r>
        <w:rPr>
          <w:rtl/>
        </w:rPr>
        <w:tab/>
        <w:t xml:space="preserve">אופיר ישראל ציין אף הוא כי הנאשם שירת תחת פיקודו משך כשנה וחצי. לדבריו, מדובר בצעיר למופת, חבר ובן אדם. כחייל, ביצע כל משימה שהוטלה עליו על הצד הטוב ביותר. גם לאחר שהשתחרר ועבר לפלוגה אחרת,  שמרו הנאשם והעד על קשר אחת לכמה זמן. </w:t>
      </w:r>
    </w:p>
    <w:p w14:paraId="37CED2B5" w14:textId="77777777" w:rsidR="00A075FD" w:rsidRDefault="00A075FD">
      <w:pPr>
        <w:tabs>
          <w:tab w:val="left" w:pos="566"/>
          <w:tab w:val="left" w:pos="1134"/>
          <w:tab w:val="left" w:pos="1701"/>
        </w:tabs>
        <w:spacing w:line="360" w:lineRule="auto"/>
        <w:ind w:left="566" w:hanging="566"/>
        <w:jc w:val="both"/>
        <w:rPr>
          <w:rtl/>
        </w:rPr>
      </w:pPr>
    </w:p>
    <w:p w14:paraId="1476422C" w14:textId="77777777" w:rsidR="00A075FD" w:rsidRDefault="00131090">
      <w:pPr>
        <w:tabs>
          <w:tab w:val="left" w:pos="566"/>
          <w:tab w:val="left" w:pos="1134"/>
          <w:tab w:val="left" w:pos="1701"/>
        </w:tabs>
        <w:spacing w:line="360" w:lineRule="auto"/>
        <w:ind w:left="566" w:hanging="566"/>
        <w:jc w:val="both"/>
        <w:rPr>
          <w:u w:val="single"/>
          <w:rtl/>
        </w:rPr>
      </w:pPr>
      <w:r>
        <w:rPr>
          <w:u w:val="single"/>
          <w:rtl/>
        </w:rPr>
        <w:t>טיעוני הצדדים</w:t>
      </w:r>
    </w:p>
    <w:p w14:paraId="17D5525A" w14:textId="77777777" w:rsidR="00A075FD" w:rsidRDefault="00A075FD">
      <w:pPr>
        <w:tabs>
          <w:tab w:val="left" w:pos="566"/>
          <w:tab w:val="left" w:pos="1134"/>
          <w:tab w:val="left" w:pos="1701"/>
        </w:tabs>
        <w:spacing w:line="360" w:lineRule="auto"/>
        <w:ind w:left="566" w:hanging="566"/>
        <w:jc w:val="both"/>
        <w:rPr>
          <w:rtl/>
        </w:rPr>
      </w:pPr>
    </w:p>
    <w:p w14:paraId="6DC4FB4B" w14:textId="77777777" w:rsidR="00A075FD" w:rsidRDefault="00131090">
      <w:pPr>
        <w:tabs>
          <w:tab w:val="left" w:pos="566"/>
          <w:tab w:val="left" w:pos="1134"/>
          <w:tab w:val="left" w:pos="1701"/>
        </w:tabs>
        <w:spacing w:line="360" w:lineRule="auto"/>
        <w:ind w:left="566" w:hanging="566"/>
        <w:jc w:val="both"/>
        <w:rPr>
          <w:rtl/>
        </w:rPr>
      </w:pPr>
      <w:r>
        <w:rPr>
          <w:rtl/>
        </w:rPr>
        <w:t>10.</w:t>
      </w:r>
      <w:r>
        <w:rPr>
          <w:rtl/>
        </w:rPr>
        <w:tab/>
        <w:t>בפתח טיעוניה לעונש, ציינה המאשימה כי מדובר במי שאין לחובתו כל הרשעות קודמות. יחד עם זאת, מדובר בעבירה חמורה של ירי באזור מגורים צפוף, שנעשתה בשעת יום. להמחשת הדברים הוצג תצלום אווירי של זירת האירוע</w:t>
      </w:r>
      <w:r>
        <w:rPr>
          <w:rFonts w:hint="cs"/>
          <w:rtl/>
        </w:rPr>
        <w:t xml:space="preserve"> (תע/1)</w:t>
      </w:r>
      <w:r>
        <w:rPr>
          <w:rtl/>
        </w:rPr>
        <w:t xml:space="preserve">. נכון הוא שהירי בוצע באוויר ולא גרם נזקים בפועל לגוף או לרכוש, יחד עם זאת אין בעובדה זו כדי להקהות מחומרת העבירה הטומנת בחובה פוטנציאל לפגיעה הן ברכוש והן בנפש. </w:t>
      </w:r>
    </w:p>
    <w:p w14:paraId="38E959B8" w14:textId="77777777" w:rsidR="00A075FD" w:rsidRDefault="00A075FD">
      <w:pPr>
        <w:tabs>
          <w:tab w:val="left" w:pos="566"/>
          <w:tab w:val="left" w:pos="1134"/>
          <w:tab w:val="left" w:pos="1701"/>
        </w:tabs>
        <w:spacing w:line="360" w:lineRule="auto"/>
        <w:ind w:left="566" w:hanging="566"/>
        <w:jc w:val="both"/>
        <w:rPr>
          <w:rtl/>
        </w:rPr>
      </w:pPr>
    </w:p>
    <w:p w14:paraId="6B23A9DA" w14:textId="77777777" w:rsidR="00A075FD" w:rsidRDefault="00131090">
      <w:pPr>
        <w:tabs>
          <w:tab w:val="left" w:pos="566"/>
          <w:tab w:val="left" w:pos="1134"/>
          <w:tab w:val="left" w:pos="1701"/>
        </w:tabs>
        <w:spacing w:line="360" w:lineRule="auto"/>
        <w:ind w:left="566" w:hanging="566"/>
        <w:jc w:val="both"/>
        <w:rPr>
          <w:rtl/>
        </w:rPr>
      </w:pPr>
      <w:r>
        <w:rPr>
          <w:rtl/>
        </w:rPr>
        <w:tab/>
        <w:t>בתוך כך, הפנה ב"כ המאשימה להתייחסותו המחמירה של המחוקק לעבירה של נשיאת נשק, בצדה קבע עשר שנות מאסר. אף בתי המשפט הלכו בעקבות המחוקק והתייחסו בחומרה לתופעה של שימוש בנשק חם לאור מימדי התופעה, זמינותו של נשק והקלות הבלתי נסבלת בה נעשה שימוש בנשק הט</w:t>
      </w:r>
      <w:r>
        <w:rPr>
          <w:rFonts w:hint="cs"/>
          <w:rtl/>
        </w:rPr>
        <w:t>ו</w:t>
      </w:r>
      <w:r>
        <w:rPr>
          <w:rtl/>
        </w:rPr>
        <w:t xml:space="preserve">מן פוטנציאל לנזק משמעותי.    </w:t>
      </w:r>
    </w:p>
    <w:p w14:paraId="5238115F" w14:textId="77777777" w:rsidR="00A075FD" w:rsidRDefault="00A075FD">
      <w:pPr>
        <w:tabs>
          <w:tab w:val="left" w:pos="566"/>
          <w:tab w:val="left" w:pos="1134"/>
          <w:tab w:val="left" w:pos="1701"/>
        </w:tabs>
        <w:spacing w:line="360" w:lineRule="auto"/>
        <w:ind w:left="566" w:hanging="566"/>
        <w:jc w:val="both"/>
        <w:rPr>
          <w:rtl/>
        </w:rPr>
      </w:pPr>
    </w:p>
    <w:p w14:paraId="4BFF490B" w14:textId="77777777" w:rsidR="00A075FD" w:rsidRDefault="00131090">
      <w:pPr>
        <w:tabs>
          <w:tab w:val="left" w:pos="566"/>
          <w:tab w:val="left" w:pos="1134"/>
          <w:tab w:val="left" w:pos="1701"/>
        </w:tabs>
        <w:spacing w:line="360" w:lineRule="auto"/>
        <w:ind w:left="566" w:hanging="566"/>
        <w:jc w:val="both"/>
        <w:rPr>
          <w:rtl/>
        </w:rPr>
      </w:pPr>
      <w:r>
        <w:rPr>
          <w:rtl/>
        </w:rPr>
        <w:tab/>
        <w:t xml:space="preserve">ב"כ המאשימה הוסיף כי הערכים החברתיים שנפגעו מביצוע העבירה הם פגיעה בשלמות גופו, קניינו ובטחונו של הציבור, ערכים שזכו למעמד חוקתי. </w:t>
      </w:r>
    </w:p>
    <w:p w14:paraId="1BA21B8A" w14:textId="77777777" w:rsidR="00A075FD" w:rsidRDefault="00A075FD">
      <w:pPr>
        <w:tabs>
          <w:tab w:val="left" w:pos="566"/>
          <w:tab w:val="left" w:pos="1134"/>
          <w:tab w:val="left" w:pos="1701"/>
        </w:tabs>
        <w:spacing w:line="360" w:lineRule="auto"/>
        <w:ind w:left="566" w:hanging="566"/>
        <w:jc w:val="both"/>
        <w:rPr>
          <w:rtl/>
        </w:rPr>
      </w:pPr>
    </w:p>
    <w:p w14:paraId="3507503B" w14:textId="77777777" w:rsidR="00A075FD" w:rsidRDefault="00131090">
      <w:pPr>
        <w:tabs>
          <w:tab w:val="left" w:pos="566"/>
          <w:tab w:val="left" w:pos="1134"/>
          <w:tab w:val="left" w:pos="1701"/>
        </w:tabs>
        <w:spacing w:line="360" w:lineRule="auto"/>
        <w:ind w:left="566" w:hanging="566"/>
        <w:jc w:val="both"/>
        <w:rPr>
          <w:rtl/>
        </w:rPr>
      </w:pPr>
      <w:r>
        <w:rPr>
          <w:rtl/>
        </w:rPr>
        <w:tab/>
        <w:t xml:space="preserve">בהתייחס לתסקיר שירות המבחן, הפנה ב"כ המאשימה לכך שהגרסה המובאת מפי הנאשם בפני קצינת המבחן בכל הנוגע למהלך ביצוע העבירות שונה מעובדות כתב האישום.  בכל מקרה בקשה המאשימה לדחות את המלצות שירות המבחן שאינן עולות בקנה אחד עם חומרת העבירות בהן הורשע הנאשם. </w:t>
      </w:r>
    </w:p>
    <w:p w14:paraId="749DABC4" w14:textId="77777777" w:rsidR="00A075FD" w:rsidRDefault="00A075FD">
      <w:pPr>
        <w:tabs>
          <w:tab w:val="left" w:pos="566"/>
          <w:tab w:val="left" w:pos="1134"/>
          <w:tab w:val="left" w:pos="1701"/>
        </w:tabs>
        <w:spacing w:line="360" w:lineRule="auto"/>
        <w:ind w:left="566" w:hanging="566"/>
        <w:jc w:val="both"/>
        <w:rPr>
          <w:rtl/>
        </w:rPr>
      </w:pPr>
    </w:p>
    <w:p w14:paraId="5FD37137" w14:textId="77777777" w:rsidR="00A075FD" w:rsidRDefault="00131090">
      <w:pPr>
        <w:tabs>
          <w:tab w:val="left" w:pos="566"/>
          <w:tab w:val="left" w:pos="1134"/>
          <w:tab w:val="left" w:pos="1701"/>
        </w:tabs>
        <w:spacing w:line="360" w:lineRule="auto"/>
        <w:ind w:left="566" w:hanging="566"/>
        <w:jc w:val="both"/>
        <w:rPr>
          <w:rtl/>
        </w:rPr>
      </w:pPr>
      <w:r>
        <w:rPr>
          <w:rtl/>
        </w:rPr>
        <w:tab/>
        <w:t xml:space="preserve">המאשימה סבורה כי בנסיבות ביצוע העבירה בענייננו, מתחם העונש ההולם נע בין שלוש לחמש שנות מאסר בפועל. עוד בקש ב"כ המאשימה להשית על הנאשם מאסר מותנה וקנס כספי.  </w:t>
      </w:r>
    </w:p>
    <w:p w14:paraId="4DAB444A" w14:textId="77777777" w:rsidR="00A075FD" w:rsidRDefault="00A075FD">
      <w:pPr>
        <w:tabs>
          <w:tab w:val="left" w:pos="566"/>
          <w:tab w:val="left" w:pos="1134"/>
          <w:tab w:val="left" w:pos="1701"/>
        </w:tabs>
        <w:spacing w:line="360" w:lineRule="auto"/>
        <w:ind w:left="566" w:hanging="566"/>
        <w:jc w:val="both"/>
        <w:rPr>
          <w:rtl/>
        </w:rPr>
      </w:pPr>
    </w:p>
    <w:p w14:paraId="3E67A7A5" w14:textId="77777777" w:rsidR="00A075FD" w:rsidRDefault="00131090">
      <w:pPr>
        <w:tabs>
          <w:tab w:val="left" w:pos="566"/>
          <w:tab w:val="left" w:pos="1134"/>
          <w:tab w:val="left" w:pos="1701"/>
        </w:tabs>
        <w:spacing w:line="360" w:lineRule="auto"/>
        <w:ind w:left="566" w:hanging="566"/>
        <w:jc w:val="both"/>
        <w:rPr>
          <w:rtl/>
        </w:rPr>
      </w:pPr>
      <w:r>
        <w:rPr>
          <w:rtl/>
        </w:rPr>
        <w:t>11.</w:t>
      </w:r>
      <w:r>
        <w:rPr>
          <w:rtl/>
        </w:rPr>
        <w:tab/>
        <w:t>בפתח טיעוניו לעונש הפנה הסניגור לכך שענישה אינה עניין מכאני ואין לקבוע תעריפים קבועים וכי היא לעולם מעשה אינדיווידואלי במסגרתו מתחשב בית המשפט בנסיבותיו הייחודיות והספציפיות של המקרה הנדון ושל הנאשם העומד בפניו.</w:t>
      </w:r>
      <w:r>
        <w:rPr>
          <w:rFonts w:hint="cs"/>
          <w:rtl/>
        </w:rPr>
        <w:t xml:space="preserve"> </w:t>
      </w:r>
      <w:r>
        <w:rPr>
          <w:rtl/>
        </w:rPr>
        <w:t xml:space="preserve">אין דינו של נאשם שעשה שימוש בנשק אגב ביצוע פשע, כדינו של נאשם שעבר עבירת נשק מבלי שהתלוותה אליה כל עבירה אחרת. </w:t>
      </w:r>
    </w:p>
    <w:p w14:paraId="299739D6" w14:textId="77777777" w:rsidR="00A075FD" w:rsidRDefault="00A075FD">
      <w:pPr>
        <w:tabs>
          <w:tab w:val="left" w:pos="566"/>
          <w:tab w:val="left" w:pos="1134"/>
          <w:tab w:val="left" w:pos="1701"/>
        </w:tabs>
        <w:spacing w:line="360" w:lineRule="auto"/>
        <w:ind w:left="566" w:hanging="566"/>
        <w:jc w:val="both"/>
        <w:rPr>
          <w:rtl/>
        </w:rPr>
      </w:pPr>
    </w:p>
    <w:p w14:paraId="299298DE" w14:textId="77777777" w:rsidR="00A075FD" w:rsidRDefault="00131090">
      <w:pPr>
        <w:tabs>
          <w:tab w:val="left" w:pos="566"/>
          <w:tab w:val="left" w:pos="1134"/>
          <w:tab w:val="left" w:pos="1701"/>
        </w:tabs>
        <w:spacing w:line="360" w:lineRule="auto"/>
        <w:ind w:left="566" w:hanging="566"/>
        <w:jc w:val="both"/>
        <w:rPr>
          <w:rtl/>
        </w:rPr>
      </w:pPr>
      <w:r>
        <w:rPr>
          <w:rtl/>
        </w:rPr>
        <w:tab/>
        <w:t>בהתייחס לנסיבות הקשורות בביצוע העבירה, הצטרף הסנגור לדברי ב</w:t>
      </w:r>
      <w:r>
        <w:rPr>
          <w:rFonts w:hint="cs"/>
          <w:rtl/>
        </w:rPr>
        <w:t>"</w:t>
      </w:r>
      <w:r>
        <w:rPr>
          <w:rtl/>
        </w:rPr>
        <w:t xml:space="preserve">כ המאשימה לגבי כך שהערך החברתי שנפגע מביצוע העבירה הוא שלום הציבור ובטחונו. יחד עם זאת, הפגיעה בערך זה אינה מצויה במדרג הגבוה של חומרה בשים לב לכך שהנאשם לא כיוון את הנשק לכיוון רכושו או גופו של אדם כלשהו וכי בפועל לא נגרם כל נזק לרכוש או לנפש. </w:t>
      </w:r>
    </w:p>
    <w:p w14:paraId="77FF331E" w14:textId="77777777" w:rsidR="00A075FD" w:rsidRDefault="00A075FD">
      <w:pPr>
        <w:tabs>
          <w:tab w:val="left" w:pos="566"/>
          <w:tab w:val="left" w:pos="1134"/>
          <w:tab w:val="left" w:pos="1701"/>
        </w:tabs>
        <w:spacing w:line="360" w:lineRule="auto"/>
        <w:ind w:left="566" w:hanging="566"/>
        <w:jc w:val="both"/>
        <w:rPr>
          <w:rtl/>
        </w:rPr>
      </w:pPr>
    </w:p>
    <w:p w14:paraId="14590820" w14:textId="77777777" w:rsidR="00A075FD" w:rsidRDefault="00131090">
      <w:pPr>
        <w:tabs>
          <w:tab w:val="left" w:pos="566"/>
          <w:tab w:val="left" w:pos="1134"/>
          <w:tab w:val="left" w:pos="1701"/>
        </w:tabs>
        <w:spacing w:line="360" w:lineRule="auto"/>
        <w:ind w:left="566" w:hanging="566"/>
        <w:jc w:val="both"/>
        <w:rPr>
          <w:rtl/>
        </w:rPr>
      </w:pPr>
      <w:r>
        <w:rPr>
          <w:rtl/>
        </w:rPr>
        <w:tab/>
        <w:t xml:space="preserve">לטענת ב"כ הנאשם מתחם העונש ההולם את נסיבות המקרה נע בין ששה חודשי מאסר לריצוי בעבודות שירות לבין שנתיים מאסר בפועל. </w:t>
      </w:r>
    </w:p>
    <w:p w14:paraId="369981C7" w14:textId="77777777" w:rsidR="00A075FD" w:rsidRDefault="00A075FD">
      <w:pPr>
        <w:tabs>
          <w:tab w:val="left" w:pos="566"/>
          <w:tab w:val="left" w:pos="1134"/>
          <w:tab w:val="left" w:pos="1701"/>
        </w:tabs>
        <w:spacing w:line="360" w:lineRule="auto"/>
        <w:ind w:left="566" w:hanging="566"/>
        <w:jc w:val="both"/>
        <w:rPr>
          <w:rtl/>
        </w:rPr>
      </w:pPr>
    </w:p>
    <w:p w14:paraId="3A147414" w14:textId="77777777" w:rsidR="00A075FD" w:rsidRDefault="00131090">
      <w:pPr>
        <w:tabs>
          <w:tab w:val="left" w:pos="566"/>
          <w:tab w:val="left" w:pos="1134"/>
          <w:tab w:val="left" w:pos="1701"/>
        </w:tabs>
        <w:spacing w:line="360" w:lineRule="auto"/>
        <w:ind w:left="566" w:hanging="566"/>
        <w:jc w:val="both"/>
        <w:rPr>
          <w:rtl/>
        </w:rPr>
      </w:pPr>
      <w:r>
        <w:rPr>
          <w:rtl/>
        </w:rPr>
        <w:tab/>
        <w:t xml:space="preserve">אשר לנסיבות שאינן קשורות בביצוע העבירה, הפנה הסנגור לכך שאין לחובתו של הנאשם כל הרשעות קודמות. העבירות נשוא כתב האישום מהוות אירוע אחד שהוא הסתבכותו הראשונה של הנאשם עם החוק שעד אליו הוא ניהל אורח חיים נורמטיבי לחלוטין. עוד הצביע הסנגור על העובדה שהנאשם הודה בהזדמנות הראשונה ובכך חסך זמן שיפוטי יקר וכן לעובדה כי הלה הביע חרטה וצער, תוך נטילת אחריות מלאה על מעשיו. ב"כ הנאשם </w:t>
      </w:r>
      <w:r>
        <w:rPr>
          <w:rFonts w:hint="cs"/>
          <w:rtl/>
        </w:rPr>
        <w:t xml:space="preserve">הוסיף </w:t>
      </w:r>
      <w:r>
        <w:rPr>
          <w:rtl/>
        </w:rPr>
        <w:t>כי עד להסתבכותו באירוע נשוא הדיון, לא זו בלבד ששולחו ניהל אורח חיים נורמטיבי אלא הוא גילה מעור</w:t>
      </w:r>
      <w:r>
        <w:rPr>
          <w:rFonts w:hint="cs"/>
          <w:rtl/>
        </w:rPr>
        <w:t>ב</w:t>
      </w:r>
      <w:r>
        <w:rPr>
          <w:rtl/>
        </w:rPr>
        <w:t xml:space="preserve">ות חברתית ואזרחות למופת. במסגרת זו הוצגה תעודת מתנדב במשמר האזרחי (נע/1), אישור מנהל בי"ס תיכון בכפר בענה, שם התנדב הנאשם כחשמלאי (נע/3) ומכתב ראש המועצה המקומית בענה המציין כי מדובר בצעיר הנמנה על משפחה מכובדת בכפר, בעל אישיות חיובית שהתנהגותו למופת (נע/4). </w:t>
      </w:r>
    </w:p>
    <w:p w14:paraId="3DB5F35D" w14:textId="77777777" w:rsidR="00A075FD" w:rsidRDefault="00A075FD">
      <w:pPr>
        <w:tabs>
          <w:tab w:val="left" w:pos="566"/>
          <w:tab w:val="left" w:pos="1134"/>
          <w:tab w:val="left" w:pos="1701"/>
        </w:tabs>
        <w:spacing w:line="360" w:lineRule="auto"/>
        <w:ind w:left="566" w:hanging="566"/>
        <w:jc w:val="both"/>
        <w:rPr>
          <w:rtl/>
        </w:rPr>
      </w:pPr>
    </w:p>
    <w:p w14:paraId="0846174C" w14:textId="77777777" w:rsidR="00A075FD" w:rsidRDefault="00131090">
      <w:pPr>
        <w:tabs>
          <w:tab w:val="left" w:pos="566"/>
          <w:tab w:val="left" w:pos="1134"/>
          <w:tab w:val="left" w:pos="1701"/>
        </w:tabs>
        <w:spacing w:line="360" w:lineRule="auto"/>
        <w:ind w:left="566" w:hanging="566"/>
        <w:jc w:val="both"/>
        <w:rPr>
          <w:rtl/>
        </w:rPr>
      </w:pPr>
      <w:r>
        <w:rPr>
          <w:rtl/>
        </w:rPr>
        <w:tab/>
        <w:t xml:space="preserve">ב"כ הנאשם הצביע גם על התרשמות שירות המבחן כפי שזו עולה מהתסקיר החיובי </w:t>
      </w:r>
      <w:r>
        <w:rPr>
          <w:rFonts w:hint="cs"/>
          <w:rtl/>
        </w:rPr>
        <w:t xml:space="preserve">שהוגש </w:t>
      </w:r>
      <w:r>
        <w:rPr>
          <w:rtl/>
        </w:rPr>
        <w:t>אודות הנאשם ובקש לאמץ את המלצת קצינת המבחן. עוד הוסיף כי ככל שייקבע מתחם ענישה גבוה יותר מזה לו טוענת ההגנה,  ראוי לחרוג לקולא מאותו מתחם משיקולי שיקום, על פי המלצת שירות המבחן</w:t>
      </w:r>
      <w:r>
        <w:rPr>
          <w:rFonts w:hint="cs"/>
          <w:rtl/>
        </w:rPr>
        <w:t>,</w:t>
      </w:r>
      <w:r>
        <w:rPr>
          <w:rtl/>
        </w:rPr>
        <w:t xml:space="preserve"> ולהשית על הנאשם מאסר שירוצה בעבודות שירות. </w:t>
      </w:r>
    </w:p>
    <w:p w14:paraId="03F8704A" w14:textId="77777777" w:rsidR="00A075FD" w:rsidRDefault="00A075FD">
      <w:pPr>
        <w:tabs>
          <w:tab w:val="left" w:pos="566"/>
          <w:tab w:val="left" w:pos="1134"/>
          <w:tab w:val="left" w:pos="1701"/>
        </w:tabs>
        <w:spacing w:line="360" w:lineRule="auto"/>
        <w:ind w:left="566" w:hanging="566"/>
        <w:jc w:val="both"/>
        <w:rPr>
          <w:rtl/>
        </w:rPr>
      </w:pPr>
    </w:p>
    <w:p w14:paraId="6CF88AC4" w14:textId="77777777" w:rsidR="00A075FD" w:rsidRDefault="00131090">
      <w:pPr>
        <w:tabs>
          <w:tab w:val="left" w:pos="566"/>
          <w:tab w:val="left" w:pos="1134"/>
          <w:tab w:val="left" w:pos="1701"/>
        </w:tabs>
        <w:spacing w:line="360" w:lineRule="auto"/>
        <w:ind w:left="566" w:hanging="566"/>
        <w:jc w:val="both"/>
        <w:rPr>
          <w:rtl/>
        </w:rPr>
      </w:pPr>
      <w:r>
        <w:rPr>
          <w:rtl/>
        </w:rPr>
        <w:t>12.</w:t>
      </w:r>
      <w:r>
        <w:rPr>
          <w:rtl/>
        </w:rPr>
        <w:tab/>
        <w:t xml:space="preserve">בתום טיעוני ב"כ הצדדים לעונש, הביע הנאשם צער על מה שקרה. לדבריו, הוא נגרר ולא התכוון למעשים, עליהם לא יחזור יותר. הנאשם בקש את התחשבותו של בית המשפט. </w:t>
      </w:r>
    </w:p>
    <w:p w14:paraId="15F070C6" w14:textId="77777777" w:rsidR="00A075FD" w:rsidRDefault="00A075FD">
      <w:pPr>
        <w:tabs>
          <w:tab w:val="left" w:pos="566"/>
          <w:tab w:val="left" w:pos="1134"/>
          <w:tab w:val="left" w:pos="1701"/>
        </w:tabs>
        <w:spacing w:line="360" w:lineRule="auto"/>
        <w:ind w:left="566" w:hanging="566"/>
        <w:jc w:val="both"/>
        <w:rPr>
          <w:rtl/>
        </w:rPr>
      </w:pPr>
    </w:p>
    <w:p w14:paraId="4423213D" w14:textId="77777777" w:rsidR="00A075FD" w:rsidRDefault="00131090">
      <w:pPr>
        <w:tabs>
          <w:tab w:val="left" w:pos="566"/>
          <w:tab w:val="left" w:pos="1134"/>
          <w:tab w:val="left" w:pos="1701"/>
        </w:tabs>
        <w:spacing w:line="360" w:lineRule="auto"/>
        <w:ind w:left="566" w:hanging="566"/>
        <w:jc w:val="both"/>
        <w:rPr>
          <w:u w:val="single"/>
          <w:rtl/>
        </w:rPr>
      </w:pPr>
      <w:r>
        <w:rPr>
          <w:u w:val="single"/>
          <w:rtl/>
        </w:rPr>
        <w:t>מתחם העונש</w:t>
      </w:r>
    </w:p>
    <w:p w14:paraId="12BEFBAD" w14:textId="77777777" w:rsidR="00A075FD" w:rsidRDefault="00A075FD">
      <w:pPr>
        <w:tabs>
          <w:tab w:val="left" w:pos="566"/>
          <w:tab w:val="left" w:pos="1134"/>
          <w:tab w:val="left" w:pos="1701"/>
        </w:tabs>
        <w:spacing w:line="360" w:lineRule="auto"/>
        <w:ind w:left="566" w:hanging="566"/>
        <w:jc w:val="both"/>
        <w:rPr>
          <w:rtl/>
        </w:rPr>
      </w:pPr>
    </w:p>
    <w:p w14:paraId="43C9DF82" w14:textId="77777777" w:rsidR="00A075FD" w:rsidRDefault="00131090">
      <w:pPr>
        <w:tabs>
          <w:tab w:val="left" w:pos="566"/>
          <w:tab w:val="left" w:pos="1134"/>
          <w:tab w:val="left" w:pos="1701"/>
        </w:tabs>
        <w:spacing w:line="360" w:lineRule="auto"/>
        <w:ind w:left="566" w:hanging="566"/>
        <w:jc w:val="both"/>
        <w:rPr>
          <w:rtl/>
          <w:lang w:eastAsia="he-IL"/>
        </w:rPr>
      </w:pPr>
      <w:r>
        <w:rPr>
          <w:rtl/>
        </w:rPr>
        <w:t>13.</w:t>
      </w:r>
      <w:r>
        <w:rPr>
          <w:rtl/>
        </w:rPr>
        <w:tab/>
      </w:r>
      <w:r>
        <w:rPr>
          <w:rtl/>
          <w:lang w:eastAsia="he-IL"/>
        </w:rPr>
        <w:t>בהתאם לתיקון 113 ל</w:t>
      </w:r>
      <w:hyperlink r:id="rId18" w:history="1">
        <w:r w:rsidRPr="00131090">
          <w:rPr>
            <w:color w:val="0000FF"/>
            <w:u w:val="single"/>
            <w:rtl/>
            <w:lang w:eastAsia="he-IL"/>
          </w:rPr>
          <w:t>חוק העונשין</w:t>
        </w:r>
      </w:hyperlink>
      <w:r>
        <w:rPr>
          <w:rtl/>
          <w:lang w:eastAsia="he-IL"/>
        </w:rPr>
        <w:t xml:space="preserve">, מתחם העונש ההולם ייקבע תוך התחשבות בערכים החברתיים שנפגעו מביצוע העבירה, מידת הפגיעה בהם, מדיניות הענישה הנהוגה והנסיבות הקשורות בביצוע העבירה. </w:t>
      </w:r>
    </w:p>
    <w:p w14:paraId="329058E4" w14:textId="77777777" w:rsidR="00A075FD" w:rsidRDefault="00A075FD">
      <w:pPr>
        <w:tabs>
          <w:tab w:val="left" w:pos="566"/>
          <w:tab w:val="left" w:pos="1134"/>
          <w:tab w:val="left" w:pos="1701"/>
        </w:tabs>
        <w:spacing w:line="360" w:lineRule="auto"/>
        <w:ind w:left="566" w:hanging="566"/>
        <w:jc w:val="both"/>
        <w:rPr>
          <w:rtl/>
          <w:lang w:eastAsia="he-IL"/>
        </w:rPr>
      </w:pPr>
    </w:p>
    <w:p w14:paraId="66AEF46C" w14:textId="77777777" w:rsidR="00A075FD" w:rsidRDefault="00131090">
      <w:pPr>
        <w:tabs>
          <w:tab w:val="left" w:pos="566"/>
          <w:tab w:val="left" w:pos="1134"/>
          <w:tab w:val="left" w:pos="1701"/>
        </w:tabs>
        <w:spacing w:line="360" w:lineRule="auto"/>
        <w:ind w:left="566" w:hanging="566"/>
        <w:jc w:val="both"/>
        <w:rPr>
          <w:rtl/>
          <w:lang w:eastAsia="he-IL"/>
        </w:rPr>
      </w:pPr>
      <w:r>
        <w:rPr>
          <w:rtl/>
          <w:lang w:eastAsia="he-IL"/>
        </w:rPr>
        <w:tab/>
      </w:r>
      <w:hyperlink r:id="rId19" w:history="1">
        <w:r w:rsidR="00BA7E9D" w:rsidRPr="00BA7E9D">
          <w:rPr>
            <w:color w:val="0000FF"/>
            <w:u w:val="single"/>
            <w:rtl/>
            <w:lang w:eastAsia="he-IL"/>
          </w:rPr>
          <w:t>סעיף 40יג(א)</w:t>
        </w:r>
      </w:hyperlink>
      <w:r>
        <w:rPr>
          <w:rtl/>
          <w:lang w:eastAsia="he-IL"/>
        </w:rPr>
        <w:t xml:space="preserve"> ל</w:t>
      </w:r>
      <w:hyperlink r:id="rId20" w:history="1">
        <w:r w:rsidRPr="00131090">
          <w:rPr>
            <w:color w:val="0000FF"/>
            <w:u w:val="single"/>
            <w:rtl/>
            <w:lang w:eastAsia="he-IL"/>
          </w:rPr>
          <w:t>חוק העונשין</w:t>
        </w:r>
      </w:hyperlink>
      <w:r>
        <w:rPr>
          <w:rtl/>
          <w:lang w:eastAsia="he-IL"/>
        </w:rPr>
        <w:t xml:space="preserve"> מורה כי מקום שבית המשפט הרשיע נאשם בכמה עבירות המהוות אירוע אחד, </w:t>
      </w:r>
      <w:r>
        <w:rPr>
          <w:rFonts w:hint="cs"/>
          <w:rtl/>
          <w:lang w:eastAsia="he-IL"/>
        </w:rPr>
        <w:t>י</w:t>
      </w:r>
      <w:r>
        <w:rPr>
          <w:rtl/>
          <w:lang w:eastAsia="he-IL"/>
        </w:rPr>
        <w:t xml:space="preserve">יקבע מתחם עונש הולם לאירוע כולו ויגזור עונש כולל לכל העבירות בשל אותו אירוע. בעניינו, ברי כי מדובר באירוע אחד ולכן מתחם העונש ההולם ייקבע לאירוע כולו. </w:t>
      </w:r>
    </w:p>
    <w:p w14:paraId="60E3CC04" w14:textId="77777777" w:rsidR="00A075FD" w:rsidRDefault="00A075FD">
      <w:pPr>
        <w:tabs>
          <w:tab w:val="left" w:pos="566"/>
          <w:tab w:val="left" w:pos="1134"/>
          <w:tab w:val="left" w:pos="1701"/>
        </w:tabs>
        <w:spacing w:line="360" w:lineRule="auto"/>
        <w:ind w:left="566" w:hanging="566"/>
        <w:jc w:val="both"/>
        <w:rPr>
          <w:rtl/>
          <w:lang w:eastAsia="he-IL"/>
        </w:rPr>
      </w:pPr>
    </w:p>
    <w:p w14:paraId="1E16AE2A" w14:textId="77777777" w:rsidR="00A075FD" w:rsidRDefault="00A075FD">
      <w:pPr>
        <w:tabs>
          <w:tab w:val="left" w:pos="566"/>
          <w:tab w:val="left" w:pos="1134"/>
          <w:tab w:val="left" w:pos="1701"/>
        </w:tabs>
        <w:spacing w:line="360" w:lineRule="auto"/>
        <w:ind w:left="566" w:hanging="566"/>
        <w:jc w:val="both"/>
        <w:rPr>
          <w:rtl/>
          <w:lang w:eastAsia="he-IL"/>
        </w:rPr>
      </w:pPr>
    </w:p>
    <w:p w14:paraId="67244CA2" w14:textId="77777777" w:rsidR="00A075FD" w:rsidRDefault="00A075FD">
      <w:pPr>
        <w:tabs>
          <w:tab w:val="left" w:pos="566"/>
          <w:tab w:val="left" w:pos="1134"/>
          <w:tab w:val="left" w:pos="1701"/>
        </w:tabs>
        <w:spacing w:line="360" w:lineRule="auto"/>
        <w:ind w:left="566" w:hanging="566"/>
        <w:jc w:val="both"/>
        <w:rPr>
          <w:rtl/>
          <w:lang w:eastAsia="he-IL"/>
        </w:rPr>
      </w:pPr>
    </w:p>
    <w:p w14:paraId="769CD8B6" w14:textId="77777777" w:rsidR="00A075FD" w:rsidRDefault="00A075FD">
      <w:pPr>
        <w:tabs>
          <w:tab w:val="left" w:pos="566"/>
          <w:tab w:val="left" w:pos="1134"/>
          <w:tab w:val="left" w:pos="1701"/>
        </w:tabs>
        <w:spacing w:line="360" w:lineRule="auto"/>
        <w:ind w:left="566" w:hanging="566"/>
        <w:jc w:val="both"/>
        <w:rPr>
          <w:rtl/>
          <w:lang w:eastAsia="he-IL"/>
        </w:rPr>
      </w:pPr>
    </w:p>
    <w:p w14:paraId="7A32B39A" w14:textId="77777777" w:rsidR="00A075FD" w:rsidRDefault="00131090">
      <w:pPr>
        <w:tabs>
          <w:tab w:val="left" w:pos="566"/>
          <w:tab w:val="left" w:pos="1134"/>
          <w:tab w:val="left" w:pos="1701"/>
        </w:tabs>
        <w:spacing w:line="360" w:lineRule="auto"/>
        <w:ind w:left="566" w:hanging="566"/>
        <w:jc w:val="both"/>
        <w:rPr>
          <w:rtl/>
          <w:lang w:eastAsia="he-IL"/>
        </w:rPr>
      </w:pPr>
      <w:r>
        <w:rPr>
          <w:rtl/>
          <w:lang w:eastAsia="he-IL"/>
        </w:rPr>
        <w:t>14.</w:t>
      </w:r>
      <w:r>
        <w:rPr>
          <w:rtl/>
          <w:lang w:eastAsia="he-IL"/>
        </w:rPr>
        <w:tab/>
        <w:t>הערכים החברתיים שנפגעו מביצוע העבירה במקרה דידן ה</w:t>
      </w:r>
      <w:r>
        <w:rPr>
          <w:rFonts w:hint="cs"/>
          <w:rtl/>
          <w:lang w:eastAsia="he-IL"/>
        </w:rPr>
        <w:t>ם</w:t>
      </w:r>
      <w:r>
        <w:rPr>
          <w:rtl/>
          <w:lang w:eastAsia="he-IL"/>
        </w:rPr>
        <w:t xml:space="preserve"> הערכים של שמירת שלמות גופו וקניינו של הציבור ומניעת כל פגיעה בהם. אין צורך להכביר מלים לגבי חומרת העבירות בהן הורשע הנאשם, בצדן ראה המחוקק להציב עונשים כבדים. לא זו בלבד שהנאשם נשא נשק ותחמושת בלא היתר על פי דין אלא שהוא ירה מאותו נשק באזור מגורים. פוטנציאל הפגיעה בנפש וברכוש, בנסיבות, היה גבוה ומחייב התייחסות מחמירה מצד בית המשפט הנדרש לתרום את תרומתו במלחמה בתופעת השימוש בנשק, תוך נשיאתו והובלתו שלא כדין. עמד על כך בית המשפט לאחרונה ב</w:t>
      </w:r>
      <w:hyperlink r:id="rId21" w:history="1">
        <w:r w:rsidRPr="00131090">
          <w:rPr>
            <w:color w:val="0000FF"/>
            <w:u w:val="single"/>
            <w:rtl/>
            <w:lang w:eastAsia="he-IL"/>
          </w:rPr>
          <w:t>ע"פ 6989/13</w:t>
        </w:r>
      </w:hyperlink>
      <w:r>
        <w:rPr>
          <w:rtl/>
          <w:lang w:eastAsia="he-IL"/>
        </w:rPr>
        <w:t xml:space="preserve"> </w:t>
      </w:r>
      <w:r>
        <w:rPr>
          <w:b/>
          <w:bCs/>
          <w:rtl/>
          <w:lang w:eastAsia="he-IL"/>
        </w:rPr>
        <w:t xml:space="preserve">פרח נ' מדינת ישראל </w:t>
      </w:r>
      <w:r>
        <w:rPr>
          <w:rtl/>
          <w:lang w:eastAsia="he-IL"/>
        </w:rPr>
        <w:t>(25.2.2014) שם נקבע מפי כב' השופט זילברטל כי:</w:t>
      </w:r>
    </w:p>
    <w:p w14:paraId="062113F5" w14:textId="77777777" w:rsidR="00A075FD" w:rsidRDefault="00A075FD">
      <w:pPr>
        <w:tabs>
          <w:tab w:val="left" w:pos="566"/>
          <w:tab w:val="left" w:pos="1134"/>
          <w:tab w:val="left" w:pos="1701"/>
        </w:tabs>
        <w:spacing w:line="360" w:lineRule="auto"/>
        <w:ind w:left="566" w:hanging="566"/>
        <w:jc w:val="both"/>
        <w:rPr>
          <w:rtl/>
          <w:lang w:eastAsia="he-IL"/>
        </w:rPr>
      </w:pPr>
    </w:p>
    <w:p w14:paraId="3E075EF8" w14:textId="77777777" w:rsidR="00A075FD" w:rsidRDefault="00131090">
      <w:pPr>
        <w:pStyle w:val="Quote"/>
        <w:rPr>
          <w:rtl/>
          <w:lang w:eastAsia="he-IL"/>
        </w:rPr>
      </w:pPr>
      <w:r>
        <w:rPr>
          <w:rtl/>
          <w:lang w:eastAsia="he-IL"/>
        </w:rPr>
        <w:t>"בית משפט זה חזר לא אחת על הסכנה הרבה הטמונה בעבירות נשק "בעיקר בשל כך שעבירות מסוג זה מקימות פוטנציאל להסלמה עבריינית ויוצרות סיכון ממשי וחמור לשלום הציבור וביטחונו" (</w:t>
      </w:r>
      <w:hyperlink r:id="rId22" w:history="1">
        <w:r w:rsidRPr="00131090">
          <w:rPr>
            <w:color w:val="0000FF"/>
            <w:u w:val="single"/>
            <w:rtl/>
            <w:lang w:eastAsia="he-IL"/>
          </w:rPr>
          <w:t>ע"פ 3156/11</w:t>
        </w:r>
      </w:hyperlink>
      <w:r>
        <w:rPr>
          <w:rtl/>
          <w:lang w:eastAsia="he-IL"/>
        </w:rPr>
        <w:t xml:space="preserve"> </w:t>
      </w:r>
      <w:r>
        <w:rPr>
          <w:b/>
          <w:bCs/>
          <w:rtl/>
          <w:lang w:eastAsia="he-IL"/>
        </w:rPr>
        <w:t>זראיעה נ' מדינת ישראל</w:t>
      </w:r>
      <w:r>
        <w:rPr>
          <w:rtl/>
          <w:lang w:eastAsia="he-IL"/>
        </w:rPr>
        <w:t>, פסקה 5 (21.02.2012)). בהתאם, מדיניות הענישה הנהוגה בעבירות אלה היא מדיניות של ענישה מחמירה המחייבת בדרך כלל הטלת עונשי מאסר לריצוי בפועל גם על מי שזו הרשעתו הראשונה (</w:t>
      </w:r>
      <w:hyperlink r:id="rId23" w:history="1">
        <w:r w:rsidRPr="00131090">
          <w:rPr>
            <w:color w:val="0000FF"/>
            <w:u w:val="single"/>
            <w:rtl/>
            <w:lang w:eastAsia="he-IL"/>
          </w:rPr>
          <w:t>ע"פ 2006/12</w:t>
        </w:r>
      </w:hyperlink>
      <w:r>
        <w:rPr>
          <w:rtl/>
          <w:lang w:eastAsia="he-IL"/>
        </w:rPr>
        <w:t xml:space="preserve"> </w:t>
      </w:r>
      <w:r>
        <w:rPr>
          <w:b/>
          <w:bCs/>
          <w:rtl/>
          <w:lang w:eastAsia="he-IL"/>
        </w:rPr>
        <w:t>מדינת ישראל נ' אסדי</w:t>
      </w:r>
      <w:r>
        <w:rPr>
          <w:rtl/>
          <w:lang w:eastAsia="he-IL"/>
        </w:rPr>
        <w:t xml:space="preserve"> (28.3.2012), (להלן: עניין אסדי); </w:t>
      </w:r>
      <w:hyperlink r:id="rId24" w:history="1">
        <w:r w:rsidRPr="00131090">
          <w:rPr>
            <w:color w:val="0000FF"/>
            <w:u w:val="single"/>
            <w:rtl/>
            <w:lang w:eastAsia="he-IL"/>
          </w:rPr>
          <w:t>ע"פ 7502/12</w:t>
        </w:r>
      </w:hyperlink>
      <w:r>
        <w:rPr>
          <w:rtl/>
          <w:lang w:eastAsia="he-IL"/>
        </w:rPr>
        <w:t xml:space="preserve"> </w:t>
      </w:r>
      <w:r>
        <w:rPr>
          <w:b/>
          <w:bCs/>
          <w:rtl/>
          <w:lang w:eastAsia="he-IL"/>
        </w:rPr>
        <w:t>כוויס נ' מדינת ישראל</w:t>
      </w:r>
      <w:r>
        <w:rPr>
          <w:rtl/>
          <w:lang w:eastAsia="he-IL"/>
        </w:rPr>
        <w:t>, פסקה 6 (25.6.2013)). בענייננו, המעשים שבהם הורשע המערער חמורים. המערער עשה שימוש באקדח, אותו החזיק שלא כדין, בלב שכונות מגורים ולאחר שאיים על המתלונן. אמנם באירוע הירי לא נגרם נזק אך אין בכך כדי להפחית מחומרת המעשה, שכן החומרה שבעבירות הנשק מתבטאת גם במה שעלול היה להתרחש (</w:t>
      </w:r>
      <w:hyperlink r:id="rId25" w:history="1">
        <w:r w:rsidRPr="00131090">
          <w:rPr>
            <w:color w:val="0000FF"/>
            <w:u w:val="single"/>
            <w:rtl/>
            <w:lang w:eastAsia="he-IL"/>
          </w:rPr>
          <w:t>ע"פ 116/13</w:t>
        </w:r>
      </w:hyperlink>
      <w:r>
        <w:rPr>
          <w:rtl/>
          <w:lang w:eastAsia="he-IL"/>
        </w:rPr>
        <w:t xml:space="preserve"> </w:t>
      </w:r>
      <w:r>
        <w:rPr>
          <w:b/>
          <w:bCs/>
          <w:rtl/>
          <w:lang w:eastAsia="he-IL"/>
        </w:rPr>
        <w:t>ועקנין נ' מדינת ישראל</w:t>
      </w:r>
      <w:r>
        <w:rPr>
          <w:rtl/>
          <w:lang w:eastAsia="he-IL"/>
        </w:rPr>
        <w:t xml:space="preserve">, פסקה 7 (‏31.7.2013))". </w:t>
      </w:r>
    </w:p>
    <w:p w14:paraId="3BD31614" w14:textId="77777777" w:rsidR="00A075FD" w:rsidRDefault="00A075FD">
      <w:pPr>
        <w:tabs>
          <w:tab w:val="left" w:pos="566"/>
          <w:tab w:val="left" w:pos="1134"/>
          <w:tab w:val="left" w:pos="1701"/>
        </w:tabs>
        <w:spacing w:line="360" w:lineRule="auto"/>
        <w:ind w:left="566" w:hanging="566"/>
        <w:jc w:val="both"/>
        <w:rPr>
          <w:rtl/>
          <w:lang w:eastAsia="he-IL"/>
        </w:rPr>
      </w:pPr>
    </w:p>
    <w:p w14:paraId="2C02C9C5" w14:textId="77777777" w:rsidR="00A075FD" w:rsidRDefault="00131090">
      <w:pPr>
        <w:tabs>
          <w:tab w:val="left" w:pos="566"/>
          <w:tab w:val="left" w:pos="1134"/>
          <w:tab w:val="left" w:pos="1701"/>
        </w:tabs>
        <w:spacing w:line="360" w:lineRule="auto"/>
        <w:ind w:left="566" w:hanging="566"/>
        <w:jc w:val="both"/>
        <w:rPr>
          <w:rtl/>
        </w:rPr>
      </w:pPr>
      <w:r>
        <w:rPr>
          <w:rtl/>
        </w:rPr>
        <w:t>15.</w:t>
      </w:r>
      <w:r>
        <w:rPr>
          <w:rtl/>
        </w:rPr>
        <w:tab/>
        <w:t>אלא שמדיניות הענישה הנהוגה והתייחסותו של בית המשפט לעבירות מס</w:t>
      </w:r>
      <w:r>
        <w:rPr>
          <w:rFonts w:hint="cs"/>
          <w:rtl/>
        </w:rPr>
        <w:t>ו</w:t>
      </w:r>
      <w:r>
        <w:rPr>
          <w:rtl/>
        </w:rPr>
        <w:t>ג העבירות בהן הורשע הנאשם, מהווים שיקול אחד בקביעת מ</w:t>
      </w:r>
      <w:r>
        <w:rPr>
          <w:rFonts w:hint="cs"/>
          <w:rtl/>
        </w:rPr>
        <w:t>ת</w:t>
      </w:r>
      <w:r>
        <w:rPr>
          <w:rtl/>
        </w:rPr>
        <w:t>חם העונש. לצד שיקול זה על בית המשפט להביא בחשבון</w:t>
      </w:r>
      <w:r>
        <w:rPr>
          <w:rFonts w:hint="cs"/>
          <w:rtl/>
        </w:rPr>
        <w:t>,</w:t>
      </w:r>
      <w:r>
        <w:rPr>
          <w:rtl/>
        </w:rPr>
        <w:t xml:space="preserve"> בעת קביעת המתחם</w:t>
      </w:r>
      <w:r>
        <w:rPr>
          <w:rFonts w:hint="cs"/>
          <w:rtl/>
        </w:rPr>
        <w:t>,</w:t>
      </w:r>
      <w:r>
        <w:rPr>
          <w:rtl/>
        </w:rPr>
        <w:t xml:space="preserve"> גם </w:t>
      </w:r>
      <w:r>
        <w:rPr>
          <w:rFonts w:hint="cs"/>
          <w:rtl/>
        </w:rPr>
        <w:t>את ה</w:t>
      </w:r>
      <w:r>
        <w:rPr>
          <w:rtl/>
        </w:rPr>
        <w:t xml:space="preserve">נסיבות הספציפיות של ביצוע העבירה כמפורט </w:t>
      </w:r>
      <w:hyperlink r:id="rId26" w:history="1">
        <w:r w:rsidR="00BA7E9D" w:rsidRPr="00BA7E9D">
          <w:rPr>
            <w:color w:val="0000FF"/>
            <w:u w:val="single"/>
            <w:rtl/>
          </w:rPr>
          <w:t>בסעיף 40ט(א)</w:t>
        </w:r>
      </w:hyperlink>
      <w:r>
        <w:rPr>
          <w:rtl/>
        </w:rPr>
        <w:t xml:space="preserve"> לחוק לרבות התכנון שקדם לביצוע העבירה, הסיבות שהביאו את הנאשם לביצוע העבירה, הנזק שנגרם ואשר יכול היה להיגרם מביצוע העבירה ועוד כהנה נסיבות כמפורט בסעיף. </w:t>
      </w:r>
      <w:r>
        <w:rPr>
          <w:rFonts w:hint="cs"/>
          <w:rtl/>
        </w:rPr>
        <w:t xml:space="preserve">בנוסף, על </w:t>
      </w:r>
      <w:r>
        <w:rPr>
          <w:rtl/>
        </w:rPr>
        <w:t xml:space="preserve">בית המשפט להתייחס בבואו לקבוע את מתחם העונש </w:t>
      </w:r>
      <w:r>
        <w:rPr>
          <w:rFonts w:hint="cs"/>
          <w:rtl/>
        </w:rPr>
        <w:t>ל</w:t>
      </w:r>
      <w:r>
        <w:rPr>
          <w:rtl/>
        </w:rPr>
        <w:t>ערך החברתי שנפגע מביצוע העבירה ובמידת הפגיעה בערך זה. (לעניין ההבחנה בין רף הענישה הנהוג בפסיקה לבין מתחם העונש ההו</w:t>
      </w:r>
      <w:r>
        <w:rPr>
          <w:rFonts w:hint="cs"/>
          <w:rtl/>
        </w:rPr>
        <w:t>ל</w:t>
      </w:r>
      <w:r>
        <w:rPr>
          <w:rtl/>
        </w:rPr>
        <w:t xml:space="preserve">ם במקרה הקונקרטי ראו </w:t>
      </w:r>
      <w:hyperlink r:id="rId27" w:history="1">
        <w:r w:rsidRPr="00131090">
          <w:rPr>
            <w:color w:val="0000FF"/>
            <w:u w:val="single"/>
            <w:rtl/>
          </w:rPr>
          <w:t>ע"פ 1323/13</w:t>
        </w:r>
      </w:hyperlink>
      <w:r>
        <w:rPr>
          <w:rtl/>
        </w:rPr>
        <w:t xml:space="preserve"> </w:t>
      </w:r>
      <w:r>
        <w:rPr>
          <w:b/>
          <w:bCs/>
          <w:rtl/>
        </w:rPr>
        <w:t>חסן נ' מדינת ישראל</w:t>
      </w:r>
      <w:r>
        <w:rPr>
          <w:rtl/>
        </w:rPr>
        <w:t xml:space="preserve"> (5.6.2013)). </w:t>
      </w:r>
    </w:p>
    <w:p w14:paraId="02034F81" w14:textId="77777777" w:rsidR="00A075FD" w:rsidRDefault="00A075FD">
      <w:pPr>
        <w:tabs>
          <w:tab w:val="left" w:pos="566"/>
          <w:tab w:val="left" w:pos="1134"/>
          <w:tab w:val="left" w:pos="1701"/>
        </w:tabs>
        <w:spacing w:line="360" w:lineRule="auto"/>
        <w:ind w:left="566" w:hanging="566"/>
        <w:jc w:val="both"/>
        <w:rPr>
          <w:rtl/>
        </w:rPr>
      </w:pPr>
    </w:p>
    <w:p w14:paraId="540DBF89" w14:textId="77777777" w:rsidR="00A075FD" w:rsidRDefault="00131090">
      <w:pPr>
        <w:tabs>
          <w:tab w:val="left" w:pos="566"/>
          <w:tab w:val="left" w:pos="1134"/>
          <w:tab w:val="left" w:pos="1701"/>
        </w:tabs>
        <w:spacing w:line="360" w:lineRule="auto"/>
        <w:ind w:left="566" w:hanging="566"/>
        <w:jc w:val="both"/>
        <w:rPr>
          <w:rtl/>
        </w:rPr>
      </w:pPr>
      <w:r>
        <w:rPr>
          <w:rtl/>
        </w:rPr>
        <w:t>16.</w:t>
      </w:r>
      <w:r>
        <w:rPr>
          <w:rtl/>
        </w:rPr>
        <w:tab/>
        <w:t>בענייננו, לא הובאו בכתב האישום כל נתונים לגבי הרקע לביצוע הירי. נאמר רק כי הנאשם ירה מהנשק ברחבת הבית ללא כל הסבר סביר. מכאן שאין כל אינדיקציה לכך שהירי נעשה כחלק מיישוב סכסוך כלשהו או כאיום על מאן דהוא. בנוסף, כתב האישום אינו מציין הימצאותם של אנשים בקרבת מקום, שעלולים היו להיפגע מהירי. נכון הוא שירי באזור מגורים טומן בחובו מניה וביה סיכון לפגיעה בשלמות גופם של אזרחים הנקרים לזירת האירוע או המצויים בקרבת מקום הירי. אלא שבענייננו, לא הובאו כל נתונים כאמור ובפעול לא נגרם כל נזק הן לרכוש והן לנפש</w:t>
      </w:r>
      <w:r>
        <w:rPr>
          <w:rFonts w:hint="cs"/>
          <w:rtl/>
        </w:rPr>
        <w:t xml:space="preserve"> בעקבות הירי באוויר</w:t>
      </w:r>
      <w:r>
        <w:rPr>
          <w:rtl/>
        </w:rPr>
        <w:t xml:space="preserve">. נתונים אלה, הקשורים בנסיבות ביצוע העבירה נלקחו בחשבון על ידי בקביעת מתחם העונש. </w:t>
      </w:r>
    </w:p>
    <w:p w14:paraId="2E79C30A" w14:textId="77777777" w:rsidR="00A075FD" w:rsidRDefault="00A075FD">
      <w:pPr>
        <w:tabs>
          <w:tab w:val="left" w:pos="566"/>
          <w:tab w:val="left" w:pos="1134"/>
          <w:tab w:val="left" w:pos="1701"/>
        </w:tabs>
        <w:spacing w:line="360" w:lineRule="auto"/>
        <w:ind w:left="566" w:hanging="566"/>
        <w:jc w:val="both"/>
        <w:rPr>
          <w:rtl/>
        </w:rPr>
      </w:pPr>
    </w:p>
    <w:p w14:paraId="103C2011" w14:textId="77777777" w:rsidR="00A075FD" w:rsidRDefault="00131090">
      <w:pPr>
        <w:tabs>
          <w:tab w:val="left" w:pos="566"/>
          <w:tab w:val="left" w:pos="1134"/>
          <w:tab w:val="left" w:pos="1701"/>
        </w:tabs>
        <w:spacing w:line="360" w:lineRule="auto"/>
        <w:ind w:left="566" w:hanging="566"/>
        <w:jc w:val="both"/>
        <w:rPr>
          <w:rtl/>
        </w:rPr>
      </w:pPr>
      <w:r>
        <w:rPr>
          <w:rFonts w:hint="cs"/>
          <w:rtl/>
        </w:rPr>
        <w:t>17</w:t>
      </w:r>
      <w:r>
        <w:rPr>
          <w:rtl/>
        </w:rPr>
        <w:t>.</w:t>
      </w:r>
      <w:r>
        <w:rPr>
          <w:rtl/>
        </w:rPr>
        <w:tab/>
        <w:t xml:space="preserve">על יסוד מקבץ האמור אני קובע כי מתחם העונש הראוי בנסיבות המקרה דידן נע בין 10 ל- 24 חודשי מאסר בפועל. </w:t>
      </w:r>
    </w:p>
    <w:p w14:paraId="6DA6DFF3" w14:textId="77777777" w:rsidR="00A075FD" w:rsidRDefault="00A075FD">
      <w:pPr>
        <w:tabs>
          <w:tab w:val="left" w:pos="566"/>
          <w:tab w:val="left" w:pos="1134"/>
          <w:tab w:val="left" w:pos="1701"/>
        </w:tabs>
        <w:spacing w:line="360" w:lineRule="auto"/>
        <w:ind w:left="566" w:hanging="566"/>
        <w:jc w:val="both"/>
        <w:rPr>
          <w:rtl/>
        </w:rPr>
      </w:pPr>
    </w:p>
    <w:p w14:paraId="35EA5AD3" w14:textId="77777777" w:rsidR="00A075FD" w:rsidRDefault="00131090">
      <w:pPr>
        <w:tabs>
          <w:tab w:val="left" w:pos="566"/>
          <w:tab w:val="left" w:pos="1134"/>
          <w:tab w:val="left" w:pos="1701"/>
        </w:tabs>
        <w:spacing w:line="360" w:lineRule="auto"/>
        <w:ind w:left="566" w:hanging="566"/>
        <w:jc w:val="both"/>
        <w:rPr>
          <w:u w:val="single"/>
          <w:rtl/>
        </w:rPr>
      </w:pPr>
      <w:r>
        <w:rPr>
          <w:u w:val="single"/>
          <w:rtl/>
        </w:rPr>
        <w:t>גזירת העונש בתוך המתחם</w:t>
      </w:r>
    </w:p>
    <w:p w14:paraId="7AAB19B4" w14:textId="77777777" w:rsidR="00A075FD" w:rsidRDefault="00A075FD">
      <w:pPr>
        <w:tabs>
          <w:tab w:val="left" w:pos="566"/>
          <w:tab w:val="left" w:pos="1134"/>
          <w:tab w:val="left" w:pos="1701"/>
        </w:tabs>
        <w:spacing w:line="360" w:lineRule="auto"/>
        <w:ind w:left="566" w:hanging="566"/>
        <w:jc w:val="both"/>
        <w:rPr>
          <w:rtl/>
        </w:rPr>
      </w:pPr>
    </w:p>
    <w:p w14:paraId="1106126B" w14:textId="77777777" w:rsidR="00A075FD" w:rsidRDefault="00131090">
      <w:pPr>
        <w:tabs>
          <w:tab w:val="left" w:pos="566"/>
          <w:tab w:val="left" w:pos="1134"/>
          <w:tab w:val="left" w:pos="1701"/>
        </w:tabs>
        <w:spacing w:line="360" w:lineRule="auto"/>
        <w:ind w:left="566" w:hanging="566"/>
        <w:jc w:val="both"/>
        <w:rPr>
          <w:rtl/>
        </w:rPr>
      </w:pPr>
      <w:r>
        <w:rPr>
          <w:rtl/>
        </w:rPr>
        <w:t>1</w:t>
      </w:r>
      <w:r>
        <w:rPr>
          <w:rFonts w:hint="cs"/>
          <w:rtl/>
        </w:rPr>
        <w:t>8</w:t>
      </w:r>
      <w:r>
        <w:rPr>
          <w:rtl/>
        </w:rPr>
        <w:t>.</w:t>
      </w:r>
      <w:r>
        <w:rPr>
          <w:rtl/>
        </w:rPr>
        <w:tab/>
        <w:t xml:space="preserve">בבואו לקבוע את העונש בתוך המתחם שנקבע, על בית המשפט להתחשב בנסיבות שאינן קשורות בביצוע העבירה כמפורט </w:t>
      </w:r>
      <w:hyperlink r:id="rId28" w:history="1">
        <w:r w:rsidR="00BA7E9D" w:rsidRPr="00BA7E9D">
          <w:rPr>
            <w:color w:val="0000FF"/>
            <w:u w:val="single"/>
            <w:rtl/>
          </w:rPr>
          <w:t>בסעיף 40יא</w:t>
        </w:r>
      </w:hyperlink>
      <w:r>
        <w:rPr>
          <w:rtl/>
        </w:rPr>
        <w:t xml:space="preserve"> ל</w:t>
      </w:r>
      <w:hyperlink r:id="rId29" w:history="1">
        <w:r w:rsidRPr="00131090">
          <w:rPr>
            <w:color w:val="0000FF"/>
            <w:u w:val="single"/>
            <w:rtl/>
          </w:rPr>
          <w:t>חוק העונשין</w:t>
        </w:r>
      </w:hyperlink>
      <w:r>
        <w:rPr>
          <w:rtl/>
        </w:rPr>
        <w:t xml:space="preserve">. </w:t>
      </w:r>
    </w:p>
    <w:p w14:paraId="30FD4872" w14:textId="77777777" w:rsidR="00A075FD" w:rsidRDefault="00A075FD">
      <w:pPr>
        <w:tabs>
          <w:tab w:val="left" w:pos="566"/>
          <w:tab w:val="left" w:pos="1134"/>
          <w:tab w:val="left" w:pos="1701"/>
        </w:tabs>
        <w:spacing w:line="360" w:lineRule="auto"/>
        <w:ind w:left="566" w:hanging="566"/>
        <w:jc w:val="both"/>
        <w:rPr>
          <w:rtl/>
        </w:rPr>
      </w:pPr>
    </w:p>
    <w:p w14:paraId="7FD11261" w14:textId="77777777" w:rsidR="00A075FD" w:rsidRDefault="00131090">
      <w:pPr>
        <w:tabs>
          <w:tab w:val="left" w:pos="566"/>
          <w:tab w:val="left" w:pos="1134"/>
          <w:tab w:val="left" w:pos="1701"/>
        </w:tabs>
        <w:spacing w:line="360" w:lineRule="auto"/>
        <w:ind w:left="566" w:hanging="566"/>
        <w:jc w:val="both"/>
        <w:rPr>
          <w:rtl/>
        </w:rPr>
      </w:pPr>
      <w:r>
        <w:rPr>
          <w:rtl/>
        </w:rPr>
        <w:tab/>
        <w:t xml:space="preserve">בענייננו, ראיתי להתחשב בראש וראשונה בעברו הנקי של הנאשם שאין לחובתו כל הרשעות קודמות וזו הסתבכותו הראשונה בפלילים. כמו כן ראיתי להביא בחשבון את הודייתו בשלב מוקדם של הדיון. הודייה זו לא זו בלבד שהביאה לחסכון בזמן שיפוטי יקר אלא שהיא טומנת בחובה נטילת אחריות מצד הנאשם על מעשיו. בנוסף ראיתי להתחשב בחרטתו של הנאשם ובצער שהביע בפניי על מעשיו, ממנו התרשמתי כצער כן ואמיתי. עוד ראיתי להתחשב </w:t>
      </w:r>
      <w:r>
        <w:rPr>
          <w:rFonts w:hint="cs"/>
          <w:rtl/>
        </w:rPr>
        <w:t>ב</w:t>
      </w:r>
      <w:r>
        <w:rPr>
          <w:rtl/>
        </w:rPr>
        <w:t>התנהגותו החיובית של הנאשם ותרומתו לחברה (</w:t>
      </w:r>
      <w:hyperlink r:id="rId30" w:history="1">
        <w:r w:rsidR="00BA7E9D" w:rsidRPr="00BA7E9D">
          <w:rPr>
            <w:color w:val="0000FF"/>
            <w:u w:val="single"/>
            <w:rtl/>
          </w:rPr>
          <w:t>סעיף 40יא(7)</w:t>
        </w:r>
      </w:hyperlink>
      <w:r>
        <w:rPr>
          <w:rtl/>
        </w:rPr>
        <w:t xml:space="preserve"> ל</w:t>
      </w:r>
      <w:hyperlink r:id="rId31" w:history="1">
        <w:r w:rsidRPr="00131090">
          <w:rPr>
            <w:color w:val="0000FF"/>
            <w:u w:val="single"/>
            <w:rtl/>
          </w:rPr>
          <w:t>חוק העונשין</w:t>
        </w:r>
      </w:hyperlink>
      <w:r>
        <w:rPr>
          <w:rtl/>
        </w:rPr>
        <w:t xml:space="preserve">), כפי שתרומה זו עולה מהמסמכים שהוצגו בפניי, לרבות התנדבותו </w:t>
      </w:r>
      <w:r>
        <w:rPr>
          <w:rFonts w:hint="cs"/>
          <w:rtl/>
        </w:rPr>
        <w:t>ב</w:t>
      </w:r>
      <w:r>
        <w:rPr>
          <w:rtl/>
        </w:rPr>
        <w:t xml:space="preserve">משמר האזרחי ועבודות התנדבות אותן ביצע בבי"ס התיכון בכפרו. </w:t>
      </w:r>
    </w:p>
    <w:p w14:paraId="12BB12B2" w14:textId="77777777" w:rsidR="00A075FD" w:rsidRDefault="00A075FD">
      <w:pPr>
        <w:tabs>
          <w:tab w:val="left" w:pos="566"/>
          <w:tab w:val="left" w:pos="1134"/>
          <w:tab w:val="left" w:pos="1701"/>
        </w:tabs>
        <w:spacing w:line="360" w:lineRule="auto"/>
        <w:ind w:left="566" w:hanging="566"/>
        <w:jc w:val="both"/>
        <w:rPr>
          <w:rtl/>
        </w:rPr>
      </w:pPr>
    </w:p>
    <w:p w14:paraId="2DC8E918" w14:textId="77777777" w:rsidR="00A075FD" w:rsidRDefault="00131090">
      <w:pPr>
        <w:tabs>
          <w:tab w:val="left" w:pos="566"/>
          <w:tab w:val="left" w:pos="1134"/>
          <w:tab w:val="left" w:pos="1701"/>
        </w:tabs>
        <w:spacing w:line="360" w:lineRule="auto"/>
        <w:ind w:left="566" w:hanging="566"/>
        <w:jc w:val="both"/>
        <w:rPr>
          <w:rtl/>
        </w:rPr>
      </w:pPr>
      <w:r>
        <w:rPr>
          <w:rFonts w:hint="cs"/>
          <w:rtl/>
        </w:rPr>
        <w:t>19</w:t>
      </w:r>
      <w:r>
        <w:rPr>
          <w:rtl/>
        </w:rPr>
        <w:t>.</w:t>
      </w:r>
      <w:r>
        <w:rPr>
          <w:rtl/>
        </w:rPr>
        <w:tab/>
        <w:t>שקלתי את המלצת שירות המבחן להסתפק במאסר שירוצה בעבודות שירות, מאסר מותנה ומרתיע וקנס כספי אולם לא מצאתי מקום לאמץ המלצה זו. חומרת העבירה כפי שפורט לעיל מחייבת מאסר בפועל על אף נסיבותיו האישיות של הנאשם והמלצת שירות המבחן. ראוי להזכיר כי שיקול הדעת הסופי בגזירת עונשו של נאשם מופקד בידי בית המשפט והמלצתו של שירות המבחן אינה מחייבת אותו, עם כל ההע</w:t>
      </w:r>
      <w:r>
        <w:rPr>
          <w:rFonts w:hint="cs"/>
          <w:rtl/>
        </w:rPr>
        <w:t>ר</w:t>
      </w:r>
      <w:r>
        <w:rPr>
          <w:rtl/>
        </w:rPr>
        <w:t xml:space="preserve">כה והחשיבות הניכרת לעבודת שירות המבחן (ראו: </w:t>
      </w:r>
      <w:hyperlink r:id="rId32" w:history="1">
        <w:r w:rsidRPr="00131090">
          <w:rPr>
            <w:color w:val="0000FF"/>
            <w:u w:val="single"/>
            <w:rtl/>
          </w:rPr>
          <w:t>ע"פ 8446/09</w:t>
        </w:r>
      </w:hyperlink>
      <w:r>
        <w:rPr>
          <w:rtl/>
        </w:rPr>
        <w:t xml:space="preserve"> </w:t>
      </w:r>
      <w:r>
        <w:rPr>
          <w:b/>
          <w:bCs/>
          <w:rtl/>
        </w:rPr>
        <w:t>עותמאן נ' מדינת ישראל</w:t>
      </w:r>
      <w:r>
        <w:rPr>
          <w:rtl/>
        </w:rPr>
        <w:t xml:space="preserve"> (18.1.2010)). </w:t>
      </w:r>
    </w:p>
    <w:p w14:paraId="0FA2FA90" w14:textId="77777777" w:rsidR="00A075FD" w:rsidRDefault="00A075FD">
      <w:pPr>
        <w:tabs>
          <w:tab w:val="left" w:pos="566"/>
          <w:tab w:val="left" w:pos="1134"/>
          <w:tab w:val="left" w:pos="1701"/>
        </w:tabs>
        <w:spacing w:line="360" w:lineRule="auto"/>
        <w:ind w:left="566" w:hanging="566"/>
        <w:jc w:val="both"/>
        <w:rPr>
          <w:rtl/>
        </w:rPr>
      </w:pPr>
    </w:p>
    <w:p w14:paraId="7A732CAB" w14:textId="77777777" w:rsidR="00A075FD" w:rsidRDefault="00131090">
      <w:pPr>
        <w:tabs>
          <w:tab w:val="left" w:pos="566"/>
          <w:tab w:val="left" w:pos="1134"/>
          <w:tab w:val="left" w:pos="1701"/>
        </w:tabs>
        <w:spacing w:line="360" w:lineRule="auto"/>
        <w:ind w:left="566" w:hanging="566"/>
        <w:jc w:val="both"/>
        <w:rPr>
          <w:rtl/>
        </w:rPr>
      </w:pPr>
      <w:r>
        <w:rPr>
          <w:rFonts w:hint="cs"/>
          <w:rtl/>
        </w:rPr>
        <w:t>20.</w:t>
      </w:r>
      <w:r>
        <w:rPr>
          <w:rFonts w:hint="cs"/>
          <w:rtl/>
        </w:rPr>
        <w:tab/>
      </w:r>
      <w:r>
        <w:rPr>
          <w:rtl/>
        </w:rPr>
        <w:t>לצד זאת ראיתי להתחשב בהתרשמות</w:t>
      </w:r>
      <w:r>
        <w:rPr>
          <w:rFonts w:hint="cs"/>
          <w:rtl/>
        </w:rPr>
        <w:t>ו החיובית של</w:t>
      </w:r>
      <w:r>
        <w:rPr>
          <w:rtl/>
        </w:rPr>
        <w:t xml:space="preserve"> שירות המבחן מהנאשם בקבעו כי לא מתקיימים אצלו דפוסים עברייניים מושרשים וכי מעורבותו בעבירות נשוא הדיון ה</w:t>
      </w:r>
      <w:r>
        <w:rPr>
          <w:rFonts w:hint="cs"/>
          <w:rtl/>
        </w:rPr>
        <w:t>נה חריגה</w:t>
      </w:r>
      <w:r>
        <w:rPr>
          <w:rtl/>
        </w:rPr>
        <w:t xml:space="preserve"> לדפוסי התנהגותו ואישיותו בדרך כלל. עוד עולה כי הנאשם הצליח להתחבר לחומרת מעשיו ולכישלונו ההתנהגותי וכי רמת הסיכון להישנות עבירות דומות בעתיד הינו נמוך. </w:t>
      </w:r>
    </w:p>
    <w:p w14:paraId="2F858B77" w14:textId="77777777" w:rsidR="00A075FD" w:rsidRDefault="00A075FD">
      <w:pPr>
        <w:tabs>
          <w:tab w:val="left" w:pos="566"/>
          <w:tab w:val="left" w:pos="1134"/>
          <w:tab w:val="left" w:pos="1701"/>
        </w:tabs>
        <w:spacing w:line="360" w:lineRule="auto"/>
        <w:ind w:left="566" w:hanging="566"/>
        <w:jc w:val="both"/>
        <w:rPr>
          <w:rtl/>
        </w:rPr>
      </w:pPr>
    </w:p>
    <w:p w14:paraId="31442B13" w14:textId="77777777" w:rsidR="00A075FD" w:rsidRDefault="00131090">
      <w:pPr>
        <w:tabs>
          <w:tab w:val="left" w:pos="566"/>
          <w:tab w:val="left" w:pos="1134"/>
          <w:tab w:val="left" w:pos="1701"/>
        </w:tabs>
        <w:spacing w:line="360" w:lineRule="auto"/>
        <w:ind w:left="566" w:hanging="566"/>
        <w:jc w:val="both"/>
        <w:rPr>
          <w:rtl/>
        </w:rPr>
      </w:pPr>
      <w:r>
        <w:rPr>
          <w:rFonts w:hint="cs"/>
          <w:rtl/>
        </w:rPr>
        <w:t>21</w:t>
      </w:r>
      <w:r>
        <w:rPr>
          <w:rtl/>
        </w:rPr>
        <w:t>.</w:t>
      </w:r>
      <w:r>
        <w:rPr>
          <w:rtl/>
        </w:rPr>
        <w:tab/>
        <w:t xml:space="preserve">מפאת כלל השיקולים </w:t>
      </w:r>
      <w:r>
        <w:rPr>
          <w:rFonts w:hint="cs"/>
          <w:rtl/>
        </w:rPr>
        <w:t>והנסיבות</w:t>
      </w:r>
      <w:r>
        <w:rPr>
          <w:rtl/>
        </w:rPr>
        <w:t xml:space="preserve"> שאינן קשורות בביצוע העבירה</w:t>
      </w:r>
      <w:r>
        <w:rPr>
          <w:rFonts w:hint="cs"/>
          <w:rtl/>
        </w:rPr>
        <w:t xml:space="preserve"> כמפורט לעיל</w:t>
      </w:r>
      <w:r>
        <w:rPr>
          <w:rtl/>
        </w:rPr>
        <w:t>, ובשים לב לסיכויי השיקום הטובים, עליהם עמד שירות המבחן, ראיתי לגזור את עונשו של הנאשם ברף הנמוך של מתחם הענישה.</w:t>
      </w:r>
    </w:p>
    <w:p w14:paraId="1F353F63" w14:textId="77777777" w:rsidR="00A075FD" w:rsidRDefault="00A075FD">
      <w:pPr>
        <w:tabs>
          <w:tab w:val="left" w:pos="566"/>
          <w:tab w:val="left" w:pos="1134"/>
          <w:tab w:val="left" w:pos="1701"/>
        </w:tabs>
        <w:spacing w:line="360" w:lineRule="auto"/>
        <w:ind w:left="566" w:hanging="566"/>
        <w:jc w:val="both"/>
        <w:rPr>
          <w:rtl/>
        </w:rPr>
      </w:pPr>
    </w:p>
    <w:p w14:paraId="58CD7761" w14:textId="77777777" w:rsidR="00A075FD" w:rsidRDefault="00131090">
      <w:pPr>
        <w:tabs>
          <w:tab w:val="left" w:pos="566"/>
          <w:tab w:val="left" w:pos="1134"/>
          <w:tab w:val="left" w:pos="1701"/>
        </w:tabs>
        <w:spacing w:line="360" w:lineRule="auto"/>
        <w:ind w:left="566" w:hanging="566"/>
        <w:jc w:val="both"/>
        <w:rPr>
          <w:rtl/>
        </w:rPr>
      </w:pPr>
      <w:r>
        <w:rPr>
          <w:rFonts w:hint="cs"/>
          <w:rtl/>
        </w:rPr>
        <w:t>22</w:t>
      </w:r>
      <w:r>
        <w:rPr>
          <w:rtl/>
        </w:rPr>
        <w:t>.</w:t>
      </w:r>
      <w:r>
        <w:rPr>
          <w:rtl/>
        </w:rPr>
        <w:tab/>
        <w:t xml:space="preserve"> </w:t>
      </w:r>
      <w:r>
        <w:rPr>
          <w:rFonts w:hint="cs"/>
          <w:rtl/>
        </w:rPr>
        <w:t xml:space="preserve">אי לכך </w:t>
      </w:r>
      <w:r>
        <w:rPr>
          <w:rtl/>
        </w:rPr>
        <w:t>אני גוזר על הנאשם את העונשים הבאים:</w:t>
      </w:r>
    </w:p>
    <w:p w14:paraId="5D69A9D7" w14:textId="77777777" w:rsidR="00A075FD" w:rsidRDefault="00A075FD">
      <w:pPr>
        <w:tabs>
          <w:tab w:val="left" w:pos="566"/>
          <w:tab w:val="left" w:pos="1134"/>
          <w:tab w:val="left" w:pos="1701"/>
        </w:tabs>
        <w:spacing w:line="360" w:lineRule="auto"/>
        <w:ind w:left="566" w:hanging="566"/>
        <w:jc w:val="both"/>
        <w:rPr>
          <w:rtl/>
        </w:rPr>
      </w:pPr>
    </w:p>
    <w:p w14:paraId="39A582A2" w14:textId="77777777" w:rsidR="00A075FD" w:rsidRDefault="00131090">
      <w:pPr>
        <w:tabs>
          <w:tab w:val="left" w:pos="566"/>
          <w:tab w:val="left" w:pos="1134"/>
          <w:tab w:val="left" w:pos="1701"/>
        </w:tabs>
        <w:spacing w:line="360" w:lineRule="auto"/>
        <w:ind w:left="566" w:hanging="566"/>
        <w:jc w:val="both"/>
        <w:rPr>
          <w:rtl/>
        </w:rPr>
      </w:pPr>
      <w:r>
        <w:rPr>
          <w:rtl/>
        </w:rPr>
        <w:tab/>
        <w:t>א.</w:t>
      </w:r>
      <w:r>
        <w:rPr>
          <w:rtl/>
        </w:rPr>
        <w:tab/>
        <w:t>10 חודשי מאסר בפועל שתחילתם במועד מעצרו ביום 28.2.2014.</w:t>
      </w:r>
    </w:p>
    <w:p w14:paraId="1D915F6A" w14:textId="77777777" w:rsidR="00A075FD" w:rsidRDefault="00A075FD">
      <w:pPr>
        <w:tabs>
          <w:tab w:val="left" w:pos="566"/>
          <w:tab w:val="left" w:pos="1134"/>
          <w:tab w:val="left" w:pos="1701"/>
        </w:tabs>
        <w:spacing w:line="360" w:lineRule="auto"/>
        <w:ind w:left="566" w:hanging="566"/>
        <w:jc w:val="both"/>
        <w:rPr>
          <w:rtl/>
        </w:rPr>
      </w:pPr>
    </w:p>
    <w:p w14:paraId="6D0621D3" w14:textId="77777777" w:rsidR="00A075FD" w:rsidRDefault="00131090">
      <w:pPr>
        <w:tabs>
          <w:tab w:val="left" w:pos="566"/>
          <w:tab w:val="left" w:pos="1134"/>
          <w:tab w:val="left" w:pos="1701"/>
        </w:tabs>
        <w:spacing w:line="360" w:lineRule="auto"/>
        <w:ind w:left="1134" w:hanging="1134"/>
        <w:jc w:val="both"/>
        <w:rPr>
          <w:rtl/>
        </w:rPr>
      </w:pPr>
      <w:r>
        <w:rPr>
          <w:rtl/>
        </w:rPr>
        <w:tab/>
        <w:t>ב.</w:t>
      </w:r>
      <w:r>
        <w:rPr>
          <w:rtl/>
        </w:rPr>
        <w:tab/>
        <w:t>10 חודש</w:t>
      </w:r>
      <w:r>
        <w:rPr>
          <w:rFonts w:hint="cs"/>
          <w:rtl/>
        </w:rPr>
        <w:t>י</w:t>
      </w:r>
      <w:r>
        <w:rPr>
          <w:rtl/>
        </w:rPr>
        <w:t xml:space="preserve"> מאסר על תנאי לבל יעבור </w:t>
      </w:r>
      <w:r>
        <w:rPr>
          <w:rFonts w:hint="cs"/>
          <w:rtl/>
        </w:rPr>
        <w:t xml:space="preserve">משך שלוש שנים ממועד שחרורו על </w:t>
      </w:r>
      <w:r>
        <w:rPr>
          <w:rtl/>
        </w:rPr>
        <w:t>אחת העבירות המפורטות בכתב האישום ויורשע בגינה.</w:t>
      </w:r>
    </w:p>
    <w:p w14:paraId="1F4C7DF6" w14:textId="77777777" w:rsidR="00A075FD" w:rsidRDefault="00A075FD">
      <w:pPr>
        <w:tabs>
          <w:tab w:val="left" w:pos="566"/>
          <w:tab w:val="left" w:pos="1134"/>
          <w:tab w:val="left" w:pos="1701"/>
        </w:tabs>
        <w:spacing w:line="360" w:lineRule="auto"/>
        <w:ind w:left="1134" w:hanging="1134"/>
        <w:jc w:val="both"/>
        <w:rPr>
          <w:rtl/>
        </w:rPr>
      </w:pPr>
    </w:p>
    <w:p w14:paraId="548905D5" w14:textId="77777777" w:rsidR="00A075FD" w:rsidRDefault="00131090">
      <w:pPr>
        <w:tabs>
          <w:tab w:val="left" w:pos="566"/>
          <w:tab w:val="left" w:pos="1134"/>
          <w:tab w:val="left" w:pos="1701"/>
        </w:tabs>
        <w:spacing w:line="360" w:lineRule="auto"/>
        <w:ind w:left="1134" w:hanging="1134"/>
        <w:jc w:val="both"/>
        <w:rPr>
          <w:u w:val="single"/>
          <w:rtl/>
        </w:rPr>
      </w:pPr>
      <w:r>
        <w:rPr>
          <w:u w:val="single"/>
          <w:rtl/>
        </w:rPr>
        <w:t>זכות ערעור לבית המשפט העליון תו</w:t>
      </w:r>
      <w:r>
        <w:rPr>
          <w:rFonts w:hint="cs"/>
          <w:u w:val="single"/>
          <w:rtl/>
        </w:rPr>
        <w:t>ך</w:t>
      </w:r>
      <w:r>
        <w:rPr>
          <w:u w:val="single"/>
          <w:rtl/>
        </w:rPr>
        <w:t xml:space="preserve"> 45 יום.</w:t>
      </w:r>
    </w:p>
    <w:p w14:paraId="27B19073" w14:textId="77777777" w:rsidR="00A075FD" w:rsidRDefault="00A075FD">
      <w:pPr>
        <w:jc w:val="both"/>
        <w:rPr>
          <w:rtl/>
        </w:rPr>
      </w:pPr>
    </w:p>
    <w:p w14:paraId="61FF5DF9" w14:textId="77777777" w:rsidR="00A075FD" w:rsidRDefault="00A075FD">
      <w:pPr>
        <w:jc w:val="both"/>
        <w:rPr>
          <w:rtl/>
        </w:rPr>
      </w:pPr>
    </w:p>
    <w:p w14:paraId="1CC4FD44" w14:textId="77777777" w:rsidR="00A075FD" w:rsidRDefault="00131090">
      <w:pPr>
        <w:jc w:val="both"/>
        <w:rPr>
          <w:rFonts w:cs="FrankRuehl"/>
          <w:sz w:val="28"/>
          <w:szCs w:val="28"/>
          <w:rtl/>
        </w:rPr>
      </w:pPr>
      <w:r>
        <w:rPr>
          <w:rFonts w:ascii="Arial" w:hAnsi="Arial"/>
          <w:rtl/>
        </w:rPr>
        <w:t xml:space="preserve">ניתן היום,  כ"ח סיוון תשע"ד, 26 יוני 2014, במעמד הנוכחים. </w:t>
      </w:r>
    </w:p>
    <w:p w14:paraId="4C34CB15" w14:textId="77777777" w:rsidR="00A075FD" w:rsidRPr="00131090" w:rsidRDefault="00131090">
      <w:pPr>
        <w:jc w:val="both"/>
        <w:rPr>
          <w:rFonts w:cs="FrankRuehl"/>
          <w:color w:val="FFFFFF"/>
          <w:sz w:val="2"/>
          <w:szCs w:val="2"/>
          <w:rtl/>
        </w:rPr>
      </w:pPr>
      <w:r w:rsidRPr="00131090">
        <w:rPr>
          <w:rFonts w:cs="FrankRuehl"/>
          <w:color w:val="FFFFFF"/>
          <w:sz w:val="2"/>
          <w:szCs w:val="2"/>
          <w:rtl/>
        </w:rPr>
        <w:t>5129371</w:t>
      </w:r>
    </w:p>
    <w:p w14:paraId="205FB302" w14:textId="77777777" w:rsidR="00A075FD" w:rsidRPr="00131090" w:rsidRDefault="00131090">
      <w:pPr>
        <w:jc w:val="both"/>
        <w:rPr>
          <w:rFonts w:cs="FrankRuehl"/>
          <w:color w:val="FFFFFF"/>
          <w:sz w:val="2"/>
          <w:szCs w:val="2"/>
          <w:rtl/>
        </w:rPr>
      </w:pPr>
      <w:bookmarkStart w:id="8" w:name="_GoBack"/>
      <w:bookmarkEnd w:id="8"/>
      <w:r w:rsidRPr="00131090">
        <w:rPr>
          <w:rFonts w:cs="FrankRuehl"/>
          <w:color w:val="FFFFFF"/>
          <w:sz w:val="2"/>
          <w:szCs w:val="2"/>
          <w:rtl/>
        </w:rPr>
        <w:t>54678313</w:t>
      </w:r>
    </w:p>
    <w:p w14:paraId="1263070E" w14:textId="77777777" w:rsidR="00A075FD" w:rsidRDefault="00131090">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C1267D1" w14:textId="77777777" w:rsidR="00A075FD" w:rsidRDefault="00A075FD">
      <w:pPr>
        <w:jc w:val="both"/>
        <w:rPr>
          <w:rFonts w:ascii="Arial" w:hAnsi="Arial" w:cs="FrankRuehl"/>
          <w:sz w:val="28"/>
          <w:szCs w:val="28"/>
          <w:rtl/>
        </w:rPr>
      </w:pPr>
    </w:p>
    <w:p w14:paraId="6925C4EB" w14:textId="77777777" w:rsidR="00A075FD" w:rsidRDefault="00A075FD">
      <w:pPr>
        <w:jc w:val="both"/>
        <w:rPr>
          <w:rFonts w:cs="FrankRuehl"/>
          <w:sz w:val="28"/>
          <w:szCs w:val="28"/>
          <w:rtl/>
        </w:rPr>
      </w:pPr>
    </w:p>
    <w:p w14:paraId="69005F48" w14:textId="77777777" w:rsidR="00A075FD" w:rsidRPr="00BA7E9D" w:rsidRDefault="00BA7E9D">
      <w:pPr>
        <w:pStyle w:val="a3"/>
        <w:jc w:val="both"/>
        <w:rPr>
          <w:color w:val="FFFFFF"/>
          <w:sz w:val="2"/>
          <w:szCs w:val="2"/>
          <w:rtl/>
        </w:rPr>
      </w:pPr>
      <w:r w:rsidRPr="00BA7E9D">
        <w:rPr>
          <w:color w:val="FFFFFF"/>
          <w:sz w:val="2"/>
          <w:szCs w:val="2"/>
          <w:rtl/>
        </w:rPr>
        <w:t>5129371</w:t>
      </w:r>
    </w:p>
    <w:p w14:paraId="4E544D48" w14:textId="77777777" w:rsidR="00131090" w:rsidRPr="00BA7E9D" w:rsidRDefault="00BA7E9D" w:rsidP="00131090">
      <w:pPr>
        <w:keepNext/>
        <w:rPr>
          <w:rFonts w:ascii="David" w:hAnsi="David"/>
          <w:color w:val="FFFFFF"/>
          <w:sz w:val="2"/>
          <w:szCs w:val="2"/>
          <w:rtl/>
        </w:rPr>
      </w:pPr>
      <w:r w:rsidRPr="00BA7E9D">
        <w:rPr>
          <w:rFonts w:ascii="David" w:hAnsi="David"/>
          <w:color w:val="FFFFFF"/>
          <w:sz w:val="2"/>
          <w:szCs w:val="2"/>
          <w:rtl/>
        </w:rPr>
        <w:t>54678313</w:t>
      </w:r>
    </w:p>
    <w:p w14:paraId="1325B43A" w14:textId="77777777" w:rsidR="00131090" w:rsidRDefault="00131090" w:rsidP="00131090">
      <w:r w:rsidRPr="00131090">
        <w:rPr>
          <w:color w:val="000000"/>
          <w:rtl/>
        </w:rPr>
        <w:t>נוסח מסמך זה כפוף לשינויי ניסוח ועריכה</w:t>
      </w:r>
    </w:p>
    <w:p w14:paraId="287FCC38" w14:textId="77777777" w:rsidR="00131090" w:rsidRDefault="00131090" w:rsidP="00131090">
      <w:pPr>
        <w:rPr>
          <w:rtl/>
        </w:rPr>
      </w:pPr>
    </w:p>
    <w:p w14:paraId="49CA4E32" w14:textId="77777777" w:rsidR="00131090" w:rsidRDefault="00131090" w:rsidP="00131090">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r w:rsidR="00E535E4">
        <w:rPr>
          <w:rFonts w:hint="cs"/>
          <w:color w:val="0000FF"/>
          <w:u w:val="single"/>
          <w:rtl/>
        </w:rPr>
        <w:t xml:space="preserve"> </w:t>
      </w:r>
    </w:p>
    <w:p w14:paraId="7126A36F" w14:textId="77777777" w:rsidR="00BA7E9D" w:rsidRPr="00BA7E9D" w:rsidRDefault="00BA7E9D" w:rsidP="00BA7E9D">
      <w:pPr>
        <w:keepNext/>
        <w:rPr>
          <w:rFonts w:ascii="David" w:hAnsi="David"/>
          <w:color w:val="000000"/>
          <w:sz w:val="22"/>
          <w:szCs w:val="22"/>
          <w:rtl/>
        </w:rPr>
      </w:pPr>
    </w:p>
    <w:p w14:paraId="7258E044" w14:textId="77777777" w:rsidR="00BA7E9D" w:rsidRPr="00BA7E9D" w:rsidRDefault="00BA7E9D" w:rsidP="00BA7E9D">
      <w:pPr>
        <w:keepNext/>
        <w:rPr>
          <w:rFonts w:ascii="David" w:hAnsi="David"/>
          <w:color w:val="000000"/>
          <w:sz w:val="22"/>
          <w:szCs w:val="22"/>
          <w:rtl/>
        </w:rPr>
      </w:pPr>
      <w:r w:rsidRPr="00BA7E9D">
        <w:rPr>
          <w:rFonts w:ascii="David" w:hAnsi="David"/>
          <w:color w:val="000000"/>
          <w:sz w:val="22"/>
          <w:szCs w:val="22"/>
          <w:rtl/>
        </w:rPr>
        <w:t>אמיר טובי 54678313-/</w:t>
      </w:r>
    </w:p>
    <w:sectPr w:rsidR="00BA7E9D" w:rsidRPr="00BA7E9D" w:rsidSect="00BA7E9D">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39E9B" w14:textId="77777777" w:rsidR="009C74A3" w:rsidRDefault="009C74A3">
      <w:r>
        <w:separator/>
      </w:r>
    </w:p>
  </w:endnote>
  <w:endnote w:type="continuationSeparator" w:id="0">
    <w:p w14:paraId="1F31B136" w14:textId="77777777" w:rsidR="009C74A3" w:rsidRDefault="009C7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936FC" w14:textId="77777777" w:rsidR="00BA7E9D" w:rsidRDefault="00BA7E9D" w:rsidP="00BA7E9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16F45A6" w14:textId="77777777" w:rsidR="00A075FD" w:rsidRPr="00BA7E9D" w:rsidRDefault="00BA7E9D" w:rsidP="00BA7E9D">
    <w:pPr>
      <w:pStyle w:val="a4"/>
      <w:pBdr>
        <w:top w:val="single" w:sz="4" w:space="1" w:color="auto"/>
        <w:between w:val="single" w:sz="4" w:space="0" w:color="auto"/>
      </w:pBdr>
      <w:spacing w:after="60"/>
      <w:jc w:val="center"/>
      <w:rPr>
        <w:rFonts w:ascii="FrankRuehl" w:hAnsi="FrankRuehl" w:cs="FrankRuehl"/>
        <w:color w:val="000000"/>
      </w:rPr>
    </w:pPr>
    <w:r w:rsidRPr="00BA7E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DEFA0" w14:textId="77777777" w:rsidR="00BA7E9D" w:rsidRDefault="00BA7E9D" w:rsidP="00BA7E9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0C2E">
      <w:rPr>
        <w:rFonts w:ascii="FrankRuehl" w:hAnsi="FrankRuehl" w:cs="FrankRuehl"/>
        <w:noProof/>
        <w:rtl/>
      </w:rPr>
      <w:t>2</w:t>
    </w:r>
    <w:r>
      <w:rPr>
        <w:rFonts w:ascii="FrankRuehl" w:hAnsi="FrankRuehl" w:cs="FrankRuehl"/>
        <w:rtl/>
      </w:rPr>
      <w:fldChar w:fldCharType="end"/>
    </w:r>
  </w:p>
  <w:p w14:paraId="7E2EA84F" w14:textId="77777777" w:rsidR="00A075FD" w:rsidRPr="00BA7E9D" w:rsidRDefault="00BA7E9D" w:rsidP="00BA7E9D">
    <w:pPr>
      <w:pStyle w:val="a4"/>
      <w:pBdr>
        <w:top w:val="single" w:sz="4" w:space="1" w:color="auto"/>
        <w:between w:val="single" w:sz="4" w:space="0" w:color="auto"/>
      </w:pBdr>
      <w:spacing w:after="60"/>
      <w:jc w:val="center"/>
      <w:rPr>
        <w:rFonts w:ascii="FrankRuehl" w:hAnsi="FrankRuehl" w:cs="FrankRuehl"/>
        <w:color w:val="000000"/>
      </w:rPr>
    </w:pPr>
    <w:r w:rsidRPr="00BA7E9D">
      <w:rPr>
        <w:rFonts w:ascii="FrankRuehl" w:hAnsi="FrankRuehl" w:cs="FrankRuehl"/>
        <w:color w:val="000000"/>
      </w:rPr>
      <w:pict w14:anchorId="2C7A1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D1CF9" w14:textId="77777777" w:rsidR="009C74A3" w:rsidRDefault="009C74A3">
      <w:r>
        <w:separator/>
      </w:r>
    </w:p>
  </w:footnote>
  <w:footnote w:type="continuationSeparator" w:id="0">
    <w:p w14:paraId="1CE1A838" w14:textId="77777777" w:rsidR="009C74A3" w:rsidRDefault="009C74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DA509" w14:textId="77777777" w:rsidR="00131090" w:rsidRPr="00BA7E9D" w:rsidRDefault="00BA7E9D" w:rsidP="00BA7E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17809-03-14</w:t>
    </w:r>
    <w:r>
      <w:rPr>
        <w:rFonts w:ascii="David" w:hAnsi="David"/>
        <w:color w:val="000000"/>
        <w:sz w:val="22"/>
        <w:szCs w:val="22"/>
        <w:rtl/>
      </w:rPr>
      <w:tab/>
      <w:t xml:space="preserve"> מדינת ישראל נ' מוחמד מוסטפא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B9219" w14:textId="77777777" w:rsidR="00131090" w:rsidRPr="00BA7E9D" w:rsidRDefault="00BA7E9D" w:rsidP="00BA7E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17809-03-14</w:t>
    </w:r>
    <w:r>
      <w:rPr>
        <w:rFonts w:ascii="David" w:hAnsi="David"/>
        <w:color w:val="000000"/>
        <w:sz w:val="22"/>
        <w:szCs w:val="22"/>
        <w:rtl/>
      </w:rPr>
      <w:tab/>
      <w:t xml:space="preserve"> מדינת ישראל נ' מוחמד מוסטפא</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75FD"/>
    <w:rsid w:val="00131090"/>
    <w:rsid w:val="00416A2D"/>
    <w:rsid w:val="005F1BFF"/>
    <w:rsid w:val="0086317D"/>
    <w:rsid w:val="009C74A3"/>
    <w:rsid w:val="00A075FD"/>
    <w:rsid w:val="00BA7E9D"/>
    <w:rsid w:val="00BC1ADA"/>
    <w:rsid w:val="00E535E4"/>
    <w:rsid w:val="00EB0C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B425FBB"/>
  <w15:chartTrackingRefBased/>
  <w15:docId w15:val="{7538FD57-A26B-4810-9E45-05E01C2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75FD"/>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075FD"/>
    <w:pPr>
      <w:tabs>
        <w:tab w:val="center" w:pos="4153"/>
        <w:tab w:val="right" w:pos="8306"/>
      </w:tabs>
    </w:pPr>
  </w:style>
  <w:style w:type="paragraph" w:styleId="a4">
    <w:name w:val="footer"/>
    <w:basedOn w:val="a"/>
    <w:rsid w:val="00A075FD"/>
    <w:pPr>
      <w:tabs>
        <w:tab w:val="center" w:pos="4153"/>
        <w:tab w:val="right" w:pos="8306"/>
      </w:tabs>
    </w:pPr>
  </w:style>
  <w:style w:type="character" w:styleId="a5">
    <w:name w:val="page number"/>
    <w:basedOn w:val="a0"/>
    <w:rsid w:val="00A075FD"/>
  </w:style>
  <w:style w:type="paragraph" w:customStyle="1" w:styleId="12">
    <w:name w:val="רגיל + ‏12 נק'"/>
    <w:aliases w:val="מיושר לשני הצדדים,מרווח בין שורות:  שורה וחצי"/>
    <w:basedOn w:val="a"/>
    <w:rsid w:val="00A075FD"/>
    <w:rPr>
      <w:b/>
      <w:bCs/>
      <w:u w:val="single"/>
    </w:rPr>
  </w:style>
  <w:style w:type="character" w:customStyle="1" w:styleId="TimesNewRomanTimesNewRoman">
    <w:name w:val="סגנון (לטיני) Times New Roman (עברית ושפות אחרות) Times New Roman..."/>
    <w:rsid w:val="00A075FD"/>
    <w:rPr>
      <w:rFonts w:ascii="Times New Roman" w:hAnsi="Times New Roman" w:cs="David" w:hint="default"/>
      <w:b/>
      <w:bCs/>
      <w:sz w:val="26"/>
      <w:szCs w:val="26"/>
    </w:rPr>
  </w:style>
  <w:style w:type="paragraph" w:customStyle="1" w:styleId="Quote">
    <w:name w:val="Quote"/>
    <w:basedOn w:val="a"/>
    <w:next w:val="a"/>
    <w:link w:val="a6"/>
    <w:autoRedefine/>
    <w:rsid w:val="00A075FD"/>
    <w:pPr>
      <w:spacing w:line="360" w:lineRule="auto"/>
      <w:ind w:left="1134" w:right="1134"/>
      <w:jc w:val="both"/>
    </w:pPr>
    <w:rPr>
      <w:color w:val="000000"/>
    </w:rPr>
  </w:style>
  <w:style w:type="character" w:customStyle="1" w:styleId="a6">
    <w:name w:val="הצעת מחיר תו"/>
    <w:link w:val="Quote"/>
    <w:rsid w:val="00A075FD"/>
    <w:rPr>
      <w:rFonts w:cs="David"/>
      <w:color w:val="000000"/>
      <w:sz w:val="24"/>
      <w:szCs w:val="24"/>
      <w:lang w:val="en-US" w:eastAsia="en-US" w:bidi="he-IL"/>
    </w:rPr>
  </w:style>
  <w:style w:type="character" w:styleId="Hyperlink">
    <w:name w:val="Hyperlink"/>
    <w:rsid w:val="001310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a" TargetMode="External"/><Relationship Id="rId18" Type="http://schemas.openxmlformats.org/officeDocument/2006/relationships/hyperlink" Target="http://www.nevo.co.il/law/70301" TargetMode="External"/><Relationship Id="rId26" Type="http://schemas.openxmlformats.org/officeDocument/2006/relationships/hyperlink" Target="http://www.nevo.co.il/law/70301/40i.a" TargetMode="External"/><Relationship Id="rId39" Type="http://schemas.openxmlformats.org/officeDocument/2006/relationships/theme" Target="theme/theme1.xml"/><Relationship Id="rId21" Type="http://schemas.openxmlformats.org/officeDocument/2006/relationships/hyperlink" Target="http://www.nevo.co.il/case/8291683" TargetMode="External"/><Relationship Id="rId34" Type="http://schemas.openxmlformats.org/officeDocument/2006/relationships/header" Target="header1.xml"/><Relationship Id="rId7" Type="http://schemas.openxmlformats.org/officeDocument/2006/relationships/hyperlink" Target="http://www.nevo.co.il/law/70301/40i.a" TargetMode="External"/><Relationship Id="rId12" Type="http://schemas.openxmlformats.org/officeDocument/2006/relationships/hyperlink" Target="http://www.nevo.co.il/law/70301/40ja.7" TargetMode="External"/><Relationship Id="rId17" Type="http://schemas.openxmlformats.org/officeDocument/2006/relationships/hyperlink" Target="http://www.nevo.co.il/law/70301/244" TargetMode="External"/><Relationship Id="rId25" Type="http://schemas.openxmlformats.org/officeDocument/2006/relationships/hyperlink" Target="http://www.nevo.co.il/case/5568354"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340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5601503" TargetMode="External"/><Relationship Id="rId32" Type="http://schemas.openxmlformats.org/officeDocument/2006/relationships/hyperlink" Target="http://www.nevo.co.il/case/6129696" TargetMode="External"/><Relationship Id="rId37"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case/5578534" TargetMode="External"/><Relationship Id="rId28" Type="http://schemas.openxmlformats.org/officeDocument/2006/relationships/hyperlink" Target="http://www.nevo.co.il/law/70301/40ja" TargetMode="External"/><Relationship Id="rId36" Type="http://schemas.openxmlformats.org/officeDocument/2006/relationships/footer" Target="footer1.xml"/><Relationship Id="rId10" Type="http://schemas.openxmlformats.org/officeDocument/2006/relationships/hyperlink" Target="http://www.nevo.co.il/law/70301/340a" TargetMode="External"/><Relationship Id="rId19" Type="http://schemas.openxmlformats.org/officeDocument/2006/relationships/hyperlink" Target="http://www.nevo.co.il/law/70301/40jc.a"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244"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5878682" TargetMode="External"/><Relationship Id="rId27" Type="http://schemas.openxmlformats.org/officeDocument/2006/relationships/hyperlink" Target="http://www.nevo.co.il/case/6473037" TargetMode="External"/><Relationship Id="rId30" Type="http://schemas.openxmlformats.org/officeDocument/2006/relationships/hyperlink" Target="http://www.nevo.co.il/law/70301/40ja.7"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2431</Words>
  <Characters>12157</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14559</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3407989</vt:i4>
      </vt:variant>
      <vt:variant>
        <vt:i4>78</vt:i4>
      </vt:variant>
      <vt:variant>
        <vt:i4>0</vt:i4>
      </vt:variant>
      <vt:variant>
        <vt:i4>5</vt:i4>
      </vt:variant>
      <vt:variant>
        <vt:lpwstr>http://www.nevo.co.il/case/6129696</vt:lpwstr>
      </vt:variant>
      <vt:variant>
        <vt:lpwstr/>
      </vt:variant>
      <vt:variant>
        <vt:i4>7995492</vt:i4>
      </vt:variant>
      <vt:variant>
        <vt:i4>75</vt:i4>
      </vt:variant>
      <vt:variant>
        <vt:i4>0</vt:i4>
      </vt:variant>
      <vt:variant>
        <vt:i4>5</vt:i4>
      </vt:variant>
      <vt:variant>
        <vt:lpwstr>http://www.nevo.co.il/law/70301</vt:lpwstr>
      </vt:variant>
      <vt:variant>
        <vt:lpwstr/>
      </vt:variant>
      <vt:variant>
        <vt:i4>3342373</vt:i4>
      </vt:variant>
      <vt:variant>
        <vt:i4>72</vt:i4>
      </vt:variant>
      <vt:variant>
        <vt:i4>0</vt:i4>
      </vt:variant>
      <vt:variant>
        <vt:i4>5</vt:i4>
      </vt:variant>
      <vt:variant>
        <vt:lpwstr>http://www.nevo.co.il/law/70301/40ja.7</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4915208</vt:i4>
      </vt:variant>
      <vt:variant>
        <vt:i4>60</vt:i4>
      </vt:variant>
      <vt:variant>
        <vt:i4>0</vt:i4>
      </vt:variant>
      <vt:variant>
        <vt:i4>5</vt:i4>
      </vt:variant>
      <vt:variant>
        <vt:lpwstr>http://www.nevo.co.il/law/70301/40i.a</vt:lpwstr>
      </vt:variant>
      <vt:variant>
        <vt:lpwstr/>
      </vt:variant>
      <vt:variant>
        <vt:i4>3407996</vt:i4>
      </vt:variant>
      <vt:variant>
        <vt:i4>57</vt:i4>
      </vt:variant>
      <vt:variant>
        <vt:i4>0</vt:i4>
      </vt:variant>
      <vt:variant>
        <vt:i4>5</vt:i4>
      </vt:variant>
      <vt:variant>
        <vt:lpwstr>http://www.nevo.co.il/case/5568354</vt:lpwstr>
      </vt:variant>
      <vt:variant>
        <vt:lpwstr/>
      </vt:variant>
      <vt:variant>
        <vt:i4>3342451</vt:i4>
      </vt:variant>
      <vt:variant>
        <vt:i4>54</vt:i4>
      </vt:variant>
      <vt:variant>
        <vt:i4>0</vt:i4>
      </vt:variant>
      <vt:variant>
        <vt:i4>5</vt:i4>
      </vt:variant>
      <vt:variant>
        <vt:lpwstr>http://www.nevo.co.il/case/5601503</vt:lpwstr>
      </vt:variant>
      <vt:variant>
        <vt:lpwstr/>
      </vt:variant>
      <vt:variant>
        <vt:i4>3342458</vt:i4>
      </vt:variant>
      <vt:variant>
        <vt:i4>51</vt:i4>
      </vt:variant>
      <vt:variant>
        <vt:i4>0</vt:i4>
      </vt:variant>
      <vt:variant>
        <vt:i4>5</vt:i4>
      </vt:variant>
      <vt:variant>
        <vt:lpwstr>http://www.nevo.co.il/case/5578534</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3407999</vt:i4>
      </vt:variant>
      <vt:variant>
        <vt:i4>45</vt:i4>
      </vt:variant>
      <vt:variant>
        <vt:i4>0</vt:i4>
      </vt:variant>
      <vt:variant>
        <vt:i4>5</vt:i4>
      </vt:variant>
      <vt:variant>
        <vt:lpwstr>http://www.nevo.co.il/case/8291683</vt:lpwstr>
      </vt:variant>
      <vt:variant>
        <vt:lpwstr/>
      </vt:variant>
      <vt:variant>
        <vt:i4>7995492</vt:i4>
      </vt:variant>
      <vt:variant>
        <vt:i4>42</vt:i4>
      </vt:variant>
      <vt:variant>
        <vt:i4>0</vt:i4>
      </vt:variant>
      <vt:variant>
        <vt:i4>5</vt:i4>
      </vt:variant>
      <vt:variant>
        <vt:lpwstr>http://www.nevo.co.il/law/70301</vt:lpwstr>
      </vt:variant>
      <vt:variant>
        <vt:lpwstr/>
      </vt:variant>
      <vt:variant>
        <vt:i4>6750245</vt:i4>
      </vt:variant>
      <vt:variant>
        <vt:i4>39</vt:i4>
      </vt:variant>
      <vt:variant>
        <vt:i4>0</vt:i4>
      </vt:variant>
      <vt:variant>
        <vt:i4>5</vt:i4>
      </vt:variant>
      <vt:variant>
        <vt:lpwstr>http://www.nevo.co.il/law/70301/40jc.a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86</vt:i4>
      </vt:variant>
      <vt:variant>
        <vt:i4>30</vt:i4>
      </vt:variant>
      <vt:variant>
        <vt:i4>0</vt:i4>
      </vt:variant>
      <vt:variant>
        <vt:i4>5</vt:i4>
      </vt:variant>
      <vt:variant>
        <vt:lpwstr>http://www.nevo.co.il/law/70301/340a</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6750245</vt:i4>
      </vt:variant>
      <vt:variant>
        <vt:i4>21</vt:i4>
      </vt:variant>
      <vt:variant>
        <vt:i4>0</vt:i4>
      </vt:variant>
      <vt:variant>
        <vt:i4>5</vt:i4>
      </vt:variant>
      <vt:variant>
        <vt:lpwstr>http://www.nevo.co.il/law/70301/40jc.a</vt:lpwstr>
      </vt:variant>
      <vt:variant>
        <vt:lpwstr/>
      </vt:variant>
      <vt:variant>
        <vt:i4>3342373</vt:i4>
      </vt:variant>
      <vt:variant>
        <vt:i4>18</vt:i4>
      </vt:variant>
      <vt:variant>
        <vt:i4>0</vt:i4>
      </vt:variant>
      <vt:variant>
        <vt:i4>5</vt:i4>
      </vt:variant>
      <vt:variant>
        <vt:lpwstr>http://www.nevo.co.il/law/70301/40ja.7</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86</vt:i4>
      </vt:variant>
      <vt:variant>
        <vt:i4>12</vt:i4>
      </vt:variant>
      <vt:variant>
        <vt:i4>0</vt:i4>
      </vt:variant>
      <vt:variant>
        <vt:i4>5</vt:i4>
      </vt:variant>
      <vt:variant>
        <vt:lpwstr>http://www.nevo.co.il/law/70301/340a</vt:lpwstr>
      </vt:variant>
      <vt:variant>
        <vt:lpwstr/>
      </vt:variant>
      <vt:variant>
        <vt:i4>6357095</vt:i4>
      </vt:variant>
      <vt:variant>
        <vt:i4>9</vt:i4>
      </vt:variant>
      <vt:variant>
        <vt:i4>0</vt:i4>
      </vt:variant>
      <vt:variant>
        <vt:i4>5</vt:i4>
      </vt:variant>
      <vt:variant>
        <vt:lpwstr>http://www.nevo.co.il/law/70301/244</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2025-01-19T15:52:00Z</dcterms:created>
  <dcterms:modified xsi:type="dcterms:W3CDTF">2025-01-19T15:52:00Z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17809</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מוסטפא</vt:lpwstr>
  </property>
  <property fmtid="{D5CDD505-2E9C-101B-9397-08002B2CF9AE}" pid="10" name="LAWYER">
    <vt:lpwstr>שגב אדלר;מוחמד בדארנה</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20140626</vt:lpwstr>
  </property>
  <property fmtid="{D5CDD505-2E9C-101B-9397-08002B2CF9AE}" pid="14" name="TYPE_N_DATE">
    <vt:lpwstr>39020140626</vt:lpwstr>
  </property>
  <property fmtid="{D5CDD505-2E9C-101B-9397-08002B2CF9AE}" pid="15" name="CASESLISTTMP1">
    <vt:lpwstr>8291683;5878682;5578534;5601503;5568354;6473037;6129696</vt:lpwstr>
  </property>
  <property fmtid="{D5CDD505-2E9C-101B-9397-08002B2CF9AE}" pid="16" name="WORDNUMPAGES">
    <vt:lpwstr>8</vt:lpwstr>
  </property>
  <property fmtid="{D5CDD505-2E9C-101B-9397-08002B2CF9AE}" pid="17" name="TYPE_ABS_DATE">
    <vt:lpwstr>390020140626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70301/144.b;340a;244;40jc.a;040i.a;40ja;40ja.7</vt:lpwstr>
  </property>
</Properties>
</file>