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CA119F" w:rsidRPr="006B6C8F" w14:paraId="7C494D46" w14:textId="77777777">
        <w:trPr>
          <w:trHeight w:hRule="exact" w:val="418"/>
          <w:jc w:val="center"/>
        </w:trPr>
        <w:tc>
          <w:tcPr>
            <w:tcW w:w="8721" w:type="dxa"/>
            <w:gridSpan w:val="2"/>
          </w:tcPr>
          <w:p w14:paraId="6BFDA253" w14:textId="77777777" w:rsidR="00CA119F" w:rsidRPr="006B6C8F" w:rsidRDefault="006B6C8F">
            <w:pPr>
              <w:pStyle w:val="a3"/>
              <w:jc w:val="center"/>
              <w:rPr>
                <w:rFonts w:ascii="Tahoma" w:hAnsi="Tahoma" w:cs="Tahoma"/>
                <w:color w:val="000080"/>
                <w:rtl/>
              </w:rPr>
            </w:pPr>
            <w:bookmarkStart w:id="0" w:name="LastJudge"/>
            <w:r w:rsidRPr="006B6C8F">
              <w:rPr>
                <w:rFonts w:ascii="Tahoma" w:hAnsi="Tahoma" w:cs="Tahoma"/>
                <w:b/>
                <w:bCs/>
                <w:color w:val="000080"/>
                <w:rtl/>
              </w:rPr>
              <w:t>בית המשפט המחוזי מרכז-לוד</w:t>
            </w:r>
          </w:p>
        </w:tc>
      </w:tr>
      <w:tr w:rsidR="00CA119F" w:rsidRPr="006B6C8F" w14:paraId="0D5479AE" w14:textId="77777777">
        <w:trPr>
          <w:trHeight w:val="337"/>
          <w:jc w:val="center"/>
        </w:trPr>
        <w:tc>
          <w:tcPr>
            <w:tcW w:w="5057" w:type="dxa"/>
          </w:tcPr>
          <w:p w14:paraId="232671D7" w14:textId="77777777" w:rsidR="00CA119F" w:rsidRPr="006B6C8F" w:rsidRDefault="006B6C8F">
            <w:pPr>
              <w:rPr>
                <w:rFonts w:ascii="Arial" w:hAnsi="Arial" w:cs="Arial"/>
                <w:b/>
                <w:bCs/>
                <w:rtl/>
              </w:rPr>
            </w:pPr>
            <w:r w:rsidRPr="006B6C8F">
              <w:rPr>
                <w:rFonts w:ascii="Arial" w:hAnsi="Arial" w:cs="Arial"/>
                <w:b/>
                <w:bCs/>
                <w:rtl/>
              </w:rPr>
              <w:t>ת"פ 30974-03-14 מדינת ישראל נ' אלנצאצרה</w:t>
            </w:r>
          </w:p>
          <w:p w14:paraId="14E9FEE1" w14:textId="77777777" w:rsidR="00CA119F" w:rsidRPr="006B6C8F" w:rsidRDefault="00CA119F">
            <w:pPr>
              <w:pStyle w:val="a3"/>
              <w:rPr>
                <w:rFonts w:cs="FrankRuehl"/>
                <w:sz w:val="28"/>
                <w:szCs w:val="28"/>
                <w:rtl/>
              </w:rPr>
            </w:pPr>
          </w:p>
        </w:tc>
        <w:tc>
          <w:tcPr>
            <w:tcW w:w="3664" w:type="dxa"/>
          </w:tcPr>
          <w:p w14:paraId="6FE3B2EF" w14:textId="77777777" w:rsidR="00CA119F" w:rsidRPr="006B6C8F" w:rsidRDefault="00CA119F">
            <w:pPr>
              <w:pStyle w:val="a3"/>
              <w:jc w:val="right"/>
              <w:rPr>
                <w:rFonts w:cs="FrankRuehl"/>
                <w:sz w:val="28"/>
                <w:szCs w:val="28"/>
                <w:rtl/>
              </w:rPr>
            </w:pPr>
          </w:p>
        </w:tc>
      </w:tr>
    </w:tbl>
    <w:p w14:paraId="7CCCCF9D" w14:textId="77777777" w:rsidR="00CA119F" w:rsidRPr="006B6C8F" w:rsidRDefault="006B6C8F">
      <w:pPr>
        <w:pStyle w:val="a3"/>
        <w:rPr>
          <w:rtl/>
        </w:rPr>
      </w:pPr>
      <w:r w:rsidRPr="006B6C8F">
        <w:rPr>
          <w:rFonts w:hint="cs"/>
          <w:rtl/>
        </w:rPr>
        <w:t xml:space="preserve"> </w:t>
      </w:r>
    </w:p>
    <w:p w14:paraId="5845BE35" w14:textId="77777777" w:rsidR="00CA119F" w:rsidRPr="006B6C8F" w:rsidRDefault="00CA119F">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A119F" w:rsidRPr="006B6C8F" w14:paraId="5A500584" w14:textId="77777777">
        <w:trPr>
          <w:trHeight w:val="295"/>
          <w:jc w:val="center"/>
        </w:trPr>
        <w:tc>
          <w:tcPr>
            <w:tcW w:w="923" w:type="dxa"/>
            <w:tcBorders>
              <w:top w:val="nil"/>
              <w:left w:val="nil"/>
              <w:bottom w:val="nil"/>
              <w:right w:val="nil"/>
            </w:tcBorders>
          </w:tcPr>
          <w:p w14:paraId="069EE0FB" w14:textId="77777777" w:rsidR="00CA119F" w:rsidRPr="006B6C8F" w:rsidRDefault="006B6C8F">
            <w:pPr>
              <w:jc w:val="both"/>
              <w:rPr>
                <w:rFonts w:ascii="Arial" w:hAnsi="Arial" w:cs="Arial"/>
                <w:b/>
                <w:bCs/>
              </w:rPr>
            </w:pPr>
            <w:r w:rsidRPr="006B6C8F">
              <w:rPr>
                <w:rFonts w:ascii="Arial" w:hAnsi="Arial" w:cs="Arial"/>
                <w:b/>
                <w:bCs/>
                <w:rtl/>
              </w:rPr>
              <w:t xml:space="preserve">בפני </w:t>
            </w:r>
          </w:p>
        </w:tc>
        <w:tc>
          <w:tcPr>
            <w:tcW w:w="7897" w:type="dxa"/>
            <w:gridSpan w:val="2"/>
            <w:tcBorders>
              <w:top w:val="nil"/>
              <w:left w:val="nil"/>
              <w:bottom w:val="nil"/>
              <w:right w:val="nil"/>
            </w:tcBorders>
          </w:tcPr>
          <w:p w14:paraId="1829BBFA" w14:textId="77777777" w:rsidR="00CA119F" w:rsidRPr="006B6C8F" w:rsidRDefault="006B6C8F">
            <w:pPr>
              <w:rPr>
                <w:rFonts w:ascii="Arial" w:hAnsi="Arial" w:cs="Arial"/>
                <w:b/>
                <w:bCs/>
                <w:rtl/>
              </w:rPr>
            </w:pPr>
            <w:r w:rsidRPr="006B6C8F">
              <w:rPr>
                <w:rFonts w:ascii="Arial" w:hAnsi="Arial" w:cs="Arial"/>
                <w:b/>
                <w:bCs/>
                <w:rtl/>
              </w:rPr>
              <w:t>כב' השופטת  מיכל ברנט</w:t>
            </w:r>
          </w:p>
          <w:p w14:paraId="141D218B" w14:textId="77777777" w:rsidR="00CA119F" w:rsidRPr="006B6C8F" w:rsidRDefault="00CA119F">
            <w:pPr>
              <w:rPr>
                <w:rFonts w:ascii="Arial" w:hAnsi="Arial" w:cs="Arial"/>
                <w:b/>
                <w:bCs/>
                <w:rtl/>
              </w:rPr>
            </w:pPr>
          </w:p>
          <w:p w14:paraId="3C9C7C0E" w14:textId="77777777" w:rsidR="00CA119F" w:rsidRPr="006B6C8F" w:rsidRDefault="00CA119F">
            <w:pPr>
              <w:jc w:val="both"/>
              <w:rPr>
                <w:rFonts w:ascii="Arial" w:hAnsi="Arial" w:cs="Arial"/>
                <w:b/>
                <w:bCs/>
              </w:rPr>
            </w:pPr>
          </w:p>
        </w:tc>
      </w:tr>
      <w:tr w:rsidR="00CA119F" w:rsidRPr="006B6C8F" w14:paraId="5E9ED1A8" w14:textId="77777777">
        <w:trPr>
          <w:trHeight w:val="355"/>
          <w:jc w:val="center"/>
        </w:trPr>
        <w:tc>
          <w:tcPr>
            <w:tcW w:w="923" w:type="dxa"/>
            <w:tcBorders>
              <w:top w:val="nil"/>
              <w:left w:val="nil"/>
              <w:bottom w:val="nil"/>
              <w:right w:val="nil"/>
            </w:tcBorders>
          </w:tcPr>
          <w:p w14:paraId="4AF09063" w14:textId="77777777" w:rsidR="00CA119F" w:rsidRPr="006B6C8F" w:rsidRDefault="006B6C8F">
            <w:pPr>
              <w:jc w:val="both"/>
              <w:rPr>
                <w:rFonts w:ascii="Arial" w:hAnsi="Arial" w:cs="Arial"/>
                <w:b/>
                <w:bCs/>
              </w:rPr>
            </w:pPr>
            <w:bookmarkStart w:id="1" w:name="FirstAppellant"/>
            <w:r w:rsidRPr="006B6C8F">
              <w:rPr>
                <w:rFonts w:ascii="Arial" w:hAnsi="Arial" w:cs="Arial"/>
                <w:b/>
                <w:bCs/>
                <w:rtl/>
              </w:rPr>
              <w:t>בעניין:</w:t>
            </w:r>
          </w:p>
        </w:tc>
        <w:tc>
          <w:tcPr>
            <w:tcW w:w="4126" w:type="dxa"/>
            <w:tcBorders>
              <w:top w:val="nil"/>
              <w:left w:val="nil"/>
              <w:bottom w:val="nil"/>
              <w:right w:val="nil"/>
            </w:tcBorders>
          </w:tcPr>
          <w:p w14:paraId="09E01456" w14:textId="77777777" w:rsidR="00CA119F" w:rsidRPr="006B6C8F" w:rsidRDefault="006B6C8F">
            <w:pPr>
              <w:rPr>
                <w:rFonts w:ascii="Arial" w:hAnsi="Arial" w:cs="Arial"/>
                <w:b/>
                <w:bCs/>
              </w:rPr>
            </w:pPr>
            <w:r w:rsidRPr="006B6C8F">
              <w:rPr>
                <w:rFonts w:ascii="Arial" w:hAnsi="Arial" w:cs="Arial"/>
                <w:b/>
                <w:bCs/>
                <w:rtl/>
              </w:rPr>
              <w:t>מדינת ישראל</w:t>
            </w:r>
          </w:p>
        </w:tc>
        <w:tc>
          <w:tcPr>
            <w:tcW w:w="3771" w:type="dxa"/>
            <w:tcBorders>
              <w:top w:val="nil"/>
              <w:left w:val="nil"/>
              <w:bottom w:val="nil"/>
              <w:right w:val="nil"/>
            </w:tcBorders>
          </w:tcPr>
          <w:p w14:paraId="7478F012" w14:textId="77777777" w:rsidR="00CA119F" w:rsidRPr="006B6C8F" w:rsidRDefault="00CA119F">
            <w:pPr>
              <w:jc w:val="both"/>
              <w:rPr>
                <w:rFonts w:ascii="Arial" w:hAnsi="Arial" w:cs="Arial"/>
                <w:b/>
                <w:bCs/>
              </w:rPr>
            </w:pPr>
          </w:p>
        </w:tc>
      </w:tr>
      <w:bookmarkEnd w:id="1"/>
      <w:tr w:rsidR="00CA119F" w:rsidRPr="006B6C8F" w14:paraId="70125DE2" w14:textId="77777777">
        <w:trPr>
          <w:trHeight w:val="355"/>
          <w:jc w:val="center"/>
        </w:trPr>
        <w:tc>
          <w:tcPr>
            <w:tcW w:w="923" w:type="dxa"/>
            <w:tcBorders>
              <w:top w:val="nil"/>
              <w:left w:val="nil"/>
              <w:bottom w:val="nil"/>
              <w:right w:val="nil"/>
            </w:tcBorders>
          </w:tcPr>
          <w:p w14:paraId="0DDE0243" w14:textId="77777777" w:rsidR="00CA119F" w:rsidRPr="006B6C8F" w:rsidRDefault="00CA119F">
            <w:pPr>
              <w:jc w:val="both"/>
              <w:rPr>
                <w:rFonts w:ascii="Arial" w:hAnsi="Arial" w:cs="Arial"/>
                <w:b/>
                <w:bCs/>
                <w:rtl/>
              </w:rPr>
            </w:pPr>
          </w:p>
        </w:tc>
        <w:tc>
          <w:tcPr>
            <w:tcW w:w="4126" w:type="dxa"/>
            <w:tcBorders>
              <w:top w:val="nil"/>
              <w:left w:val="nil"/>
              <w:bottom w:val="nil"/>
              <w:right w:val="nil"/>
            </w:tcBorders>
          </w:tcPr>
          <w:p w14:paraId="19096ADB" w14:textId="77777777" w:rsidR="00CA119F" w:rsidRPr="006B6C8F" w:rsidRDefault="00CA119F">
            <w:pPr>
              <w:jc w:val="both"/>
              <w:rPr>
                <w:rFonts w:ascii="Arial" w:hAnsi="Arial" w:cs="Arial"/>
                <w:b/>
                <w:bCs/>
                <w:rtl/>
              </w:rPr>
            </w:pPr>
          </w:p>
        </w:tc>
        <w:tc>
          <w:tcPr>
            <w:tcW w:w="3771" w:type="dxa"/>
            <w:tcBorders>
              <w:top w:val="nil"/>
              <w:left w:val="nil"/>
              <w:bottom w:val="nil"/>
              <w:right w:val="nil"/>
            </w:tcBorders>
          </w:tcPr>
          <w:p w14:paraId="195514F9" w14:textId="77777777" w:rsidR="00CA119F" w:rsidRPr="006B6C8F" w:rsidRDefault="006B6C8F">
            <w:pPr>
              <w:jc w:val="right"/>
              <w:rPr>
                <w:rFonts w:ascii="Arial" w:hAnsi="Arial" w:cs="Arial"/>
                <w:b/>
                <w:bCs/>
                <w:rtl/>
              </w:rPr>
            </w:pPr>
            <w:r w:rsidRPr="006B6C8F">
              <w:rPr>
                <w:rFonts w:ascii="Arial" w:hAnsi="Arial" w:cs="Arial"/>
                <w:b/>
                <w:bCs/>
                <w:rtl/>
              </w:rPr>
              <w:t>המאשימה</w:t>
            </w:r>
          </w:p>
        </w:tc>
      </w:tr>
      <w:tr w:rsidR="00CA119F" w:rsidRPr="006B6C8F" w14:paraId="7EE4F50E" w14:textId="77777777">
        <w:trPr>
          <w:trHeight w:val="355"/>
          <w:jc w:val="center"/>
        </w:trPr>
        <w:tc>
          <w:tcPr>
            <w:tcW w:w="923" w:type="dxa"/>
            <w:tcBorders>
              <w:top w:val="nil"/>
              <w:left w:val="nil"/>
              <w:bottom w:val="nil"/>
              <w:right w:val="nil"/>
            </w:tcBorders>
          </w:tcPr>
          <w:p w14:paraId="0BA8A79B" w14:textId="77777777" w:rsidR="00CA119F" w:rsidRPr="006B6C8F" w:rsidRDefault="00CA119F">
            <w:pPr>
              <w:jc w:val="both"/>
              <w:rPr>
                <w:rFonts w:ascii="Arial" w:hAnsi="Arial" w:cs="Arial"/>
                <w:b/>
                <w:bCs/>
                <w:rtl/>
              </w:rPr>
            </w:pPr>
          </w:p>
        </w:tc>
        <w:tc>
          <w:tcPr>
            <w:tcW w:w="7897" w:type="dxa"/>
            <w:gridSpan w:val="2"/>
            <w:tcBorders>
              <w:top w:val="nil"/>
              <w:left w:val="nil"/>
              <w:bottom w:val="nil"/>
              <w:right w:val="nil"/>
            </w:tcBorders>
          </w:tcPr>
          <w:p w14:paraId="6032AC90" w14:textId="77777777" w:rsidR="00CA119F" w:rsidRPr="006B6C8F" w:rsidRDefault="00CA119F">
            <w:pPr>
              <w:jc w:val="center"/>
              <w:rPr>
                <w:rFonts w:ascii="Arial" w:hAnsi="Arial" w:cs="Arial"/>
                <w:b/>
                <w:bCs/>
                <w:rtl/>
              </w:rPr>
            </w:pPr>
          </w:p>
          <w:p w14:paraId="1313068D" w14:textId="77777777" w:rsidR="00CA119F" w:rsidRPr="006B6C8F" w:rsidRDefault="006B6C8F">
            <w:pPr>
              <w:jc w:val="center"/>
              <w:rPr>
                <w:rFonts w:ascii="Arial" w:hAnsi="Arial" w:cs="Arial"/>
                <w:b/>
                <w:bCs/>
                <w:rtl/>
              </w:rPr>
            </w:pPr>
            <w:r w:rsidRPr="006B6C8F">
              <w:rPr>
                <w:rFonts w:ascii="Arial" w:hAnsi="Arial" w:cs="Arial"/>
                <w:b/>
                <w:bCs/>
                <w:rtl/>
              </w:rPr>
              <w:t>נגד</w:t>
            </w:r>
          </w:p>
          <w:p w14:paraId="5BEF1AD3" w14:textId="77777777" w:rsidR="00CA119F" w:rsidRPr="006B6C8F" w:rsidRDefault="00CA119F">
            <w:pPr>
              <w:jc w:val="both"/>
              <w:rPr>
                <w:rFonts w:ascii="Arial" w:hAnsi="Arial" w:cs="Arial"/>
                <w:b/>
                <w:bCs/>
              </w:rPr>
            </w:pPr>
          </w:p>
        </w:tc>
      </w:tr>
      <w:tr w:rsidR="00CA119F" w:rsidRPr="006B6C8F" w14:paraId="472D7A7C" w14:textId="77777777">
        <w:trPr>
          <w:trHeight w:val="355"/>
          <w:jc w:val="center"/>
        </w:trPr>
        <w:tc>
          <w:tcPr>
            <w:tcW w:w="923" w:type="dxa"/>
            <w:tcBorders>
              <w:top w:val="nil"/>
              <w:left w:val="nil"/>
              <w:bottom w:val="nil"/>
              <w:right w:val="nil"/>
            </w:tcBorders>
          </w:tcPr>
          <w:p w14:paraId="309A0336" w14:textId="77777777" w:rsidR="00CA119F" w:rsidRPr="006B6C8F" w:rsidRDefault="00CA119F">
            <w:pPr>
              <w:rPr>
                <w:rFonts w:ascii="Arial" w:hAnsi="Arial" w:cs="Arial"/>
                <w:b/>
                <w:bCs/>
                <w:rtl/>
              </w:rPr>
            </w:pPr>
          </w:p>
        </w:tc>
        <w:tc>
          <w:tcPr>
            <w:tcW w:w="4126" w:type="dxa"/>
            <w:tcBorders>
              <w:top w:val="nil"/>
              <w:left w:val="nil"/>
              <w:bottom w:val="nil"/>
              <w:right w:val="nil"/>
            </w:tcBorders>
          </w:tcPr>
          <w:p w14:paraId="1F7A0277" w14:textId="77777777" w:rsidR="00CA119F" w:rsidRPr="006B6C8F" w:rsidRDefault="006B6C8F">
            <w:pPr>
              <w:rPr>
                <w:rFonts w:ascii="Arial" w:hAnsi="Arial" w:cs="Arial"/>
                <w:b/>
                <w:bCs/>
                <w:rtl/>
              </w:rPr>
            </w:pPr>
            <w:r w:rsidRPr="006B6C8F">
              <w:rPr>
                <w:rFonts w:ascii="Arial" w:hAnsi="Arial" w:cs="Arial"/>
                <w:b/>
                <w:bCs/>
                <w:rtl/>
              </w:rPr>
              <w:t>מוחמד אלנצאצרה</w:t>
            </w:r>
          </w:p>
        </w:tc>
        <w:tc>
          <w:tcPr>
            <w:tcW w:w="3771" w:type="dxa"/>
            <w:tcBorders>
              <w:top w:val="nil"/>
              <w:left w:val="nil"/>
              <w:bottom w:val="nil"/>
              <w:right w:val="nil"/>
            </w:tcBorders>
          </w:tcPr>
          <w:p w14:paraId="26BD4C86" w14:textId="77777777" w:rsidR="00CA119F" w:rsidRPr="006B6C8F" w:rsidRDefault="00CA119F">
            <w:pPr>
              <w:jc w:val="right"/>
              <w:rPr>
                <w:rFonts w:ascii="Arial" w:hAnsi="Arial" w:cs="Arial"/>
                <w:b/>
                <w:bCs/>
              </w:rPr>
            </w:pPr>
          </w:p>
        </w:tc>
      </w:tr>
      <w:tr w:rsidR="00CA119F" w:rsidRPr="006B6C8F" w14:paraId="0FE9DF51" w14:textId="77777777">
        <w:trPr>
          <w:trHeight w:val="355"/>
          <w:jc w:val="center"/>
        </w:trPr>
        <w:tc>
          <w:tcPr>
            <w:tcW w:w="923" w:type="dxa"/>
            <w:tcBorders>
              <w:top w:val="nil"/>
              <w:left w:val="nil"/>
              <w:bottom w:val="nil"/>
              <w:right w:val="nil"/>
            </w:tcBorders>
          </w:tcPr>
          <w:p w14:paraId="36C0BDAA" w14:textId="77777777" w:rsidR="00CA119F" w:rsidRPr="006B6C8F" w:rsidRDefault="00CA119F">
            <w:pPr>
              <w:jc w:val="both"/>
              <w:rPr>
                <w:rFonts w:ascii="Arial" w:hAnsi="Arial" w:cs="Arial"/>
                <w:b/>
                <w:bCs/>
                <w:rtl/>
              </w:rPr>
            </w:pPr>
          </w:p>
        </w:tc>
        <w:tc>
          <w:tcPr>
            <w:tcW w:w="4126" w:type="dxa"/>
            <w:tcBorders>
              <w:top w:val="nil"/>
              <w:left w:val="nil"/>
              <w:bottom w:val="nil"/>
              <w:right w:val="nil"/>
            </w:tcBorders>
          </w:tcPr>
          <w:p w14:paraId="1B38FBB3" w14:textId="77777777" w:rsidR="00CA119F" w:rsidRPr="006B6C8F" w:rsidRDefault="00CA119F">
            <w:pPr>
              <w:jc w:val="both"/>
              <w:rPr>
                <w:rFonts w:ascii="Arial" w:hAnsi="Arial" w:cs="Arial"/>
                <w:b/>
                <w:bCs/>
                <w:rtl/>
              </w:rPr>
            </w:pPr>
          </w:p>
        </w:tc>
        <w:tc>
          <w:tcPr>
            <w:tcW w:w="3771" w:type="dxa"/>
            <w:tcBorders>
              <w:top w:val="nil"/>
              <w:left w:val="nil"/>
              <w:bottom w:val="nil"/>
              <w:right w:val="nil"/>
            </w:tcBorders>
          </w:tcPr>
          <w:p w14:paraId="741CCCCE" w14:textId="77777777" w:rsidR="00CA119F" w:rsidRPr="006B6C8F" w:rsidRDefault="006B6C8F">
            <w:pPr>
              <w:jc w:val="right"/>
              <w:rPr>
                <w:rFonts w:ascii="Arial" w:hAnsi="Arial" w:cs="Arial"/>
                <w:b/>
                <w:bCs/>
              </w:rPr>
            </w:pPr>
            <w:r w:rsidRPr="006B6C8F">
              <w:rPr>
                <w:rFonts w:ascii="Arial" w:hAnsi="Arial" w:cs="Arial"/>
                <w:b/>
                <w:bCs/>
                <w:rtl/>
              </w:rPr>
              <w:t>הנאשם</w:t>
            </w:r>
          </w:p>
        </w:tc>
      </w:tr>
    </w:tbl>
    <w:p w14:paraId="1A28F03C" w14:textId="77777777" w:rsidR="00CA119F" w:rsidRPr="006B6C8F" w:rsidRDefault="00CA119F">
      <w:pPr>
        <w:rPr>
          <w:rFonts w:ascii="Arial" w:hAnsi="Arial" w:cs="Arial"/>
          <w:b/>
          <w:bCs/>
          <w:rtl/>
        </w:rPr>
      </w:pPr>
    </w:p>
    <w:p w14:paraId="2F94DE0D" w14:textId="77777777" w:rsidR="00CA119F" w:rsidRPr="006B6C8F" w:rsidRDefault="00CA119F">
      <w:pPr>
        <w:rPr>
          <w:rFonts w:ascii="Arial" w:hAnsi="Arial" w:cs="Arial"/>
          <w:b/>
          <w:bCs/>
          <w:rtl/>
        </w:rPr>
      </w:pPr>
    </w:p>
    <w:p w14:paraId="7D1771A9" w14:textId="77777777" w:rsidR="00CA119F" w:rsidRPr="006B6C8F" w:rsidRDefault="00CA119F">
      <w:pPr>
        <w:rPr>
          <w:rFonts w:ascii="Arial" w:hAnsi="Arial" w:cs="Arial"/>
          <w:b/>
          <w:bCs/>
          <w:rtl/>
        </w:rPr>
      </w:pPr>
    </w:p>
    <w:p w14:paraId="0770518A" w14:textId="77777777" w:rsidR="00CA119F" w:rsidRPr="006B6C8F" w:rsidRDefault="006B6C8F">
      <w:pPr>
        <w:rPr>
          <w:rFonts w:ascii="Arial" w:hAnsi="Arial" w:cs="Arial"/>
          <w:b/>
          <w:bCs/>
          <w:rtl/>
        </w:rPr>
      </w:pPr>
      <w:r w:rsidRPr="006B6C8F">
        <w:rPr>
          <w:rFonts w:ascii="Arial" w:hAnsi="Arial" w:cs="Arial" w:hint="cs"/>
          <w:b/>
          <w:bCs/>
          <w:rtl/>
        </w:rPr>
        <w:t xml:space="preserve">נוכחים: </w:t>
      </w:r>
      <w:bookmarkStart w:id="2" w:name="FirstLawyer"/>
      <w:r w:rsidRPr="006B6C8F">
        <w:rPr>
          <w:rFonts w:ascii="Arial" w:hAnsi="Arial" w:cs="Arial" w:hint="cs"/>
          <w:b/>
          <w:bCs/>
          <w:rtl/>
        </w:rPr>
        <w:t>ב"כ</w:t>
      </w:r>
      <w:bookmarkEnd w:id="2"/>
      <w:r w:rsidRPr="006B6C8F">
        <w:rPr>
          <w:rFonts w:ascii="Arial" w:hAnsi="Arial" w:cs="Arial" w:hint="cs"/>
          <w:b/>
          <w:bCs/>
          <w:rtl/>
        </w:rPr>
        <w:t xml:space="preserve"> המאשימה עו"ד מיכל מזור</w:t>
      </w:r>
    </w:p>
    <w:p w14:paraId="7AF4D965" w14:textId="77777777" w:rsidR="00CA119F" w:rsidRPr="006B6C8F" w:rsidRDefault="006B6C8F">
      <w:pPr>
        <w:rPr>
          <w:rFonts w:ascii="Arial" w:hAnsi="Arial" w:cs="Arial"/>
          <w:b/>
          <w:bCs/>
          <w:rtl/>
        </w:rPr>
      </w:pPr>
      <w:r w:rsidRPr="006B6C8F">
        <w:rPr>
          <w:rFonts w:ascii="Arial" w:hAnsi="Arial" w:cs="Arial" w:hint="cs"/>
          <w:b/>
          <w:bCs/>
          <w:rtl/>
        </w:rPr>
        <w:tab/>
        <w:t xml:space="preserve"> ב"כ הנאשם עו"ד שרון נהרי</w:t>
      </w:r>
    </w:p>
    <w:p w14:paraId="1E44F5B9" w14:textId="77777777" w:rsidR="00F80705" w:rsidRPr="006B6C8F" w:rsidRDefault="006B6C8F" w:rsidP="00F80705">
      <w:pPr>
        <w:rPr>
          <w:rFonts w:ascii="Arial" w:hAnsi="Arial" w:cs="Arial"/>
        </w:rPr>
      </w:pPr>
      <w:r w:rsidRPr="006B6C8F">
        <w:rPr>
          <w:rFonts w:ascii="Arial" w:hAnsi="Arial" w:cs="Arial" w:hint="cs"/>
          <w:b/>
          <w:bCs/>
          <w:rtl/>
        </w:rPr>
        <w:tab/>
        <w:t xml:space="preserve"> הנאשם התייצ</w:t>
      </w:r>
      <w:bookmarkStart w:id="3" w:name="LawTable"/>
      <w:bookmarkEnd w:id="3"/>
      <w:r w:rsidR="00F80705" w:rsidRPr="00F80705">
        <w:rPr>
          <w:rFonts w:ascii="Arial" w:hAnsi="Arial" w:cs="Arial" w:hint="cs"/>
          <w:b/>
          <w:bCs/>
          <w:rtl/>
        </w:rPr>
        <w:t xml:space="preserve"> ב</w:t>
      </w:r>
    </w:p>
    <w:p w14:paraId="569381C3" w14:textId="77777777" w:rsidR="00F80705" w:rsidRDefault="00F80705">
      <w:pPr>
        <w:rPr>
          <w:rFonts w:ascii="Arial" w:hAnsi="Arial" w:cs="Arial" w:hint="cs"/>
          <w:rtl/>
        </w:rPr>
      </w:pPr>
    </w:p>
    <w:p w14:paraId="73E60195" w14:textId="77777777" w:rsidR="00F80705" w:rsidRPr="00F80705" w:rsidRDefault="00F80705" w:rsidP="00F80705">
      <w:pPr>
        <w:spacing w:after="120" w:line="240" w:lineRule="exact"/>
        <w:ind w:left="283" w:hanging="283"/>
        <w:jc w:val="both"/>
        <w:rPr>
          <w:rFonts w:ascii="FrankRuehl" w:hAnsi="FrankRuehl" w:cs="FrankRuehl"/>
          <w:rtl/>
        </w:rPr>
      </w:pPr>
    </w:p>
    <w:p w14:paraId="59D7B8F9" w14:textId="77777777" w:rsidR="00F80705" w:rsidRPr="00F80705" w:rsidRDefault="00F80705" w:rsidP="00F80705">
      <w:pPr>
        <w:spacing w:after="120" w:line="240" w:lineRule="exact"/>
        <w:ind w:left="283" w:hanging="283"/>
        <w:jc w:val="both"/>
        <w:rPr>
          <w:rFonts w:ascii="FrankRuehl" w:hAnsi="FrankRuehl" w:cs="FrankRuehl"/>
          <w:rtl/>
        </w:rPr>
      </w:pPr>
      <w:r w:rsidRPr="00F80705">
        <w:rPr>
          <w:rFonts w:ascii="FrankRuehl" w:hAnsi="FrankRuehl" w:cs="FrankRuehl"/>
          <w:rtl/>
        </w:rPr>
        <w:t xml:space="preserve">חקיקה שאוזכרה: </w:t>
      </w:r>
    </w:p>
    <w:p w14:paraId="43E00E6F" w14:textId="77777777" w:rsidR="00F80705" w:rsidRPr="00F80705" w:rsidRDefault="00F80705" w:rsidP="00F80705">
      <w:pPr>
        <w:spacing w:after="120" w:line="240" w:lineRule="exact"/>
        <w:ind w:left="283" w:hanging="283"/>
        <w:jc w:val="both"/>
        <w:rPr>
          <w:rFonts w:ascii="FrankRuehl" w:hAnsi="FrankRuehl" w:cs="FrankRuehl"/>
          <w:rtl/>
        </w:rPr>
      </w:pPr>
      <w:hyperlink r:id="rId7" w:history="1">
        <w:r w:rsidRPr="00F80705">
          <w:rPr>
            <w:rFonts w:ascii="FrankRuehl" w:hAnsi="FrankRuehl" w:cs="FrankRuehl"/>
            <w:color w:val="0000FF"/>
            <w:u w:val="single"/>
            <w:rtl/>
          </w:rPr>
          <w:t>חוק העונשין, תשל"ז-1977</w:t>
        </w:r>
      </w:hyperlink>
      <w:r w:rsidRPr="00F80705">
        <w:rPr>
          <w:rFonts w:ascii="FrankRuehl" w:hAnsi="FrankRuehl" w:cs="FrankRuehl"/>
          <w:rtl/>
        </w:rPr>
        <w:t xml:space="preserve">: סע'  </w:t>
      </w:r>
      <w:hyperlink r:id="rId8" w:history="1">
        <w:r w:rsidRPr="00F80705">
          <w:rPr>
            <w:rFonts w:ascii="FrankRuehl" w:hAnsi="FrankRuehl" w:cs="FrankRuehl"/>
            <w:color w:val="0000FF"/>
            <w:u w:val="single"/>
            <w:rtl/>
          </w:rPr>
          <w:t>25</w:t>
        </w:r>
      </w:hyperlink>
      <w:r w:rsidRPr="00F80705">
        <w:rPr>
          <w:rFonts w:ascii="FrankRuehl" w:hAnsi="FrankRuehl" w:cs="FrankRuehl"/>
          <w:rtl/>
        </w:rPr>
        <w:t xml:space="preserve">, </w:t>
      </w:r>
      <w:hyperlink r:id="rId9" w:history="1">
        <w:r w:rsidRPr="00F80705">
          <w:rPr>
            <w:rFonts w:ascii="FrankRuehl" w:hAnsi="FrankRuehl" w:cs="FrankRuehl"/>
            <w:color w:val="0000FF"/>
            <w:u w:val="single"/>
            <w:rtl/>
          </w:rPr>
          <w:t>40ג</w:t>
        </w:r>
      </w:hyperlink>
      <w:r w:rsidRPr="00F80705">
        <w:rPr>
          <w:rFonts w:ascii="FrankRuehl" w:hAnsi="FrankRuehl" w:cs="FrankRuehl"/>
          <w:rtl/>
        </w:rPr>
        <w:t xml:space="preserve">, </w:t>
      </w:r>
      <w:hyperlink r:id="rId10" w:history="1">
        <w:r w:rsidRPr="00F80705">
          <w:rPr>
            <w:rFonts w:ascii="FrankRuehl" w:hAnsi="FrankRuehl" w:cs="FrankRuehl"/>
            <w:color w:val="0000FF"/>
            <w:u w:val="single"/>
            <w:rtl/>
          </w:rPr>
          <w:t>144(ב)</w:t>
        </w:r>
      </w:hyperlink>
      <w:r w:rsidRPr="00F80705">
        <w:rPr>
          <w:rFonts w:ascii="FrankRuehl" w:hAnsi="FrankRuehl" w:cs="FrankRuehl"/>
          <w:rtl/>
        </w:rPr>
        <w:t xml:space="preserve">, </w:t>
      </w:r>
      <w:hyperlink r:id="rId11" w:history="1">
        <w:r w:rsidRPr="00F80705">
          <w:rPr>
            <w:rFonts w:ascii="FrankRuehl" w:hAnsi="FrankRuehl" w:cs="FrankRuehl"/>
            <w:color w:val="0000FF"/>
            <w:u w:val="single"/>
            <w:rtl/>
          </w:rPr>
          <w:t>329(א)(1)</w:t>
        </w:r>
      </w:hyperlink>
      <w:r w:rsidRPr="00F80705">
        <w:rPr>
          <w:rFonts w:ascii="FrankRuehl" w:hAnsi="FrankRuehl" w:cs="FrankRuehl"/>
          <w:rtl/>
        </w:rPr>
        <w:t xml:space="preserve">, </w:t>
      </w:r>
      <w:hyperlink r:id="rId12" w:history="1">
        <w:r w:rsidRPr="00F80705">
          <w:rPr>
            <w:rFonts w:ascii="FrankRuehl" w:hAnsi="FrankRuehl" w:cs="FrankRuehl"/>
            <w:color w:val="0000FF"/>
            <w:u w:val="single"/>
            <w:rtl/>
          </w:rPr>
          <w:t>333</w:t>
        </w:r>
      </w:hyperlink>
      <w:r w:rsidRPr="00F80705">
        <w:rPr>
          <w:rFonts w:ascii="FrankRuehl" w:hAnsi="FrankRuehl" w:cs="FrankRuehl"/>
          <w:rtl/>
        </w:rPr>
        <w:t xml:space="preserve">, </w:t>
      </w:r>
      <w:hyperlink r:id="rId13" w:history="1">
        <w:r w:rsidRPr="00F80705">
          <w:rPr>
            <w:rFonts w:ascii="FrankRuehl" w:hAnsi="FrankRuehl" w:cs="FrankRuehl"/>
            <w:color w:val="0000FF"/>
            <w:u w:val="single"/>
            <w:rtl/>
          </w:rPr>
          <w:t>335(א)(1)</w:t>
        </w:r>
      </w:hyperlink>
      <w:r w:rsidRPr="00F80705">
        <w:rPr>
          <w:rFonts w:ascii="FrankRuehl" w:hAnsi="FrankRuehl" w:cs="FrankRuehl"/>
          <w:rtl/>
        </w:rPr>
        <w:t xml:space="preserve">, </w:t>
      </w:r>
      <w:hyperlink r:id="rId14" w:history="1">
        <w:r w:rsidRPr="00F80705">
          <w:rPr>
            <w:rFonts w:ascii="FrankRuehl" w:hAnsi="FrankRuehl" w:cs="FrankRuehl"/>
            <w:color w:val="0000FF"/>
            <w:u w:val="single"/>
            <w:rtl/>
          </w:rPr>
          <w:t>380</w:t>
        </w:r>
      </w:hyperlink>
      <w:r w:rsidRPr="00F80705">
        <w:rPr>
          <w:rFonts w:ascii="FrankRuehl" w:hAnsi="FrankRuehl" w:cs="FrankRuehl"/>
          <w:rtl/>
        </w:rPr>
        <w:t xml:space="preserve">, </w:t>
      </w:r>
      <w:hyperlink r:id="rId15" w:history="1">
        <w:r w:rsidRPr="00F80705">
          <w:rPr>
            <w:rFonts w:ascii="FrankRuehl" w:hAnsi="FrankRuehl" w:cs="FrankRuehl"/>
            <w:color w:val="0000FF"/>
            <w:u w:val="single"/>
            <w:rtl/>
          </w:rPr>
          <w:t>382(א)</w:t>
        </w:r>
      </w:hyperlink>
      <w:r w:rsidRPr="00F80705">
        <w:rPr>
          <w:rFonts w:ascii="FrankRuehl" w:hAnsi="FrankRuehl" w:cs="FrankRuehl"/>
          <w:rtl/>
        </w:rPr>
        <w:t xml:space="preserve">, </w:t>
      </w:r>
      <w:hyperlink r:id="rId16" w:history="1">
        <w:r w:rsidRPr="00F80705">
          <w:rPr>
            <w:rFonts w:ascii="FrankRuehl" w:hAnsi="FrankRuehl" w:cs="FrankRuehl"/>
            <w:color w:val="0000FF"/>
            <w:u w:val="single"/>
            <w:rtl/>
          </w:rPr>
          <w:t>499(א)(1)</w:t>
        </w:r>
      </w:hyperlink>
    </w:p>
    <w:p w14:paraId="05969A56" w14:textId="77777777" w:rsidR="00F80705" w:rsidRPr="00F80705" w:rsidRDefault="00F80705" w:rsidP="00F80705">
      <w:pPr>
        <w:spacing w:after="120" w:line="240" w:lineRule="exact"/>
        <w:ind w:left="283" w:hanging="283"/>
        <w:jc w:val="both"/>
        <w:rPr>
          <w:rFonts w:ascii="FrankRuehl" w:hAnsi="FrankRuehl" w:cs="FrankRuehl"/>
          <w:rtl/>
        </w:rPr>
      </w:pPr>
      <w:hyperlink r:id="rId17" w:history="1">
        <w:r w:rsidRPr="00F80705">
          <w:rPr>
            <w:rFonts w:ascii="FrankRuehl" w:hAnsi="FrankRuehl" w:cs="FrankRuehl"/>
            <w:color w:val="0000FF"/>
            <w:u w:val="single"/>
            <w:rtl/>
          </w:rPr>
          <w:t>חוק זכויות נפגעי עבירה, תשס"א-2001</w:t>
        </w:r>
      </w:hyperlink>
      <w:r w:rsidRPr="00F80705">
        <w:rPr>
          <w:rFonts w:ascii="FrankRuehl" w:hAnsi="FrankRuehl" w:cs="FrankRuehl"/>
          <w:rtl/>
        </w:rPr>
        <w:t xml:space="preserve">: סע'  </w:t>
      </w:r>
      <w:hyperlink r:id="rId18" w:history="1">
        <w:r w:rsidRPr="00F80705">
          <w:rPr>
            <w:rFonts w:ascii="FrankRuehl" w:hAnsi="FrankRuehl" w:cs="FrankRuehl"/>
            <w:color w:val="0000FF"/>
            <w:u w:val="single"/>
            <w:rtl/>
          </w:rPr>
          <w:t>22</w:t>
        </w:r>
      </w:hyperlink>
    </w:p>
    <w:p w14:paraId="7DAB78D4" w14:textId="77777777" w:rsidR="00F80705" w:rsidRPr="00F80705" w:rsidRDefault="00F80705" w:rsidP="00F80705">
      <w:pPr>
        <w:spacing w:after="120" w:line="240" w:lineRule="exact"/>
        <w:ind w:left="283" w:hanging="283"/>
        <w:jc w:val="both"/>
        <w:rPr>
          <w:rFonts w:ascii="FrankRuehl" w:hAnsi="FrankRuehl" w:cs="FrankRuehl"/>
          <w:rtl/>
        </w:rPr>
      </w:pPr>
    </w:p>
    <w:p w14:paraId="364767EF" w14:textId="77777777" w:rsidR="00F80705" w:rsidRPr="00F80705" w:rsidRDefault="00F80705">
      <w:pPr>
        <w:rPr>
          <w:rFonts w:ascii="Arial" w:hAnsi="Arial" w:cs="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119F" w14:paraId="4FBB6E9F" w14:textId="77777777">
        <w:trPr>
          <w:trHeight w:val="355"/>
          <w:jc w:val="center"/>
        </w:trPr>
        <w:tc>
          <w:tcPr>
            <w:tcW w:w="8820" w:type="dxa"/>
            <w:tcBorders>
              <w:top w:val="nil"/>
              <w:left w:val="nil"/>
              <w:bottom w:val="nil"/>
              <w:right w:val="nil"/>
            </w:tcBorders>
          </w:tcPr>
          <w:p w14:paraId="6C6B0CAB" w14:textId="77777777" w:rsidR="006B6C8F" w:rsidRPr="006B6C8F" w:rsidRDefault="006B6C8F" w:rsidP="006B6C8F">
            <w:pPr>
              <w:jc w:val="center"/>
              <w:rPr>
                <w:rFonts w:ascii="Arial" w:hAnsi="Arial" w:cs="Arial"/>
                <w:b/>
                <w:bCs/>
                <w:u w:val="single"/>
                <w:rtl/>
              </w:rPr>
            </w:pPr>
            <w:bookmarkStart w:id="5" w:name="PsakDin" w:colFirst="0" w:colLast="0"/>
            <w:bookmarkEnd w:id="0"/>
            <w:r w:rsidRPr="006B6C8F">
              <w:rPr>
                <w:rFonts w:ascii="Arial" w:hAnsi="Arial" w:cs="Arial"/>
                <w:b/>
                <w:bCs/>
                <w:u w:val="single"/>
                <w:rtl/>
              </w:rPr>
              <w:t>גזר דין</w:t>
            </w:r>
          </w:p>
          <w:p w14:paraId="61D1FBF2" w14:textId="77777777" w:rsidR="00CA119F" w:rsidRPr="006B6C8F" w:rsidRDefault="00CA119F" w:rsidP="006B6C8F">
            <w:pPr>
              <w:jc w:val="center"/>
              <w:rPr>
                <w:rFonts w:ascii="Arial" w:hAnsi="Arial" w:cs="Arial"/>
                <w:bCs/>
                <w:u w:val="single"/>
                <w:rtl/>
              </w:rPr>
            </w:pPr>
          </w:p>
        </w:tc>
      </w:tr>
      <w:bookmarkEnd w:id="5"/>
    </w:tbl>
    <w:p w14:paraId="648F9F54" w14:textId="77777777" w:rsidR="00CA119F" w:rsidRDefault="00CA119F">
      <w:pPr>
        <w:rPr>
          <w:rFonts w:ascii="Arial" w:hAnsi="Arial" w:cs="Arial"/>
          <w:rtl/>
        </w:rPr>
      </w:pPr>
    </w:p>
    <w:p w14:paraId="74E043FC" w14:textId="77777777" w:rsidR="00CA119F" w:rsidRDefault="006B6C8F">
      <w:pPr>
        <w:jc w:val="both"/>
        <w:rPr>
          <w:rFonts w:ascii="Arial" w:hAnsi="Arial" w:cs="Arial"/>
          <w:b/>
          <w:bCs/>
          <w:u w:val="single"/>
          <w:rtl/>
        </w:rPr>
      </w:pPr>
      <w:r>
        <w:rPr>
          <w:rFonts w:ascii="Arial" w:hAnsi="Arial" w:cs="Arial"/>
          <w:b/>
          <w:bCs/>
          <w:u w:val="single"/>
          <w:rtl/>
        </w:rPr>
        <w:t>כללי</w:t>
      </w:r>
    </w:p>
    <w:p w14:paraId="5A9D1F05" w14:textId="77777777" w:rsidR="00CA119F" w:rsidRDefault="006B6C8F">
      <w:pPr>
        <w:pStyle w:val="ListParagraph"/>
        <w:numPr>
          <w:ilvl w:val="0"/>
          <w:numId w:val="1"/>
        </w:numPr>
        <w:jc w:val="both"/>
        <w:rPr>
          <w:rFonts w:ascii="Arial" w:hAnsi="Arial"/>
          <w:sz w:val="24"/>
          <w:szCs w:val="24"/>
          <w:rtl/>
        </w:rPr>
      </w:pPr>
      <w:bookmarkStart w:id="6" w:name="ABSTRACT_START"/>
      <w:bookmarkEnd w:id="6"/>
      <w:r>
        <w:rPr>
          <w:rFonts w:ascii="Arial" w:hAnsi="Arial"/>
          <w:sz w:val="24"/>
          <w:szCs w:val="24"/>
          <w:rtl/>
        </w:rPr>
        <w:t xml:space="preserve">כנגד הנאשם הוגש ביום 17.3.14 כתב אישום המייחס לו עבירות של קשירת קשר לביצוע פשע, </w:t>
      </w:r>
      <w:r>
        <w:rPr>
          <w:rFonts w:ascii="Arial" w:hAnsi="Arial" w:hint="cs"/>
          <w:sz w:val="24"/>
          <w:szCs w:val="24"/>
          <w:rtl/>
        </w:rPr>
        <w:t>עבירה</w:t>
      </w:r>
      <w:r>
        <w:rPr>
          <w:rFonts w:ascii="Arial" w:hAnsi="Arial"/>
          <w:sz w:val="24"/>
          <w:szCs w:val="24"/>
          <w:rtl/>
        </w:rPr>
        <w:t xml:space="preserve"> לפי </w:t>
      </w:r>
      <w:hyperlink r:id="rId19" w:history="1">
        <w:r w:rsidR="00F80705" w:rsidRPr="00F80705">
          <w:rPr>
            <w:rFonts w:ascii="Arial" w:hAnsi="Arial"/>
            <w:color w:val="0000FF"/>
            <w:sz w:val="24"/>
            <w:szCs w:val="24"/>
            <w:u w:val="single"/>
            <w:rtl/>
          </w:rPr>
          <w:t>סעיף 499(א)(1)</w:t>
        </w:r>
      </w:hyperlink>
      <w:r>
        <w:rPr>
          <w:rFonts w:ascii="Arial" w:hAnsi="Arial"/>
          <w:sz w:val="24"/>
          <w:szCs w:val="24"/>
          <w:rtl/>
        </w:rPr>
        <w:t xml:space="preserve"> ל</w:t>
      </w:r>
      <w:hyperlink r:id="rId20" w:history="1">
        <w:r w:rsidRPr="006B6C8F">
          <w:rPr>
            <w:rFonts w:ascii="Arial" w:hAnsi="Arial"/>
            <w:color w:val="0000FF"/>
            <w:sz w:val="24"/>
            <w:szCs w:val="24"/>
            <w:u w:val="single"/>
            <w:rtl/>
          </w:rPr>
          <w:t>חוק העונשין</w:t>
        </w:r>
      </w:hyperlink>
      <w:r>
        <w:rPr>
          <w:rFonts w:ascii="Arial" w:hAnsi="Arial"/>
          <w:sz w:val="24"/>
          <w:szCs w:val="24"/>
          <w:rtl/>
        </w:rPr>
        <w:t xml:space="preserve">, התשל"ז-1977 (להלן: "החוק"), תקיפה בנסיבות מחמירות, </w:t>
      </w:r>
      <w:r>
        <w:rPr>
          <w:rFonts w:ascii="Arial" w:hAnsi="Arial" w:hint="cs"/>
          <w:sz w:val="24"/>
          <w:szCs w:val="24"/>
          <w:rtl/>
        </w:rPr>
        <w:t xml:space="preserve">עבירה </w:t>
      </w:r>
      <w:r>
        <w:rPr>
          <w:rFonts w:ascii="Arial" w:hAnsi="Arial"/>
          <w:sz w:val="24"/>
          <w:szCs w:val="24"/>
          <w:rtl/>
        </w:rPr>
        <w:t xml:space="preserve">לפי </w:t>
      </w:r>
      <w:hyperlink r:id="rId21" w:history="1">
        <w:r w:rsidR="00F80705" w:rsidRPr="00F80705">
          <w:rPr>
            <w:rFonts w:ascii="Arial" w:hAnsi="Arial"/>
            <w:color w:val="0000FF"/>
            <w:sz w:val="24"/>
            <w:szCs w:val="24"/>
            <w:u w:val="single"/>
            <w:rtl/>
          </w:rPr>
          <w:t>סעיף 380</w:t>
        </w:r>
      </w:hyperlink>
      <w:r>
        <w:rPr>
          <w:rFonts w:ascii="Arial" w:hAnsi="Arial"/>
          <w:sz w:val="24"/>
          <w:szCs w:val="24"/>
          <w:rtl/>
        </w:rPr>
        <w:t xml:space="preserve"> + </w:t>
      </w:r>
      <w:hyperlink r:id="rId22" w:history="1">
        <w:r w:rsidR="00F80705" w:rsidRPr="00F80705">
          <w:rPr>
            <w:rFonts w:ascii="Arial" w:hAnsi="Arial"/>
            <w:color w:val="0000FF"/>
            <w:sz w:val="24"/>
            <w:szCs w:val="24"/>
            <w:u w:val="single"/>
            <w:rtl/>
          </w:rPr>
          <w:t>382(א)</w:t>
        </w:r>
      </w:hyperlink>
      <w:r>
        <w:rPr>
          <w:rFonts w:ascii="Arial" w:hAnsi="Arial"/>
          <w:sz w:val="24"/>
          <w:szCs w:val="24"/>
          <w:rtl/>
        </w:rPr>
        <w:t xml:space="preserve"> לחוק, נשיאת נשק, </w:t>
      </w:r>
      <w:r>
        <w:rPr>
          <w:rFonts w:ascii="Arial" w:hAnsi="Arial" w:hint="cs"/>
          <w:sz w:val="24"/>
          <w:szCs w:val="24"/>
          <w:rtl/>
        </w:rPr>
        <w:t xml:space="preserve">עבירה </w:t>
      </w:r>
      <w:r>
        <w:rPr>
          <w:rFonts w:ascii="Arial" w:hAnsi="Arial"/>
          <w:sz w:val="24"/>
          <w:szCs w:val="24"/>
          <w:rtl/>
        </w:rPr>
        <w:t xml:space="preserve">לפי </w:t>
      </w:r>
      <w:hyperlink r:id="rId23" w:history="1">
        <w:r w:rsidR="00F80705" w:rsidRPr="00F80705">
          <w:rPr>
            <w:rFonts w:ascii="Arial" w:hAnsi="Arial"/>
            <w:color w:val="0000FF"/>
            <w:sz w:val="24"/>
            <w:szCs w:val="24"/>
            <w:u w:val="single"/>
            <w:rtl/>
          </w:rPr>
          <w:t>סעיף 144(ב)</w:t>
        </w:r>
      </w:hyperlink>
      <w:r>
        <w:rPr>
          <w:rFonts w:ascii="Arial" w:hAnsi="Arial"/>
          <w:sz w:val="24"/>
          <w:szCs w:val="24"/>
          <w:rtl/>
        </w:rPr>
        <w:t xml:space="preserve"> לחוק וחבלה בכוונה מחמירה, </w:t>
      </w:r>
      <w:r>
        <w:rPr>
          <w:rFonts w:ascii="Arial" w:hAnsi="Arial" w:hint="cs"/>
          <w:sz w:val="24"/>
          <w:szCs w:val="24"/>
          <w:rtl/>
        </w:rPr>
        <w:t xml:space="preserve">עבירה </w:t>
      </w:r>
      <w:r>
        <w:rPr>
          <w:rFonts w:ascii="Arial" w:hAnsi="Arial"/>
          <w:sz w:val="24"/>
          <w:szCs w:val="24"/>
          <w:rtl/>
        </w:rPr>
        <w:t xml:space="preserve">לפי </w:t>
      </w:r>
      <w:hyperlink r:id="rId24" w:history="1">
        <w:r w:rsidR="00F80705" w:rsidRPr="00F80705">
          <w:rPr>
            <w:rFonts w:ascii="Arial" w:hAnsi="Arial"/>
            <w:color w:val="0000FF"/>
            <w:sz w:val="24"/>
            <w:szCs w:val="24"/>
            <w:u w:val="single"/>
            <w:rtl/>
          </w:rPr>
          <w:t>סעיף 329(א)(1)</w:t>
        </w:r>
      </w:hyperlink>
      <w:r>
        <w:rPr>
          <w:rFonts w:ascii="Arial" w:hAnsi="Arial"/>
          <w:sz w:val="24"/>
          <w:szCs w:val="24"/>
          <w:rtl/>
        </w:rPr>
        <w:t xml:space="preserve"> לחוק</w:t>
      </w:r>
      <w:bookmarkStart w:id="7" w:name="ABSTRACT_END"/>
      <w:bookmarkEnd w:id="7"/>
      <w:r>
        <w:rPr>
          <w:rFonts w:ascii="Arial" w:hAnsi="Arial"/>
          <w:sz w:val="24"/>
          <w:szCs w:val="24"/>
          <w:rtl/>
        </w:rPr>
        <w:t>.</w:t>
      </w:r>
    </w:p>
    <w:p w14:paraId="58BBE20D" w14:textId="77777777" w:rsidR="00CA119F" w:rsidRDefault="00CA119F">
      <w:pPr>
        <w:pStyle w:val="ListParagraph"/>
        <w:jc w:val="both"/>
        <w:rPr>
          <w:rFonts w:ascii="Arial" w:hAnsi="Arial"/>
          <w:sz w:val="24"/>
          <w:szCs w:val="24"/>
        </w:rPr>
      </w:pPr>
    </w:p>
    <w:p w14:paraId="3ADBE164" w14:textId="77777777" w:rsidR="00CA119F" w:rsidRDefault="006B6C8F">
      <w:pPr>
        <w:pStyle w:val="ListParagraph"/>
        <w:numPr>
          <w:ilvl w:val="0"/>
          <w:numId w:val="1"/>
        </w:numPr>
        <w:jc w:val="both"/>
        <w:rPr>
          <w:rFonts w:ascii="Arial" w:hAnsi="Arial"/>
          <w:sz w:val="24"/>
          <w:szCs w:val="24"/>
        </w:rPr>
      </w:pPr>
      <w:r>
        <w:rPr>
          <w:rFonts w:ascii="Arial" w:hAnsi="Arial"/>
          <w:sz w:val="24"/>
          <w:szCs w:val="24"/>
          <w:rtl/>
        </w:rPr>
        <w:t>הנאשם נעצר ביום 4.3.13 ושוחרר למעצר בית ביום 17.6.14.</w:t>
      </w:r>
    </w:p>
    <w:p w14:paraId="20629CE9" w14:textId="77777777" w:rsidR="00CA119F" w:rsidRDefault="00CA119F">
      <w:pPr>
        <w:pStyle w:val="ListParagraph"/>
        <w:jc w:val="both"/>
        <w:rPr>
          <w:rFonts w:ascii="Arial" w:hAnsi="Arial"/>
          <w:sz w:val="24"/>
          <w:szCs w:val="24"/>
        </w:rPr>
      </w:pPr>
    </w:p>
    <w:p w14:paraId="022A597C" w14:textId="77777777" w:rsidR="00CA119F" w:rsidRDefault="006B6C8F">
      <w:pPr>
        <w:pStyle w:val="ListParagraph"/>
        <w:numPr>
          <w:ilvl w:val="0"/>
          <w:numId w:val="1"/>
        </w:numPr>
        <w:jc w:val="both"/>
        <w:rPr>
          <w:rFonts w:ascii="Arial" w:hAnsi="Arial"/>
          <w:sz w:val="24"/>
          <w:szCs w:val="24"/>
          <w:rtl/>
        </w:rPr>
      </w:pPr>
      <w:r>
        <w:rPr>
          <w:rFonts w:ascii="Arial" w:hAnsi="Arial"/>
          <w:sz w:val="24"/>
          <w:szCs w:val="24"/>
          <w:rtl/>
        </w:rPr>
        <w:lastRenderedPageBreak/>
        <w:t>ביום 26.6.14 הוצג לבית המשפט הסדר טיעון ולפיו יודה הנאשם ויורשע ב</w:t>
      </w:r>
      <w:r>
        <w:rPr>
          <w:rFonts w:ascii="Arial" w:hAnsi="Arial" w:hint="cs"/>
          <w:sz w:val="24"/>
          <w:szCs w:val="24"/>
          <w:rtl/>
        </w:rPr>
        <w:t xml:space="preserve">עובדות </w:t>
      </w:r>
      <w:r>
        <w:rPr>
          <w:rFonts w:ascii="Arial" w:hAnsi="Arial"/>
          <w:sz w:val="24"/>
          <w:szCs w:val="24"/>
          <w:rtl/>
        </w:rPr>
        <w:t xml:space="preserve">כתב אישום מתוקן בו הומר סעיף האישום האחרון לעבירה של ניסיון לחבלה חמורה בנסיבות מחמירות, עבירה לפי </w:t>
      </w:r>
      <w:hyperlink r:id="rId25" w:history="1">
        <w:r w:rsidR="00F80705" w:rsidRPr="00F80705">
          <w:rPr>
            <w:rFonts w:ascii="Arial" w:hAnsi="Arial"/>
            <w:color w:val="0000FF"/>
            <w:sz w:val="24"/>
            <w:szCs w:val="24"/>
            <w:u w:val="single"/>
            <w:rtl/>
          </w:rPr>
          <w:t>סעיף 333</w:t>
        </w:r>
      </w:hyperlink>
      <w:r>
        <w:rPr>
          <w:rFonts w:ascii="Arial" w:hAnsi="Arial"/>
          <w:sz w:val="24"/>
          <w:szCs w:val="24"/>
          <w:rtl/>
        </w:rPr>
        <w:t xml:space="preserve"> יחד עם </w:t>
      </w:r>
      <w:hyperlink r:id="rId26" w:history="1">
        <w:r w:rsidR="00F80705" w:rsidRPr="00F80705">
          <w:rPr>
            <w:rStyle w:val="Hyperlink"/>
            <w:rFonts w:ascii="Arial" w:hAnsi="Arial"/>
            <w:sz w:val="24"/>
            <w:szCs w:val="24"/>
            <w:rtl/>
          </w:rPr>
          <w:t>335(א)(1)</w:t>
        </w:r>
      </w:hyperlink>
      <w:r>
        <w:rPr>
          <w:rFonts w:ascii="Arial" w:hAnsi="Arial"/>
          <w:sz w:val="24"/>
          <w:szCs w:val="24"/>
          <w:rtl/>
        </w:rPr>
        <w:t xml:space="preserve"> </w:t>
      </w:r>
      <w:hyperlink r:id="rId27" w:history="1">
        <w:r w:rsidR="00F80705" w:rsidRPr="00F80705">
          <w:rPr>
            <w:rStyle w:val="Hyperlink"/>
            <w:rFonts w:ascii="Arial" w:hAnsi="Arial"/>
            <w:sz w:val="24"/>
            <w:szCs w:val="24"/>
            <w:rtl/>
          </w:rPr>
          <w:t>וסעיף 25</w:t>
        </w:r>
      </w:hyperlink>
      <w:r>
        <w:rPr>
          <w:rFonts w:ascii="Arial" w:hAnsi="Arial"/>
          <w:sz w:val="24"/>
          <w:szCs w:val="24"/>
          <w:rtl/>
        </w:rPr>
        <w:t xml:space="preserve"> לחוק. </w:t>
      </w:r>
    </w:p>
    <w:p w14:paraId="2DB79E6C" w14:textId="77777777" w:rsidR="00CA119F" w:rsidRDefault="00CA119F">
      <w:pPr>
        <w:pStyle w:val="ListParagraph"/>
        <w:jc w:val="both"/>
        <w:rPr>
          <w:rFonts w:ascii="Arial" w:hAnsi="Arial"/>
          <w:sz w:val="24"/>
          <w:szCs w:val="24"/>
        </w:rPr>
      </w:pPr>
    </w:p>
    <w:p w14:paraId="78456DCD" w14:textId="77777777" w:rsidR="00CA119F" w:rsidRDefault="006B6C8F">
      <w:pPr>
        <w:pStyle w:val="ListParagraph"/>
        <w:jc w:val="both"/>
        <w:rPr>
          <w:rFonts w:ascii="Arial" w:hAnsi="Arial"/>
          <w:sz w:val="24"/>
          <w:szCs w:val="24"/>
          <w:rtl/>
        </w:rPr>
      </w:pPr>
      <w:r>
        <w:rPr>
          <w:rFonts w:ascii="Arial" w:hAnsi="Arial"/>
          <w:sz w:val="24"/>
          <w:szCs w:val="24"/>
          <w:rtl/>
        </w:rPr>
        <w:t xml:space="preserve">כן, הוסכם כי המאשימה תטען למתחם ענישה של 3 עד 6 שנות מאסר בפועל ותעתור להשית על הנאשם את הרף הנמוך במתחם, וכי עובר לטיעונים לעונש יפקיד הנאשם סך של 50,000 ₪ בקופת בית המשפט לטובת פיצויים </w:t>
      </w:r>
      <w:r>
        <w:rPr>
          <w:rFonts w:ascii="Arial" w:hAnsi="Arial" w:hint="cs"/>
          <w:sz w:val="24"/>
          <w:szCs w:val="24"/>
          <w:rtl/>
        </w:rPr>
        <w:t>ל</w:t>
      </w:r>
      <w:r>
        <w:rPr>
          <w:rFonts w:ascii="Arial" w:hAnsi="Arial"/>
          <w:sz w:val="24"/>
          <w:szCs w:val="24"/>
          <w:rtl/>
        </w:rPr>
        <w:t xml:space="preserve">משפחת המנוח וכן יוצג הסכם סולחה בין המשפחות. </w:t>
      </w:r>
    </w:p>
    <w:p w14:paraId="1A9236C7" w14:textId="77777777" w:rsidR="00CA119F" w:rsidRDefault="00CA119F">
      <w:pPr>
        <w:pStyle w:val="ListParagraph"/>
        <w:jc w:val="both"/>
        <w:rPr>
          <w:rFonts w:ascii="Arial" w:hAnsi="Arial"/>
          <w:sz w:val="24"/>
          <w:szCs w:val="24"/>
          <w:rtl/>
        </w:rPr>
      </w:pPr>
    </w:p>
    <w:p w14:paraId="764C39F2" w14:textId="77777777" w:rsidR="00CA119F" w:rsidRDefault="006B6C8F">
      <w:pPr>
        <w:pStyle w:val="ListParagraph"/>
        <w:jc w:val="both"/>
        <w:rPr>
          <w:rFonts w:ascii="Arial" w:hAnsi="Arial"/>
          <w:sz w:val="24"/>
          <w:szCs w:val="24"/>
          <w:rtl/>
        </w:rPr>
      </w:pPr>
      <w:r>
        <w:rPr>
          <w:rFonts w:ascii="Arial" w:hAnsi="Arial"/>
          <w:sz w:val="24"/>
          <w:szCs w:val="24"/>
          <w:rtl/>
        </w:rPr>
        <w:t>הנאשם הודה והורשע במיוחס לו, ולבקשת בא כוחו הוזמן תסקיר שירות מבחן בעניינו.</w:t>
      </w:r>
    </w:p>
    <w:p w14:paraId="6557E7F5" w14:textId="77777777" w:rsidR="00CA119F" w:rsidRDefault="00CA119F">
      <w:pPr>
        <w:pStyle w:val="ListParagraph"/>
        <w:jc w:val="both"/>
        <w:rPr>
          <w:rFonts w:ascii="Arial" w:hAnsi="Arial"/>
          <w:sz w:val="24"/>
          <w:szCs w:val="24"/>
        </w:rPr>
      </w:pPr>
    </w:p>
    <w:p w14:paraId="786A8355" w14:textId="77777777" w:rsidR="00CA119F" w:rsidRDefault="00CA119F">
      <w:pPr>
        <w:jc w:val="both"/>
        <w:rPr>
          <w:rFonts w:ascii="Arial" w:hAnsi="Arial" w:cs="Arial"/>
          <w:b/>
          <w:bCs/>
          <w:u w:val="single"/>
          <w:rtl/>
        </w:rPr>
      </w:pPr>
    </w:p>
    <w:p w14:paraId="293D5236" w14:textId="77777777" w:rsidR="00CA119F" w:rsidRDefault="00CA119F">
      <w:pPr>
        <w:jc w:val="both"/>
        <w:rPr>
          <w:rFonts w:ascii="Arial" w:hAnsi="Arial" w:cs="Arial"/>
          <w:b/>
          <w:bCs/>
          <w:u w:val="single"/>
          <w:rtl/>
        </w:rPr>
      </w:pPr>
    </w:p>
    <w:p w14:paraId="30879EAF" w14:textId="77777777" w:rsidR="00CA119F" w:rsidRDefault="006B6C8F">
      <w:pPr>
        <w:jc w:val="both"/>
        <w:rPr>
          <w:rFonts w:ascii="Arial" w:hAnsi="Arial" w:cs="Arial"/>
          <w:b/>
          <w:bCs/>
          <w:u w:val="single"/>
          <w:rtl/>
        </w:rPr>
      </w:pPr>
      <w:r>
        <w:rPr>
          <w:rFonts w:ascii="Arial" w:hAnsi="Arial" w:cs="Arial"/>
          <w:b/>
          <w:bCs/>
          <w:u w:val="single"/>
          <w:rtl/>
        </w:rPr>
        <w:t>כתב האישום המתוקן</w:t>
      </w:r>
    </w:p>
    <w:p w14:paraId="5DDF7AD6" w14:textId="77777777" w:rsidR="00CA119F" w:rsidRDefault="00CA119F">
      <w:pPr>
        <w:jc w:val="both"/>
        <w:rPr>
          <w:rFonts w:ascii="Arial" w:hAnsi="Arial" w:cs="Arial"/>
          <w:b/>
          <w:bCs/>
          <w:u w:val="single"/>
          <w:rtl/>
        </w:rPr>
      </w:pPr>
    </w:p>
    <w:p w14:paraId="617846B9" w14:textId="77777777" w:rsidR="00CA119F" w:rsidRDefault="006B6C8F">
      <w:pPr>
        <w:pStyle w:val="ListParagraph"/>
        <w:numPr>
          <w:ilvl w:val="0"/>
          <w:numId w:val="1"/>
        </w:numPr>
        <w:jc w:val="both"/>
        <w:rPr>
          <w:rFonts w:ascii="Arial" w:hAnsi="Arial"/>
          <w:sz w:val="24"/>
          <w:szCs w:val="24"/>
        </w:rPr>
      </w:pPr>
      <w:r>
        <w:rPr>
          <w:rFonts w:ascii="Arial" w:hAnsi="Arial"/>
          <w:sz w:val="24"/>
          <w:szCs w:val="24"/>
          <w:rtl/>
        </w:rPr>
        <w:t xml:space="preserve">מעובדות כתב האישום המתוקן עולה כי בעקבות סכסוך כספי בין איברהים אזברגה (להלן: "המתלונן") לבין הנאשם על חוב בסך 250 ₪ קשר הנאשם קשר עם מספר בני משפחה ומקורבים (להלן: "בני משפחת נסאסרה) לתקוף את המתלונן, וביום 18.5.13 הגיעו בני משפחת נסאסרה כשהם חמושים באלות לבית הקפה בכביש 24 בטייבה, בו ישבו באותה עת המתלונן, בני משפחתו ומקורביו (להלן: "בני משפחת אזברגה"). </w:t>
      </w:r>
    </w:p>
    <w:p w14:paraId="5E3DFF05" w14:textId="77777777" w:rsidR="00CA119F" w:rsidRDefault="00CA119F">
      <w:pPr>
        <w:pStyle w:val="ListParagraph"/>
        <w:jc w:val="both"/>
        <w:rPr>
          <w:rFonts w:ascii="Arial" w:hAnsi="Arial"/>
          <w:sz w:val="24"/>
          <w:szCs w:val="24"/>
        </w:rPr>
      </w:pPr>
    </w:p>
    <w:p w14:paraId="0B6D5E87" w14:textId="77777777" w:rsidR="00CA119F" w:rsidRDefault="006B6C8F">
      <w:pPr>
        <w:pStyle w:val="ListParagraph"/>
        <w:jc w:val="both"/>
        <w:rPr>
          <w:rFonts w:ascii="Arial" w:hAnsi="Arial"/>
          <w:sz w:val="24"/>
          <w:szCs w:val="24"/>
          <w:rtl/>
        </w:rPr>
      </w:pPr>
      <w:r>
        <w:rPr>
          <w:rFonts w:ascii="Arial" w:hAnsi="Arial"/>
          <w:sz w:val="24"/>
          <w:szCs w:val="24"/>
          <w:rtl/>
        </w:rPr>
        <w:t xml:space="preserve">הנאשם ניגש למתלונן וביקש ממנו לצאת עמו החוצה, המתלונן עשה כן, השניים החליפו דין ודברים והנאשם ובני משפחתו תקפו את המתלונן באמצעות האלות. </w:t>
      </w:r>
    </w:p>
    <w:p w14:paraId="7DD0103F" w14:textId="77777777" w:rsidR="00CA119F" w:rsidRDefault="00CA119F">
      <w:pPr>
        <w:pStyle w:val="ListParagraph"/>
        <w:jc w:val="both"/>
        <w:rPr>
          <w:rFonts w:ascii="Arial" w:hAnsi="Arial"/>
          <w:sz w:val="24"/>
          <w:szCs w:val="24"/>
          <w:rtl/>
        </w:rPr>
      </w:pPr>
    </w:p>
    <w:p w14:paraId="320C2B5C" w14:textId="77777777" w:rsidR="00CA119F" w:rsidRDefault="006B6C8F">
      <w:pPr>
        <w:pStyle w:val="ListParagraph"/>
        <w:jc w:val="both"/>
        <w:rPr>
          <w:rFonts w:ascii="Arial" w:hAnsi="Arial"/>
          <w:sz w:val="24"/>
          <w:szCs w:val="24"/>
          <w:rtl/>
        </w:rPr>
      </w:pPr>
      <w:r>
        <w:rPr>
          <w:rFonts w:ascii="Arial" w:hAnsi="Arial"/>
          <w:sz w:val="24"/>
          <w:szCs w:val="24"/>
          <w:rtl/>
        </w:rPr>
        <w:t>בעקבות זאת יצאו בני משפחת אזברגה מבית הקפה ובין הצדדים התפתחה קטטה, במהלכה נמלט המתלונן מהמקום ברכב. בני משפחת נסאסרה דלקו אחריו ובני משפחת אזברגה נסעו אחריהם לעבר "מתחם המשפחות" בטייבה בסמוך לכביש 444 (להלן: "זירת האירוע").</w:t>
      </w:r>
    </w:p>
    <w:p w14:paraId="17E8469C" w14:textId="77777777" w:rsidR="00CA119F" w:rsidRDefault="00CA119F">
      <w:pPr>
        <w:pStyle w:val="ListParagraph"/>
        <w:jc w:val="both"/>
        <w:rPr>
          <w:rFonts w:ascii="Arial" w:hAnsi="Arial"/>
          <w:sz w:val="24"/>
          <w:szCs w:val="24"/>
          <w:rtl/>
        </w:rPr>
      </w:pPr>
    </w:p>
    <w:p w14:paraId="44E98E83" w14:textId="77777777" w:rsidR="00CA119F" w:rsidRDefault="006B6C8F">
      <w:pPr>
        <w:pStyle w:val="ListParagraph"/>
        <w:jc w:val="both"/>
        <w:rPr>
          <w:rFonts w:ascii="Arial" w:hAnsi="Arial"/>
          <w:sz w:val="24"/>
          <w:szCs w:val="24"/>
          <w:rtl/>
        </w:rPr>
      </w:pPr>
      <w:r>
        <w:rPr>
          <w:rFonts w:ascii="Arial" w:hAnsi="Arial"/>
          <w:sz w:val="24"/>
          <w:szCs w:val="24"/>
          <w:rtl/>
        </w:rPr>
        <w:t>במהלך הנסיעה ניסו בני משפחת אזברגה לפגוע במתלונן ואחד מהם אף השליך לעברו כלי עבודה ממתכת שפג</w:t>
      </w:r>
      <w:r>
        <w:rPr>
          <w:rFonts w:ascii="Arial" w:hAnsi="Arial" w:hint="cs"/>
          <w:sz w:val="24"/>
          <w:szCs w:val="24"/>
          <w:rtl/>
        </w:rPr>
        <w:t>ע</w:t>
      </w:r>
      <w:r>
        <w:rPr>
          <w:rFonts w:ascii="Arial" w:hAnsi="Arial"/>
          <w:sz w:val="24"/>
          <w:szCs w:val="24"/>
          <w:rtl/>
        </w:rPr>
        <w:t xml:space="preserve"> בזרועו. </w:t>
      </w:r>
    </w:p>
    <w:p w14:paraId="4F0D0823" w14:textId="77777777" w:rsidR="00CA119F" w:rsidRDefault="00CA119F">
      <w:pPr>
        <w:pStyle w:val="ListParagraph"/>
        <w:jc w:val="both"/>
        <w:rPr>
          <w:rFonts w:ascii="Arial" w:hAnsi="Arial"/>
          <w:sz w:val="24"/>
          <w:szCs w:val="24"/>
          <w:rtl/>
        </w:rPr>
      </w:pPr>
    </w:p>
    <w:p w14:paraId="41FE0AAB" w14:textId="77777777" w:rsidR="00CA119F" w:rsidRDefault="006B6C8F">
      <w:pPr>
        <w:pStyle w:val="ListParagraph"/>
        <w:jc w:val="both"/>
        <w:rPr>
          <w:rFonts w:ascii="Arial" w:hAnsi="Arial"/>
          <w:sz w:val="24"/>
          <w:szCs w:val="24"/>
          <w:rtl/>
        </w:rPr>
      </w:pPr>
      <w:r>
        <w:rPr>
          <w:rFonts w:ascii="Arial" w:hAnsi="Arial"/>
          <w:sz w:val="24"/>
          <w:szCs w:val="24"/>
          <w:rtl/>
        </w:rPr>
        <w:t xml:space="preserve">כשהגיעו לזירת האירוע ויצאו מכלי הרכב, התפתחה במקום קטטה רבת משתתפים בה הכו זה את זה במקלות ואבנים, וחלק מהמעורבים אף היו חמושים באקדחים וירו בהם לכל עבר. </w:t>
      </w:r>
    </w:p>
    <w:p w14:paraId="49EC27CC" w14:textId="77777777" w:rsidR="00CA119F" w:rsidRDefault="00CA119F">
      <w:pPr>
        <w:pStyle w:val="ListParagraph"/>
        <w:jc w:val="both"/>
        <w:rPr>
          <w:rFonts w:ascii="Arial" w:hAnsi="Arial"/>
          <w:sz w:val="24"/>
          <w:szCs w:val="24"/>
          <w:rtl/>
        </w:rPr>
      </w:pPr>
    </w:p>
    <w:p w14:paraId="03BFA99C" w14:textId="77777777" w:rsidR="00CA119F" w:rsidRDefault="006B6C8F">
      <w:pPr>
        <w:pStyle w:val="ListParagraph"/>
        <w:jc w:val="both"/>
        <w:rPr>
          <w:rFonts w:ascii="Arial" w:hAnsi="Arial"/>
          <w:sz w:val="24"/>
          <w:szCs w:val="24"/>
          <w:rtl/>
        </w:rPr>
      </w:pPr>
      <w:r>
        <w:rPr>
          <w:rFonts w:ascii="Arial" w:hAnsi="Arial"/>
          <w:sz w:val="24"/>
          <w:szCs w:val="24"/>
          <w:rtl/>
        </w:rPr>
        <w:t>לזירת האירוע הוזעקו מנהיגי המשפחות ובהם השיח' איברהים אזברגה, וכוחות משטרה, אשר חצצו בין הניצים במטרה להרגיע את הרוחות</w:t>
      </w:r>
      <w:r>
        <w:rPr>
          <w:rFonts w:ascii="Arial" w:hAnsi="Arial" w:hint="cs"/>
          <w:sz w:val="24"/>
          <w:szCs w:val="24"/>
          <w:rtl/>
        </w:rPr>
        <w:t>,</w:t>
      </w:r>
      <w:r>
        <w:rPr>
          <w:rFonts w:ascii="Arial" w:hAnsi="Arial"/>
          <w:sz w:val="24"/>
          <w:szCs w:val="24"/>
          <w:rtl/>
        </w:rPr>
        <w:t xml:space="preserve"> אולם ללא הועיל. </w:t>
      </w:r>
    </w:p>
    <w:p w14:paraId="6ADA79BF" w14:textId="77777777" w:rsidR="00CA119F" w:rsidRDefault="00CA119F">
      <w:pPr>
        <w:pStyle w:val="ListParagraph"/>
        <w:jc w:val="both"/>
        <w:rPr>
          <w:rFonts w:ascii="Arial" w:hAnsi="Arial"/>
          <w:sz w:val="24"/>
          <w:szCs w:val="24"/>
          <w:rtl/>
        </w:rPr>
      </w:pPr>
    </w:p>
    <w:p w14:paraId="5A7D7771" w14:textId="77777777" w:rsidR="00CA119F" w:rsidRDefault="006B6C8F">
      <w:pPr>
        <w:pStyle w:val="ListParagraph"/>
        <w:jc w:val="both"/>
        <w:rPr>
          <w:rFonts w:ascii="Arial" w:hAnsi="Arial"/>
          <w:sz w:val="24"/>
          <w:szCs w:val="24"/>
          <w:rtl/>
        </w:rPr>
      </w:pPr>
      <w:r>
        <w:rPr>
          <w:rFonts w:ascii="Arial" w:hAnsi="Arial"/>
          <w:sz w:val="24"/>
          <w:szCs w:val="24"/>
          <w:rtl/>
        </w:rPr>
        <w:lastRenderedPageBreak/>
        <w:t xml:space="preserve">בהמשך לכך שלף הנאשם אקדח שנשא על גופו, וירה באמצעותו מספר פעמים לעבר חלק מבני משפחת אזברגה כשהוא מנסה לפגוע בהם, ולאחר מכן נמלט מזירת האירוע. </w:t>
      </w:r>
    </w:p>
    <w:p w14:paraId="1A5C08FD" w14:textId="77777777" w:rsidR="00CA119F" w:rsidRDefault="00CA119F">
      <w:pPr>
        <w:pStyle w:val="ListParagraph"/>
        <w:jc w:val="both"/>
        <w:rPr>
          <w:rFonts w:ascii="Arial" w:hAnsi="Arial"/>
          <w:sz w:val="24"/>
          <w:szCs w:val="24"/>
          <w:rtl/>
        </w:rPr>
      </w:pPr>
    </w:p>
    <w:p w14:paraId="57D18AB4" w14:textId="77777777" w:rsidR="00CA119F" w:rsidRDefault="006B6C8F">
      <w:pPr>
        <w:pStyle w:val="ListParagraph"/>
        <w:jc w:val="both"/>
        <w:rPr>
          <w:rFonts w:ascii="Arial" w:hAnsi="Arial"/>
          <w:sz w:val="24"/>
          <w:szCs w:val="24"/>
          <w:rtl/>
        </w:rPr>
      </w:pPr>
      <w:r>
        <w:rPr>
          <w:rFonts w:ascii="Arial" w:hAnsi="Arial"/>
          <w:sz w:val="24"/>
          <w:szCs w:val="24"/>
          <w:rtl/>
        </w:rPr>
        <w:t>כתוצאה מהמתואר לעיל נגרמה למתלונן חבלה של ממש, ומשתתפים רבים בקטטה נפצעו ופונו לקבלת טיפול רפואי ובהם עלי אזברגה, שנפצע מקליע שחדר לרגלו השמאלית, נותח ואושפז; רמדאן אזברגה, אשר נפצע מקליע בחזה, נותח ואושפז</w:t>
      </w:r>
      <w:r>
        <w:rPr>
          <w:rFonts w:ascii="Arial" w:hAnsi="Arial" w:hint="cs"/>
          <w:sz w:val="24"/>
          <w:szCs w:val="24"/>
          <w:rtl/>
        </w:rPr>
        <w:t xml:space="preserve"> </w:t>
      </w:r>
      <w:r>
        <w:rPr>
          <w:rFonts w:ascii="Arial" w:hAnsi="Arial"/>
          <w:sz w:val="24"/>
          <w:szCs w:val="24"/>
          <w:rtl/>
        </w:rPr>
        <w:t>והשיח' איברהים אזברגה, אשר נפצע קשה מקליע בצווארו, נותח</w:t>
      </w:r>
      <w:r>
        <w:rPr>
          <w:rFonts w:ascii="Arial" w:hAnsi="Arial" w:hint="cs"/>
          <w:sz w:val="24"/>
          <w:szCs w:val="24"/>
          <w:rtl/>
        </w:rPr>
        <w:t>,</w:t>
      </w:r>
      <w:r>
        <w:rPr>
          <w:rFonts w:ascii="Arial" w:hAnsi="Arial"/>
          <w:sz w:val="24"/>
          <w:szCs w:val="24"/>
          <w:rtl/>
        </w:rPr>
        <w:t xml:space="preserve"> הורדם ומת מפצעיו ביום 24.5.13 בביה"ח בלינסון. </w:t>
      </w:r>
    </w:p>
    <w:p w14:paraId="1CC30F75" w14:textId="77777777" w:rsidR="00CA119F" w:rsidRDefault="00CA119F">
      <w:pPr>
        <w:pStyle w:val="ListParagraph"/>
        <w:jc w:val="both"/>
        <w:rPr>
          <w:rFonts w:ascii="Arial" w:hAnsi="Arial"/>
          <w:sz w:val="24"/>
          <w:szCs w:val="24"/>
          <w:rtl/>
        </w:rPr>
      </w:pPr>
    </w:p>
    <w:p w14:paraId="0234BCD8" w14:textId="77777777" w:rsidR="00CA119F" w:rsidRDefault="006B6C8F">
      <w:pPr>
        <w:jc w:val="both"/>
        <w:rPr>
          <w:rFonts w:ascii="Arial" w:hAnsi="Arial" w:cs="Arial"/>
          <w:b/>
          <w:bCs/>
          <w:u w:val="single"/>
          <w:rtl/>
        </w:rPr>
      </w:pPr>
      <w:r>
        <w:rPr>
          <w:rFonts w:ascii="Arial" w:hAnsi="Arial" w:cs="Arial"/>
          <w:b/>
          <w:bCs/>
          <w:u w:val="single"/>
          <w:rtl/>
        </w:rPr>
        <w:t>תסקיר שירות מבחן</w:t>
      </w:r>
    </w:p>
    <w:p w14:paraId="3C3D6CEE" w14:textId="77777777" w:rsidR="00CA119F" w:rsidRDefault="00CA119F">
      <w:pPr>
        <w:jc w:val="both"/>
        <w:rPr>
          <w:rFonts w:ascii="Arial" w:hAnsi="Arial" w:cs="Arial"/>
          <w:b/>
          <w:bCs/>
          <w:u w:val="single"/>
          <w:rtl/>
        </w:rPr>
      </w:pPr>
    </w:p>
    <w:p w14:paraId="1B88C4BA" w14:textId="77777777" w:rsidR="00CA119F" w:rsidRDefault="006B6C8F">
      <w:pPr>
        <w:pStyle w:val="ListParagraph"/>
        <w:numPr>
          <w:ilvl w:val="0"/>
          <w:numId w:val="1"/>
        </w:numPr>
        <w:jc w:val="both"/>
        <w:rPr>
          <w:rFonts w:ascii="Arial" w:hAnsi="Arial"/>
          <w:sz w:val="24"/>
          <w:szCs w:val="24"/>
          <w:rtl/>
        </w:rPr>
      </w:pPr>
      <w:r>
        <w:rPr>
          <w:rFonts w:ascii="Arial" w:hAnsi="Arial"/>
          <w:sz w:val="24"/>
          <w:szCs w:val="24"/>
          <w:rtl/>
        </w:rPr>
        <w:t>מתסקיר שירות המבחן עולה כי הנאשם הינו בן 35, נשוי ואב לארבעה ילדים בגילאי שנתיים וחצי עד שש וחצי</w:t>
      </w:r>
      <w:r>
        <w:rPr>
          <w:rFonts w:ascii="Arial" w:hAnsi="Arial" w:hint="cs"/>
          <w:sz w:val="24"/>
          <w:szCs w:val="24"/>
          <w:rtl/>
        </w:rPr>
        <w:t xml:space="preserve"> בהתאמה</w:t>
      </w:r>
      <w:r>
        <w:rPr>
          <w:rFonts w:ascii="Arial" w:hAnsi="Arial"/>
          <w:sz w:val="24"/>
          <w:szCs w:val="24"/>
          <w:rtl/>
        </w:rPr>
        <w:t>. עובר למעצרו עבד בחנות לחומרי בניין בטייבה ובעבודות עפר. לחובתו שתי הרשעות קודמות, האחת משנת 2009 בגין עבירת הפרעה לשוטר והשניה משנת 2006 בגין ניסיון הסעת תושב השוהה שלא כדין, בגינן נדון לעונשי מאסר מותנים ולקנסות.</w:t>
      </w:r>
    </w:p>
    <w:p w14:paraId="68EFCB04" w14:textId="77777777" w:rsidR="00CA119F" w:rsidRDefault="00CA119F">
      <w:pPr>
        <w:pStyle w:val="ListParagraph"/>
        <w:jc w:val="both"/>
        <w:rPr>
          <w:rFonts w:ascii="Arial" w:hAnsi="Arial"/>
          <w:sz w:val="24"/>
          <w:szCs w:val="24"/>
          <w:rtl/>
        </w:rPr>
      </w:pPr>
    </w:p>
    <w:p w14:paraId="524C422D" w14:textId="77777777" w:rsidR="00CA119F" w:rsidRDefault="006B6C8F">
      <w:pPr>
        <w:pStyle w:val="ListParagraph"/>
        <w:jc w:val="both"/>
        <w:rPr>
          <w:rFonts w:ascii="Arial" w:hAnsi="Arial"/>
          <w:sz w:val="24"/>
          <w:szCs w:val="24"/>
        </w:rPr>
      </w:pPr>
      <w:r>
        <w:rPr>
          <w:rFonts w:ascii="Arial" w:hAnsi="Arial"/>
          <w:sz w:val="24"/>
          <w:szCs w:val="24"/>
          <w:rtl/>
        </w:rPr>
        <w:t xml:space="preserve">מתיאוריו של הנאשם את האירוע עלה כי הוא משליך את מרבית האחריות על התנהלותו של המתלונן, ולהתרשמות שירות המבחן הוא נוטה ל"דחיסה רגשית": מחזיק בעמדות הנותנות לגיטימציה לאלימות, הרתעה באמצעים כוחניים ואפילו שימוש בנשק במצבים של פגיעה בכבוד המשפחה, כי הוא נוטה לצמצם מחלקו לאירוע ומרוכז במחירים שמשלם בגין התנהגותו ואינו מגלה אמפתיה לנפגעים באירוע. כן התקבל הרושם כי נכונותו להשתלב בטיפול נובעת </w:t>
      </w:r>
      <w:r>
        <w:rPr>
          <w:rFonts w:ascii="Arial" w:hAnsi="Arial" w:hint="cs"/>
          <w:sz w:val="24"/>
          <w:szCs w:val="24"/>
          <w:rtl/>
        </w:rPr>
        <w:t>מה</w:t>
      </w:r>
      <w:r>
        <w:rPr>
          <w:rFonts w:ascii="Arial" w:hAnsi="Arial"/>
          <w:sz w:val="24"/>
          <w:szCs w:val="24"/>
          <w:rtl/>
        </w:rPr>
        <w:t xml:space="preserve">צורך </w:t>
      </w:r>
      <w:r>
        <w:rPr>
          <w:rFonts w:ascii="Arial" w:hAnsi="Arial" w:hint="cs"/>
          <w:sz w:val="24"/>
          <w:szCs w:val="24"/>
          <w:rtl/>
        </w:rPr>
        <w:t>ל</w:t>
      </w:r>
      <w:r>
        <w:rPr>
          <w:rFonts w:ascii="Arial" w:hAnsi="Arial"/>
          <w:sz w:val="24"/>
          <w:szCs w:val="24"/>
          <w:rtl/>
        </w:rPr>
        <w:t xml:space="preserve">קידום ההליך המשפטי ולנוכח קושי להצביע על כשלון בהתנהגותו באירוע הנדון ספק אם יכול להיתרם מהתערבות טיפולית בשלב הנוכחי. </w:t>
      </w:r>
    </w:p>
    <w:p w14:paraId="52939D80" w14:textId="77777777" w:rsidR="00CA119F" w:rsidRDefault="00CA119F">
      <w:pPr>
        <w:pStyle w:val="ListParagraph"/>
        <w:jc w:val="both"/>
        <w:rPr>
          <w:rFonts w:ascii="Arial" w:hAnsi="Arial"/>
          <w:sz w:val="24"/>
          <w:szCs w:val="24"/>
          <w:rtl/>
        </w:rPr>
      </w:pPr>
    </w:p>
    <w:p w14:paraId="040E1996" w14:textId="77777777" w:rsidR="00CA119F" w:rsidRDefault="006B6C8F">
      <w:pPr>
        <w:pStyle w:val="ListParagraph"/>
        <w:jc w:val="both"/>
        <w:rPr>
          <w:rFonts w:ascii="Arial" w:hAnsi="Arial"/>
          <w:sz w:val="24"/>
          <w:szCs w:val="24"/>
          <w:rtl/>
        </w:rPr>
      </w:pPr>
      <w:r>
        <w:rPr>
          <w:rFonts w:ascii="Arial" w:hAnsi="Arial"/>
          <w:sz w:val="24"/>
          <w:szCs w:val="24"/>
          <w:rtl/>
        </w:rPr>
        <w:t xml:space="preserve">הנאשם הציג בפני שירות המבחן הסכם סולחה, והמתלונן אישר את קיומה, ציין כי לא נפגע באירוע וכי אין לו טינה כלפי הנאשם. </w:t>
      </w:r>
    </w:p>
    <w:p w14:paraId="2BF83A0E" w14:textId="77777777" w:rsidR="00CA119F" w:rsidRDefault="00CA119F">
      <w:pPr>
        <w:pStyle w:val="ListParagraph"/>
        <w:jc w:val="both"/>
        <w:rPr>
          <w:rFonts w:ascii="Arial" w:hAnsi="Arial"/>
          <w:sz w:val="24"/>
          <w:szCs w:val="24"/>
          <w:rtl/>
        </w:rPr>
      </w:pPr>
    </w:p>
    <w:p w14:paraId="6CD7E527" w14:textId="77777777" w:rsidR="00CA119F" w:rsidRDefault="006B6C8F">
      <w:pPr>
        <w:pStyle w:val="ListParagraph"/>
        <w:jc w:val="both"/>
        <w:rPr>
          <w:rFonts w:ascii="Arial" w:hAnsi="Arial"/>
          <w:sz w:val="24"/>
          <w:szCs w:val="24"/>
          <w:rtl/>
        </w:rPr>
      </w:pPr>
      <w:r>
        <w:rPr>
          <w:rFonts w:ascii="Arial" w:hAnsi="Arial"/>
          <w:sz w:val="24"/>
          <w:szCs w:val="24"/>
          <w:rtl/>
        </w:rPr>
        <w:t>המלצות שירות המבחן הינן הטלת ענישה מוחשית שתהיה בעלת אלמנט הרתעתי אך תאפשר את שיקומו של הנאשם בעתיד.</w:t>
      </w:r>
    </w:p>
    <w:p w14:paraId="317F009B" w14:textId="77777777" w:rsidR="00CA119F" w:rsidRDefault="006B6C8F">
      <w:pPr>
        <w:jc w:val="both"/>
        <w:rPr>
          <w:rFonts w:ascii="Arial" w:hAnsi="Arial" w:cs="Arial"/>
          <w:b/>
          <w:bCs/>
          <w:u w:val="single"/>
          <w:rtl/>
        </w:rPr>
      </w:pPr>
      <w:r>
        <w:rPr>
          <w:rFonts w:ascii="Arial" w:hAnsi="Arial" w:cs="Arial"/>
          <w:b/>
          <w:bCs/>
          <w:u w:val="single"/>
          <w:rtl/>
        </w:rPr>
        <w:t>ראיות לעונש</w:t>
      </w:r>
    </w:p>
    <w:p w14:paraId="70470276" w14:textId="77777777" w:rsidR="00CA119F" w:rsidRDefault="00CA119F">
      <w:pPr>
        <w:jc w:val="both"/>
        <w:rPr>
          <w:rFonts w:ascii="Arial" w:hAnsi="Arial" w:cs="Arial"/>
          <w:b/>
          <w:bCs/>
          <w:u w:val="single"/>
        </w:rPr>
      </w:pPr>
    </w:p>
    <w:p w14:paraId="6F3665FF" w14:textId="77777777" w:rsidR="00CA119F" w:rsidRDefault="006B6C8F">
      <w:pPr>
        <w:pStyle w:val="ListParagraph"/>
        <w:numPr>
          <w:ilvl w:val="0"/>
          <w:numId w:val="1"/>
        </w:numPr>
        <w:jc w:val="both"/>
        <w:rPr>
          <w:rFonts w:ascii="Arial" w:hAnsi="Arial"/>
          <w:sz w:val="24"/>
          <w:szCs w:val="24"/>
          <w:rtl/>
        </w:rPr>
      </w:pPr>
      <w:r>
        <w:rPr>
          <w:rFonts w:ascii="Arial" w:hAnsi="Arial"/>
          <w:sz w:val="24"/>
          <w:szCs w:val="24"/>
          <w:rtl/>
        </w:rPr>
        <w:t xml:space="preserve">ב"כ המאשימה הגישה </w:t>
      </w:r>
      <w:r>
        <w:rPr>
          <w:rFonts w:ascii="Arial" w:hAnsi="Arial" w:hint="cs"/>
          <w:sz w:val="24"/>
          <w:szCs w:val="24"/>
          <w:rtl/>
        </w:rPr>
        <w:t xml:space="preserve">את </w:t>
      </w:r>
      <w:r>
        <w:rPr>
          <w:rFonts w:ascii="Arial" w:hAnsi="Arial"/>
          <w:sz w:val="24"/>
          <w:szCs w:val="24"/>
          <w:rtl/>
        </w:rPr>
        <w:t xml:space="preserve">גיליון </w:t>
      </w:r>
      <w:r>
        <w:rPr>
          <w:rFonts w:ascii="Arial" w:hAnsi="Arial" w:hint="cs"/>
          <w:sz w:val="24"/>
          <w:szCs w:val="24"/>
          <w:rtl/>
        </w:rPr>
        <w:t>ה</w:t>
      </w:r>
      <w:r>
        <w:rPr>
          <w:rFonts w:ascii="Arial" w:hAnsi="Arial"/>
          <w:sz w:val="24"/>
          <w:szCs w:val="24"/>
          <w:rtl/>
        </w:rPr>
        <w:t xml:space="preserve">רישום </w:t>
      </w:r>
      <w:r>
        <w:rPr>
          <w:rFonts w:ascii="Arial" w:hAnsi="Arial" w:hint="cs"/>
          <w:sz w:val="24"/>
          <w:szCs w:val="24"/>
          <w:rtl/>
        </w:rPr>
        <w:t>ה</w:t>
      </w:r>
      <w:r>
        <w:rPr>
          <w:rFonts w:ascii="Arial" w:hAnsi="Arial"/>
          <w:sz w:val="24"/>
          <w:szCs w:val="24"/>
          <w:rtl/>
        </w:rPr>
        <w:t xml:space="preserve">פלילי </w:t>
      </w:r>
      <w:r>
        <w:rPr>
          <w:rFonts w:ascii="Arial" w:hAnsi="Arial" w:hint="cs"/>
          <w:sz w:val="24"/>
          <w:szCs w:val="24"/>
          <w:rtl/>
        </w:rPr>
        <w:t>של</w:t>
      </w:r>
      <w:r>
        <w:rPr>
          <w:rFonts w:ascii="Arial" w:hAnsi="Arial"/>
          <w:sz w:val="24"/>
          <w:szCs w:val="24"/>
          <w:rtl/>
        </w:rPr>
        <w:t xml:space="preserve"> הנאשם ממנו עולה כי לנאשם שתי הרשעות קודמות כמפורט.</w:t>
      </w:r>
    </w:p>
    <w:p w14:paraId="14F3CEAB" w14:textId="77777777" w:rsidR="00CA119F" w:rsidRDefault="00CA119F">
      <w:pPr>
        <w:pStyle w:val="ListParagraph"/>
        <w:jc w:val="both"/>
        <w:rPr>
          <w:rFonts w:ascii="Arial" w:hAnsi="Arial"/>
          <w:sz w:val="24"/>
          <w:szCs w:val="24"/>
        </w:rPr>
      </w:pPr>
    </w:p>
    <w:p w14:paraId="684C204E" w14:textId="77777777" w:rsidR="00CA119F" w:rsidRDefault="006B6C8F">
      <w:pPr>
        <w:pStyle w:val="ListParagraph"/>
        <w:numPr>
          <w:ilvl w:val="0"/>
          <w:numId w:val="1"/>
        </w:numPr>
        <w:jc w:val="both"/>
        <w:rPr>
          <w:rFonts w:ascii="Arial" w:hAnsi="Arial"/>
          <w:sz w:val="24"/>
          <w:szCs w:val="24"/>
        </w:rPr>
      </w:pPr>
      <w:r>
        <w:rPr>
          <w:rFonts w:ascii="Arial" w:hAnsi="Arial"/>
          <w:sz w:val="24"/>
          <w:szCs w:val="24"/>
          <w:rtl/>
        </w:rPr>
        <w:t>כמו כן העיד מטעם המאשימה פקד שי בלנק, קצין בילוש בתחנת טירה אשר שימש כקצין תורן במועד האירוע, תאר את עצמת האלימות שננקטה באירוע, את הסיכון שנגרם לחיי אדם ואת תחושת חוסר הביטחון שלו כשוטר באירוע. כן ציין כי להערכתו נכחו במקום מאות אנשים.</w:t>
      </w:r>
    </w:p>
    <w:p w14:paraId="4B80344A" w14:textId="77777777" w:rsidR="00CA119F" w:rsidRDefault="006B6C8F">
      <w:pPr>
        <w:jc w:val="both"/>
        <w:rPr>
          <w:rFonts w:ascii="Arial" w:hAnsi="Arial" w:cs="Arial"/>
          <w:b/>
          <w:bCs/>
          <w:u w:val="single"/>
          <w:rtl/>
        </w:rPr>
      </w:pPr>
      <w:r>
        <w:rPr>
          <w:rFonts w:ascii="Arial" w:hAnsi="Arial" w:cs="Arial"/>
          <w:b/>
          <w:bCs/>
          <w:u w:val="single"/>
          <w:rtl/>
        </w:rPr>
        <w:t>הטיעונים לעונש</w:t>
      </w:r>
    </w:p>
    <w:p w14:paraId="1062E090" w14:textId="77777777" w:rsidR="00CA119F" w:rsidRDefault="00CA119F">
      <w:pPr>
        <w:jc w:val="both"/>
        <w:rPr>
          <w:rFonts w:ascii="Arial" w:hAnsi="Arial" w:cs="Arial"/>
          <w:b/>
          <w:bCs/>
          <w:u w:val="single"/>
        </w:rPr>
      </w:pPr>
    </w:p>
    <w:p w14:paraId="3C4DBA72" w14:textId="77777777" w:rsidR="00CA119F" w:rsidRDefault="006B6C8F">
      <w:pPr>
        <w:pStyle w:val="ListParagraph"/>
        <w:numPr>
          <w:ilvl w:val="0"/>
          <w:numId w:val="1"/>
        </w:numPr>
        <w:jc w:val="both"/>
        <w:rPr>
          <w:rFonts w:ascii="Arial" w:hAnsi="Arial"/>
          <w:sz w:val="24"/>
          <w:szCs w:val="24"/>
        </w:rPr>
      </w:pPr>
      <w:r>
        <w:rPr>
          <w:rFonts w:ascii="Arial" w:hAnsi="Arial"/>
          <w:sz w:val="24"/>
          <w:szCs w:val="24"/>
          <w:rtl/>
        </w:rPr>
        <w:t>ב"כ המאשימה הציגה את הסדר הטיעון ולפיו הפקיד הנאשם מבעוד מועד בקופת בית המשפט 50,000 ₪ כפיצוי למשפחת המנוח, ו</w:t>
      </w:r>
      <w:r>
        <w:rPr>
          <w:rFonts w:ascii="Arial" w:hAnsi="Arial" w:hint="cs"/>
          <w:sz w:val="24"/>
          <w:szCs w:val="24"/>
          <w:rtl/>
        </w:rPr>
        <w:t>עתרה</w:t>
      </w:r>
      <w:r>
        <w:rPr>
          <w:rFonts w:ascii="Arial" w:hAnsi="Arial"/>
          <w:sz w:val="24"/>
          <w:szCs w:val="24"/>
          <w:rtl/>
        </w:rPr>
        <w:t xml:space="preserve"> להטיל על הנאשם עונש של 3 שנות מאסר בפועל ועונש מאסר מותנה. </w:t>
      </w:r>
    </w:p>
    <w:p w14:paraId="0CF681DB" w14:textId="77777777" w:rsidR="00CA119F" w:rsidRDefault="00CA119F">
      <w:pPr>
        <w:pStyle w:val="ListParagraph"/>
        <w:jc w:val="both"/>
        <w:rPr>
          <w:rFonts w:ascii="Arial" w:hAnsi="Arial"/>
          <w:sz w:val="24"/>
          <w:szCs w:val="24"/>
          <w:rtl/>
        </w:rPr>
      </w:pPr>
    </w:p>
    <w:p w14:paraId="67E06B40" w14:textId="77777777" w:rsidR="00CA119F" w:rsidRDefault="00CA119F">
      <w:pPr>
        <w:pStyle w:val="ListParagraph"/>
        <w:jc w:val="both"/>
        <w:rPr>
          <w:rFonts w:ascii="Arial" w:hAnsi="Arial"/>
          <w:sz w:val="24"/>
          <w:szCs w:val="24"/>
          <w:rtl/>
        </w:rPr>
      </w:pPr>
    </w:p>
    <w:p w14:paraId="277F5509" w14:textId="77777777" w:rsidR="00CA119F" w:rsidRDefault="00CA119F">
      <w:pPr>
        <w:pStyle w:val="ListParagraph"/>
        <w:jc w:val="both"/>
        <w:rPr>
          <w:rFonts w:ascii="Arial" w:hAnsi="Arial"/>
          <w:sz w:val="24"/>
          <w:szCs w:val="24"/>
          <w:rtl/>
        </w:rPr>
      </w:pPr>
    </w:p>
    <w:p w14:paraId="5AEE0B7E" w14:textId="77777777" w:rsidR="00CA119F" w:rsidRDefault="006B6C8F">
      <w:pPr>
        <w:pStyle w:val="ListParagraph"/>
        <w:jc w:val="both"/>
        <w:rPr>
          <w:rFonts w:ascii="Arial" w:hAnsi="Arial"/>
          <w:sz w:val="24"/>
          <w:szCs w:val="24"/>
          <w:rtl/>
        </w:rPr>
      </w:pPr>
      <w:r>
        <w:rPr>
          <w:rFonts w:ascii="Arial" w:hAnsi="Arial"/>
          <w:sz w:val="24"/>
          <w:szCs w:val="24"/>
          <w:rtl/>
        </w:rPr>
        <w:t>הסדר הטיעון, לטענתה, נעוץ בקשיים ראייתיים משמעותיים הנוגעים לשאלת זיהוי הנאשם וחלקו במסכת העובדתית שפורטה לעיל.</w:t>
      </w:r>
    </w:p>
    <w:p w14:paraId="793BB6B7" w14:textId="77777777" w:rsidR="00CA119F" w:rsidRDefault="00CA119F">
      <w:pPr>
        <w:pStyle w:val="ListParagraph"/>
        <w:jc w:val="both"/>
        <w:rPr>
          <w:rFonts w:ascii="Arial" w:hAnsi="Arial"/>
          <w:sz w:val="24"/>
          <w:szCs w:val="24"/>
        </w:rPr>
      </w:pPr>
    </w:p>
    <w:p w14:paraId="02DD7170" w14:textId="77777777" w:rsidR="00CA119F" w:rsidRDefault="006B6C8F">
      <w:pPr>
        <w:pStyle w:val="ListParagraph"/>
        <w:jc w:val="both"/>
        <w:rPr>
          <w:rFonts w:ascii="Arial" w:hAnsi="Arial"/>
          <w:sz w:val="24"/>
          <w:szCs w:val="24"/>
          <w:rtl/>
        </w:rPr>
      </w:pPr>
      <w:r>
        <w:rPr>
          <w:rFonts w:ascii="Arial" w:hAnsi="Arial"/>
          <w:sz w:val="24"/>
          <w:szCs w:val="24"/>
          <w:rtl/>
        </w:rPr>
        <w:t>ב"כ המאשימה עמדה על חומרתן של העבירות, על כך שו</w:t>
      </w:r>
      <w:r>
        <w:rPr>
          <w:rFonts w:ascii="Arial" w:hAnsi="Arial" w:hint="cs"/>
          <w:sz w:val="24"/>
          <w:szCs w:val="24"/>
          <w:rtl/>
        </w:rPr>
        <w:t>ו</w:t>
      </w:r>
      <w:r>
        <w:rPr>
          <w:rFonts w:ascii="Arial" w:hAnsi="Arial"/>
          <w:sz w:val="24"/>
          <w:szCs w:val="24"/>
          <w:rtl/>
        </w:rPr>
        <w:t>יכוח פעוט התפתח להתפרעות רבתי, והוביל לתוצאה טראגית, על הסכנה שעמדו בה מעורבים רבים, בהם שוטרים ואזרחים תמימים, על התעוזה שבאחיזת נשק ועשיית שימוש בו כפי שנעשה על ידי הנאשם ועל עמדותיו של הנאשם כפי שבאו לידי ביטוי אף אל מול שירות המבחן.</w:t>
      </w:r>
    </w:p>
    <w:p w14:paraId="045578FC" w14:textId="77777777" w:rsidR="00CA119F" w:rsidRDefault="00CA119F">
      <w:pPr>
        <w:pStyle w:val="ListParagraph"/>
        <w:jc w:val="both"/>
        <w:rPr>
          <w:rFonts w:ascii="Arial" w:hAnsi="Arial"/>
          <w:sz w:val="24"/>
          <w:szCs w:val="24"/>
          <w:rtl/>
        </w:rPr>
      </w:pPr>
    </w:p>
    <w:p w14:paraId="5E0EFDDD" w14:textId="77777777" w:rsidR="00CA119F" w:rsidRDefault="006B6C8F">
      <w:pPr>
        <w:pStyle w:val="ListParagraph"/>
        <w:jc w:val="both"/>
        <w:rPr>
          <w:rFonts w:ascii="Arial" w:hAnsi="Arial"/>
          <w:sz w:val="24"/>
          <w:szCs w:val="24"/>
          <w:rtl/>
        </w:rPr>
      </w:pPr>
      <w:r>
        <w:rPr>
          <w:rFonts w:ascii="Arial" w:hAnsi="Arial"/>
          <w:sz w:val="24"/>
          <w:szCs w:val="24"/>
          <w:rtl/>
        </w:rPr>
        <w:t xml:space="preserve">לשיטתה, הסדר הטיעון מאזן בין חומרת המעשים מחד לבין נסיבות לקולא ובהן הודאת הנאשם על אף קשיים ראייתיים משמעותיים, לקיחת אחריות על ידו ופיצוי משפחת המנוח, העובדה שהנאשם הינו המעורב היחיד שהועמד לדין, נסיבותיו האישיות </w:t>
      </w:r>
      <w:r>
        <w:rPr>
          <w:rFonts w:ascii="Arial" w:hAnsi="Arial" w:hint="cs"/>
          <w:sz w:val="24"/>
          <w:szCs w:val="24"/>
          <w:rtl/>
        </w:rPr>
        <w:t xml:space="preserve">, </w:t>
      </w:r>
      <w:r>
        <w:rPr>
          <w:rFonts w:ascii="Arial" w:hAnsi="Arial"/>
          <w:sz w:val="24"/>
          <w:szCs w:val="24"/>
          <w:rtl/>
        </w:rPr>
        <w:t>העובדה שזהו מאסרו הראשון והחיסכון בזמן שיפוטי.</w:t>
      </w:r>
    </w:p>
    <w:p w14:paraId="002DFF77" w14:textId="77777777" w:rsidR="00CA119F" w:rsidRDefault="00CA119F">
      <w:pPr>
        <w:pStyle w:val="ListParagraph"/>
        <w:jc w:val="both"/>
        <w:rPr>
          <w:rFonts w:ascii="Arial" w:hAnsi="Arial"/>
          <w:sz w:val="24"/>
          <w:szCs w:val="24"/>
          <w:rtl/>
        </w:rPr>
      </w:pPr>
    </w:p>
    <w:p w14:paraId="7FAE29E8" w14:textId="77777777" w:rsidR="00CA119F" w:rsidRDefault="006B6C8F">
      <w:pPr>
        <w:pStyle w:val="ListParagraph"/>
        <w:jc w:val="both"/>
        <w:rPr>
          <w:rFonts w:ascii="Arial" w:hAnsi="Arial"/>
          <w:sz w:val="24"/>
          <w:szCs w:val="24"/>
          <w:rtl/>
        </w:rPr>
      </w:pPr>
      <w:r>
        <w:rPr>
          <w:rFonts w:ascii="Arial" w:hAnsi="Arial"/>
          <w:sz w:val="24"/>
          <w:szCs w:val="24"/>
          <w:rtl/>
        </w:rPr>
        <w:t>כתימוכין לעתירתה הפנתה ב"כ המאשימה לפסיקה כדלקמן:</w:t>
      </w:r>
    </w:p>
    <w:p w14:paraId="578A9388" w14:textId="77777777" w:rsidR="00CA119F" w:rsidRDefault="00CA119F">
      <w:pPr>
        <w:pStyle w:val="ListParagraph"/>
        <w:jc w:val="both"/>
        <w:rPr>
          <w:rFonts w:ascii="Arial" w:hAnsi="Arial"/>
          <w:sz w:val="24"/>
          <w:szCs w:val="24"/>
          <w:rtl/>
        </w:rPr>
      </w:pPr>
    </w:p>
    <w:p w14:paraId="7A4A9FFF" w14:textId="77777777" w:rsidR="00CA119F" w:rsidRDefault="006B6C8F">
      <w:pPr>
        <w:pStyle w:val="ListParagraph"/>
        <w:numPr>
          <w:ilvl w:val="0"/>
          <w:numId w:val="2"/>
        </w:numPr>
        <w:jc w:val="both"/>
        <w:rPr>
          <w:rFonts w:ascii="Arial" w:hAnsi="Arial"/>
          <w:sz w:val="24"/>
          <w:szCs w:val="24"/>
        </w:rPr>
      </w:pPr>
      <w:hyperlink r:id="rId28" w:history="1">
        <w:r w:rsidRPr="006B6C8F">
          <w:rPr>
            <w:rFonts w:ascii="Arial" w:hAnsi="Arial"/>
            <w:color w:val="0000FF"/>
            <w:sz w:val="24"/>
            <w:szCs w:val="24"/>
            <w:u w:val="single"/>
            <w:rtl/>
          </w:rPr>
          <w:t>ת"פ (מחוזי חיפה) 5711-02-09</w:t>
        </w:r>
      </w:hyperlink>
      <w:r>
        <w:rPr>
          <w:rFonts w:ascii="Arial" w:hAnsi="Arial"/>
          <w:sz w:val="24"/>
          <w:szCs w:val="24"/>
          <w:rtl/>
        </w:rPr>
        <w:t xml:space="preserve"> מדינת ישראל נגד שחיבר – נדון סכסוך בין שתי משפחות שהוביל לאירוע ירי רב משתתפים ממנו נפגעו המנוח ואדם נוסף. הנאשמים, נורמטיביים ובעלי משפחות, הורשעו לאחר ניהול הוכחות בביצוע עבירות החזקת נשק ונשיאתו, וגרימת חבלה בכוונה מחמירה. בית המשפט שם עמד על הסכנה הטמונה בירי, אשר התממשה בהריגתו של המנוח, וקבע כי בעבירות נשיאת נשק ללא רישיון וירי בשטח מגורים לעבר אחרים בכוונה לפגוע בהם טווח הענישה ההולם נע בין 3 -5 שנות מאסר בפועל. במקרה זה, מבלי שהושג הסכם סולחה בין הצדדים, וללא הודאה וחרטה מצד הנאשמים, הוטלו על כל אחד מהם 3 שנות מאסר לריצוי בפועל. </w:t>
      </w:r>
    </w:p>
    <w:p w14:paraId="1BE8E071" w14:textId="77777777" w:rsidR="00CA119F" w:rsidRDefault="00CA119F">
      <w:pPr>
        <w:pStyle w:val="ListParagraph"/>
        <w:ind w:left="1080"/>
        <w:jc w:val="both"/>
        <w:rPr>
          <w:rFonts w:ascii="Arial" w:hAnsi="Arial"/>
          <w:sz w:val="24"/>
          <w:szCs w:val="24"/>
        </w:rPr>
      </w:pPr>
    </w:p>
    <w:p w14:paraId="4FF70A9E" w14:textId="77777777" w:rsidR="00CA119F" w:rsidRDefault="006B6C8F">
      <w:pPr>
        <w:pStyle w:val="ListParagraph"/>
        <w:numPr>
          <w:ilvl w:val="0"/>
          <w:numId w:val="2"/>
        </w:numPr>
        <w:jc w:val="both"/>
        <w:rPr>
          <w:rFonts w:ascii="Arial" w:hAnsi="Arial"/>
          <w:sz w:val="24"/>
          <w:szCs w:val="24"/>
        </w:rPr>
      </w:pPr>
      <w:hyperlink r:id="rId29" w:history="1">
        <w:r w:rsidRPr="006B6C8F">
          <w:rPr>
            <w:rFonts w:ascii="Arial" w:hAnsi="Arial"/>
            <w:color w:val="0000FF"/>
            <w:sz w:val="24"/>
            <w:szCs w:val="24"/>
            <w:u w:val="single"/>
            <w:rtl/>
          </w:rPr>
          <w:t>ע"פ 4689/10</w:t>
        </w:r>
      </w:hyperlink>
      <w:r>
        <w:rPr>
          <w:rFonts w:ascii="Arial" w:hAnsi="Arial"/>
          <w:sz w:val="24"/>
          <w:szCs w:val="24"/>
          <w:rtl/>
        </w:rPr>
        <w:t xml:space="preserve"> מחאג'נה נגד מדינת ישראל – בעקבות סכסוך בין המערער לקרובי משפחתו </w:t>
      </w:r>
      <w:r>
        <w:rPr>
          <w:rFonts w:ascii="Arial" w:hAnsi="Arial" w:hint="cs"/>
          <w:sz w:val="24"/>
          <w:szCs w:val="24"/>
          <w:rtl/>
        </w:rPr>
        <w:t xml:space="preserve">, </w:t>
      </w:r>
      <w:r>
        <w:rPr>
          <w:rFonts w:ascii="Arial" w:hAnsi="Arial"/>
          <w:sz w:val="24"/>
          <w:szCs w:val="24"/>
          <w:rtl/>
        </w:rPr>
        <w:t>נשא המערער אקדח והלך לביתם של קרובי משפחתו והחל לירות לכל עבר. המערער הורשע בעבירות ניסיון לחבלה בכוונה מחמירה, עבירות החזקה, הובלה ונשיאה של נשק ועבירת יריות באזור מגורים.  מדובר בעבירה שנייה מסוגה שב</w:t>
      </w:r>
      <w:r>
        <w:rPr>
          <w:rFonts w:ascii="Arial" w:hAnsi="Arial" w:hint="cs"/>
          <w:sz w:val="24"/>
          <w:szCs w:val="24"/>
          <w:rtl/>
        </w:rPr>
        <w:t>י</w:t>
      </w:r>
      <w:r>
        <w:rPr>
          <w:rFonts w:ascii="Arial" w:hAnsi="Arial"/>
          <w:sz w:val="24"/>
          <w:szCs w:val="24"/>
          <w:rtl/>
        </w:rPr>
        <w:t>צע המערער, שעה שתלוי ועומד נגדו מאסר על תנאי בגין עבירות זהות. בנסיבות אלה הוטלו עליו 42 חודשי מאסר בפועל ועונש המאסר המותנה הופעל במצטבר כך ש</w:t>
      </w:r>
      <w:r>
        <w:rPr>
          <w:rFonts w:ascii="Arial" w:hAnsi="Arial" w:hint="cs"/>
          <w:sz w:val="24"/>
          <w:szCs w:val="24"/>
          <w:rtl/>
        </w:rPr>
        <w:t>היה</w:t>
      </w:r>
      <w:r>
        <w:rPr>
          <w:rFonts w:ascii="Arial" w:hAnsi="Arial"/>
          <w:sz w:val="24"/>
          <w:szCs w:val="24"/>
          <w:rtl/>
        </w:rPr>
        <w:t xml:space="preserve"> עליו לרצות בס</w:t>
      </w:r>
      <w:r>
        <w:rPr>
          <w:rFonts w:ascii="Arial" w:hAnsi="Arial" w:hint="cs"/>
          <w:sz w:val="24"/>
          <w:szCs w:val="24"/>
          <w:rtl/>
        </w:rPr>
        <w:t>ך הכל</w:t>
      </w:r>
      <w:r>
        <w:rPr>
          <w:rFonts w:ascii="Arial" w:hAnsi="Arial"/>
          <w:sz w:val="24"/>
          <w:szCs w:val="24"/>
          <w:rtl/>
        </w:rPr>
        <w:t xml:space="preserve"> 60 חודשי מאסר בפועל. לנוכח עברו של המערער אין מקרה זה דומה לענייננו.</w:t>
      </w:r>
    </w:p>
    <w:p w14:paraId="535F38BF" w14:textId="77777777" w:rsidR="00CA119F" w:rsidRDefault="00CA119F">
      <w:pPr>
        <w:pStyle w:val="ListParagraph"/>
        <w:ind w:left="1080"/>
        <w:jc w:val="both"/>
        <w:rPr>
          <w:rFonts w:ascii="Arial" w:hAnsi="Arial"/>
          <w:sz w:val="24"/>
          <w:szCs w:val="24"/>
        </w:rPr>
      </w:pPr>
    </w:p>
    <w:p w14:paraId="0710E011" w14:textId="77777777" w:rsidR="00CA119F" w:rsidRDefault="006B6C8F">
      <w:pPr>
        <w:pStyle w:val="ListParagraph"/>
        <w:numPr>
          <w:ilvl w:val="0"/>
          <w:numId w:val="2"/>
        </w:numPr>
        <w:jc w:val="both"/>
        <w:rPr>
          <w:rFonts w:ascii="Arial" w:hAnsi="Arial"/>
          <w:sz w:val="24"/>
          <w:szCs w:val="24"/>
        </w:rPr>
      </w:pPr>
      <w:hyperlink r:id="rId30" w:history="1">
        <w:r w:rsidRPr="006B6C8F">
          <w:rPr>
            <w:rFonts w:ascii="Arial" w:hAnsi="Arial"/>
            <w:color w:val="0000FF"/>
            <w:sz w:val="24"/>
            <w:szCs w:val="24"/>
            <w:u w:val="single"/>
            <w:rtl/>
          </w:rPr>
          <w:t>ת"פ 20782-06-09</w:t>
        </w:r>
      </w:hyperlink>
      <w:r>
        <w:rPr>
          <w:rFonts w:ascii="Arial" w:hAnsi="Arial"/>
          <w:sz w:val="24"/>
          <w:szCs w:val="24"/>
          <w:rtl/>
        </w:rPr>
        <w:t xml:space="preserve"> מדינת ישראל נגד אבו סבלאן – הנאשם, צעיר ללא עבר, הורשע לאחר ניהול הוכחות בביצוע עבירות חבלה ופציעה בנסיבות מחמירות ונשיאת נשק, לאחר שיחד עם אחר ירה לעבר המתלונן באמצעות אקדח. כתוצאה מהירי נגרם למתלונן שבר ריסוק והוא נותח ואושפז. לאחר האירוע הושג הסכם סולחה בין המשפחות. בנסיבות בהן לא נטל הנאשם אחריות על מעשיו הוטלו עליו 60 חודשי מאסר בפועל.</w:t>
      </w:r>
    </w:p>
    <w:p w14:paraId="2D709623" w14:textId="77777777" w:rsidR="00CA119F" w:rsidRDefault="00CA119F">
      <w:pPr>
        <w:pStyle w:val="ListParagraph"/>
        <w:jc w:val="both"/>
        <w:rPr>
          <w:rFonts w:ascii="Arial" w:hAnsi="Arial"/>
          <w:sz w:val="24"/>
          <w:szCs w:val="24"/>
        </w:rPr>
      </w:pPr>
    </w:p>
    <w:p w14:paraId="533C8BC3" w14:textId="77777777" w:rsidR="00CA119F" w:rsidRDefault="006B6C8F">
      <w:pPr>
        <w:pStyle w:val="ListParagraph"/>
        <w:numPr>
          <w:ilvl w:val="0"/>
          <w:numId w:val="1"/>
        </w:numPr>
        <w:jc w:val="both"/>
        <w:rPr>
          <w:rFonts w:ascii="Arial" w:hAnsi="Arial"/>
          <w:sz w:val="24"/>
          <w:szCs w:val="24"/>
        </w:rPr>
      </w:pPr>
      <w:r>
        <w:rPr>
          <w:rFonts w:ascii="Arial" w:hAnsi="Arial"/>
          <w:sz w:val="24"/>
          <w:szCs w:val="24"/>
          <w:rtl/>
        </w:rPr>
        <w:t>ב"כ הנאשם עמד על כך שעברו של הנאשם אינו מכביד, כי הוא צעיר, נשוי ואב לילדים רכים בשנים, נורמטיבי ועובד. מתוך מאות האנשים שהיו מעורבים באירוע הוא היחיד שנעצר והועמד לדין, ובחלוף הזמן מע</w:t>
      </w:r>
      <w:r>
        <w:rPr>
          <w:rFonts w:ascii="Arial" w:hAnsi="Arial" w:hint="cs"/>
          <w:sz w:val="24"/>
          <w:szCs w:val="24"/>
          <w:rtl/>
        </w:rPr>
        <w:t>ת</w:t>
      </w:r>
      <w:r>
        <w:rPr>
          <w:rFonts w:ascii="Arial" w:hAnsi="Arial"/>
          <w:sz w:val="24"/>
          <w:szCs w:val="24"/>
          <w:rtl/>
        </w:rPr>
        <w:t xml:space="preserve"> האירוע לא זו בלבד שלא היו אירועים נוספים בינו לבין משפחת המתלונן אלא שאף הושג הסכם סולחה בין המשפחות. בנסיבות אלה עתר ב"כ הנאשם להשית על הנאשם עונש של 6 חודשי מאסר שירוצה בדרך של עבודות שירות.</w:t>
      </w:r>
    </w:p>
    <w:p w14:paraId="54CAA9E1" w14:textId="77777777" w:rsidR="00CA119F" w:rsidRDefault="006B6C8F">
      <w:pPr>
        <w:ind w:left="720"/>
        <w:jc w:val="both"/>
        <w:rPr>
          <w:rFonts w:ascii="Arial" w:hAnsi="Arial" w:cs="Arial"/>
          <w:rtl/>
        </w:rPr>
      </w:pPr>
      <w:r>
        <w:rPr>
          <w:rFonts w:ascii="Arial" w:hAnsi="Arial" w:cs="Arial"/>
          <w:rtl/>
        </w:rPr>
        <w:t xml:space="preserve">כתימוכין לעתירתו הפנה הנאשם לאסופת פסיקה, ממנה אפנה </w:t>
      </w:r>
      <w:r>
        <w:rPr>
          <w:rFonts w:ascii="Arial" w:hAnsi="Arial" w:cs="Arial" w:hint="cs"/>
          <w:rtl/>
        </w:rPr>
        <w:t>לפסקי הדין המפורטים להלן</w:t>
      </w:r>
      <w:r>
        <w:rPr>
          <w:rFonts w:ascii="Arial" w:hAnsi="Arial" w:cs="Arial"/>
          <w:rtl/>
        </w:rPr>
        <w:t>:</w:t>
      </w:r>
    </w:p>
    <w:p w14:paraId="7DE4081B" w14:textId="77777777" w:rsidR="00CA119F" w:rsidRDefault="00CA119F">
      <w:pPr>
        <w:ind w:left="720"/>
        <w:jc w:val="both"/>
        <w:rPr>
          <w:rFonts w:ascii="Arial" w:hAnsi="Arial" w:cs="Arial"/>
        </w:rPr>
      </w:pPr>
    </w:p>
    <w:p w14:paraId="3017FF2D" w14:textId="77777777" w:rsidR="00CA119F" w:rsidRDefault="006B6C8F">
      <w:pPr>
        <w:pStyle w:val="ListParagraph"/>
        <w:numPr>
          <w:ilvl w:val="0"/>
          <w:numId w:val="3"/>
        </w:numPr>
        <w:jc w:val="both"/>
        <w:rPr>
          <w:rFonts w:ascii="Arial" w:hAnsi="Arial"/>
          <w:sz w:val="24"/>
          <w:szCs w:val="24"/>
        </w:rPr>
      </w:pPr>
      <w:hyperlink r:id="rId31" w:history="1">
        <w:r w:rsidRPr="006B6C8F">
          <w:rPr>
            <w:rFonts w:ascii="Arial" w:hAnsi="Arial"/>
            <w:color w:val="0000FF"/>
            <w:sz w:val="24"/>
            <w:szCs w:val="24"/>
            <w:u w:val="single"/>
            <w:rtl/>
          </w:rPr>
          <w:t>ת"פ (מחוזי ב"ש) 8151/05</w:t>
        </w:r>
      </w:hyperlink>
      <w:r>
        <w:rPr>
          <w:rFonts w:ascii="Arial" w:hAnsi="Arial"/>
          <w:sz w:val="24"/>
          <w:szCs w:val="24"/>
          <w:rtl/>
        </w:rPr>
        <w:t xml:space="preserve"> מדינת ישראל נגד אבו מדיעם – בגין סכסוך משפחתי בין פלגים במשפחה התרחשה קטטה המונית באמצעות אלות, מקלות עץ והנאשם הורשע בעבירות חבלה בכוונה מחמירה, תקיפה בנסיבות מחמירות, הפרת הוראה חוקית, איומים והחזקת סכין. תסקיר שירות המבחן לא בא בהמלצה טיפולית, הושג הסכם סולחה. בית המשפט הטיל על הנאשם 18 חודשי מאסר בפועל. </w:t>
      </w:r>
    </w:p>
    <w:p w14:paraId="23A5357F" w14:textId="77777777" w:rsidR="00CA119F" w:rsidRDefault="00CA119F">
      <w:pPr>
        <w:pStyle w:val="ListParagraph"/>
        <w:ind w:left="1080"/>
        <w:jc w:val="both"/>
        <w:rPr>
          <w:rFonts w:ascii="Arial" w:hAnsi="Arial"/>
          <w:sz w:val="24"/>
          <w:szCs w:val="24"/>
          <w:rtl/>
        </w:rPr>
      </w:pPr>
    </w:p>
    <w:p w14:paraId="1401FBF1" w14:textId="77777777" w:rsidR="00CA119F" w:rsidRDefault="006B6C8F">
      <w:pPr>
        <w:pStyle w:val="ListParagraph"/>
        <w:numPr>
          <w:ilvl w:val="0"/>
          <w:numId w:val="3"/>
        </w:numPr>
        <w:jc w:val="both"/>
        <w:rPr>
          <w:rFonts w:ascii="Arial" w:hAnsi="Arial"/>
          <w:sz w:val="24"/>
          <w:szCs w:val="24"/>
        </w:rPr>
      </w:pPr>
      <w:r>
        <w:rPr>
          <w:rFonts w:ascii="Arial" w:hAnsi="Arial"/>
          <w:sz w:val="24"/>
          <w:szCs w:val="24"/>
          <w:rtl/>
        </w:rPr>
        <w:t xml:space="preserve">תפ"ח (מחוזי ת"א) 40020/00 מדינת ישראל נגד מסראווה – בעקבות ויכוח הגיעו הנאשמים למסעדה וירו בשני אקדחים שהיו ברשותם לכל עבר. כתוצאה מהיריות נגרם מותו של אדם ונפצעו נוספים שעבדו במסעדה באותה העת. בית המשפט הטיל על הנאשמים 3 שנות מאסר בפועל. </w:t>
      </w:r>
    </w:p>
    <w:p w14:paraId="2B2B05DF" w14:textId="77777777" w:rsidR="00CA119F" w:rsidRDefault="00CA119F">
      <w:pPr>
        <w:pStyle w:val="ListParagraph"/>
        <w:ind w:left="1080"/>
        <w:jc w:val="both"/>
        <w:rPr>
          <w:rFonts w:ascii="Arial" w:hAnsi="Arial"/>
          <w:sz w:val="24"/>
          <w:szCs w:val="24"/>
        </w:rPr>
      </w:pPr>
    </w:p>
    <w:p w14:paraId="2C8D1421" w14:textId="77777777" w:rsidR="00CA119F" w:rsidRDefault="006B6C8F">
      <w:pPr>
        <w:pStyle w:val="ListParagraph"/>
        <w:ind w:left="1080"/>
        <w:jc w:val="both"/>
        <w:rPr>
          <w:rFonts w:ascii="Arial" w:hAnsi="Arial"/>
          <w:sz w:val="24"/>
          <w:szCs w:val="24"/>
        </w:rPr>
      </w:pPr>
      <w:r>
        <w:rPr>
          <w:rFonts w:ascii="Arial" w:hAnsi="Arial"/>
          <w:sz w:val="24"/>
          <w:szCs w:val="24"/>
          <w:rtl/>
        </w:rPr>
        <w:t xml:space="preserve">לא מצאתי לסקור פסיקה שהוגשה לי שאינה רלבנטית או כזו המתייחסת לעבירות </w:t>
      </w:r>
      <w:r>
        <w:rPr>
          <w:rFonts w:ascii="Arial" w:hAnsi="Arial" w:hint="cs"/>
          <w:sz w:val="24"/>
          <w:szCs w:val="24"/>
          <w:rtl/>
        </w:rPr>
        <w:t>חמורות פחות</w:t>
      </w:r>
      <w:r>
        <w:rPr>
          <w:rFonts w:ascii="Arial" w:hAnsi="Arial"/>
          <w:sz w:val="24"/>
          <w:szCs w:val="24"/>
          <w:rtl/>
        </w:rPr>
        <w:t xml:space="preserve"> שנדונו בבית משפט השלום. </w:t>
      </w:r>
    </w:p>
    <w:p w14:paraId="3B4A00D8" w14:textId="77777777" w:rsidR="00CA119F" w:rsidRDefault="00CA119F">
      <w:pPr>
        <w:pStyle w:val="ListParagraph"/>
        <w:ind w:left="1080"/>
        <w:jc w:val="both"/>
        <w:rPr>
          <w:rFonts w:ascii="Arial" w:hAnsi="Arial"/>
          <w:sz w:val="24"/>
          <w:szCs w:val="24"/>
        </w:rPr>
      </w:pPr>
    </w:p>
    <w:p w14:paraId="210F238E" w14:textId="77777777" w:rsidR="00CA119F" w:rsidRDefault="006B6C8F">
      <w:pPr>
        <w:pStyle w:val="ListParagraph"/>
        <w:ind w:left="1080"/>
        <w:jc w:val="both"/>
        <w:rPr>
          <w:rFonts w:ascii="Arial" w:hAnsi="Arial"/>
          <w:sz w:val="24"/>
          <w:szCs w:val="24"/>
        </w:rPr>
      </w:pPr>
      <w:r>
        <w:rPr>
          <w:rFonts w:ascii="Arial" w:hAnsi="Arial"/>
          <w:sz w:val="24"/>
          <w:szCs w:val="24"/>
          <w:rtl/>
        </w:rPr>
        <w:t>אשר למשמעות הסולחה בשלב הטיעונים לעונש הפנה ב"כ הנאשם ל</w:t>
      </w:r>
      <w:hyperlink r:id="rId32" w:history="1">
        <w:r w:rsidRPr="006B6C8F">
          <w:rPr>
            <w:rFonts w:ascii="Arial" w:hAnsi="Arial"/>
            <w:color w:val="0000FF"/>
            <w:sz w:val="24"/>
            <w:szCs w:val="24"/>
            <w:u w:val="single"/>
            <w:rtl/>
          </w:rPr>
          <w:t>ע"פ 7126/04</w:t>
        </w:r>
      </w:hyperlink>
      <w:r>
        <w:rPr>
          <w:rFonts w:ascii="Arial" w:hAnsi="Arial"/>
          <w:sz w:val="24"/>
          <w:szCs w:val="24"/>
          <w:rtl/>
        </w:rPr>
        <w:t xml:space="preserve"> גדיר נגד מדינת ישראל, </w:t>
      </w:r>
      <w:hyperlink r:id="rId33" w:history="1">
        <w:r w:rsidRPr="006B6C8F">
          <w:rPr>
            <w:rFonts w:ascii="Arial" w:hAnsi="Arial"/>
            <w:color w:val="0000FF"/>
            <w:sz w:val="24"/>
            <w:szCs w:val="24"/>
            <w:u w:val="single"/>
            <w:rtl/>
          </w:rPr>
          <w:t>ע"א 621/04</w:t>
        </w:r>
      </w:hyperlink>
      <w:r>
        <w:rPr>
          <w:rFonts w:ascii="Arial" w:hAnsi="Arial"/>
          <w:sz w:val="24"/>
          <w:szCs w:val="24"/>
          <w:rtl/>
        </w:rPr>
        <w:t xml:space="preserve"> עלי אסעד נגד אמל קבלאן, וכן הפנה למאמרו של רון שפירא "הגיעה העת לסולחה", שפורסם בפרקליט מח תשס"ו. </w:t>
      </w:r>
    </w:p>
    <w:p w14:paraId="5CD3C431" w14:textId="77777777" w:rsidR="00CA119F" w:rsidRDefault="00CA119F">
      <w:pPr>
        <w:pStyle w:val="ListParagraph"/>
        <w:ind w:left="1080"/>
        <w:jc w:val="both"/>
        <w:rPr>
          <w:rFonts w:ascii="Arial" w:hAnsi="Arial"/>
          <w:sz w:val="24"/>
          <w:szCs w:val="24"/>
        </w:rPr>
      </w:pPr>
    </w:p>
    <w:p w14:paraId="431A8230" w14:textId="77777777" w:rsidR="00CA119F" w:rsidRDefault="006B6C8F">
      <w:pPr>
        <w:pStyle w:val="ListParagraph"/>
        <w:numPr>
          <w:ilvl w:val="0"/>
          <w:numId w:val="1"/>
        </w:numPr>
        <w:jc w:val="both"/>
        <w:rPr>
          <w:rFonts w:ascii="Arial" w:hAnsi="Arial"/>
          <w:sz w:val="24"/>
          <w:szCs w:val="24"/>
        </w:rPr>
      </w:pPr>
      <w:r>
        <w:rPr>
          <w:rFonts w:ascii="Arial" w:hAnsi="Arial"/>
          <w:sz w:val="24"/>
          <w:szCs w:val="24"/>
          <w:rtl/>
        </w:rPr>
        <w:t>הנאשם הביע חרטה על מעשיו.</w:t>
      </w:r>
    </w:p>
    <w:p w14:paraId="6B0144F9" w14:textId="77777777" w:rsidR="00CA119F" w:rsidRDefault="00CA119F">
      <w:pPr>
        <w:jc w:val="both"/>
        <w:rPr>
          <w:rFonts w:ascii="Arial" w:hAnsi="Arial"/>
          <w:rtl/>
        </w:rPr>
      </w:pPr>
    </w:p>
    <w:p w14:paraId="2AC006FC" w14:textId="77777777" w:rsidR="00CA119F" w:rsidRDefault="00CA119F">
      <w:pPr>
        <w:jc w:val="both"/>
        <w:rPr>
          <w:rFonts w:ascii="Arial" w:hAnsi="Arial"/>
          <w:rtl/>
        </w:rPr>
      </w:pPr>
    </w:p>
    <w:p w14:paraId="23D8B536" w14:textId="77777777" w:rsidR="00CA119F" w:rsidRDefault="00CA119F">
      <w:pPr>
        <w:jc w:val="both"/>
        <w:rPr>
          <w:rFonts w:ascii="Arial" w:hAnsi="Arial"/>
          <w:rtl/>
        </w:rPr>
      </w:pPr>
    </w:p>
    <w:p w14:paraId="4BAC8CEB" w14:textId="77777777" w:rsidR="00CA119F" w:rsidRDefault="006B6C8F">
      <w:pPr>
        <w:jc w:val="both"/>
        <w:rPr>
          <w:rFonts w:ascii="Arial" w:hAnsi="Arial" w:cs="Arial"/>
          <w:b/>
          <w:bCs/>
          <w:u w:val="single"/>
        </w:rPr>
      </w:pPr>
      <w:r>
        <w:rPr>
          <w:rFonts w:ascii="Arial" w:hAnsi="Arial" w:cs="Arial"/>
          <w:b/>
          <w:bCs/>
          <w:u w:val="single"/>
          <w:rtl/>
        </w:rPr>
        <w:t>דיון והכרעה</w:t>
      </w:r>
    </w:p>
    <w:p w14:paraId="35A6E4F8" w14:textId="77777777" w:rsidR="00CA119F" w:rsidRDefault="006B6C8F">
      <w:pPr>
        <w:jc w:val="both"/>
        <w:rPr>
          <w:rFonts w:ascii="Arial" w:hAnsi="Arial" w:cs="Arial"/>
          <w:u w:val="single"/>
          <w:rtl/>
        </w:rPr>
      </w:pPr>
      <w:r>
        <w:rPr>
          <w:rFonts w:ascii="Arial" w:hAnsi="Arial" w:cs="Arial"/>
          <w:u w:val="single"/>
          <w:rtl/>
        </w:rPr>
        <w:t>קביעת מתחם העונש ההולם</w:t>
      </w:r>
    </w:p>
    <w:p w14:paraId="5EAAD083" w14:textId="77777777" w:rsidR="00CA119F" w:rsidRDefault="00CA119F">
      <w:pPr>
        <w:jc w:val="both"/>
        <w:rPr>
          <w:rFonts w:ascii="Arial" w:hAnsi="Arial" w:cs="Arial"/>
          <w:u w:val="single"/>
          <w:rtl/>
        </w:rPr>
      </w:pPr>
    </w:p>
    <w:p w14:paraId="5A0E2A4C" w14:textId="77777777" w:rsidR="00CA119F" w:rsidRDefault="006B6C8F">
      <w:pPr>
        <w:pStyle w:val="ListParagraph"/>
        <w:numPr>
          <w:ilvl w:val="0"/>
          <w:numId w:val="1"/>
        </w:numPr>
        <w:jc w:val="both"/>
        <w:rPr>
          <w:rFonts w:ascii="Arial" w:hAnsi="Arial"/>
          <w:sz w:val="24"/>
          <w:szCs w:val="24"/>
        </w:rPr>
      </w:pPr>
      <w:r>
        <w:rPr>
          <w:rFonts w:ascii="Arial" w:hAnsi="Arial"/>
          <w:sz w:val="24"/>
          <w:szCs w:val="24"/>
          <w:rtl/>
        </w:rPr>
        <w:t xml:space="preserve">בהתאם </w:t>
      </w:r>
      <w:hyperlink r:id="rId34" w:history="1">
        <w:r w:rsidR="00F80705" w:rsidRPr="00F80705">
          <w:rPr>
            <w:rFonts w:ascii="Arial" w:hAnsi="Arial"/>
            <w:color w:val="0000FF"/>
            <w:sz w:val="24"/>
            <w:szCs w:val="24"/>
            <w:u w:val="single"/>
            <w:rtl/>
          </w:rPr>
          <w:t>לסעיף 40ג</w:t>
        </w:r>
      </w:hyperlink>
      <w:r>
        <w:rPr>
          <w:rFonts w:ascii="Arial" w:hAnsi="Arial"/>
          <w:sz w:val="24"/>
          <w:szCs w:val="24"/>
          <w:rtl/>
        </w:rPr>
        <w:t>. לחוק, מתחם העונש ההולם לכל "מעשה עבירה" ייקבע בהתאם לעקרון ההלימה, תוך התחשבות בערך החברתי שנפגע מביצוע העבירה, במידת הפגיעה בו, במדיניות הענישה הנהוגה ובנסיבות הקשורות בביצוע העבירה.</w:t>
      </w:r>
    </w:p>
    <w:p w14:paraId="6C799759" w14:textId="77777777" w:rsidR="00CA119F" w:rsidRDefault="00CA119F">
      <w:pPr>
        <w:pStyle w:val="ListParagraph"/>
        <w:jc w:val="both"/>
        <w:rPr>
          <w:rFonts w:ascii="Arial" w:hAnsi="Arial"/>
          <w:sz w:val="24"/>
          <w:szCs w:val="24"/>
        </w:rPr>
      </w:pPr>
    </w:p>
    <w:p w14:paraId="0FB02733" w14:textId="77777777" w:rsidR="00CA119F" w:rsidRDefault="006B6C8F">
      <w:pPr>
        <w:pStyle w:val="ListParagraph"/>
        <w:jc w:val="both"/>
        <w:rPr>
          <w:rFonts w:ascii="Arial" w:hAnsi="Arial"/>
          <w:sz w:val="24"/>
          <w:szCs w:val="24"/>
        </w:rPr>
      </w:pPr>
      <w:r>
        <w:rPr>
          <w:rFonts w:ascii="Arial" w:hAnsi="Arial"/>
          <w:sz w:val="24"/>
          <w:szCs w:val="24"/>
          <w:rtl/>
        </w:rPr>
        <w:t>בתוך המתחם האמור, על בית המשפט לגזור את העונש המתאים לנאשם, בהתחשב בנסיבות שאינן קשורות בביצוע העבירה, כגון נסיבותיו האישיות של הנאשם ועברו הפלילי, אלא אם כן מוצא בית המשפט נסיבות המצדיקות סטייה מהמתחם האמור.</w:t>
      </w:r>
    </w:p>
    <w:p w14:paraId="73DC785C" w14:textId="77777777" w:rsidR="00CA119F" w:rsidRDefault="00CA119F">
      <w:pPr>
        <w:pStyle w:val="ListParagraph"/>
        <w:jc w:val="both"/>
        <w:rPr>
          <w:rFonts w:ascii="Arial" w:hAnsi="Arial"/>
          <w:sz w:val="24"/>
          <w:szCs w:val="24"/>
        </w:rPr>
      </w:pPr>
    </w:p>
    <w:p w14:paraId="6C026166" w14:textId="77777777" w:rsidR="00CA119F" w:rsidRDefault="006B6C8F">
      <w:pPr>
        <w:pStyle w:val="ListParagraph"/>
        <w:numPr>
          <w:ilvl w:val="0"/>
          <w:numId w:val="1"/>
        </w:numPr>
        <w:jc w:val="both"/>
        <w:rPr>
          <w:rFonts w:ascii="Arial" w:hAnsi="Arial"/>
          <w:sz w:val="24"/>
          <w:szCs w:val="24"/>
        </w:rPr>
      </w:pPr>
      <w:r>
        <w:rPr>
          <w:rFonts w:ascii="Arial" w:hAnsi="Arial"/>
          <w:sz w:val="24"/>
          <w:szCs w:val="24"/>
          <w:rtl/>
        </w:rPr>
        <w:t xml:space="preserve">לאחר עיון בעובדות כתב האישום המתוקן מצאתי כי המדובר במעשה עבירה אחד, אשר החל כאשר הנאשם הגיע לזירת </w:t>
      </w:r>
      <w:r>
        <w:rPr>
          <w:rFonts w:ascii="Arial" w:hAnsi="Arial" w:hint="cs"/>
          <w:sz w:val="24"/>
          <w:szCs w:val="24"/>
          <w:rtl/>
        </w:rPr>
        <w:t>ה</w:t>
      </w:r>
      <w:r>
        <w:rPr>
          <w:rFonts w:ascii="Arial" w:hAnsi="Arial"/>
          <w:sz w:val="24"/>
          <w:szCs w:val="24"/>
          <w:rtl/>
        </w:rPr>
        <w:t xml:space="preserve">מריבה כשהוא נושא </w:t>
      </w:r>
      <w:r>
        <w:rPr>
          <w:rFonts w:ascii="Arial" w:hAnsi="Arial" w:hint="cs"/>
          <w:sz w:val="24"/>
          <w:szCs w:val="24"/>
          <w:rtl/>
        </w:rPr>
        <w:t xml:space="preserve">אקדח </w:t>
      </w:r>
      <w:r>
        <w:rPr>
          <w:rFonts w:ascii="Arial" w:hAnsi="Arial"/>
          <w:sz w:val="24"/>
          <w:szCs w:val="24"/>
          <w:rtl/>
        </w:rPr>
        <w:t xml:space="preserve">על גופו , בלוויית בני משפחתו שהיו מצוידים באלות. הנאשם ציפה ונערך לקיומו של עימות אלים, יזם אותו ולא היסס להשתמש בכוח – והכל בשל ויכוח על סכום כסף פעוט. אף לאחר שנס המתלונן על נפשו המשיכו הנאשם ובני משפחתו לרדוף אחריו. בהמשך, ב"מתחם המשפחות", מקום בו נכחו אנשים רבים והיתה התקהלות רבתי, ואף לאחר שכוחות משטרה ומנהיגי משפחות ניסו ככל יכולתם להפריד בין הניצים, המשיכו הנאשם ובני משפחתו בפרץ האלימות והנאשם אף הרהיב עוז וביצע ירי במספר הזדמנויות לעבר קהל אנשים מבני משפחת אזברגה תוך שכיוון בכוונת מכוון לפגוע בהם, ולאחר מכן נמלט מזירת האירוע.  </w:t>
      </w:r>
    </w:p>
    <w:p w14:paraId="325F6930" w14:textId="77777777" w:rsidR="00CA119F" w:rsidRDefault="00CA119F">
      <w:pPr>
        <w:pStyle w:val="ListParagraph"/>
        <w:jc w:val="both"/>
        <w:rPr>
          <w:rFonts w:ascii="Arial" w:hAnsi="Arial"/>
          <w:sz w:val="24"/>
          <w:szCs w:val="24"/>
        </w:rPr>
      </w:pPr>
    </w:p>
    <w:p w14:paraId="115315E8" w14:textId="77777777" w:rsidR="00CA119F" w:rsidRDefault="006B6C8F">
      <w:pPr>
        <w:pStyle w:val="ListParagraph"/>
        <w:numPr>
          <w:ilvl w:val="0"/>
          <w:numId w:val="1"/>
        </w:numPr>
        <w:jc w:val="both"/>
        <w:rPr>
          <w:rFonts w:ascii="Arial" w:hAnsi="Arial"/>
          <w:sz w:val="24"/>
          <w:szCs w:val="24"/>
        </w:rPr>
      </w:pPr>
      <w:r>
        <w:rPr>
          <w:rFonts w:ascii="Arial" w:hAnsi="Arial"/>
          <w:sz w:val="24"/>
          <w:szCs w:val="24"/>
          <w:rtl/>
        </w:rPr>
        <w:t>במעשיו של הנאשם יש להצביע על בריונות, כוחנות, תעוזה עבריינית של ממש, זלזול בחיי אדם ופגיעה בתחושת הביטחון של הציבור.</w:t>
      </w:r>
    </w:p>
    <w:p w14:paraId="3B7C12FD" w14:textId="77777777" w:rsidR="00CA119F" w:rsidRDefault="006B6C8F">
      <w:pPr>
        <w:pStyle w:val="ListParagraph"/>
        <w:jc w:val="both"/>
        <w:rPr>
          <w:rFonts w:ascii="Arial" w:hAnsi="Arial"/>
          <w:sz w:val="24"/>
          <w:szCs w:val="24"/>
        </w:rPr>
      </w:pPr>
      <w:r>
        <w:rPr>
          <w:rFonts w:ascii="Arial" w:hAnsi="Arial"/>
          <w:sz w:val="24"/>
          <w:szCs w:val="24"/>
          <w:rtl/>
        </w:rPr>
        <w:t xml:space="preserve"> </w:t>
      </w:r>
    </w:p>
    <w:p w14:paraId="21F1461C" w14:textId="77777777" w:rsidR="00CA119F" w:rsidRDefault="006B6C8F">
      <w:pPr>
        <w:pStyle w:val="ListParagraph"/>
        <w:jc w:val="both"/>
        <w:rPr>
          <w:rFonts w:ascii="Arial" w:hAnsi="Arial"/>
          <w:sz w:val="24"/>
          <w:szCs w:val="24"/>
        </w:rPr>
      </w:pPr>
      <w:r>
        <w:rPr>
          <w:rFonts w:ascii="Arial" w:hAnsi="Arial"/>
          <w:sz w:val="24"/>
          <w:szCs w:val="24"/>
          <w:rtl/>
        </w:rPr>
        <w:t xml:space="preserve">לא ניתן להשלים עם מצב של ירי באזור מגורים בשל סכסוך אישי או כעס . בית המשפט העליון אמר דברו לא אחת, </w:t>
      </w:r>
      <w:r>
        <w:rPr>
          <w:rFonts w:ascii="Arial" w:hAnsi="Arial" w:hint="cs"/>
          <w:sz w:val="24"/>
          <w:szCs w:val="24"/>
          <w:rtl/>
        </w:rPr>
        <w:t>על אלה</w:t>
      </w:r>
      <w:r>
        <w:rPr>
          <w:rFonts w:ascii="Arial" w:hAnsi="Arial"/>
          <w:sz w:val="24"/>
          <w:szCs w:val="24"/>
          <w:rtl/>
        </w:rPr>
        <w:t xml:space="preserve"> הנוטלים את החוק לידיהם ומנסים ליישב סכסוכים וויכוחים, תוך שימוש בנשק קר או חם. נקבע, כי יש להילחם בתופעה זו באמצעות ענישה קשה ומחמירה</w:t>
      </w:r>
      <w:r>
        <w:rPr>
          <w:rFonts w:ascii="Arial" w:hAnsi="Arial" w:hint="cs"/>
          <w:sz w:val="24"/>
          <w:szCs w:val="24"/>
          <w:rtl/>
        </w:rPr>
        <w:t xml:space="preserve"> כפי שנפסק</w:t>
      </w:r>
      <w:r>
        <w:rPr>
          <w:rFonts w:ascii="Arial" w:hAnsi="Arial"/>
          <w:sz w:val="24"/>
          <w:szCs w:val="24"/>
          <w:rtl/>
        </w:rPr>
        <w:t xml:space="preserve"> ב</w:t>
      </w:r>
      <w:hyperlink r:id="rId35" w:history="1">
        <w:r w:rsidRPr="006B6C8F">
          <w:rPr>
            <w:rFonts w:ascii="Arial" w:hAnsi="Arial"/>
            <w:color w:val="0000FF"/>
            <w:sz w:val="24"/>
            <w:szCs w:val="24"/>
            <w:u w:val="single"/>
            <w:rtl/>
          </w:rPr>
          <w:t>ע"פ 5753/04</w:t>
        </w:r>
      </w:hyperlink>
      <w:r>
        <w:rPr>
          <w:rFonts w:ascii="Arial" w:hAnsi="Arial"/>
          <w:sz w:val="24"/>
          <w:szCs w:val="24"/>
          <w:rtl/>
        </w:rPr>
        <w:t xml:space="preserve"> מדינת ישראל נ' רייכמן [פורסם בנבו] (7.2.2005):</w:t>
      </w:r>
    </w:p>
    <w:p w14:paraId="401B5D9D" w14:textId="77777777" w:rsidR="00CA119F" w:rsidRDefault="006B6C8F">
      <w:pPr>
        <w:pStyle w:val="ListParagraph"/>
        <w:ind w:left="1440"/>
        <w:jc w:val="both"/>
        <w:rPr>
          <w:rFonts w:ascii="Arial" w:hAnsi="Arial"/>
          <w:sz w:val="24"/>
          <w:szCs w:val="24"/>
          <w:rtl/>
        </w:rPr>
      </w:pPr>
      <w:r>
        <w:rPr>
          <w:rFonts w:ascii="Arial" w:hAnsi="Arial"/>
          <w:sz w:val="24"/>
          <w:szCs w:val="24"/>
          <w:rtl/>
        </w:rPr>
        <w:t xml:space="preserve">"לאחרונה נתקלים אנו במעשי בריונות שלא ידענו בעבר. שאם בעבר יישבו צעירים, וגם מי שאינם צעירים, חילוקי דעות שביניהם בסכינים שנעצו בגופו של הזולת – 'תת תרבות הסכין' קראנו לתופעה ממאירה זו – הנה כיום עלינו – או שמא נאמר: ירדנו – ברמה ובחומרה; לא עוד יישוב סיכסוכים בנשק קר אלא יישוב סיכסוכים בנשק חם... תופעה נוראה זו פשתה בחברתנו, היתה כמחלה ממארת, וחובה היא המוטלת עלינו, על בית-המשפט, להעלות תרומתו למלחמה קשה זו. מלחמה היא שאסור לעשות בה ויתורים, שאם נוותר ונסלח תתגבר התופעה ותלך. חברתנו הפכה להיותה חברה אלימה, ותרומתו של בית-המשפט למלחמה  באלימות היא בהטלת עונשים ראויים. בבואנו לגזור עונשים על עבריינים כמשיב שלפנינו, שומה עלינו לשוות נגד עינינו לא רק את המשיב ואת צורכי שיקומו; לא רק את משפחתו הסובלת בשל מעשיו; אלא גם את הנפגעים ממעשיו של המשיב ואת הנפגעים ממעשים-בכוח שייעשו אם לא נגיב בחומרה על מעשים כמעשה המשיב" (וראו גם, </w:t>
      </w:r>
      <w:hyperlink r:id="rId36" w:history="1">
        <w:r w:rsidRPr="006B6C8F">
          <w:rPr>
            <w:rFonts w:ascii="Arial" w:hAnsi="Arial"/>
            <w:color w:val="0000FF"/>
            <w:sz w:val="24"/>
            <w:szCs w:val="24"/>
            <w:u w:val="single"/>
            <w:rtl/>
          </w:rPr>
          <w:t>ע"פ 6412/10</w:t>
        </w:r>
      </w:hyperlink>
      <w:r>
        <w:rPr>
          <w:rFonts w:ascii="Arial" w:hAnsi="Arial"/>
          <w:sz w:val="24"/>
          <w:szCs w:val="24"/>
          <w:rtl/>
        </w:rPr>
        <w:t xml:space="preserve"> לוי נ' מדינת ישראל [פורסם בנבו] (19.7.2011); </w:t>
      </w:r>
      <w:hyperlink r:id="rId37" w:history="1">
        <w:r w:rsidRPr="006B6C8F">
          <w:rPr>
            <w:rFonts w:ascii="Arial" w:hAnsi="Arial"/>
            <w:color w:val="0000FF"/>
            <w:sz w:val="24"/>
            <w:szCs w:val="24"/>
            <w:u w:val="single"/>
            <w:rtl/>
          </w:rPr>
          <w:t>ע"פ 175/10</w:t>
        </w:r>
      </w:hyperlink>
      <w:r>
        <w:rPr>
          <w:rFonts w:ascii="Arial" w:hAnsi="Arial"/>
          <w:sz w:val="24"/>
          <w:szCs w:val="24"/>
          <w:rtl/>
        </w:rPr>
        <w:t xml:space="preserve"> חנוכייב נ' מדינת ישראל [פורסם בנבו] (28.7.2011); </w:t>
      </w:r>
      <w:hyperlink r:id="rId38" w:history="1">
        <w:r w:rsidRPr="006B6C8F">
          <w:rPr>
            <w:rFonts w:ascii="Arial" w:hAnsi="Arial"/>
            <w:color w:val="0000FF"/>
            <w:sz w:val="24"/>
            <w:szCs w:val="24"/>
            <w:u w:val="single"/>
            <w:rtl/>
          </w:rPr>
          <w:t>ע"פ 8675/09</w:t>
        </w:r>
      </w:hyperlink>
      <w:r>
        <w:rPr>
          <w:rFonts w:ascii="Arial" w:hAnsi="Arial"/>
          <w:sz w:val="24"/>
          <w:szCs w:val="24"/>
          <w:rtl/>
        </w:rPr>
        <w:t xml:space="preserve"> דיגנקוב נ' מדינת ישראל [פורסם בנבו] (18.6.2008); </w:t>
      </w:r>
      <w:hyperlink r:id="rId39" w:history="1">
        <w:r w:rsidRPr="006B6C8F">
          <w:rPr>
            <w:rFonts w:ascii="Arial" w:hAnsi="Arial"/>
            <w:color w:val="0000FF"/>
            <w:sz w:val="24"/>
            <w:szCs w:val="24"/>
            <w:u w:val="single"/>
            <w:rtl/>
          </w:rPr>
          <w:t>ע"פ 3519/04</w:t>
        </w:r>
      </w:hyperlink>
      <w:r>
        <w:rPr>
          <w:rFonts w:ascii="Arial" w:hAnsi="Arial"/>
          <w:sz w:val="24"/>
          <w:szCs w:val="24"/>
          <w:rtl/>
        </w:rPr>
        <w:t xml:space="preserve"> דנן נ' מדינת ישראל [פורסם בנבו] (20.9.2004); </w:t>
      </w:r>
      <w:hyperlink r:id="rId40" w:history="1">
        <w:r w:rsidRPr="006B6C8F">
          <w:rPr>
            <w:rFonts w:ascii="Arial" w:hAnsi="Arial"/>
            <w:color w:val="0000FF"/>
            <w:sz w:val="24"/>
            <w:szCs w:val="24"/>
            <w:u w:val="single"/>
            <w:rtl/>
          </w:rPr>
          <w:t>ע"פ 6395/12</w:t>
        </w:r>
      </w:hyperlink>
      <w:r>
        <w:rPr>
          <w:rFonts w:ascii="Arial" w:hAnsi="Arial"/>
          <w:sz w:val="24"/>
          <w:szCs w:val="24"/>
          <w:rtl/>
        </w:rPr>
        <w:t xml:space="preserve"> עזריאל נ' מדינת ישראל [פורסם בנבו] (2.2.2014))</w:t>
      </w:r>
      <w:r>
        <w:rPr>
          <w:rFonts w:ascii="Arial" w:hAnsi="Arial" w:hint="cs"/>
          <w:sz w:val="24"/>
          <w:szCs w:val="24"/>
          <w:rtl/>
        </w:rPr>
        <w:t>"</w:t>
      </w:r>
      <w:r>
        <w:rPr>
          <w:rFonts w:ascii="Arial" w:hAnsi="Arial"/>
          <w:sz w:val="24"/>
          <w:szCs w:val="24"/>
          <w:rtl/>
        </w:rPr>
        <w:t>.</w:t>
      </w:r>
    </w:p>
    <w:p w14:paraId="74E327C6" w14:textId="77777777" w:rsidR="00CA119F" w:rsidRDefault="00CA119F">
      <w:pPr>
        <w:pStyle w:val="ListParagraph"/>
        <w:jc w:val="both"/>
        <w:rPr>
          <w:rFonts w:ascii="Arial" w:hAnsi="Arial"/>
          <w:sz w:val="24"/>
          <w:szCs w:val="24"/>
          <w:rtl/>
        </w:rPr>
      </w:pPr>
    </w:p>
    <w:p w14:paraId="4979CBAB" w14:textId="77777777" w:rsidR="00CA119F" w:rsidRDefault="006B6C8F">
      <w:pPr>
        <w:pStyle w:val="ListParagraph"/>
        <w:jc w:val="both"/>
        <w:rPr>
          <w:rFonts w:ascii="Arial" w:hAnsi="Arial"/>
          <w:sz w:val="24"/>
          <w:szCs w:val="24"/>
        </w:rPr>
      </w:pPr>
      <w:r>
        <w:rPr>
          <w:rFonts w:ascii="Arial" w:hAnsi="Arial"/>
          <w:sz w:val="24"/>
          <w:szCs w:val="24"/>
          <w:rtl/>
        </w:rPr>
        <w:t>כן נקבע, כי עבירות נשק "מקימות פוטנציאל להסלמה עבריינית ויוצרות סיכון ממשי וחמור לשלום הציבור וביטחונו", וכי החומרה שבעבירות הנשק מתבטאת גם במה שעלול היה להתרחש (</w:t>
      </w:r>
      <w:hyperlink r:id="rId41" w:history="1">
        <w:r w:rsidRPr="006B6C8F">
          <w:rPr>
            <w:rFonts w:ascii="Arial" w:hAnsi="Arial"/>
            <w:color w:val="0000FF"/>
            <w:sz w:val="24"/>
            <w:szCs w:val="24"/>
            <w:u w:val="single"/>
            <w:rtl/>
          </w:rPr>
          <w:t>ע"פ 116/13</w:t>
        </w:r>
      </w:hyperlink>
      <w:r>
        <w:rPr>
          <w:rFonts w:ascii="Arial" w:hAnsi="Arial"/>
          <w:sz w:val="24"/>
          <w:szCs w:val="24"/>
          <w:rtl/>
        </w:rPr>
        <w:t xml:space="preserve"> ועקנין נ' מדינת ישראל, [פורסם בנבו] פסקה 7 (‏31.7.2013), ו</w:t>
      </w:r>
      <w:hyperlink r:id="rId42" w:history="1">
        <w:r w:rsidRPr="006B6C8F">
          <w:rPr>
            <w:rFonts w:ascii="Arial" w:hAnsi="Arial"/>
            <w:color w:val="0000FF"/>
            <w:sz w:val="24"/>
            <w:szCs w:val="24"/>
            <w:u w:val="single"/>
            <w:rtl/>
          </w:rPr>
          <w:t>ע"פ 3156/11</w:t>
        </w:r>
      </w:hyperlink>
      <w:r>
        <w:rPr>
          <w:rFonts w:ascii="Arial" w:hAnsi="Arial"/>
          <w:sz w:val="24"/>
          <w:szCs w:val="24"/>
          <w:rtl/>
        </w:rPr>
        <w:t xml:space="preserve"> זראיעה נ' מדינת ישראל, [פורסם בנבו] פסקה 5 (21.02.2012)). </w:t>
      </w:r>
    </w:p>
    <w:p w14:paraId="608738F5" w14:textId="77777777" w:rsidR="00CA119F" w:rsidRDefault="00CA119F">
      <w:pPr>
        <w:pStyle w:val="ListParagraph"/>
        <w:jc w:val="both"/>
        <w:rPr>
          <w:rFonts w:ascii="Arial" w:hAnsi="Arial"/>
          <w:sz w:val="24"/>
          <w:szCs w:val="24"/>
        </w:rPr>
      </w:pPr>
    </w:p>
    <w:p w14:paraId="3EA1070A" w14:textId="77777777" w:rsidR="00CA119F" w:rsidRDefault="006B6C8F">
      <w:pPr>
        <w:pStyle w:val="ListParagraph"/>
        <w:jc w:val="both"/>
        <w:rPr>
          <w:rFonts w:ascii="Arial" w:hAnsi="Arial"/>
          <w:sz w:val="24"/>
          <w:szCs w:val="24"/>
          <w:rtl/>
        </w:rPr>
      </w:pPr>
      <w:r>
        <w:rPr>
          <w:rFonts w:ascii="Arial" w:hAnsi="Arial"/>
          <w:sz w:val="24"/>
          <w:szCs w:val="24"/>
          <w:rtl/>
        </w:rPr>
        <w:t>סיכון זה למרבה הצער אף התממש במקרה דנן, עת נפגעו מירי של כדורים תועים (שאין די ראיות על מנת לקשרו למי מן המעורבים באירוע) עלי ורמדאן אזברגה וכן מצא את מותו הטראגי השיח' איברהים אזברגה, שהגיע למקום על מנת לנסות לפשר ולפייס בין הניצים.</w:t>
      </w:r>
    </w:p>
    <w:p w14:paraId="4297E406" w14:textId="77777777" w:rsidR="00CA119F" w:rsidRDefault="006B6C8F">
      <w:pPr>
        <w:pStyle w:val="ListParagraph"/>
        <w:jc w:val="both"/>
        <w:rPr>
          <w:rFonts w:ascii="Arial" w:hAnsi="Arial"/>
          <w:sz w:val="24"/>
          <w:szCs w:val="24"/>
          <w:rtl/>
        </w:rPr>
      </w:pPr>
      <w:r>
        <w:rPr>
          <w:rFonts w:ascii="Arial" w:hAnsi="Arial"/>
          <w:sz w:val="24"/>
          <w:szCs w:val="24"/>
          <w:rtl/>
        </w:rPr>
        <w:t xml:space="preserve"> </w:t>
      </w:r>
    </w:p>
    <w:p w14:paraId="58138867" w14:textId="77777777" w:rsidR="00CA119F" w:rsidRDefault="006B6C8F">
      <w:pPr>
        <w:pStyle w:val="ListParagraph"/>
        <w:jc w:val="both"/>
        <w:rPr>
          <w:rFonts w:ascii="Arial" w:hAnsi="Arial"/>
          <w:sz w:val="24"/>
          <w:szCs w:val="24"/>
          <w:rtl/>
        </w:rPr>
      </w:pPr>
      <w:r>
        <w:rPr>
          <w:rFonts w:ascii="Arial" w:hAnsi="Arial"/>
          <w:sz w:val="24"/>
          <w:szCs w:val="24"/>
          <w:rtl/>
        </w:rPr>
        <w:t>בהתאם לכך, מדיניות הענישה הנהוגה בעבירות אלה היא מדיניות של ענישה מחמירה המחייבת בדרך כלל הטלת עונשי מאסר לריצוי בפועל גם על מי שזו הרשעתו הראשונה (</w:t>
      </w:r>
      <w:hyperlink r:id="rId43" w:history="1">
        <w:r w:rsidRPr="006B6C8F">
          <w:rPr>
            <w:rFonts w:ascii="Arial" w:hAnsi="Arial"/>
            <w:color w:val="0000FF"/>
            <w:sz w:val="24"/>
            <w:szCs w:val="24"/>
            <w:u w:val="single"/>
            <w:rtl/>
          </w:rPr>
          <w:t>ע"פ 2006/12</w:t>
        </w:r>
      </w:hyperlink>
      <w:r>
        <w:rPr>
          <w:rFonts w:ascii="Arial" w:hAnsi="Arial"/>
          <w:sz w:val="24"/>
          <w:szCs w:val="24"/>
          <w:rtl/>
        </w:rPr>
        <w:t xml:space="preserve"> מדינת ישראל נ' אסדי [פורסם בנבו] (28.3.2012), (להלן: עניין אסדי); </w:t>
      </w:r>
      <w:hyperlink r:id="rId44" w:history="1">
        <w:r w:rsidRPr="006B6C8F">
          <w:rPr>
            <w:rFonts w:ascii="Arial" w:hAnsi="Arial"/>
            <w:color w:val="0000FF"/>
            <w:sz w:val="24"/>
            <w:szCs w:val="24"/>
            <w:u w:val="single"/>
            <w:rtl/>
          </w:rPr>
          <w:t>ע"פ 7502/12</w:t>
        </w:r>
      </w:hyperlink>
      <w:r>
        <w:rPr>
          <w:rFonts w:ascii="Arial" w:hAnsi="Arial"/>
          <w:sz w:val="24"/>
          <w:szCs w:val="24"/>
          <w:rtl/>
        </w:rPr>
        <w:t xml:space="preserve"> כוויס נ' מדינת ישראל, [פורסם בנבו] פסקה 6 (25.6.2013)). </w:t>
      </w:r>
    </w:p>
    <w:p w14:paraId="0064C98A" w14:textId="77777777" w:rsidR="00CA119F" w:rsidRDefault="006B6C8F">
      <w:pPr>
        <w:ind w:left="720"/>
        <w:jc w:val="both"/>
        <w:rPr>
          <w:rFonts w:ascii="Arial" w:hAnsi="Arial" w:cs="Arial"/>
          <w:rtl/>
        </w:rPr>
      </w:pPr>
      <w:r>
        <w:rPr>
          <w:rFonts w:ascii="Arial" w:hAnsi="Arial" w:cs="Arial"/>
          <w:rtl/>
        </w:rPr>
        <w:t>ב</w:t>
      </w:r>
      <w:hyperlink r:id="rId45" w:history="1">
        <w:r w:rsidRPr="006B6C8F">
          <w:rPr>
            <w:rFonts w:ascii="Arial" w:hAnsi="Arial" w:cs="Arial"/>
            <w:color w:val="0000FF"/>
            <w:u w:val="single"/>
            <w:rtl/>
          </w:rPr>
          <w:t>ע"פ 8870/12</w:t>
        </w:r>
      </w:hyperlink>
      <w:r>
        <w:rPr>
          <w:rFonts w:ascii="Arial" w:hAnsi="Arial" w:cs="Arial"/>
          <w:rtl/>
        </w:rPr>
        <w:t xml:space="preserve"> חאלדי נגד מדינת ישראל הורשעו הנאשמים בתקיפת מתלונן באמצעות מוט ברזל ושוקר חשמלי בגין ויכוח אודות איסוף בקבוקים בסמוך לתחנת דלק. כתוצאה ממעשיהם נחבל המתלונן ונגרמו לו שברים וחבלות. עונש של 45 חודשי מאסר בפועל שהושת על המתלוננים, צעירים נעדרי עבר פלילי, אושר על ידי בית המשפט העליון. זאת, כאמור, ללא עשיית שימוש בנשק חם.</w:t>
      </w:r>
    </w:p>
    <w:p w14:paraId="359458BF" w14:textId="77777777" w:rsidR="00CA119F" w:rsidRDefault="00CA119F">
      <w:pPr>
        <w:jc w:val="both"/>
        <w:rPr>
          <w:rFonts w:ascii="Arial" w:hAnsi="Arial" w:cs="Arial"/>
          <w:rtl/>
        </w:rPr>
      </w:pPr>
    </w:p>
    <w:p w14:paraId="171D7846" w14:textId="77777777" w:rsidR="00CA119F" w:rsidRDefault="006B6C8F">
      <w:pPr>
        <w:pStyle w:val="ListParagraph"/>
        <w:numPr>
          <w:ilvl w:val="0"/>
          <w:numId w:val="1"/>
        </w:numPr>
        <w:jc w:val="both"/>
        <w:rPr>
          <w:rFonts w:ascii="Arial" w:hAnsi="Arial"/>
          <w:sz w:val="24"/>
          <w:szCs w:val="24"/>
          <w:rtl/>
        </w:rPr>
      </w:pPr>
      <w:r>
        <w:rPr>
          <w:rFonts w:ascii="Arial" w:hAnsi="Arial"/>
          <w:sz w:val="24"/>
          <w:szCs w:val="24"/>
          <w:rtl/>
        </w:rPr>
        <w:t>בהתחשב בערך החברתי המוגן, במידת הפגיעה בו בנסיבות האירוע דנן וברמת הענישה,  אני קובעת כי מתחם הענישה במקרה דנן נע בין 30 ל- 60 לחודשי מאסר בפועל.</w:t>
      </w:r>
    </w:p>
    <w:p w14:paraId="609BD1F8" w14:textId="77777777" w:rsidR="00CA119F" w:rsidRDefault="006B6C8F">
      <w:pPr>
        <w:jc w:val="both"/>
        <w:rPr>
          <w:rFonts w:ascii="Arial" w:hAnsi="Arial" w:cs="Arial"/>
          <w:u w:val="single"/>
          <w:rtl/>
        </w:rPr>
      </w:pPr>
      <w:r>
        <w:rPr>
          <w:rFonts w:ascii="Arial" w:hAnsi="Arial" w:cs="Arial"/>
          <w:u w:val="single"/>
          <w:rtl/>
        </w:rPr>
        <w:t>נסיבות שאינן קשורות בביצוע העבירה</w:t>
      </w:r>
    </w:p>
    <w:p w14:paraId="54D30E4E" w14:textId="77777777" w:rsidR="00CA119F" w:rsidRDefault="006B6C8F">
      <w:pPr>
        <w:pStyle w:val="ListParagraph"/>
        <w:numPr>
          <w:ilvl w:val="0"/>
          <w:numId w:val="1"/>
        </w:numPr>
        <w:jc w:val="both"/>
        <w:rPr>
          <w:rFonts w:ascii="Arial" w:hAnsi="Arial"/>
          <w:sz w:val="24"/>
          <w:szCs w:val="24"/>
        </w:rPr>
      </w:pPr>
      <w:r>
        <w:rPr>
          <w:rFonts w:ascii="Arial" w:hAnsi="Arial"/>
          <w:sz w:val="24"/>
          <w:szCs w:val="24"/>
          <w:rtl/>
        </w:rPr>
        <w:t>הנאשם הינו צעיר, נשוי ואב לילדים קטנים, ועברו הפלילי אינו מכביד. כמו כן יש לזקוף לזכותו את הודאתו ולקיחת האחריות במיוחס לו, את העובדה שהוא היחיד ממשתתפי האירוע שהועמד לדין ואת הח</w:t>
      </w:r>
      <w:r>
        <w:rPr>
          <w:rFonts w:ascii="Arial" w:hAnsi="Arial" w:hint="cs"/>
          <w:sz w:val="24"/>
          <w:szCs w:val="24"/>
          <w:rtl/>
        </w:rPr>
        <w:t>י</w:t>
      </w:r>
      <w:r>
        <w:rPr>
          <w:rFonts w:ascii="Arial" w:hAnsi="Arial"/>
          <w:sz w:val="24"/>
          <w:szCs w:val="24"/>
          <w:rtl/>
        </w:rPr>
        <w:t>סכון בזמן השיפוטי.</w:t>
      </w:r>
    </w:p>
    <w:p w14:paraId="3FD89FCD" w14:textId="77777777" w:rsidR="00CA119F" w:rsidRDefault="00CA119F">
      <w:pPr>
        <w:pStyle w:val="ListParagraph"/>
        <w:jc w:val="both"/>
        <w:rPr>
          <w:rFonts w:ascii="Arial" w:hAnsi="Arial"/>
          <w:sz w:val="18"/>
          <w:szCs w:val="18"/>
        </w:rPr>
      </w:pPr>
    </w:p>
    <w:p w14:paraId="747750AA" w14:textId="77777777" w:rsidR="00CA119F" w:rsidRDefault="006B6C8F">
      <w:pPr>
        <w:pStyle w:val="ListParagraph"/>
        <w:numPr>
          <w:ilvl w:val="0"/>
          <w:numId w:val="1"/>
        </w:numPr>
        <w:jc w:val="both"/>
        <w:rPr>
          <w:rFonts w:ascii="Arial" w:hAnsi="Arial"/>
          <w:sz w:val="24"/>
          <w:szCs w:val="24"/>
          <w:rtl/>
        </w:rPr>
      </w:pPr>
      <w:r>
        <w:rPr>
          <w:rFonts w:ascii="Arial" w:hAnsi="Arial"/>
          <w:sz w:val="24"/>
          <w:szCs w:val="24"/>
          <w:rtl/>
        </w:rPr>
        <w:t xml:space="preserve">שיקול נוסף הינו העובדה כי בין משפחת הנאשם למשפחת המתלונן הושג הסכם סולחה, ואף הופקד פיצוי בסך 50,000 ₪ </w:t>
      </w:r>
      <w:r>
        <w:rPr>
          <w:rFonts w:ascii="Arial" w:hAnsi="Arial" w:hint="cs"/>
          <w:sz w:val="24"/>
          <w:szCs w:val="24"/>
          <w:rtl/>
        </w:rPr>
        <w:t>ל</w:t>
      </w:r>
      <w:r>
        <w:rPr>
          <w:rFonts w:ascii="Arial" w:hAnsi="Arial"/>
          <w:sz w:val="24"/>
          <w:szCs w:val="24"/>
          <w:rtl/>
        </w:rPr>
        <w:t>משפחת המנוח.</w:t>
      </w:r>
    </w:p>
    <w:p w14:paraId="205E77C1" w14:textId="77777777" w:rsidR="00CA119F" w:rsidRDefault="00CA119F">
      <w:pPr>
        <w:pStyle w:val="ListParagraph"/>
        <w:jc w:val="both"/>
        <w:rPr>
          <w:rFonts w:ascii="Arial" w:hAnsi="Arial"/>
          <w:sz w:val="18"/>
          <w:szCs w:val="18"/>
        </w:rPr>
      </w:pPr>
    </w:p>
    <w:p w14:paraId="6324F377" w14:textId="77777777" w:rsidR="00CA119F" w:rsidRDefault="006B6C8F">
      <w:pPr>
        <w:pStyle w:val="ListParagraph"/>
        <w:numPr>
          <w:ilvl w:val="0"/>
          <w:numId w:val="1"/>
        </w:numPr>
        <w:jc w:val="both"/>
        <w:rPr>
          <w:rFonts w:ascii="Arial" w:hAnsi="Arial"/>
          <w:sz w:val="24"/>
          <w:szCs w:val="24"/>
        </w:rPr>
      </w:pPr>
      <w:r>
        <w:rPr>
          <w:rFonts w:ascii="Arial" w:hAnsi="Arial"/>
          <w:sz w:val="24"/>
          <w:szCs w:val="24"/>
          <w:rtl/>
        </w:rPr>
        <w:t xml:space="preserve">מאידך אין להתעלם מכך שלהתרשמות שירות המבחן הנאשם נוטה להשליך האחריות על מעשיו, כי אין מקום בשלב זה להתערבות טיפולית וכי דווקא ענישה מוחשית תוכל להציב לנאשם גבולות ברורים. </w:t>
      </w:r>
    </w:p>
    <w:p w14:paraId="1B9CF998" w14:textId="77777777" w:rsidR="00CA119F" w:rsidRDefault="00CA119F">
      <w:pPr>
        <w:pStyle w:val="ListParagraph"/>
        <w:jc w:val="both"/>
        <w:rPr>
          <w:rFonts w:ascii="Arial" w:hAnsi="Arial"/>
          <w:sz w:val="18"/>
          <w:szCs w:val="18"/>
        </w:rPr>
      </w:pPr>
    </w:p>
    <w:p w14:paraId="701FFC21" w14:textId="77777777" w:rsidR="00CA119F" w:rsidRDefault="006B6C8F">
      <w:pPr>
        <w:pStyle w:val="ListParagraph"/>
        <w:numPr>
          <w:ilvl w:val="0"/>
          <w:numId w:val="1"/>
        </w:numPr>
        <w:jc w:val="both"/>
        <w:rPr>
          <w:rFonts w:ascii="Arial" w:hAnsi="Arial"/>
          <w:sz w:val="24"/>
          <w:szCs w:val="24"/>
        </w:rPr>
      </w:pPr>
      <w:r>
        <w:rPr>
          <w:rFonts w:ascii="Arial" w:hAnsi="Arial"/>
          <w:sz w:val="24"/>
          <w:szCs w:val="24"/>
          <w:rtl/>
        </w:rPr>
        <w:t>אף שהסולחה יכולה להוות שיקול בגזירת העונש</w:t>
      </w:r>
      <w:r>
        <w:rPr>
          <w:rFonts w:ascii="Arial" w:hAnsi="Arial" w:hint="cs"/>
          <w:sz w:val="24"/>
          <w:szCs w:val="24"/>
          <w:rtl/>
        </w:rPr>
        <w:t>,</w:t>
      </w:r>
      <w:r>
        <w:rPr>
          <w:rFonts w:ascii="Arial" w:hAnsi="Arial"/>
          <w:sz w:val="24"/>
          <w:szCs w:val="24"/>
          <w:rtl/>
        </w:rPr>
        <w:t xml:space="preserve"> היא אינה בגדר שיקול מכריע, וכפי שנ</w:t>
      </w:r>
      <w:r>
        <w:rPr>
          <w:rFonts w:ascii="Arial" w:hAnsi="Arial" w:hint="cs"/>
          <w:sz w:val="24"/>
          <w:szCs w:val="24"/>
          <w:rtl/>
        </w:rPr>
        <w:t>פסק</w:t>
      </w:r>
      <w:r>
        <w:rPr>
          <w:rFonts w:ascii="Arial" w:hAnsi="Arial"/>
          <w:sz w:val="24"/>
          <w:szCs w:val="24"/>
          <w:rtl/>
        </w:rPr>
        <w:t xml:space="preserve"> ב</w:t>
      </w:r>
      <w:hyperlink r:id="rId46" w:history="1">
        <w:r w:rsidRPr="006B6C8F">
          <w:rPr>
            <w:rFonts w:ascii="Arial" w:hAnsi="Arial"/>
            <w:color w:val="0000FF"/>
            <w:sz w:val="24"/>
            <w:szCs w:val="24"/>
            <w:u w:val="single"/>
            <w:rtl/>
          </w:rPr>
          <w:t>ע"פ 6340/11</w:t>
        </w:r>
      </w:hyperlink>
      <w:r>
        <w:rPr>
          <w:rFonts w:ascii="Arial" w:hAnsi="Arial"/>
          <w:sz w:val="24"/>
          <w:szCs w:val="24"/>
          <w:rtl/>
        </w:rPr>
        <w:t xml:space="preserve"> זחיאקה נ' מדינת ישראל, [פורסם בנבו] פסקה 11 (16.2.2012)):</w:t>
      </w:r>
    </w:p>
    <w:p w14:paraId="16187BDF" w14:textId="77777777" w:rsidR="00CA119F" w:rsidRDefault="006B6C8F">
      <w:pPr>
        <w:pStyle w:val="ListParagraph"/>
        <w:ind w:left="1440"/>
        <w:jc w:val="both"/>
        <w:rPr>
          <w:rFonts w:ascii="Arial" w:hAnsi="Arial"/>
          <w:sz w:val="24"/>
          <w:szCs w:val="24"/>
          <w:rtl/>
        </w:rPr>
      </w:pPr>
      <w:r>
        <w:rPr>
          <w:rFonts w:ascii="Arial" w:hAnsi="Arial"/>
          <w:sz w:val="24"/>
          <w:szCs w:val="24"/>
          <w:rtl/>
        </w:rPr>
        <w:t>"אין חולק כי אקט הסולחה מקדם את השכנת השלום בין הנאשם לבין קורבנו וכי הוא מלמד על נטילת אחריות מצד הראשון תוך פיצויו של האחרון. אולם הסולחה, הנערכת במסגרות פרטיות, אינה יכולה לשמש תחליף לענישה על-פי חוק בידיהן של רשויות האכיפה".</w:t>
      </w:r>
    </w:p>
    <w:p w14:paraId="4454D37B" w14:textId="77777777" w:rsidR="00CA119F" w:rsidRDefault="00CA119F">
      <w:pPr>
        <w:pStyle w:val="ListParagraph"/>
        <w:ind w:left="1440"/>
        <w:jc w:val="both"/>
        <w:rPr>
          <w:rFonts w:ascii="Arial" w:hAnsi="Arial"/>
          <w:sz w:val="18"/>
          <w:szCs w:val="18"/>
          <w:rtl/>
        </w:rPr>
      </w:pPr>
    </w:p>
    <w:p w14:paraId="0541FBBD" w14:textId="77777777" w:rsidR="00CA119F" w:rsidRDefault="006B6C8F">
      <w:pPr>
        <w:pStyle w:val="ListParagraph"/>
        <w:numPr>
          <w:ilvl w:val="0"/>
          <w:numId w:val="1"/>
        </w:numPr>
        <w:jc w:val="both"/>
        <w:rPr>
          <w:rFonts w:ascii="Arial" w:hAnsi="Arial"/>
          <w:sz w:val="24"/>
          <w:szCs w:val="24"/>
        </w:rPr>
      </w:pPr>
      <w:r>
        <w:rPr>
          <w:rFonts w:ascii="Arial" w:hAnsi="Arial" w:hint="cs"/>
          <w:sz w:val="24"/>
          <w:szCs w:val="24"/>
          <w:rtl/>
        </w:rPr>
        <w:t>לאור האמור לעיל הנני גוזרת על הנאשם את העונשים הבאים:</w:t>
      </w:r>
    </w:p>
    <w:p w14:paraId="4F634445" w14:textId="77777777" w:rsidR="00CA119F" w:rsidRDefault="00CA119F">
      <w:pPr>
        <w:pStyle w:val="ListParagraph"/>
        <w:jc w:val="both"/>
        <w:rPr>
          <w:rFonts w:ascii="Arial" w:hAnsi="Arial"/>
          <w:sz w:val="18"/>
          <w:szCs w:val="18"/>
          <w:rtl/>
        </w:rPr>
      </w:pPr>
    </w:p>
    <w:p w14:paraId="2E3EF744" w14:textId="77777777" w:rsidR="00CA119F" w:rsidRDefault="006B6C8F">
      <w:pPr>
        <w:pStyle w:val="ListParagraph"/>
        <w:ind w:left="1440" w:hanging="720"/>
        <w:jc w:val="both"/>
        <w:rPr>
          <w:rFonts w:ascii="Arial" w:hAnsi="Arial"/>
          <w:sz w:val="24"/>
          <w:szCs w:val="24"/>
          <w:rtl/>
        </w:rPr>
      </w:pPr>
      <w:r>
        <w:rPr>
          <w:rFonts w:ascii="Arial" w:hAnsi="Arial" w:hint="cs"/>
          <w:sz w:val="24"/>
          <w:szCs w:val="24"/>
          <w:rtl/>
        </w:rPr>
        <w:t>א.</w:t>
      </w:r>
      <w:r>
        <w:rPr>
          <w:rFonts w:ascii="Arial" w:hAnsi="Arial" w:hint="cs"/>
          <w:sz w:val="24"/>
          <w:szCs w:val="24"/>
          <w:rtl/>
        </w:rPr>
        <w:tab/>
        <w:t xml:space="preserve">30 חודשי מאסר בפועל בניכוי ימי מעצרו של הנאשם מיום </w:t>
      </w:r>
      <w:r>
        <w:rPr>
          <w:rFonts w:ascii="Arial" w:hAnsi="Arial"/>
          <w:sz w:val="24"/>
          <w:szCs w:val="24"/>
          <w:rtl/>
        </w:rPr>
        <w:t xml:space="preserve">4.3.13 </w:t>
      </w:r>
      <w:r>
        <w:rPr>
          <w:rFonts w:ascii="Arial" w:hAnsi="Arial" w:hint="cs"/>
          <w:sz w:val="24"/>
          <w:szCs w:val="24"/>
          <w:rtl/>
        </w:rPr>
        <w:t>עד ל</w:t>
      </w:r>
      <w:r>
        <w:rPr>
          <w:rFonts w:ascii="Arial" w:hAnsi="Arial"/>
          <w:sz w:val="24"/>
          <w:szCs w:val="24"/>
          <w:rtl/>
        </w:rPr>
        <w:t>יום 17.6.14.</w:t>
      </w:r>
    </w:p>
    <w:p w14:paraId="40A0AA45" w14:textId="77777777" w:rsidR="00CA119F" w:rsidRDefault="006B6C8F">
      <w:pPr>
        <w:pStyle w:val="ListParagraph"/>
        <w:ind w:left="1440" w:hanging="720"/>
        <w:jc w:val="both"/>
        <w:rPr>
          <w:rFonts w:ascii="Arial" w:hAnsi="Arial"/>
          <w:sz w:val="24"/>
          <w:szCs w:val="24"/>
          <w:rtl/>
        </w:rPr>
      </w:pPr>
      <w:r>
        <w:rPr>
          <w:rFonts w:ascii="Arial" w:hAnsi="Arial" w:hint="cs"/>
          <w:sz w:val="24"/>
          <w:szCs w:val="24"/>
          <w:rtl/>
        </w:rPr>
        <w:t>ב.</w:t>
      </w:r>
      <w:r>
        <w:rPr>
          <w:rFonts w:ascii="Arial" w:hAnsi="Arial" w:hint="cs"/>
          <w:sz w:val="24"/>
          <w:szCs w:val="24"/>
          <w:rtl/>
        </w:rPr>
        <w:tab/>
        <w:t>12 חודשי מאסר על תנאי והתנאי הוא שתוך שנתיים מיום שחרורו ממאסר לא יעבור הנאשם עבירה מן העבירות בהן הורשע, כל עבירת נשק שהיא פשע וכל עבירת אלימות שהיא פשע.</w:t>
      </w:r>
    </w:p>
    <w:p w14:paraId="6EB0E63D" w14:textId="77777777" w:rsidR="00CA119F" w:rsidRDefault="006B6C8F">
      <w:pPr>
        <w:pStyle w:val="ListParagraph"/>
        <w:ind w:left="1440" w:hanging="720"/>
        <w:jc w:val="both"/>
        <w:rPr>
          <w:rFonts w:ascii="Arial" w:hAnsi="Arial"/>
          <w:sz w:val="24"/>
          <w:szCs w:val="24"/>
          <w:rtl/>
        </w:rPr>
      </w:pPr>
      <w:r>
        <w:rPr>
          <w:rFonts w:ascii="Arial" w:hAnsi="Arial" w:hint="cs"/>
          <w:sz w:val="24"/>
          <w:szCs w:val="24"/>
          <w:rtl/>
        </w:rPr>
        <w:t>ג.</w:t>
      </w:r>
      <w:r>
        <w:rPr>
          <w:rFonts w:ascii="Arial" w:hAnsi="Arial" w:hint="cs"/>
          <w:sz w:val="24"/>
          <w:szCs w:val="24"/>
          <w:rtl/>
        </w:rPr>
        <w:tab/>
        <w:t xml:space="preserve">פיצוי בסך </w:t>
      </w:r>
      <w:r>
        <w:rPr>
          <w:rFonts w:ascii="Arial" w:hAnsi="Arial"/>
          <w:sz w:val="24"/>
          <w:szCs w:val="24"/>
          <w:rtl/>
        </w:rPr>
        <w:t xml:space="preserve">50,000 ₪ </w:t>
      </w:r>
      <w:r>
        <w:rPr>
          <w:rFonts w:ascii="Arial" w:hAnsi="Arial" w:hint="cs"/>
          <w:sz w:val="24"/>
          <w:szCs w:val="24"/>
          <w:rtl/>
        </w:rPr>
        <w:t xml:space="preserve">שהופקד </w:t>
      </w:r>
      <w:r>
        <w:rPr>
          <w:rFonts w:ascii="Arial" w:hAnsi="Arial"/>
          <w:sz w:val="24"/>
          <w:szCs w:val="24"/>
          <w:rtl/>
        </w:rPr>
        <w:t>בקופת בית המשפט לטובת משפחת המנוח</w:t>
      </w:r>
      <w:r>
        <w:rPr>
          <w:rFonts w:ascii="Arial" w:hAnsi="Arial" w:hint="cs"/>
          <w:sz w:val="24"/>
          <w:szCs w:val="24"/>
          <w:rtl/>
        </w:rPr>
        <w:t xml:space="preserve"> ואשר יועברו למשפחת המנוח בהתאם להוראות </w:t>
      </w:r>
      <w:hyperlink r:id="rId47" w:history="1">
        <w:r w:rsidR="00F80705" w:rsidRPr="00F80705">
          <w:rPr>
            <w:rFonts w:ascii="Arial" w:hAnsi="Arial"/>
            <w:color w:val="0000FF"/>
            <w:sz w:val="24"/>
            <w:szCs w:val="24"/>
            <w:u w:val="single"/>
            <w:rtl/>
          </w:rPr>
          <w:t>סעיף 22</w:t>
        </w:r>
      </w:hyperlink>
      <w:r>
        <w:rPr>
          <w:rFonts w:ascii="Arial" w:hAnsi="Arial" w:hint="cs"/>
          <w:sz w:val="24"/>
          <w:szCs w:val="24"/>
          <w:rtl/>
        </w:rPr>
        <w:t xml:space="preserve"> לחוק נפגעי עבירה, תשס"א-2001.</w:t>
      </w:r>
    </w:p>
    <w:p w14:paraId="137DB5D0" w14:textId="77777777" w:rsidR="00CA119F" w:rsidRDefault="006B6C8F">
      <w:pPr>
        <w:pStyle w:val="ListParagraph"/>
        <w:ind w:left="1440" w:hanging="720"/>
        <w:jc w:val="both"/>
        <w:rPr>
          <w:rFonts w:ascii="Arial" w:hAnsi="Arial"/>
          <w:sz w:val="24"/>
          <w:szCs w:val="24"/>
          <w:rtl/>
        </w:rPr>
      </w:pPr>
      <w:r>
        <w:rPr>
          <w:rFonts w:ascii="Arial" w:hAnsi="Arial" w:hint="cs"/>
          <w:sz w:val="24"/>
          <w:szCs w:val="24"/>
          <w:rtl/>
        </w:rPr>
        <w:t>ד.</w:t>
      </w:r>
      <w:r>
        <w:rPr>
          <w:rFonts w:ascii="Arial" w:hAnsi="Arial" w:hint="cs"/>
          <w:sz w:val="24"/>
          <w:szCs w:val="24"/>
          <w:rtl/>
        </w:rPr>
        <w:tab/>
        <w:t>הנאשם יתייצב לריצוי מאסרו ביום א' 2.11.14 עד השעה 11:00 במזכירות בית המשפט כשהוא מצויד בתעודת זהות.</w:t>
      </w:r>
    </w:p>
    <w:p w14:paraId="58B4A595" w14:textId="77777777" w:rsidR="00CA119F" w:rsidRDefault="006B6C8F">
      <w:pPr>
        <w:jc w:val="both"/>
        <w:rPr>
          <w:rFonts w:ascii="Arial" w:hAnsi="Arial" w:cs="Arial"/>
          <w:b/>
          <w:bCs/>
          <w:rtl/>
        </w:rPr>
      </w:pPr>
      <w:r>
        <w:rPr>
          <w:rFonts w:ascii="Arial" w:hAnsi="Arial" w:cs="Arial"/>
          <w:b/>
          <w:bCs/>
          <w:rtl/>
        </w:rPr>
        <w:t>זכות ערעור תוך 45 ימים לבית המשפט העליון.</w:t>
      </w:r>
    </w:p>
    <w:p w14:paraId="254127BD" w14:textId="77777777" w:rsidR="00CA119F" w:rsidRDefault="00CA119F">
      <w:pPr>
        <w:jc w:val="both"/>
        <w:rPr>
          <w:rFonts w:ascii="Arial" w:hAnsi="Arial" w:cs="Arial"/>
          <w:rtl/>
        </w:rPr>
      </w:pPr>
    </w:p>
    <w:p w14:paraId="4F9E32A2" w14:textId="77777777" w:rsidR="00CA119F" w:rsidRPr="006B6C8F" w:rsidRDefault="006B6C8F">
      <w:pPr>
        <w:rPr>
          <w:rFonts w:ascii="Arial" w:hAnsi="Arial" w:cs="Arial"/>
          <w:color w:val="FFFFFF"/>
          <w:sz w:val="2"/>
          <w:szCs w:val="2"/>
          <w:rtl/>
        </w:rPr>
      </w:pPr>
      <w:r w:rsidRPr="006B6C8F">
        <w:rPr>
          <w:rFonts w:ascii="Arial" w:hAnsi="Arial" w:cs="Arial"/>
          <w:color w:val="FFFFFF"/>
          <w:sz w:val="2"/>
          <w:szCs w:val="2"/>
          <w:rtl/>
        </w:rPr>
        <w:t>5129371</w:t>
      </w:r>
    </w:p>
    <w:p w14:paraId="03095ACE" w14:textId="77777777" w:rsidR="00CA119F" w:rsidRDefault="006B6C8F">
      <w:pPr>
        <w:rPr>
          <w:rFonts w:ascii="Arial" w:hAnsi="Arial" w:cs="Arial"/>
          <w:rtl/>
        </w:rPr>
      </w:pPr>
      <w:r w:rsidRPr="006B6C8F">
        <w:rPr>
          <w:rFonts w:ascii="Arial" w:hAnsi="Arial" w:cs="Arial"/>
          <w:color w:val="FFFFFF"/>
          <w:sz w:val="2"/>
          <w:szCs w:val="2"/>
          <w:rtl/>
        </w:rPr>
        <w:t>54678313</w:t>
      </w:r>
      <w:r>
        <w:rPr>
          <w:rFonts w:ascii="Arial" w:hAnsi="Arial" w:cs="Arial"/>
          <w:rtl/>
        </w:rPr>
        <w:t xml:space="preserve">ניתן היום,  ג' חשוון תשע"ה, 27 אוקטובר 2014, במעמד הצדדים. </w:t>
      </w:r>
    </w:p>
    <w:p w14:paraId="18ED3E2C" w14:textId="77777777" w:rsidR="00CA119F" w:rsidRDefault="006B6C8F">
      <w:pPr>
        <w:jc w:val="center"/>
      </w:pPr>
      <w:r>
        <w:rPr>
          <w:rFonts w:ascii="Arial" w:hAnsi="Arial" w:cs="Arial"/>
          <w:rtl/>
        </w:rPr>
        <w:t xml:space="preserve">   </w:t>
      </w:r>
      <w:r>
        <w:rPr>
          <w:rFonts w:ascii="Arial" w:hAnsi="Arial" w:cs="Arial"/>
          <w:rtl/>
        </w:rPr>
        <w:tab/>
      </w:r>
      <w:r>
        <w:rPr>
          <w:rFonts w:ascii="Arial" w:hAnsi="Arial" w:cs="Arial"/>
          <w:rtl/>
        </w:rPr>
        <w:tab/>
      </w:r>
      <w:bookmarkStart w:id="8" w:name="_GoBack"/>
      <w:bookmarkEnd w:id="8"/>
      <w:r>
        <w:rPr>
          <w:rFonts w:ascii="Arial" w:hAnsi="Arial" w:cs="Arial"/>
          <w:rtl/>
        </w:rPr>
        <w:tab/>
      </w:r>
      <w:r>
        <w:rPr>
          <w:rFonts w:ascii="Arial" w:hAnsi="Arial" w:cs="Arial"/>
          <w:rtl/>
        </w:rPr>
        <w:tab/>
      </w:r>
      <w:r>
        <w:rPr>
          <w:rFonts w:ascii="Arial" w:hAnsi="Arial" w:cs="Arial"/>
          <w:rtl/>
        </w:rPr>
        <w:tab/>
      </w:r>
    </w:p>
    <w:p w14:paraId="6076CD57" w14:textId="77777777" w:rsidR="00CA119F" w:rsidRDefault="00CA119F">
      <w:pPr>
        <w:jc w:val="center"/>
        <w:rPr>
          <w:rFonts w:ascii="Arial" w:hAnsi="Arial" w:cs="Arial"/>
          <w:rtl/>
        </w:rPr>
      </w:pPr>
    </w:p>
    <w:p w14:paraId="48B06BA8" w14:textId="77777777" w:rsidR="00CA119F" w:rsidRDefault="00CA119F">
      <w:pPr>
        <w:rPr>
          <w:rFonts w:ascii="Arial" w:hAnsi="Arial" w:cs="Arial"/>
          <w:rtl/>
        </w:rPr>
      </w:pPr>
    </w:p>
    <w:p w14:paraId="331ED8D5" w14:textId="77777777" w:rsidR="00CA119F" w:rsidRDefault="00CA119F">
      <w:pPr>
        <w:pStyle w:val="a3"/>
        <w:jc w:val="center"/>
        <w:rPr>
          <w:rFonts w:ascii="Arial" w:hAnsi="Arial" w:cs="Arial"/>
          <w:rtl/>
        </w:rPr>
      </w:pPr>
    </w:p>
    <w:p w14:paraId="41714430" w14:textId="77777777" w:rsidR="006B6C8F" w:rsidRPr="006B6C8F" w:rsidRDefault="006B6C8F" w:rsidP="006B6C8F">
      <w:pPr>
        <w:keepNext/>
        <w:rPr>
          <w:rFonts w:ascii="David" w:hAnsi="David"/>
          <w:color w:val="000000"/>
          <w:sz w:val="22"/>
          <w:szCs w:val="22"/>
          <w:rtl/>
        </w:rPr>
      </w:pPr>
    </w:p>
    <w:p w14:paraId="3151B2FD" w14:textId="77777777" w:rsidR="006B6C8F" w:rsidRPr="006B6C8F" w:rsidRDefault="006B6C8F" w:rsidP="006B6C8F">
      <w:pPr>
        <w:keepNext/>
        <w:rPr>
          <w:rFonts w:ascii="David" w:hAnsi="David"/>
          <w:color w:val="000000"/>
          <w:sz w:val="22"/>
          <w:szCs w:val="22"/>
          <w:rtl/>
        </w:rPr>
      </w:pPr>
      <w:r w:rsidRPr="006B6C8F">
        <w:rPr>
          <w:rFonts w:ascii="David" w:hAnsi="David"/>
          <w:color w:val="000000"/>
          <w:sz w:val="22"/>
          <w:szCs w:val="22"/>
          <w:rtl/>
        </w:rPr>
        <w:t>מיכל ברנט 54678313</w:t>
      </w:r>
    </w:p>
    <w:p w14:paraId="264C6DAD" w14:textId="77777777" w:rsidR="006B6C8F" w:rsidRDefault="006B6C8F" w:rsidP="006B6C8F">
      <w:r w:rsidRPr="006B6C8F">
        <w:rPr>
          <w:color w:val="000000"/>
          <w:rtl/>
        </w:rPr>
        <w:t>נוסח מסמך זה כפוף לשינויי ניסוח ועריכה</w:t>
      </w:r>
    </w:p>
    <w:p w14:paraId="5D18508D" w14:textId="77777777" w:rsidR="006B6C8F" w:rsidRDefault="006B6C8F" w:rsidP="006B6C8F">
      <w:pPr>
        <w:rPr>
          <w:rtl/>
        </w:rPr>
      </w:pPr>
    </w:p>
    <w:p w14:paraId="08D70EBD" w14:textId="77777777" w:rsidR="006B6C8F" w:rsidRDefault="006B6C8F" w:rsidP="006B6C8F">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3D5D1026" w14:textId="77777777" w:rsidR="00CA119F" w:rsidRPr="006B6C8F" w:rsidRDefault="00CA119F" w:rsidP="006B6C8F">
      <w:pPr>
        <w:jc w:val="center"/>
        <w:rPr>
          <w:color w:val="0000FF"/>
          <w:u w:val="single"/>
        </w:rPr>
      </w:pPr>
    </w:p>
    <w:sectPr w:rsidR="00CA119F" w:rsidRPr="006B6C8F" w:rsidSect="006B6C8F">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03B3C" w14:textId="77777777" w:rsidR="003E3530" w:rsidRPr="00F66FD0" w:rsidRDefault="003E3530">
      <w:pPr>
        <w:rPr>
          <w:rFonts w:cs="Arial"/>
          <w:szCs w:val="20"/>
        </w:rPr>
      </w:pPr>
      <w:r>
        <w:separator/>
      </w:r>
    </w:p>
  </w:endnote>
  <w:endnote w:type="continuationSeparator" w:id="0">
    <w:p w14:paraId="5B329B4C" w14:textId="77777777" w:rsidR="003E3530" w:rsidRPr="00F66FD0" w:rsidRDefault="003E353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72352" w14:textId="77777777" w:rsidR="006B6C8F" w:rsidRDefault="006B6C8F" w:rsidP="006B6C8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292CD70" w14:textId="77777777" w:rsidR="00CA119F" w:rsidRPr="006B6C8F" w:rsidRDefault="006B6C8F" w:rsidP="006B6C8F">
    <w:pPr>
      <w:pStyle w:val="a4"/>
      <w:pBdr>
        <w:top w:val="single" w:sz="4" w:space="1" w:color="auto"/>
        <w:between w:val="single" w:sz="4" w:space="0" w:color="auto"/>
      </w:pBdr>
      <w:spacing w:after="60"/>
      <w:jc w:val="center"/>
      <w:rPr>
        <w:rFonts w:ascii="FrankRuehl" w:hAnsi="FrankRuehl" w:cs="FrankRuehl"/>
        <w:color w:val="000000"/>
      </w:rPr>
    </w:pPr>
    <w:r w:rsidRPr="006B6C8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145AE" w14:textId="77777777" w:rsidR="006B6C8F" w:rsidRDefault="006B6C8F" w:rsidP="006B6C8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3445">
      <w:rPr>
        <w:rFonts w:ascii="FrankRuehl" w:hAnsi="FrankRuehl" w:cs="FrankRuehl"/>
        <w:noProof/>
        <w:rtl/>
      </w:rPr>
      <w:t>1</w:t>
    </w:r>
    <w:r>
      <w:rPr>
        <w:rFonts w:ascii="FrankRuehl" w:hAnsi="FrankRuehl" w:cs="FrankRuehl"/>
        <w:rtl/>
      </w:rPr>
      <w:fldChar w:fldCharType="end"/>
    </w:r>
  </w:p>
  <w:p w14:paraId="481AE4CD" w14:textId="77777777" w:rsidR="00CA119F" w:rsidRPr="006B6C8F" w:rsidRDefault="006B6C8F" w:rsidP="006B6C8F">
    <w:pPr>
      <w:pStyle w:val="a4"/>
      <w:pBdr>
        <w:top w:val="single" w:sz="4" w:space="1" w:color="auto"/>
        <w:between w:val="single" w:sz="4" w:space="0" w:color="auto"/>
      </w:pBdr>
      <w:spacing w:after="60"/>
      <w:jc w:val="center"/>
      <w:rPr>
        <w:rFonts w:ascii="FrankRuehl" w:hAnsi="FrankRuehl" w:cs="FrankRuehl"/>
        <w:color w:val="000000"/>
      </w:rPr>
    </w:pPr>
    <w:r w:rsidRPr="006B6C8F">
      <w:rPr>
        <w:rFonts w:ascii="FrankRuehl" w:hAnsi="FrankRuehl" w:cs="FrankRuehl"/>
        <w:color w:val="000000"/>
      </w:rPr>
      <w:pict w14:anchorId="7E6FC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04CDA" w14:textId="77777777" w:rsidR="003E3530" w:rsidRPr="00F66FD0" w:rsidRDefault="003E3530">
      <w:pPr>
        <w:rPr>
          <w:rFonts w:cs="Arial"/>
          <w:szCs w:val="20"/>
        </w:rPr>
      </w:pPr>
      <w:r>
        <w:separator/>
      </w:r>
    </w:p>
  </w:footnote>
  <w:footnote w:type="continuationSeparator" w:id="0">
    <w:p w14:paraId="6903C13C" w14:textId="77777777" w:rsidR="003E3530" w:rsidRPr="00F66FD0" w:rsidRDefault="003E353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2905D" w14:textId="77777777" w:rsidR="006B6C8F" w:rsidRPr="006B6C8F" w:rsidRDefault="006B6C8F" w:rsidP="006B6C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30974-03-14</w:t>
    </w:r>
    <w:r>
      <w:rPr>
        <w:rFonts w:ascii="David" w:hAnsi="David"/>
        <w:color w:val="000000"/>
        <w:sz w:val="22"/>
        <w:szCs w:val="22"/>
        <w:rtl/>
      </w:rPr>
      <w:tab/>
      <w:t xml:space="preserve"> מדינת ישראל נ' מוחמד אלנצאצרה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39930" w14:textId="77777777" w:rsidR="006B6C8F" w:rsidRPr="006B6C8F" w:rsidRDefault="006B6C8F" w:rsidP="006B6C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30974-03-14</w:t>
    </w:r>
    <w:r>
      <w:rPr>
        <w:rFonts w:ascii="David" w:hAnsi="David"/>
        <w:color w:val="000000"/>
        <w:sz w:val="22"/>
        <w:szCs w:val="22"/>
        <w:rtl/>
      </w:rPr>
      <w:tab/>
      <w:t xml:space="preserve"> מדינת ישראל נ' מוחמד אלנצאצרה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0529E"/>
    <w:multiLevelType w:val="hybridMultilevel"/>
    <w:tmpl w:val="0E1A4BA2"/>
    <w:lvl w:ilvl="0" w:tplc="052A5B60">
      <w:start w:val="1"/>
      <w:numFmt w:val="decimal"/>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C83D76"/>
    <w:multiLevelType w:val="hybridMultilevel"/>
    <w:tmpl w:val="77D0E1AA"/>
    <w:lvl w:ilvl="0" w:tplc="B2620F3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6919390C"/>
    <w:multiLevelType w:val="hybridMultilevel"/>
    <w:tmpl w:val="16D085D0"/>
    <w:lvl w:ilvl="0" w:tplc="C698738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399242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5562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23192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119F"/>
    <w:rsid w:val="003E3530"/>
    <w:rsid w:val="006B6C8F"/>
    <w:rsid w:val="008F63D9"/>
    <w:rsid w:val="00A23445"/>
    <w:rsid w:val="00CA119F"/>
    <w:rsid w:val="00E92E6A"/>
    <w:rsid w:val="00F807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C22B6A6"/>
  <w15:chartTrackingRefBased/>
  <w15:docId w15:val="{8CE499E5-674D-41E7-A080-C9F290F6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119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A119F"/>
    <w:pPr>
      <w:tabs>
        <w:tab w:val="center" w:pos="4153"/>
        <w:tab w:val="right" w:pos="8306"/>
      </w:tabs>
    </w:pPr>
  </w:style>
  <w:style w:type="paragraph" w:styleId="a4">
    <w:name w:val="footer"/>
    <w:basedOn w:val="a"/>
    <w:rsid w:val="00CA119F"/>
    <w:pPr>
      <w:tabs>
        <w:tab w:val="center" w:pos="4153"/>
        <w:tab w:val="right" w:pos="8306"/>
      </w:tabs>
    </w:pPr>
  </w:style>
  <w:style w:type="character" w:styleId="a5">
    <w:name w:val="page number"/>
    <w:basedOn w:val="a0"/>
    <w:rsid w:val="00CA119F"/>
  </w:style>
  <w:style w:type="paragraph" w:customStyle="1" w:styleId="ListParagraph">
    <w:name w:val="List Paragraph"/>
    <w:basedOn w:val="a"/>
    <w:rsid w:val="00CA119F"/>
    <w:pPr>
      <w:spacing w:after="200" w:line="276" w:lineRule="auto"/>
      <w:ind w:left="720"/>
      <w:contextualSpacing/>
    </w:pPr>
    <w:rPr>
      <w:rFonts w:ascii="Calibri" w:eastAsia="Calibri" w:hAnsi="Calibri" w:cs="Arial"/>
      <w:sz w:val="22"/>
      <w:szCs w:val="22"/>
    </w:rPr>
  </w:style>
  <w:style w:type="character" w:styleId="Hyperlink">
    <w:name w:val="Hyperlink"/>
    <w:basedOn w:val="a0"/>
    <w:rsid w:val="006B6C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5.a.1." TargetMode="External"/><Relationship Id="rId18" Type="http://schemas.openxmlformats.org/officeDocument/2006/relationships/hyperlink" Target="http://www.nevo.co.il/law/71835/22" TargetMode="External"/><Relationship Id="rId26" Type="http://schemas.openxmlformats.org/officeDocument/2006/relationships/hyperlink" Target="http://www.nevo.co.il/law/70301/335.a.1." TargetMode="External"/><Relationship Id="rId39" Type="http://schemas.openxmlformats.org/officeDocument/2006/relationships/hyperlink" Target="http://www.nevo.co.il/case/5900820" TargetMode="External"/><Relationship Id="rId21" Type="http://schemas.openxmlformats.org/officeDocument/2006/relationships/hyperlink" Target="http://www.nevo.co.il/law/70301/380" TargetMode="External"/><Relationship Id="rId34" Type="http://schemas.openxmlformats.org/officeDocument/2006/relationships/hyperlink" Target="http://www.nevo.co.il/law/70301/40c" TargetMode="External"/><Relationship Id="rId42" Type="http://schemas.openxmlformats.org/officeDocument/2006/relationships/hyperlink" Target="http://www.nevo.co.il/case/5878682" TargetMode="External"/><Relationship Id="rId47" Type="http://schemas.openxmlformats.org/officeDocument/2006/relationships/hyperlink" Target="http://www.nevo.co.il/law/71835/22" TargetMode="External"/><Relationship Id="rId50"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99.a.1." TargetMode="External"/><Relationship Id="rId29" Type="http://schemas.openxmlformats.org/officeDocument/2006/relationships/hyperlink" Target="http://www.nevo.co.il/case/5782321" TargetMode="External"/><Relationship Id="rId11" Type="http://schemas.openxmlformats.org/officeDocument/2006/relationships/hyperlink" Target="http://www.nevo.co.il/law/70301/329.a.1." TargetMode="External"/><Relationship Id="rId24" Type="http://schemas.openxmlformats.org/officeDocument/2006/relationships/hyperlink" Target="http://www.nevo.co.il/law/70301/329.a.1." TargetMode="External"/><Relationship Id="rId32" Type="http://schemas.openxmlformats.org/officeDocument/2006/relationships/hyperlink" Target="http://www.nevo.co.il/case/6096035" TargetMode="External"/><Relationship Id="rId37" Type="http://schemas.openxmlformats.org/officeDocument/2006/relationships/hyperlink" Target="http://www.nevo.co.il/case/5594517" TargetMode="External"/><Relationship Id="rId40" Type="http://schemas.openxmlformats.org/officeDocument/2006/relationships/hyperlink" Target="http://www.nevo.co.il/case/5594448" TargetMode="External"/><Relationship Id="rId45" Type="http://schemas.openxmlformats.org/officeDocument/2006/relationships/hyperlink" Target="http://www.nevo.co.il/case/5599049"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144.b." TargetMode="External"/><Relationship Id="rId19" Type="http://schemas.openxmlformats.org/officeDocument/2006/relationships/hyperlink" Target="http://www.nevo.co.il/law/70301/499.a.1." TargetMode="External"/><Relationship Id="rId31" Type="http://schemas.openxmlformats.org/officeDocument/2006/relationships/hyperlink" Target="http://www.nevo.co.il/case/2242863" TargetMode="External"/><Relationship Id="rId44" Type="http://schemas.openxmlformats.org/officeDocument/2006/relationships/hyperlink" Target="http://www.nevo.co.il/case/5601503"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380" TargetMode="External"/><Relationship Id="rId22" Type="http://schemas.openxmlformats.org/officeDocument/2006/relationships/hyperlink" Target="http://www.nevo.co.il/law/70301/382.a." TargetMode="External"/><Relationship Id="rId27" Type="http://schemas.openxmlformats.org/officeDocument/2006/relationships/hyperlink" Target="http://www.nevo.co.il/law/70301/25" TargetMode="External"/><Relationship Id="rId30" Type="http://schemas.openxmlformats.org/officeDocument/2006/relationships/hyperlink" Target="http://www.nevo.co.il/case/4277163" TargetMode="External"/><Relationship Id="rId35" Type="http://schemas.openxmlformats.org/officeDocument/2006/relationships/hyperlink" Target="http://www.nevo.co.il/case/6030667" TargetMode="External"/><Relationship Id="rId43" Type="http://schemas.openxmlformats.org/officeDocument/2006/relationships/hyperlink" Target="http://www.nevo.co.il/case/5578534"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25"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333" TargetMode="External"/><Relationship Id="rId17" Type="http://schemas.openxmlformats.org/officeDocument/2006/relationships/hyperlink" Target="http://www.nevo.co.il/law/71835" TargetMode="External"/><Relationship Id="rId25" Type="http://schemas.openxmlformats.org/officeDocument/2006/relationships/hyperlink" Target="http://www.nevo.co.il/law/70301/333" TargetMode="External"/><Relationship Id="rId33" Type="http://schemas.openxmlformats.org/officeDocument/2006/relationships/hyperlink" Target="http://www.nevo.co.il/case/5714349" TargetMode="External"/><Relationship Id="rId38" Type="http://schemas.openxmlformats.org/officeDocument/2006/relationships/hyperlink" Target="http://www.nevo.co.il/case/6135151" TargetMode="External"/><Relationship Id="rId46" Type="http://schemas.openxmlformats.org/officeDocument/2006/relationships/hyperlink" Target="http://www.nevo.co.il/case/5594302"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5568354"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82.a."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4336103" TargetMode="External"/><Relationship Id="rId36" Type="http://schemas.openxmlformats.org/officeDocument/2006/relationships/hyperlink" Target="http://www.nevo.co.il/case/6064371"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2664</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15953</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6619240</vt:i4>
      </vt:variant>
      <vt:variant>
        <vt:i4>120</vt:i4>
      </vt:variant>
      <vt:variant>
        <vt:i4>0</vt:i4>
      </vt:variant>
      <vt:variant>
        <vt:i4>5</vt:i4>
      </vt:variant>
      <vt:variant>
        <vt:lpwstr>http://www.nevo.co.il/law/71835/22</vt:lpwstr>
      </vt:variant>
      <vt:variant>
        <vt:lpwstr/>
      </vt:variant>
      <vt:variant>
        <vt:i4>3997813</vt:i4>
      </vt:variant>
      <vt:variant>
        <vt:i4>117</vt:i4>
      </vt:variant>
      <vt:variant>
        <vt:i4>0</vt:i4>
      </vt:variant>
      <vt:variant>
        <vt:i4>5</vt:i4>
      </vt:variant>
      <vt:variant>
        <vt:lpwstr>http://www.nevo.co.il/case/5594302</vt:lpwstr>
      </vt:variant>
      <vt:variant>
        <vt:lpwstr/>
      </vt:variant>
      <vt:variant>
        <vt:i4>3473532</vt:i4>
      </vt:variant>
      <vt:variant>
        <vt:i4>114</vt:i4>
      </vt:variant>
      <vt:variant>
        <vt:i4>0</vt:i4>
      </vt:variant>
      <vt:variant>
        <vt:i4>5</vt:i4>
      </vt:variant>
      <vt:variant>
        <vt:lpwstr>http://www.nevo.co.il/case/5599049</vt:lpwstr>
      </vt:variant>
      <vt:variant>
        <vt:lpwstr/>
      </vt:variant>
      <vt:variant>
        <vt:i4>3342451</vt:i4>
      </vt:variant>
      <vt:variant>
        <vt:i4>111</vt:i4>
      </vt:variant>
      <vt:variant>
        <vt:i4>0</vt:i4>
      </vt:variant>
      <vt:variant>
        <vt:i4>5</vt:i4>
      </vt:variant>
      <vt:variant>
        <vt:lpwstr>http://www.nevo.co.il/case/5601503</vt:lpwstr>
      </vt:variant>
      <vt:variant>
        <vt:lpwstr/>
      </vt:variant>
      <vt:variant>
        <vt:i4>3342458</vt:i4>
      </vt:variant>
      <vt:variant>
        <vt:i4>108</vt:i4>
      </vt:variant>
      <vt:variant>
        <vt:i4>0</vt:i4>
      </vt:variant>
      <vt:variant>
        <vt:i4>5</vt:i4>
      </vt:variant>
      <vt:variant>
        <vt:lpwstr>http://www.nevo.co.il/case/5578534</vt:lpwstr>
      </vt:variant>
      <vt:variant>
        <vt:lpwstr/>
      </vt:variant>
      <vt:variant>
        <vt:i4>3539068</vt:i4>
      </vt:variant>
      <vt:variant>
        <vt:i4>105</vt:i4>
      </vt:variant>
      <vt:variant>
        <vt:i4>0</vt:i4>
      </vt:variant>
      <vt:variant>
        <vt:i4>5</vt:i4>
      </vt:variant>
      <vt:variant>
        <vt:lpwstr>http://www.nevo.co.il/case/5878682</vt:lpwstr>
      </vt:variant>
      <vt:variant>
        <vt:lpwstr/>
      </vt:variant>
      <vt:variant>
        <vt:i4>3407996</vt:i4>
      </vt:variant>
      <vt:variant>
        <vt:i4>102</vt:i4>
      </vt:variant>
      <vt:variant>
        <vt:i4>0</vt:i4>
      </vt:variant>
      <vt:variant>
        <vt:i4>5</vt:i4>
      </vt:variant>
      <vt:variant>
        <vt:lpwstr>http://www.nevo.co.il/case/5568354</vt:lpwstr>
      </vt:variant>
      <vt:variant>
        <vt:lpwstr/>
      </vt:variant>
      <vt:variant>
        <vt:i4>3145841</vt:i4>
      </vt:variant>
      <vt:variant>
        <vt:i4>99</vt:i4>
      </vt:variant>
      <vt:variant>
        <vt:i4>0</vt:i4>
      </vt:variant>
      <vt:variant>
        <vt:i4>5</vt:i4>
      </vt:variant>
      <vt:variant>
        <vt:lpwstr>http://www.nevo.co.il/case/5594448</vt:lpwstr>
      </vt:variant>
      <vt:variant>
        <vt:lpwstr/>
      </vt:variant>
      <vt:variant>
        <vt:i4>3997823</vt:i4>
      </vt:variant>
      <vt:variant>
        <vt:i4>96</vt:i4>
      </vt:variant>
      <vt:variant>
        <vt:i4>0</vt:i4>
      </vt:variant>
      <vt:variant>
        <vt:i4>5</vt:i4>
      </vt:variant>
      <vt:variant>
        <vt:lpwstr>http://www.nevo.co.il/case/5900820</vt:lpwstr>
      </vt:variant>
      <vt:variant>
        <vt:lpwstr/>
      </vt:variant>
      <vt:variant>
        <vt:i4>3473525</vt:i4>
      </vt:variant>
      <vt:variant>
        <vt:i4>93</vt:i4>
      </vt:variant>
      <vt:variant>
        <vt:i4>0</vt:i4>
      </vt:variant>
      <vt:variant>
        <vt:i4>5</vt:i4>
      </vt:variant>
      <vt:variant>
        <vt:lpwstr>http://www.nevo.co.il/case/6135151</vt:lpwstr>
      </vt:variant>
      <vt:variant>
        <vt:lpwstr/>
      </vt:variant>
      <vt:variant>
        <vt:i4>4063348</vt:i4>
      </vt:variant>
      <vt:variant>
        <vt:i4>90</vt:i4>
      </vt:variant>
      <vt:variant>
        <vt:i4>0</vt:i4>
      </vt:variant>
      <vt:variant>
        <vt:i4>5</vt:i4>
      </vt:variant>
      <vt:variant>
        <vt:lpwstr>http://www.nevo.co.il/case/5594517</vt:lpwstr>
      </vt:variant>
      <vt:variant>
        <vt:lpwstr/>
      </vt:variant>
      <vt:variant>
        <vt:i4>3276919</vt:i4>
      </vt:variant>
      <vt:variant>
        <vt:i4>87</vt:i4>
      </vt:variant>
      <vt:variant>
        <vt:i4>0</vt:i4>
      </vt:variant>
      <vt:variant>
        <vt:i4>5</vt:i4>
      </vt:variant>
      <vt:variant>
        <vt:lpwstr>http://www.nevo.co.il/case/6064371</vt:lpwstr>
      </vt:variant>
      <vt:variant>
        <vt:lpwstr/>
      </vt:variant>
      <vt:variant>
        <vt:i4>3407986</vt:i4>
      </vt:variant>
      <vt:variant>
        <vt:i4>84</vt:i4>
      </vt:variant>
      <vt:variant>
        <vt:i4>0</vt:i4>
      </vt:variant>
      <vt:variant>
        <vt:i4>5</vt:i4>
      </vt:variant>
      <vt:variant>
        <vt:lpwstr>http://www.nevo.co.il/case/6030667</vt:lpwstr>
      </vt:variant>
      <vt:variant>
        <vt:lpwstr/>
      </vt:variant>
      <vt:variant>
        <vt:i4>6619233</vt:i4>
      </vt:variant>
      <vt:variant>
        <vt:i4>81</vt:i4>
      </vt:variant>
      <vt:variant>
        <vt:i4>0</vt:i4>
      </vt:variant>
      <vt:variant>
        <vt:i4>5</vt:i4>
      </vt:variant>
      <vt:variant>
        <vt:lpwstr>http://www.nevo.co.il/law/70301/40c</vt:lpwstr>
      </vt:variant>
      <vt:variant>
        <vt:lpwstr/>
      </vt:variant>
      <vt:variant>
        <vt:i4>4063347</vt:i4>
      </vt:variant>
      <vt:variant>
        <vt:i4>78</vt:i4>
      </vt:variant>
      <vt:variant>
        <vt:i4>0</vt:i4>
      </vt:variant>
      <vt:variant>
        <vt:i4>5</vt:i4>
      </vt:variant>
      <vt:variant>
        <vt:lpwstr>http://www.nevo.co.il/case/5714349</vt:lpwstr>
      </vt:variant>
      <vt:variant>
        <vt:lpwstr/>
      </vt:variant>
      <vt:variant>
        <vt:i4>3801201</vt:i4>
      </vt:variant>
      <vt:variant>
        <vt:i4>75</vt:i4>
      </vt:variant>
      <vt:variant>
        <vt:i4>0</vt:i4>
      </vt:variant>
      <vt:variant>
        <vt:i4>5</vt:i4>
      </vt:variant>
      <vt:variant>
        <vt:lpwstr>http://www.nevo.co.il/case/6096035</vt:lpwstr>
      </vt:variant>
      <vt:variant>
        <vt:lpwstr/>
      </vt:variant>
      <vt:variant>
        <vt:i4>3997810</vt:i4>
      </vt:variant>
      <vt:variant>
        <vt:i4>72</vt:i4>
      </vt:variant>
      <vt:variant>
        <vt:i4>0</vt:i4>
      </vt:variant>
      <vt:variant>
        <vt:i4>5</vt:i4>
      </vt:variant>
      <vt:variant>
        <vt:lpwstr>http://www.nevo.co.il/case/2242863</vt:lpwstr>
      </vt:variant>
      <vt:variant>
        <vt:lpwstr/>
      </vt:variant>
      <vt:variant>
        <vt:i4>3211383</vt:i4>
      </vt:variant>
      <vt:variant>
        <vt:i4>69</vt:i4>
      </vt:variant>
      <vt:variant>
        <vt:i4>0</vt:i4>
      </vt:variant>
      <vt:variant>
        <vt:i4>5</vt:i4>
      </vt:variant>
      <vt:variant>
        <vt:lpwstr>http://www.nevo.co.il/case/4277163</vt:lpwstr>
      </vt:variant>
      <vt:variant>
        <vt:lpwstr/>
      </vt:variant>
      <vt:variant>
        <vt:i4>4128883</vt:i4>
      </vt:variant>
      <vt:variant>
        <vt:i4>66</vt:i4>
      </vt:variant>
      <vt:variant>
        <vt:i4>0</vt:i4>
      </vt:variant>
      <vt:variant>
        <vt:i4>5</vt:i4>
      </vt:variant>
      <vt:variant>
        <vt:lpwstr>http://www.nevo.co.il/case/5782321</vt:lpwstr>
      </vt:variant>
      <vt:variant>
        <vt:lpwstr/>
      </vt:variant>
      <vt:variant>
        <vt:i4>3473521</vt:i4>
      </vt:variant>
      <vt:variant>
        <vt:i4>63</vt:i4>
      </vt:variant>
      <vt:variant>
        <vt:i4>0</vt:i4>
      </vt:variant>
      <vt:variant>
        <vt:i4>5</vt:i4>
      </vt:variant>
      <vt:variant>
        <vt:lpwstr>http://www.nevo.co.il/case/4336103</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4718595</vt:i4>
      </vt:variant>
      <vt:variant>
        <vt:i4>57</vt:i4>
      </vt:variant>
      <vt:variant>
        <vt:i4>0</vt:i4>
      </vt:variant>
      <vt:variant>
        <vt:i4>5</vt:i4>
      </vt:variant>
      <vt:variant>
        <vt:lpwstr>http://www.nevo.co.il/law/70301/335.a.1.</vt:lpwstr>
      </vt:variant>
      <vt:variant>
        <vt:lpwstr/>
      </vt:variant>
      <vt:variant>
        <vt:i4>6684774</vt:i4>
      </vt:variant>
      <vt:variant>
        <vt:i4>54</vt:i4>
      </vt:variant>
      <vt:variant>
        <vt:i4>0</vt:i4>
      </vt:variant>
      <vt:variant>
        <vt:i4>5</vt:i4>
      </vt:variant>
      <vt:variant>
        <vt:lpwstr>http://www.nevo.co.il/law/70301/333</vt:lpwstr>
      </vt:variant>
      <vt:variant>
        <vt:lpwstr/>
      </vt:variant>
      <vt:variant>
        <vt:i4>4784143</vt:i4>
      </vt:variant>
      <vt:variant>
        <vt:i4>51</vt:i4>
      </vt:variant>
      <vt:variant>
        <vt:i4>0</vt:i4>
      </vt:variant>
      <vt:variant>
        <vt:i4>5</vt:i4>
      </vt:variant>
      <vt:variant>
        <vt:lpwstr>http://www.nevo.co.il/law/70301/329.a.1.</vt:lpwstr>
      </vt:variant>
      <vt:variant>
        <vt:lpwstr/>
      </vt:variant>
      <vt:variant>
        <vt:i4>6357042</vt:i4>
      </vt:variant>
      <vt:variant>
        <vt:i4>48</vt:i4>
      </vt:variant>
      <vt:variant>
        <vt:i4>0</vt:i4>
      </vt:variant>
      <vt:variant>
        <vt:i4>5</vt:i4>
      </vt:variant>
      <vt:variant>
        <vt:lpwstr>http://www.nevo.co.il/law/70301/144.b.</vt:lpwstr>
      </vt:variant>
      <vt:variant>
        <vt:lpwstr/>
      </vt:variant>
      <vt:variant>
        <vt:i4>7143477</vt:i4>
      </vt:variant>
      <vt:variant>
        <vt:i4>45</vt:i4>
      </vt:variant>
      <vt:variant>
        <vt:i4>0</vt:i4>
      </vt:variant>
      <vt:variant>
        <vt:i4>5</vt:i4>
      </vt:variant>
      <vt:variant>
        <vt:lpwstr>http://www.nevo.co.il/law/70301/382.a.</vt:lpwstr>
      </vt:variant>
      <vt:variant>
        <vt:lpwstr/>
      </vt:variant>
      <vt:variant>
        <vt:i4>7143526</vt:i4>
      </vt:variant>
      <vt:variant>
        <vt:i4>42</vt:i4>
      </vt:variant>
      <vt:variant>
        <vt:i4>0</vt:i4>
      </vt:variant>
      <vt:variant>
        <vt:i4>5</vt:i4>
      </vt:variant>
      <vt:variant>
        <vt:lpwstr>http://www.nevo.co.il/law/70301/380</vt:lpwstr>
      </vt:variant>
      <vt:variant>
        <vt:lpwstr/>
      </vt:variant>
      <vt:variant>
        <vt:i4>7995492</vt:i4>
      </vt:variant>
      <vt:variant>
        <vt:i4>39</vt:i4>
      </vt:variant>
      <vt:variant>
        <vt:i4>0</vt:i4>
      </vt:variant>
      <vt:variant>
        <vt:i4>5</vt:i4>
      </vt:variant>
      <vt:variant>
        <vt:lpwstr>http://www.nevo.co.il/law/70301</vt:lpwstr>
      </vt:variant>
      <vt:variant>
        <vt:lpwstr/>
      </vt:variant>
      <vt:variant>
        <vt:i4>4325384</vt:i4>
      </vt:variant>
      <vt:variant>
        <vt:i4>36</vt:i4>
      </vt:variant>
      <vt:variant>
        <vt:i4>0</vt:i4>
      </vt:variant>
      <vt:variant>
        <vt:i4>5</vt:i4>
      </vt:variant>
      <vt:variant>
        <vt:lpwstr>http://www.nevo.co.il/law/70301/499.a.1.</vt:lpwstr>
      </vt:variant>
      <vt:variant>
        <vt:lpwstr/>
      </vt:variant>
      <vt:variant>
        <vt:i4>6619240</vt:i4>
      </vt:variant>
      <vt:variant>
        <vt:i4>33</vt:i4>
      </vt:variant>
      <vt:variant>
        <vt:i4>0</vt:i4>
      </vt:variant>
      <vt:variant>
        <vt:i4>5</vt:i4>
      </vt:variant>
      <vt:variant>
        <vt:lpwstr>http://www.nevo.co.il/law/71835/22</vt:lpwstr>
      </vt:variant>
      <vt:variant>
        <vt:lpwstr/>
      </vt:variant>
      <vt:variant>
        <vt:i4>7864431</vt:i4>
      </vt:variant>
      <vt:variant>
        <vt:i4>30</vt:i4>
      </vt:variant>
      <vt:variant>
        <vt:i4>0</vt:i4>
      </vt:variant>
      <vt:variant>
        <vt:i4>5</vt:i4>
      </vt:variant>
      <vt:variant>
        <vt:lpwstr>http://www.nevo.co.il/law/71835</vt:lpwstr>
      </vt:variant>
      <vt:variant>
        <vt:lpwstr/>
      </vt:variant>
      <vt:variant>
        <vt:i4>4325384</vt:i4>
      </vt:variant>
      <vt:variant>
        <vt:i4>27</vt:i4>
      </vt:variant>
      <vt:variant>
        <vt:i4>0</vt:i4>
      </vt:variant>
      <vt:variant>
        <vt:i4>5</vt:i4>
      </vt:variant>
      <vt:variant>
        <vt:lpwstr>http://www.nevo.co.il/law/70301/499.a.1.</vt:lpwstr>
      </vt:variant>
      <vt:variant>
        <vt:lpwstr/>
      </vt:variant>
      <vt:variant>
        <vt:i4>7143477</vt:i4>
      </vt:variant>
      <vt:variant>
        <vt:i4>24</vt:i4>
      </vt:variant>
      <vt:variant>
        <vt:i4>0</vt:i4>
      </vt:variant>
      <vt:variant>
        <vt:i4>5</vt:i4>
      </vt:variant>
      <vt:variant>
        <vt:lpwstr>http://www.nevo.co.il/law/70301/382.a.</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4718595</vt:i4>
      </vt:variant>
      <vt:variant>
        <vt:i4>18</vt:i4>
      </vt:variant>
      <vt:variant>
        <vt:i4>0</vt:i4>
      </vt:variant>
      <vt:variant>
        <vt:i4>5</vt:i4>
      </vt:variant>
      <vt:variant>
        <vt:lpwstr>http://www.nevo.co.il/law/70301/335.a.1.</vt:lpwstr>
      </vt:variant>
      <vt:variant>
        <vt:lpwstr/>
      </vt:variant>
      <vt:variant>
        <vt:i4>6684774</vt:i4>
      </vt:variant>
      <vt:variant>
        <vt:i4>15</vt:i4>
      </vt:variant>
      <vt:variant>
        <vt:i4>0</vt:i4>
      </vt:variant>
      <vt:variant>
        <vt:i4>5</vt:i4>
      </vt:variant>
      <vt:variant>
        <vt:lpwstr>http://www.nevo.co.il/law/70301/333</vt:lpwstr>
      </vt:variant>
      <vt:variant>
        <vt:lpwstr/>
      </vt:variant>
      <vt:variant>
        <vt:i4>4784143</vt:i4>
      </vt:variant>
      <vt:variant>
        <vt:i4>12</vt:i4>
      </vt:variant>
      <vt:variant>
        <vt:i4>0</vt:i4>
      </vt:variant>
      <vt:variant>
        <vt:i4>5</vt:i4>
      </vt:variant>
      <vt:variant>
        <vt:lpwstr>http://www.nevo.co.il/law/70301/329.a.1.</vt:lpwstr>
      </vt:variant>
      <vt:variant>
        <vt:lpwstr/>
      </vt:variant>
      <vt:variant>
        <vt:i4>6357042</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2025-01-19T15:53:00Z</dcterms:created>
  <dcterms:modified xsi:type="dcterms:W3CDTF">2025-01-19T15:53:00Z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30974</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מוחמד אלנצאצרה</vt:lpwstr>
  </property>
  <property fmtid="{D5CDD505-2E9C-101B-9397-08002B2CF9AE}" pid="10" name="LAWYER">
    <vt:lpwstr>מיכל מזור;שרון נהרי</vt:lpwstr>
  </property>
  <property fmtid="{D5CDD505-2E9C-101B-9397-08002B2CF9AE}" pid="11" name="JUDGE">
    <vt:lpwstr>מיכל ברנט</vt:lpwstr>
  </property>
  <property fmtid="{D5CDD505-2E9C-101B-9397-08002B2CF9AE}" pid="12" name="CITY">
    <vt:lpwstr>מרכז</vt:lpwstr>
  </property>
  <property fmtid="{D5CDD505-2E9C-101B-9397-08002B2CF9AE}" pid="13" name="DATE">
    <vt:lpwstr>20141027</vt:lpwstr>
  </property>
  <property fmtid="{D5CDD505-2E9C-101B-9397-08002B2CF9AE}" pid="14" name="TYPE_N_DATE">
    <vt:lpwstr>39020141027</vt:lpwstr>
  </property>
  <property fmtid="{D5CDD505-2E9C-101B-9397-08002B2CF9AE}" pid="15" name="CASESLISTTMP1">
    <vt:lpwstr>4336103;5782321;4277163;2242863;6096035;5714349;6030667;6064371;5594517;6135151;5900820;5594448;5568354;5878682;5578534;5601503;5599049;5594302</vt:lpwstr>
  </property>
  <property fmtid="{D5CDD505-2E9C-101B-9397-08002B2CF9AE}" pid="16" name="CASENOTES1">
    <vt:lpwstr>ProcID=210&amp;PartA=40020&amp;PartC=00</vt:lpwstr>
  </property>
  <property fmtid="{D5CDD505-2E9C-101B-9397-08002B2CF9AE}" pid="17" name="WORDNUMPAGES">
    <vt:lpwstr>9</vt:lpwstr>
  </property>
  <property fmtid="{D5CDD505-2E9C-101B-9397-08002B2CF9AE}" pid="18" name="TYPE_ABS_DATE">
    <vt:lpwstr>390020141027</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70301/499.a.1.;380;382.a.;144.b.;329.a.1.;333;335.a.1.;025;040c</vt:lpwstr>
  </property>
  <property fmtid="{D5CDD505-2E9C-101B-9397-08002B2CF9AE}" pid="38" name="LAWLISTTMP2">
    <vt:lpwstr>71835/022</vt:lpwstr>
  </property>
</Properties>
</file>