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7A27C" w14:textId="77777777" w:rsidR="00B35585" w:rsidRPr="003B030A" w:rsidRDefault="00B35585">
      <w:pPr>
        <w:pStyle w:val="a3"/>
        <w:tabs>
          <w:tab w:val="clear" w:pos="8306"/>
        </w:tabs>
        <w:jc w:val="center"/>
        <w:rPr>
          <w:rtl/>
        </w:rPr>
      </w:pPr>
      <w:bookmarkStart w:id="0" w:name="FirstLawyer"/>
      <w:bookmarkStart w:id="1" w:name="LastJudge"/>
    </w:p>
    <w:tbl>
      <w:tblPr>
        <w:bidiVisual/>
        <w:tblW w:w="0" w:type="auto"/>
        <w:jc w:val="center"/>
        <w:tblLook w:val="0000" w:firstRow="0" w:lastRow="0" w:firstColumn="0" w:lastColumn="0" w:noHBand="0" w:noVBand="0"/>
      </w:tblPr>
      <w:tblGrid>
        <w:gridCol w:w="6396"/>
        <w:gridCol w:w="236"/>
        <w:gridCol w:w="2088"/>
      </w:tblGrid>
      <w:tr w:rsidR="00B35585" w:rsidRPr="003B030A" w14:paraId="0CDD4392" w14:textId="77777777">
        <w:trPr>
          <w:trHeight w:hRule="exact" w:val="418"/>
          <w:jc w:val="center"/>
        </w:trPr>
        <w:tc>
          <w:tcPr>
            <w:tcW w:w="8720" w:type="dxa"/>
            <w:gridSpan w:val="3"/>
          </w:tcPr>
          <w:p w14:paraId="350145BD" w14:textId="77777777" w:rsidR="00B35585" w:rsidRPr="003B030A" w:rsidRDefault="003B030A">
            <w:pPr>
              <w:pStyle w:val="a3"/>
              <w:tabs>
                <w:tab w:val="clear" w:pos="8306"/>
              </w:tabs>
              <w:jc w:val="center"/>
              <w:rPr>
                <w:rFonts w:ascii="Tahoma" w:hAnsi="Tahoma" w:cs="Tahoma"/>
                <w:b/>
                <w:bCs/>
                <w:color w:val="000080"/>
                <w:sz w:val="20"/>
                <w:szCs w:val="20"/>
                <w:rtl/>
              </w:rPr>
            </w:pPr>
            <w:r w:rsidRPr="003B030A">
              <w:rPr>
                <w:rFonts w:ascii="Tahoma" w:hAnsi="Tahoma" w:cs="Tahoma"/>
                <w:b/>
                <w:bCs/>
                <w:color w:val="000080"/>
                <w:sz w:val="20"/>
                <w:szCs w:val="20"/>
                <w:rtl/>
              </w:rPr>
              <w:t>בית המשפט המחוזי בתל אביב - יפו</w:t>
            </w:r>
          </w:p>
        </w:tc>
      </w:tr>
      <w:tr w:rsidR="00B35585" w:rsidRPr="003B030A" w14:paraId="74B30FEC" w14:textId="77777777">
        <w:trPr>
          <w:trHeight w:val="337"/>
          <w:jc w:val="center"/>
        </w:trPr>
        <w:tc>
          <w:tcPr>
            <w:tcW w:w="6396" w:type="dxa"/>
          </w:tcPr>
          <w:p w14:paraId="1F75FEB3" w14:textId="77777777" w:rsidR="00B35585" w:rsidRPr="003B030A" w:rsidRDefault="003B030A">
            <w:pPr>
              <w:rPr>
                <w:b/>
                <w:bCs/>
                <w:sz w:val="26"/>
                <w:szCs w:val="26"/>
                <w:rtl/>
              </w:rPr>
            </w:pPr>
            <w:r w:rsidRPr="003B030A">
              <w:rPr>
                <w:b/>
                <w:bCs/>
                <w:sz w:val="26"/>
                <w:szCs w:val="26"/>
                <w:rtl/>
              </w:rPr>
              <w:t>ת"פ</w:t>
            </w:r>
            <w:r w:rsidRPr="003B030A">
              <w:rPr>
                <w:rFonts w:hint="cs"/>
                <w:b/>
                <w:bCs/>
                <w:sz w:val="26"/>
                <w:szCs w:val="26"/>
                <w:rtl/>
              </w:rPr>
              <w:t xml:space="preserve"> </w:t>
            </w:r>
            <w:r w:rsidRPr="003B030A">
              <w:rPr>
                <w:b/>
                <w:bCs/>
                <w:sz w:val="26"/>
                <w:szCs w:val="26"/>
                <w:rtl/>
              </w:rPr>
              <w:t>6604-03-14</w:t>
            </w:r>
            <w:r w:rsidRPr="003B030A">
              <w:rPr>
                <w:rFonts w:hint="cs"/>
                <w:b/>
                <w:bCs/>
                <w:sz w:val="26"/>
                <w:szCs w:val="26"/>
                <w:rtl/>
              </w:rPr>
              <w:t xml:space="preserve"> </w:t>
            </w:r>
            <w:r w:rsidRPr="003B030A">
              <w:rPr>
                <w:b/>
                <w:bCs/>
                <w:sz w:val="26"/>
                <w:szCs w:val="26"/>
                <w:rtl/>
              </w:rPr>
              <w:t>מדינת ישראל נ' חטיב(המנוח) ואח'</w:t>
            </w:r>
          </w:p>
          <w:p w14:paraId="0CB8D785" w14:textId="77777777" w:rsidR="00B35585" w:rsidRPr="003B030A" w:rsidRDefault="00B35585">
            <w:pPr>
              <w:rPr>
                <w:b/>
                <w:bCs/>
                <w:sz w:val="26"/>
                <w:szCs w:val="26"/>
                <w:rtl/>
              </w:rPr>
            </w:pPr>
          </w:p>
        </w:tc>
        <w:tc>
          <w:tcPr>
            <w:tcW w:w="236" w:type="dxa"/>
          </w:tcPr>
          <w:p w14:paraId="2A30CF87" w14:textId="77777777" w:rsidR="00B35585" w:rsidRPr="003B030A" w:rsidRDefault="00B35585">
            <w:pPr>
              <w:pStyle w:val="a3"/>
              <w:jc w:val="right"/>
              <w:rPr>
                <w:b/>
                <w:bCs/>
                <w:sz w:val="26"/>
                <w:szCs w:val="26"/>
                <w:rtl/>
              </w:rPr>
            </w:pPr>
          </w:p>
        </w:tc>
        <w:tc>
          <w:tcPr>
            <w:tcW w:w="2088" w:type="dxa"/>
          </w:tcPr>
          <w:p w14:paraId="2D962917" w14:textId="77777777" w:rsidR="00B35585" w:rsidRPr="003B030A" w:rsidRDefault="003B030A">
            <w:pPr>
              <w:pStyle w:val="a3"/>
              <w:tabs>
                <w:tab w:val="clear" w:pos="4153"/>
              </w:tabs>
              <w:jc w:val="right"/>
              <w:rPr>
                <w:b/>
                <w:bCs/>
                <w:sz w:val="26"/>
                <w:szCs w:val="26"/>
                <w:rtl/>
              </w:rPr>
            </w:pPr>
            <w:r w:rsidRPr="003B030A">
              <w:rPr>
                <w:b/>
                <w:bCs/>
                <w:sz w:val="26"/>
                <w:szCs w:val="26"/>
                <w:rtl/>
              </w:rPr>
              <w:t>19 פברואר 2015</w:t>
            </w:r>
          </w:p>
        </w:tc>
      </w:tr>
    </w:tbl>
    <w:p w14:paraId="1476D642" w14:textId="77777777" w:rsidR="00B35585" w:rsidRPr="003B030A" w:rsidRDefault="00B35585">
      <w:pPr>
        <w:pStyle w:val="a3"/>
        <w:jc w:val="center"/>
        <w:rPr>
          <w:rFonts w:ascii="Tahoma" w:hAnsi="Tahoma" w:cs="Tahoma"/>
          <w:b/>
          <w:bCs/>
          <w:color w:val="000080"/>
          <w:sz w:val="20"/>
          <w:szCs w:val="20"/>
          <w:rtl/>
        </w:rPr>
      </w:pPr>
    </w:p>
    <w:p w14:paraId="2E066FD4" w14:textId="77777777" w:rsidR="00B35585" w:rsidRPr="003B030A" w:rsidRDefault="00B3558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B35585" w:rsidRPr="003B030A" w14:paraId="1699CE3E" w14:textId="77777777">
        <w:trPr>
          <w:trHeight w:val="337"/>
          <w:jc w:val="center"/>
        </w:trPr>
        <w:tc>
          <w:tcPr>
            <w:tcW w:w="1592" w:type="dxa"/>
          </w:tcPr>
          <w:p w14:paraId="47FCE74A" w14:textId="77777777" w:rsidR="00B35585" w:rsidRPr="003B030A" w:rsidRDefault="00B35585">
            <w:pPr>
              <w:pStyle w:val="a3"/>
              <w:bidi w:val="0"/>
              <w:spacing w:line="360" w:lineRule="auto"/>
              <w:jc w:val="both"/>
              <w:rPr>
                <w:rFonts w:ascii="Times New Roman" w:hAnsi="Times New Roman"/>
              </w:rPr>
            </w:pPr>
          </w:p>
        </w:tc>
        <w:tc>
          <w:tcPr>
            <w:tcW w:w="7128" w:type="dxa"/>
          </w:tcPr>
          <w:p w14:paraId="4C41E277" w14:textId="77777777" w:rsidR="00B35585" w:rsidRPr="003B030A" w:rsidRDefault="003B030A">
            <w:pPr>
              <w:pStyle w:val="a3"/>
              <w:jc w:val="right"/>
              <w:rPr>
                <w:b/>
                <w:bCs/>
                <w:sz w:val="26"/>
                <w:szCs w:val="26"/>
                <w:rtl/>
              </w:rPr>
            </w:pPr>
            <w:r w:rsidRPr="003B030A">
              <w:rPr>
                <w:rFonts w:hint="cs"/>
                <w:rtl/>
              </w:rPr>
              <w:t>6511-03-14</w:t>
            </w:r>
          </w:p>
        </w:tc>
      </w:tr>
    </w:tbl>
    <w:p w14:paraId="2589E04A" w14:textId="77777777" w:rsidR="00B35585" w:rsidRPr="003B030A" w:rsidRDefault="00B35585">
      <w:pPr>
        <w:spacing w:line="360" w:lineRule="auto"/>
        <w:jc w:val="both"/>
        <w:rPr>
          <w:rFonts w:ascii="Arial" w:hAnsi="Arial"/>
          <w:rtl/>
        </w:rPr>
      </w:pPr>
    </w:p>
    <w:p w14:paraId="356E4077" w14:textId="77777777" w:rsidR="00B35585" w:rsidRPr="003B030A" w:rsidRDefault="00B3558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35585" w:rsidRPr="003B030A" w14:paraId="1861C0DB" w14:textId="77777777">
        <w:trPr>
          <w:gridAfter w:val="1"/>
          <w:wAfter w:w="55" w:type="dxa"/>
        </w:trPr>
        <w:tc>
          <w:tcPr>
            <w:tcW w:w="8719" w:type="dxa"/>
            <w:gridSpan w:val="2"/>
          </w:tcPr>
          <w:p w14:paraId="61ABD6F1" w14:textId="77777777" w:rsidR="00B35585" w:rsidRPr="003B030A" w:rsidRDefault="003B030A">
            <w:pPr>
              <w:spacing w:line="360" w:lineRule="auto"/>
              <w:jc w:val="both"/>
              <w:rPr>
                <w:rFonts w:ascii="Times New Roman" w:eastAsia="Times New Roman" w:hAnsi="Times New Roman"/>
                <w:b/>
                <w:bCs/>
                <w:sz w:val="26"/>
                <w:szCs w:val="26"/>
                <w:rtl/>
              </w:rPr>
            </w:pPr>
            <w:r w:rsidRPr="003B030A">
              <w:rPr>
                <w:rFonts w:ascii="Times New Roman" w:eastAsia="Times New Roman" w:hAnsi="Times New Roman" w:hint="cs"/>
                <w:b/>
                <w:bCs/>
                <w:sz w:val="26"/>
                <w:szCs w:val="26"/>
                <w:rtl/>
              </w:rPr>
              <w:t>בפני כב' השופט הבכיר צבי גורפינקל</w:t>
            </w:r>
          </w:p>
        </w:tc>
      </w:tr>
      <w:tr w:rsidR="00B35585" w:rsidRPr="003B030A" w14:paraId="0CBB188A" w14:textId="77777777">
        <w:tc>
          <w:tcPr>
            <w:tcW w:w="2880" w:type="dxa"/>
          </w:tcPr>
          <w:p w14:paraId="79305B36" w14:textId="77777777" w:rsidR="00B35585" w:rsidRPr="003B030A" w:rsidRDefault="003B030A">
            <w:pPr>
              <w:ind w:left="26"/>
              <w:rPr>
                <w:rFonts w:ascii="Times New Roman" w:eastAsia="Times New Roman" w:hAnsi="Times New Roman"/>
                <w:b/>
                <w:bCs/>
                <w:sz w:val="26"/>
                <w:szCs w:val="26"/>
                <w:rtl/>
              </w:rPr>
            </w:pPr>
            <w:bookmarkStart w:id="2" w:name="FirstAppellant"/>
            <w:r w:rsidRPr="003B030A">
              <w:rPr>
                <w:rFonts w:ascii="Times New Roman" w:eastAsia="Times New Roman" w:hAnsi="Times New Roman" w:hint="cs"/>
                <w:b/>
                <w:bCs/>
                <w:sz w:val="26"/>
                <w:szCs w:val="26"/>
                <w:rtl/>
              </w:rPr>
              <w:t>ה</w:t>
            </w:r>
            <w:r w:rsidRPr="003B030A">
              <w:rPr>
                <w:rFonts w:ascii="Times New Roman" w:eastAsia="Times New Roman" w:hAnsi="Times New Roman" w:hint="cs"/>
                <w:rtl/>
              </w:rPr>
              <w:t>מאשימה</w:t>
            </w:r>
          </w:p>
        </w:tc>
        <w:tc>
          <w:tcPr>
            <w:tcW w:w="5922" w:type="dxa"/>
            <w:gridSpan w:val="2"/>
          </w:tcPr>
          <w:p w14:paraId="4F2815A9" w14:textId="77777777" w:rsidR="00B35585" w:rsidRPr="003B030A" w:rsidRDefault="003B030A">
            <w:pPr>
              <w:rPr>
                <w:rFonts w:ascii="Times New Roman" w:eastAsia="Times New Roman" w:hAnsi="Times New Roman"/>
                <w:b/>
                <w:bCs/>
                <w:sz w:val="26"/>
                <w:szCs w:val="26"/>
                <w:rtl/>
              </w:rPr>
            </w:pPr>
            <w:r w:rsidRPr="003B030A">
              <w:rPr>
                <w:rFonts w:ascii="Times New Roman" w:eastAsia="Times New Roman" w:hAnsi="Times New Roman" w:hint="cs"/>
                <w:rtl/>
              </w:rPr>
              <w:t>מדינת ישראל</w:t>
            </w:r>
            <w:r w:rsidRPr="003B030A">
              <w:rPr>
                <w:rFonts w:ascii="Times New Roman" w:eastAsia="Times New Roman" w:hAnsi="Times New Roman" w:cs="Times New Roman" w:hint="cs"/>
                <w:rtl/>
              </w:rPr>
              <w:br/>
            </w:r>
            <w:r w:rsidRPr="003B030A">
              <w:rPr>
                <w:rFonts w:ascii="Times New Roman" w:eastAsia="Times New Roman" w:hAnsi="Times New Roman" w:hint="cs"/>
                <w:rtl/>
              </w:rPr>
              <w:t>ע"י ב"כ עו"ד ריכטנברג</w:t>
            </w:r>
          </w:p>
          <w:p w14:paraId="4FD3D5BA" w14:textId="77777777" w:rsidR="00B35585" w:rsidRPr="003B030A" w:rsidRDefault="00B35585">
            <w:pPr>
              <w:rPr>
                <w:rFonts w:ascii="Times New Roman" w:eastAsia="Times New Roman" w:hAnsi="Times New Roman"/>
                <w:b/>
                <w:bCs/>
                <w:sz w:val="26"/>
                <w:szCs w:val="26"/>
                <w:rtl/>
              </w:rPr>
            </w:pPr>
          </w:p>
        </w:tc>
      </w:tr>
      <w:bookmarkEnd w:id="2"/>
      <w:tr w:rsidR="00B35585" w:rsidRPr="003B030A" w14:paraId="00A020D0" w14:textId="77777777">
        <w:tc>
          <w:tcPr>
            <w:tcW w:w="8802" w:type="dxa"/>
            <w:gridSpan w:val="3"/>
          </w:tcPr>
          <w:p w14:paraId="00A9230E" w14:textId="77777777" w:rsidR="00B35585" w:rsidRPr="003B030A" w:rsidRDefault="00B35585">
            <w:pPr>
              <w:jc w:val="both"/>
              <w:rPr>
                <w:rFonts w:ascii="Arial" w:eastAsia="Times New Roman" w:hAnsi="Arial"/>
                <w:b/>
                <w:bCs/>
                <w:sz w:val="26"/>
                <w:szCs w:val="26"/>
                <w:rtl/>
              </w:rPr>
            </w:pPr>
          </w:p>
          <w:p w14:paraId="73B2770C" w14:textId="77777777" w:rsidR="00B35585" w:rsidRPr="003B030A" w:rsidRDefault="003B030A">
            <w:pPr>
              <w:jc w:val="center"/>
              <w:rPr>
                <w:rFonts w:ascii="Arial" w:eastAsia="Times New Roman" w:hAnsi="Arial"/>
                <w:b/>
                <w:bCs/>
                <w:sz w:val="26"/>
                <w:szCs w:val="26"/>
                <w:rtl/>
              </w:rPr>
            </w:pPr>
            <w:r w:rsidRPr="003B030A">
              <w:rPr>
                <w:rFonts w:ascii="Arial" w:eastAsia="Times New Roman" w:hAnsi="Arial"/>
                <w:b/>
                <w:bCs/>
                <w:sz w:val="26"/>
                <w:szCs w:val="26"/>
                <w:rtl/>
              </w:rPr>
              <w:t>נגד</w:t>
            </w:r>
          </w:p>
          <w:p w14:paraId="208DF296" w14:textId="77777777" w:rsidR="00B35585" w:rsidRPr="003B030A" w:rsidRDefault="00B35585">
            <w:pPr>
              <w:jc w:val="center"/>
              <w:rPr>
                <w:rFonts w:ascii="Arial" w:eastAsia="Times New Roman" w:hAnsi="Arial"/>
                <w:b/>
                <w:bCs/>
                <w:sz w:val="26"/>
                <w:szCs w:val="26"/>
              </w:rPr>
            </w:pPr>
          </w:p>
        </w:tc>
      </w:tr>
      <w:tr w:rsidR="00B35585" w:rsidRPr="003B030A" w14:paraId="44179AD0" w14:textId="77777777">
        <w:tc>
          <w:tcPr>
            <w:tcW w:w="2880" w:type="dxa"/>
          </w:tcPr>
          <w:p w14:paraId="1A178782" w14:textId="77777777" w:rsidR="00B35585" w:rsidRPr="003B030A" w:rsidRDefault="003B030A">
            <w:pPr>
              <w:ind w:left="26"/>
              <w:rPr>
                <w:rFonts w:ascii="Times New Roman" w:eastAsia="Times New Roman" w:hAnsi="Times New Roman"/>
                <w:b/>
                <w:bCs/>
                <w:sz w:val="26"/>
                <w:szCs w:val="26"/>
                <w:rtl/>
              </w:rPr>
            </w:pPr>
            <w:r w:rsidRPr="003B030A">
              <w:rPr>
                <w:rFonts w:ascii="Times New Roman" w:eastAsia="Times New Roman" w:hAnsi="Times New Roman" w:hint="cs"/>
                <w:b/>
                <w:bCs/>
                <w:sz w:val="26"/>
                <w:szCs w:val="26"/>
                <w:rtl/>
              </w:rPr>
              <w:t>ה</w:t>
            </w:r>
            <w:r w:rsidRPr="003B030A">
              <w:rPr>
                <w:rFonts w:ascii="Times New Roman" w:eastAsia="Times New Roman" w:hAnsi="Times New Roman" w:hint="cs"/>
                <w:rtl/>
              </w:rPr>
              <w:t>נאשם</w:t>
            </w:r>
          </w:p>
        </w:tc>
        <w:tc>
          <w:tcPr>
            <w:tcW w:w="5922" w:type="dxa"/>
            <w:gridSpan w:val="2"/>
          </w:tcPr>
          <w:p w14:paraId="13B645B2" w14:textId="77777777" w:rsidR="00B35585" w:rsidRPr="003B030A" w:rsidRDefault="00B35585">
            <w:pPr>
              <w:rPr>
                <w:rFonts w:ascii="Times New Roman" w:eastAsia="Times New Roman" w:hAnsi="Times New Roman"/>
                <w:b/>
                <w:bCs/>
                <w:sz w:val="26"/>
                <w:szCs w:val="26"/>
                <w:rtl/>
              </w:rPr>
            </w:pPr>
          </w:p>
          <w:p w14:paraId="529C76DF" w14:textId="77777777" w:rsidR="00B35585" w:rsidRPr="003B030A" w:rsidRDefault="003B030A">
            <w:pPr>
              <w:rPr>
                <w:rFonts w:ascii="Times New Roman" w:eastAsia="Times New Roman" w:hAnsi="Times New Roman"/>
                <w:b/>
                <w:bCs/>
                <w:sz w:val="26"/>
                <w:szCs w:val="26"/>
                <w:rtl/>
              </w:rPr>
            </w:pPr>
            <w:r w:rsidRPr="003B030A">
              <w:rPr>
                <w:rFonts w:ascii="Times New Roman" w:eastAsia="Times New Roman" w:hAnsi="Times New Roman" w:hint="cs"/>
                <w:rtl/>
              </w:rPr>
              <w:t>2.</w:t>
            </w:r>
            <w:r w:rsidRPr="003B030A">
              <w:rPr>
                <w:rFonts w:ascii="Times New Roman" w:eastAsia="Times New Roman" w:hAnsi="Times New Roman" w:hint="cs"/>
                <w:b/>
                <w:bCs/>
                <w:sz w:val="26"/>
                <w:szCs w:val="26"/>
                <w:rtl/>
              </w:rPr>
              <w:t xml:space="preserve"> </w:t>
            </w:r>
            <w:r w:rsidRPr="003B030A">
              <w:rPr>
                <w:rFonts w:ascii="Times New Roman" w:eastAsia="Times New Roman" w:hAnsi="Times New Roman" w:hint="cs"/>
                <w:rtl/>
              </w:rPr>
              <w:t>איברהים סיכסיכ הובא ע"י הליווי</w:t>
            </w:r>
            <w:r w:rsidRPr="003B030A">
              <w:rPr>
                <w:rFonts w:ascii="Times New Roman" w:eastAsia="Times New Roman" w:hAnsi="Times New Roman" w:cs="Times New Roman" w:hint="cs"/>
                <w:rtl/>
              </w:rPr>
              <w:br/>
            </w:r>
            <w:r w:rsidRPr="003B030A">
              <w:rPr>
                <w:rFonts w:ascii="Times New Roman" w:eastAsia="Times New Roman" w:hAnsi="Times New Roman" w:hint="cs"/>
                <w:rtl/>
              </w:rPr>
              <w:t xml:space="preserve">ע"י ב"כ עו"ד נעמנא </w:t>
            </w:r>
          </w:p>
          <w:p w14:paraId="578929DB" w14:textId="77777777" w:rsidR="00B35585" w:rsidRPr="003B030A" w:rsidRDefault="00B35585">
            <w:pPr>
              <w:rPr>
                <w:rFonts w:ascii="Times New Roman" w:eastAsia="Times New Roman" w:hAnsi="Times New Roman"/>
                <w:b/>
                <w:bCs/>
                <w:sz w:val="26"/>
                <w:szCs w:val="26"/>
                <w:rtl/>
              </w:rPr>
            </w:pPr>
          </w:p>
        </w:tc>
      </w:tr>
    </w:tbl>
    <w:p w14:paraId="589AF8C0" w14:textId="77777777" w:rsidR="00B35585" w:rsidRPr="003B030A" w:rsidRDefault="003B030A">
      <w:pPr>
        <w:spacing w:line="360" w:lineRule="auto"/>
        <w:jc w:val="both"/>
        <w:rPr>
          <w:sz w:val="6"/>
          <w:szCs w:val="6"/>
          <w:rtl/>
        </w:rPr>
      </w:pPr>
      <w:r w:rsidRPr="003B030A">
        <w:rPr>
          <w:sz w:val="6"/>
          <w:szCs w:val="6"/>
          <w:rtl/>
        </w:rPr>
        <w:t>&lt;#1#&gt;</w:t>
      </w:r>
    </w:p>
    <w:p w14:paraId="4C45B9C3" w14:textId="77777777" w:rsidR="00B35585" w:rsidRPr="003B030A" w:rsidRDefault="00B35585">
      <w:pPr>
        <w:pStyle w:val="12"/>
        <w:rPr>
          <w:b w:val="0"/>
          <w:bCs w:val="0"/>
          <w:u w:val="none"/>
          <w:rtl/>
        </w:rPr>
      </w:pPr>
    </w:p>
    <w:p w14:paraId="29F449C7" w14:textId="77777777" w:rsidR="00745817" w:rsidRPr="00745817" w:rsidRDefault="00745817" w:rsidP="00745817">
      <w:pPr>
        <w:pStyle w:val="12"/>
        <w:spacing w:after="120" w:line="240" w:lineRule="exact"/>
        <w:ind w:left="283" w:hanging="283"/>
        <w:jc w:val="both"/>
        <w:rPr>
          <w:rFonts w:ascii="FrankRuehl" w:hAnsi="FrankRuehl" w:cs="FrankRuehl"/>
          <w:b w:val="0"/>
          <w:bCs w:val="0"/>
          <w:u w:val="none"/>
          <w:rtl/>
        </w:rPr>
      </w:pPr>
      <w:bookmarkStart w:id="3" w:name="LawTable"/>
      <w:bookmarkEnd w:id="3"/>
      <w:r w:rsidRPr="00745817">
        <w:rPr>
          <w:rFonts w:ascii="FrankRuehl" w:hAnsi="FrankRuehl" w:cs="FrankRuehl"/>
          <w:b w:val="0"/>
          <w:bCs w:val="0"/>
          <w:u w:val="none"/>
          <w:rtl/>
        </w:rPr>
        <w:t xml:space="preserve">חקיקה שאוזכרה: </w:t>
      </w:r>
    </w:p>
    <w:p w14:paraId="1BBF2C44" w14:textId="77777777" w:rsidR="00745817" w:rsidRPr="00745817" w:rsidRDefault="00745817" w:rsidP="00745817">
      <w:pPr>
        <w:pStyle w:val="12"/>
        <w:spacing w:after="120" w:line="240" w:lineRule="exact"/>
        <w:ind w:left="283" w:hanging="283"/>
        <w:jc w:val="both"/>
        <w:rPr>
          <w:rFonts w:ascii="FrankRuehl" w:hAnsi="FrankRuehl" w:cs="FrankRuehl"/>
          <w:b w:val="0"/>
          <w:bCs w:val="0"/>
          <w:u w:val="none"/>
          <w:rtl/>
        </w:rPr>
      </w:pPr>
      <w:hyperlink r:id="rId6" w:history="1">
        <w:r w:rsidRPr="00745817">
          <w:rPr>
            <w:rFonts w:ascii="FrankRuehl" w:hAnsi="FrankRuehl" w:cs="FrankRuehl"/>
            <w:b w:val="0"/>
            <w:bCs w:val="0"/>
            <w:color w:val="0000FF"/>
            <w:rtl/>
          </w:rPr>
          <w:t>חוק העונשין, תשל"ז-1977</w:t>
        </w:r>
      </w:hyperlink>
      <w:r w:rsidRPr="00745817">
        <w:rPr>
          <w:rFonts w:ascii="FrankRuehl" w:hAnsi="FrankRuehl" w:cs="FrankRuehl"/>
          <w:b w:val="0"/>
          <w:bCs w:val="0"/>
          <w:u w:val="none"/>
          <w:rtl/>
        </w:rPr>
        <w:t xml:space="preserve">: סע'  </w:t>
      </w:r>
      <w:hyperlink r:id="rId7" w:history="1">
        <w:r w:rsidRPr="00745817">
          <w:rPr>
            <w:rFonts w:ascii="FrankRuehl" w:hAnsi="FrankRuehl" w:cs="FrankRuehl"/>
            <w:b w:val="0"/>
            <w:bCs w:val="0"/>
            <w:color w:val="0000FF"/>
            <w:rtl/>
          </w:rPr>
          <w:t>144 (א)</w:t>
        </w:r>
      </w:hyperlink>
    </w:p>
    <w:p w14:paraId="1011DF6F" w14:textId="77777777" w:rsidR="00745817" w:rsidRPr="00745817" w:rsidRDefault="00745817" w:rsidP="00745817">
      <w:pPr>
        <w:pStyle w:val="12"/>
        <w:spacing w:after="120" w:line="240" w:lineRule="exact"/>
        <w:ind w:left="283" w:hanging="283"/>
        <w:jc w:val="both"/>
        <w:rPr>
          <w:rFonts w:ascii="FrankRuehl" w:hAnsi="FrankRuehl" w:cs="FrankRuehl"/>
          <w:b w:val="0"/>
          <w:bCs w:val="0"/>
          <w:u w:val="none"/>
          <w:rtl/>
        </w:rPr>
      </w:pPr>
      <w:hyperlink r:id="rId8" w:history="1">
        <w:r w:rsidRPr="00745817">
          <w:rPr>
            <w:rFonts w:ascii="FrankRuehl" w:hAnsi="FrankRuehl" w:cs="FrankRuehl"/>
            <w:b w:val="0"/>
            <w:bCs w:val="0"/>
            <w:color w:val="0000FF"/>
            <w:rtl/>
          </w:rPr>
          <w:t>פקודת התעבורה [נוסח חדש]</w:t>
        </w:r>
      </w:hyperlink>
      <w:r w:rsidRPr="00745817">
        <w:rPr>
          <w:rFonts w:ascii="FrankRuehl" w:hAnsi="FrankRuehl" w:cs="FrankRuehl"/>
          <w:b w:val="0"/>
          <w:bCs w:val="0"/>
          <w:u w:val="none"/>
          <w:rtl/>
        </w:rPr>
        <w:t xml:space="preserve">: סע'  </w:t>
      </w:r>
      <w:hyperlink r:id="rId9" w:history="1">
        <w:r w:rsidRPr="00745817">
          <w:rPr>
            <w:rFonts w:ascii="FrankRuehl" w:hAnsi="FrankRuehl" w:cs="FrankRuehl"/>
            <w:b w:val="0"/>
            <w:bCs w:val="0"/>
            <w:color w:val="0000FF"/>
            <w:rtl/>
          </w:rPr>
          <w:t>67</w:t>
        </w:r>
      </w:hyperlink>
    </w:p>
    <w:p w14:paraId="18B557AE" w14:textId="77777777" w:rsidR="00745817" w:rsidRPr="00745817" w:rsidRDefault="00745817" w:rsidP="00745817">
      <w:pPr>
        <w:pStyle w:val="12"/>
        <w:spacing w:after="120" w:line="240" w:lineRule="exact"/>
        <w:ind w:left="283" w:hanging="283"/>
        <w:jc w:val="both"/>
        <w:rPr>
          <w:rFonts w:ascii="FrankRuehl" w:hAnsi="FrankRuehl" w:cs="FrankRuehl"/>
          <w:b w:val="0"/>
          <w:bCs w:val="0"/>
          <w:u w:val="none"/>
          <w:rtl/>
        </w:rPr>
      </w:pPr>
      <w:hyperlink r:id="rId10" w:history="1">
        <w:r w:rsidRPr="00745817">
          <w:rPr>
            <w:rFonts w:ascii="FrankRuehl" w:hAnsi="FrankRuehl" w:cs="FrankRuehl"/>
            <w:b w:val="0"/>
            <w:bCs w:val="0"/>
            <w:color w:val="0000FF"/>
            <w:rtl/>
          </w:rPr>
          <w:t>פקודת ביטוח רכב מנועי [נוסח חדש], תש"ל-1970</w:t>
        </w:r>
      </w:hyperlink>
      <w:r w:rsidRPr="00745817">
        <w:rPr>
          <w:rFonts w:ascii="FrankRuehl" w:hAnsi="FrankRuehl" w:cs="FrankRuehl"/>
          <w:b w:val="0"/>
          <w:bCs w:val="0"/>
          <w:u w:val="none"/>
          <w:rtl/>
        </w:rPr>
        <w:t xml:space="preserve">: סע'  </w:t>
      </w:r>
      <w:hyperlink r:id="rId11" w:history="1">
        <w:r w:rsidRPr="00745817">
          <w:rPr>
            <w:rFonts w:ascii="FrankRuehl" w:hAnsi="FrankRuehl" w:cs="FrankRuehl"/>
            <w:b w:val="0"/>
            <w:bCs w:val="0"/>
            <w:color w:val="0000FF"/>
            <w:rtl/>
          </w:rPr>
          <w:t>2</w:t>
        </w:r>
      </w:hyperlink>
    </w:p>
    <w:p w14:paraId="7FF16415" w14:textId="77777777" w:rsidR="00745817" w:rsidRPr="00745817" w:rsidRDefault="00745817" w:rsidP="00745817">
      <w:pPr>
        <w:pStyle w:val="12"/>
        <w:spacing w:after="120" w:line="240" w:lineRule="exact"/>
        <w:ind w:left="283" w:hanging="283"/>
        <w:jc w:val="both"/>
        <w:rPr>
          <w:rFonts w:ascii="FrankRuehl" w:hAnsi="FrankRuehl" w:cs="FrankRuehl"/>
          <w:b w:val="0"/>
          <w:bCs w:val="0"/>
          <w:u w:val="none"/>
          <w:rtl/>
        </w:rPr>
      </w:pPr>
    </w:p>
    <w:p w14:paraId="6A996A78" w14:textId="77777777" w:rsidR="00B35585" w:rsidRPr="00745817" w:rsidRDefault="00B35585">
      <w:pPr>
        <w:pStyle w:val="12"/>
        <w:rPr>
          <w:b w:val="0"/>
          <w:bCs w:val="0"/>
          <w:u w:val="none"/>
          <w:rtl/>
        </w:rPr>
      </w:pPr>
      <w:bookmarkStart w:id="4" w:name="LawTable_End"/>
      <w:bookmarkEnd w:id="4"/>
    </w:p>
    <w:bookmarkEnd w:id="0"/>
    <w:bookmarkEnd w:id="1"/>
    <w:p w14:paraId="1A966CB7" w14:textId="77777777" w:rsidR="00B35585" w:rsidRDefault="003B030A">
      <w:pPr>
        <w:spacing w:line="360" w:lineRule="auto"/>
        <w:jc w:val="both"/>
        <w:rPr>
          <w:sz w:val="6"/>
          <w:szCs w:val="6"/>
          <w:rtl/>
        </w:rPr>
      </w:pPr>
      <w:r>
        <w:rPr>
          <w:sz w:val="6"/>
          <w:szCs w:val="6"/>
          <w:rtl/>
        </w:rPr>
        <w:t>&lt;#2#&gt;</w:t>
      </w:r>
    </w:p>
    <w:p w14:paraId="17D56A45" w14:textId="77777777" w:rsidR="00B35585" w:rsidRDefault="003B030A">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 (נאשם 2)</w:t>
      </w:r>
    </w:p>
    <w:bookmarkEnd w:id="5"/>
    <w:p w14:paraId="715A9EF9" w14:textId="77777777" w:rsidR="00B35585" w:rsidRDefault="00B35585">
      <w:pPr>
        <w:spacing w:line="360" w:lineRule="auto"/>
        <w:rPr>
          <w:rFonts w:ascii="Arial" w:hAnsi="Arial"/>
          <w:b/>
          <w:bCs/>
          <w:sz w:val="28"/>
          <w:szCs w:val="28"/>
          <w:u w:val="single"/>
          <w:rtl/>
        </w:rPr>
      </w:pPr>
    </w:p>
    <w:p w14:paraId="3C91A25B" w14:textId="77777777" w:rsidR="00B35585" w:rsidRDefault="003B030A">
      <w:pPr>
        <w:spacing w:line="360" w:lineRule="auto"/>
        <w:rPr>
          <w:rFonts w:ascii="Arial" w:hAnsi="Arial"/>
          <w:sz w:val="28"/>
          <w:szCs w:val="28"/>
          <w:rtl/>
        </w:rPr>
      </w:pPr>
      <w:bookmarkStart w:id="6" w:name="ABSTRACT_START"/>
      <w:bookmarkEnd w:id="6"/>
      <w:r>
        <w:rPr>
          <w:rFonts w:ascii="Arial" w:hAnsi="Arial" w:hint="cs"/>
          <w:sz w:val="28"/>
          <w:szCs w:val="28"/>
          <w:rtl/>
        </w:rPr>
        <w:t>ביום 17.2.14 נהג הנאשם בקטנוע שהיה שייך לנאשם 1, בעת שנפסל ע"י בית המשפט מלנהוג רכב מנועי. יחד עימו נסע קטין לבית משפחתו ביפו. הקטין נכנס למתחם המשפחה, ויצא כעבור מספר דקות כשברשותו אקדח שנגנב מאדם אחר בשנת 2007.</w:t>
      </w:r>
    </w:p>
    <w:p w14:paraId="3A0E461D" w14:textId="77777777" w:rsidR="00B35585" w:rsidRDefault="003B030A">
      <w:pPr>
        <w:spacing w:line="360" w:lineRule="auto"/>
        <w:rPr>
          <w:rFonts w:ascii="Arial" w:hAnsi="Arial"/>
          <w:sz w:val="28"/>
          <w:szCs w:val="28"/>
          <w:rtl/>
        </w:rPr>
      </w:pPr>
      <w:r>
        <w:rPr>
          <w:rFonts w:ascii="Arial" w:hAnsi="Arial" w:hint="cs"/>
          <w:sz w:val="28"/>
          <w:szCs w:val="28"/>
          <w:rtl/>
        </w:rPr>
        <w:t xml:space="preserve">האקדח היה טעון עם מחסנית וכדורים. </w:t>
      </w:r>
    </w:p>
    <w:p w14:paraId="50A4A432" w14:textId="77777777" w:rsidR="00B35585" w:rsidRDefault="003B030A">
      <w:pPr>
        <w:spacing w:line="360" w:lineRule="auto"/>
        <w:rPr>
          <w:rFonts w:ascii="Arial" w:hAnsi="Arial"/>
          <w:sz w:val="28"/>
          <w:szCs w:val="28"/>
          <w:rtl/>
        </w:rPr>
      </w:pPr>
      <w:r>
        <w:rPr>
          <w:rFonts w:ascii="Arial" w:hAnsi="Arial" w:hint="cs"/>
          <w:sz w:val="28"/>
          <w:szCs w:val="28"/>
          <w:rtl/>
        </w:rPr>
        <w:t>כעבור פרק זמן קצר נכנסו הנאשם והקטין לרכב ונסעו מהמתחם עד שנעצרו ע"י משטרה. בעת שהמשטרה רדפה אחרי הרכב, העביר הקטין שישב במושב הקדמי של הרכב את האקדח לידיו של הנאשם, והנאשם החביא אותו מתחת לשטיחון ברכב.</w:t>
      </w:r>
    </w:p>
    <w:p w14:paraId="573BEDF3" w14:textId="77777777" w:rsidR="00B35585" w:rsidRDefault="003B030A">
      <w:pPr>
        <w:spacing w:line="360" w:lineRule="auto"/>
        <w:rPr>
          <w:rFonts w:ascii="Arial" w:hAnsi="Arial"/>
          <w:sz w:val="28"/>
          <w:szCs w:val="28"/>
          <w:rtl/>
        </w:rPr>
      </w:pPr>
      <w:r>
        <w:rPr>
          <w:rFonts w:ascii="Arial" w:hAnsi="Arial" w:hint="cs"/>
          <w:sz w:val="28"/>
          <w:szCs w:val="28"/>
          <w:rtl/>
        </w:rPr>
        <w:t xml:space="preserve">בגין זאת הורשע הנאשם על פי הודאתו במסגרת הסדר טיעון בעבירות של החזקת נשק שלא כדין, לפי </w:t>
      </w:r>
      <w:hyperlink r:id="rId12" w:history="1">
        <w:r w:rsidR="00745817" w:rsidRPr="00745817">
          <w:rPr>
            <w:rStyle w:val="Hyperlink"/>
            <w:rFonts w:ascii="Arial" w:hAnsi="Arial" w:hint="eastAsia"/>
            <w:sz w:val="28"/>
            <w:szCs w:val="28"/>
            <w:rtl/>
          </w:rPr>
          <w:t>סע</w:t>
        </w:r>
        <w:r w:rsidR="00745817" w:rsidRPr="00745817">
          <w:rPr>
            <w:rStyle w:val="Hyperlink"/>
            <w:rFonts w:ascii="Arial" w:hAnsi="Arial"/>
            <w:sz w:val="28"/>
            <w:szCs w:val="28"/>
            <w:rtl/>
          </w:rPr>
          <w:t>' 144 (א)</w:t>
        </w:r>
      </w:hyperlink>
      <w:r>
        <w:rPr>
          <w:rFonts w:ascii="Arial" w:hAnsi="Arial" w:hint="cs"/>
          <w:sz w:val="28"/>
          <w:szCs w:val="28"/>
          <w:rtl/>
        </w:rPr>
        <w:t xml:space="preserve"> ל</w:t>
      </w:r>
      <w:hyperlink r:id="rId13" w:history="1">
        <w:r w:rsidRPr="003B030A">
          <w:rPr>
            <w:rFonts w:ascii="Arial" w:hAnsi="Arial"/>
            <w:color w:val="0000FF"/>
            <w:sz w:val="28"/>
            <w:szCs w:val="28"/>
            <w:u w:val="single"/>
            <w:rtl/>
          </w:rPr>
          <w:t>חוק העונשין</w:t>
        </w:r>
      </w:hyperlink>
      <w:r>
        <w:rPr>
          <w:rFonts w:ascii="Arial" w:hAnsi="Arial" w:hint="cs"/>
          <w:sz w:val="28"/>
          <w:szCs w:val="28"/>
          <w:rtl/>
        </w:rPr>
        <w:t xml:space="preserve">, נהיגה בזמן פסילה לפי </w:t>
      </w:r>
      <w:hyperlink r:id="rId14" w:history="1">
        <w:r w:rsidR="00745817" w:rsidRPr="00745817">
          <w:rPr>
            <w:rStyle w:val="Hyperlink"/>
            <w:rFonts w:ascii="Arial" w:hAnsi="Arial" w:hint="eastAsia"/>
            <w:sz w:val="28"/>
            <w:szCs w:val="28"/>
            <w:rtl/>
          </w:rPr>
          <w:t>סע</w:t>
        </w:r>
        <w:r w:rsidR="00745817" w:rsidRPr="00745817">
          <w:rPr>
            <w:rStyle w:val="Hyperlink"/>
            <w:rFonts w:ascii="Arial" w:hAnsi="Arial"/>
            <w:sz w:val="28"/>
            <w:szCs w:val="28"/>
            <w:rtl/>
          </w:rPr>
          <w:t>' 67</w:t>
        </w:r>
      </w:hyperlink>
      <w:r>
        <w:rPr>
          <w:rFonts w:ascii="Arial" w:hAnsi="Arial" w:hint="cs"/>
          <w:sz w:val="28"/>
          <w:szCs w:val="28"/>
          <w:rtl/>
        </w:rPr>
        <w:t xml:space="preserve"> ל</w:t>
      </w:r>
      <w:hyperlink r:id="rId15" w:history="1">
        <w:r w:rsidRPr="003B030A">
          <w:rPr>
            <w:rFonts w:ascii="Arial" w:hAnsi="Arial"/>
            <w:color w:val="0000FF"/>
            <w:sz w:val="28"/>
            <w:szCs w:val="28"/>
            <w:u w:val="single"/>
            <w:rtl/>
          </w:rPr>
          <w:t>פקודת התעבורה</w:t>
        </w:r>
      </w:hyperlink>
      <w:r>
        <w:rPr>
          <w:rFonts w:ascii="Arial" w:hAnsi="Arial" w:hint="cs"/>
          <w:sz w:val="28"/>
          <w:szCs w:val="28"/>
          <w:rtl/>
        </w:rPr>
        <w:t xml:space="preserve">, ונהיגה ללא בטוח לפי </w:t>
      </w:r>
      <w:hyperlink r:id="rId16" w:history="1">
        <w:r w:rsidR="00745817" w:rsidRPr="00745817">
          <w:rPr>
            <w:rStyle w:val="Hyperlink"/>
            <w:rFonts w:ascii="Arial" w:hAnsi="Arial" w:hint="eastAsia"/>
            <w:sz w:val="28"/>
            <w:szCs w:val="28"/>
            <w:rtl/>
          </w:rPr>
          <w:t>סע</w:t>
        </w:r>
        <w:r w:rsidR="00745817" w:rsidRPr="00745817">
          <w:rPr>
            <w:rStyle w:val="Hyperlink"/>
            <w:rFonts w:ascii="Arial" w:hAnsi="Arial"/>
            <w:sz w:val="28"/>
            <w:szCs w:val="28"/>
            <w:rtl/>
          </w:rPr>
          <w:t>' 2</w:t>
        </w:r>
      </w:hyperlink>
      <w:r>
        <w:rPr>
          <w:rFonts w:ascii="Arial" w:hAnsi="Arial" w:hint="cs"/>
          <w:sz w:val="28"/>
          <w:szCs w:val="28"/>
          <w:rtl/>
        </w:rPr>
        <w:t xml:space="preserve"> </w:t>
      </w:r>
      <w:hyperlink r:id="rId17" w:history="1">
        <w:r w:rsidR="00745817" w:rsidRPr="00745817">
          <w:rPr>
            <w:rFonts w:ascii="Arial" w:hAnsi="Arial"/>
            <w:color w:val="0000FF"/>
            <w:sz w:val="28"/>
            <w:szCs w:val="28"/>
            <w:u w:val="single"/>
            <w:rtl/>
          </w:rPr>
          <w:t>לפקודת בטוח רכב מנועי.</w:t>
        </w:r>
      </w:hyperlink>
      <w:r>
        <w:rPr>
          <w:rFonts w:ascii="Arial" w:hAnsi="Arial" w:hint="cs"/>
          <w:sz w:val="28"/>
          <w:szCs w:val="28"/>
          <w:rtl/>
        </w:rPr>
        <w:t xml:space="preserve"> </w:t>
      </w:r>
    </w:p>
    <w:p w14:paraId="312470AD" w14:textId="77777777" w:rsidR="00B35585" w:rsidRDefault="003B030A">
      <w:pPr>
        <w:spacing w:line="360" w:lineRule="auto"/>
        <w:rPr>
          <w:rFonts w:ascii="Arial" w:hAnsi="Arial"/>
          <w:sz w:val="28"/>
          <w:szCs w:val="28"/>
          <w:rtl/>
        </w:rPr>
      </w:pPr>
      <w:bookmarkStart w:id="7" w:name="ABSTRACT_END"/>
      <w:bookmarkEnd w:id="7"/>
      <w:r>
        <w:rPr>
          <w:rFonts w:ascii="Arial" w:hAnsi="Arial" w:hint="cs"/>
          <w:sz w:val="28"/>
          <w:szCs w:val="28"/>
          <w:rtl/>
        </w:rPr>
        <w:lastRenderedPageBreak/>
        <w:t xml:space="preserve">כתב האישום תוקן כאמור במסגרת הסדר טיעון, והוסכם כי יגזר על הנאשם עונש מאסר בפועל לתקופה של 18 חודשים, תוך הפעלת עונש מאסר מתיק אחר, והצדדים יטענו באופן חופשי לענין הטלת מאסר ע"ת ופסילת רשיון נהיגה. </w:t>
      </w:r>
    </w:p>
    <w:p w14:paraId="5E0357D1" w14:textId="77777777" w:rsidR="00B35585" w:rsidRDefault="00B35585">
      <w:pPr>
        <w:spacing w:line="360" w:lineRule="auto"/>
        <w:rPr>
          <w:rFonts w:ascii="Arial" w:hAnsi="Arial"/>
          <w:sz w:val="28"/>
          <w:szCs w:val="28"/>
          <w:rtl/>
        </w:rPr>
      </w:pPr>
    </w:p>
    <w:p w14:paraId="414CC4E4" w14:textId="77777777" w:rsidR="00B35585" w:rsidRDefault="003B030A">
      <w:pPr>
        <w:spacing w:line="360" w:lineRule="auto"/>
        <w:rPr>
          <w:rFonts w:ascii="Arial" w:hAnsi="Arial"/>
          <w:sz w:val="28"/>
          <w:szCs w:val="28"/>
          <w:rtl/>
        </w:rPr>
      </w:pPr>
      <w:r>
        <w:rPr>
          <w:rFonts w:ascii="Arial" w:hAnsi="Arial" w:hint="cs"/>
          <w:sz w:val="28"/>
          <w:szCs w:val="28"/>
          <w:rtl/>
        </w:rPr>
        <w:t>אין חולק כי עבירת החזקת נשק היא עבירה חמורה, אולם יש ממש בטענת הסנגור כי חלקו של הנאשם בפרשה קטן יחסית.</w:t>
      </w:r>
    </w:p>
    <w:p w14:paraId="392A421C" w14:textId="77777777" w:rsidR="00B35585" w:rsidRDefault="003B030A">
      <w:pPr>
        <w:spacing w:line="360" w:lineRule="auto"/>
        <w:rPr>
          <w:rFonts w:ascii="Arial" w:hAnsi="Arial"/>
          <w:sz w:val="28"/>
          <w:szCs w:val="28"/>
          <w:rtl/>
        </w:rPr>
      </w:pPr>
      <w:r>
        <w:rPr>
          <w:rFonts w:ascii="Arial" w:hAnsi="Arial" w:hint="cs"/>
          <w:sz w:val="28"/>
          <w:szCs w:val="28"/>
          <w:rtl/>
        </w:rPr>
        <w:t>האקדח שנגנב שנים קודם לכן, היה מוחזק ע"י הקטין בלא שהנאשם היה מודע להימצאותו בידיו. הנאשם לא ידע שברשותו של הקטין אקדח, והדבר נודע לו רק בעת המרדף של המשטרה אחרי הרכב בו ישב הנאשם, כאשר הקטין מסר לו את האקדח והנאשם החביאו ברכב.</w:t>
      </w:r>
    </w:p>
    <w:p w14:paraId="2536F980" w14:textId="77777777" w:rsidR="00B35585" w:rsidRDefault="003B030A">
      <w:pPr>
        <w:spacing w:line="360" w:lineRule="auto"/>
        <w:rPr>
          <w:rFonts w:ascii="Arial" w:hAnsi="Arial"/>
          <w:sz w:val="28"/>
          <w:szCs w:val="28"/>
          <w:rtl/>
        </w:rPr>
      </w:pPr>
      <w:r>
        <w:rPr>
          <w:rFonts w:ascii="Arial" w:hAnsi="Arial" w:hint="cs"/>
          <w:sz w:val="28"/>
          <w:szCs w:val="28"/>
          <w:rtl/>
        </w:rPr>
        <w:t>החזקת האקדח נעשתה איפוא לפרק זמן של דקות ספורות, בלא שהנאשם היה מודע כאמור להימצאות האקדח בידי הקטין.</w:t>
      </w:r>
    </w:p>
    <w:p w14:paraId="490E685C" w14:textId="77777777" w:rsidR="00B35585" w:rsidRDefault="00B35585">
      <w:pPr>
        <w:spacing w:line="360" w:lineRule="auto"/>
        <w:rPr>
          <w:rFonts w:ascii="Arial" w:hAnsi="Arial"/>
          <w:sz w:val="28"/>
          <w:szCs w:val="28"/>
          <w:rtl/>
        </w:rPr>
      </w:pPr>
    </w:p>
    <w:p w14:paraId="48C6687D" w14:textId="77777777" w:rsidR="00B35585" w:rsidRDefault="003B030A">
      <w:pPr>
        <w:spacing w:line="360" w:lineRule="auto"/>
        <w:rPr>
          <w:rFonts w:ascii="Arial" w:hAnsi="Arial"/>
          <w:sz w:val="28"/>
          <w:szCs w:val="28"/>
          <w:rtl/>
        </w:rPr>
      </w:pPr>
      <w:r>
        <w:rPr>
          <w:rFonts w:ascii="Arial" w:hAnsi="Arial" w:hint="cs"/>
          <w:sz w:val="28"/>
          <w:szCs w:val="28"/>
          <w:rtl/>
        </w:rPr>
        <w:t xml:space="preserve">העבירה של נהיגה בזמן פסילה אינה מתייחסת לרכב שבו נתפס האקדח, כיוון שהנאשם לא נהג ברכב זה, אלא מתייחסת לנהיגת הנאשם בקטנוע שעליו הסיע את הקטין, זאת בעודו פסול מלנהוג לאחר שהורשע בבית משפט לתעבורה בגין גרימת ת.ד. שבה נפגע הולך רגל חבלה של ממש, והנאשם נטש את המקום בלא להושיט עזרה להולך הרגל. </w:t>
      </w:r>
    </w:p>
    <w:p w14:paraId="7EA35FCB" w14:textId="77777777" w:rsidR="00B35585" w:rsidRDefault="003B030A">
      <w:pPr>
        <w:spacing w:line="360" w:lineRule="auto"/>
        <w:rPr>
          <w:rFonts w:ascii="Arial" w:hAnsi="Arial"/>
          <w:sz w:val="28"/>
          <w:szCs w:val="28"/>
          <w:rtl/>
        </w:rPr>
      </w:pPr>
      <w:r>
        <w:rPr>
          <w:rFonts w:ascii="Arial" w:hAnsi="Arial" w:hint="cs"/>
          <w:sz w:val="28"/>
          <w:szCs w:val="28"/>
          <w:rtl/>
        </w:rPr>
        <w:t>לאור תסקיר שרות המבחן בדבר מצבו המשפחתי של הנאשם ורקעו האישי, ומאחר שמדובר בבחור בן 20 שמעולם לא ישב מאחורי סורג ובריח, נראה כי עונש המאסר שהוסכם עליו הולם את נסיבות העבירות ויש מקום לכבדו.</w:t>
      </w:r>
    </w:p>
    <w:p w14:paraId="5C9EED86" w14:textId="77777777" w:rsidR="00B35585" w:rsidRDefault="00B35585">
      <w:pPr>
        <w:spacing w:line="360" w:lineRule="auto"/>
        <w:rPr>
          <w:rFonts w:ascii="Arial" w:hAnsi="Arial"/>
          <w:sz w:val="28"/>
          <w:szCs w:val="28"/>
          <w:rtl/>
        </w:rPr>
      </w:pPr>
    </w:p>
    <w:p w14:paraId="580B1468" w14:textId="77777777" w:rsidR="00B35585" w:rsidRDefault="003B030A">
      <w:pPr>
        <w:spacing w:line="360" w:lineRule="auto"/>
        <w:rPr>
          <w:rFonts w:ascii="Arial" w:hAnsi="Arial"/>
          <w:sz w:val="28"/>
          <w:szCs w:val="28"/>
          <w:rtl/>
        </w:rPr>
      </w:pPr>
      <w:r>
        <w:rPr>
          <w:rFonts w:ascii="Arial" w:hAnsi="Arial" w:hint="cs"/>
          <w:sz w:val="28"/>
          <w:szCs w:val="28"/>
          <w:rtl/>
        </w:rPr>
        <w:t>אני גוזר על הנאשם 18 חודשי מאסר בפועל, מפעיל את עונש המאסר ע"ת בן 10 חודשים שנגזר עליו בתיק 2100-07-13 בבית המשפט לתעבורה בת"א, ועל פי המוסכם בין הצדדים, עונש המאסר ע"ת יופעל בחופף לעונש המאסר שנגזר בתיק זה.</w:t>
      </w:r>
    </w:p>
    <w:p w14:paraId="3C1AB4BF" w14:textId="77777777" w:rsidR="00B35585" w:rsidRDefault="00B35585">
      <w:pPr>
        <w:spacing w:line="360" w:lineRule="auto"/>
        <w:rPr>
          <w:rFonts w:ascii="Arial" w:hAnsi="Arial"/>
          <w:sz w:val="28"/>
          <w:szCs w:val="28"/>
          <w:rtl/>
        </w:rPr>
      </w:pPr>
    </w:p>
    <w:p w14:paraId="6794CA7E" w14:textId="77777777" w:rsidR="00B35585" w:rsidRDefault="003B030A">
      <w:pPr>
        <w:spacing w:line="360" w:lineRule="auto"/>
        <w:rPr>
          <w:rFonts w:ascii="Arial" w:hAnsi="Arial"/>
          <w:sz w:val="28"/>
          <w:szCs w:val="28"/>
          <w:rtl/>
        </w:rPr>
      </w:pPr>
      <w:r>
        <w:rPr>
          <w:rFonts w:ascii="Arial" w:hAnsi="Arial" w:hint="cs"/>
          <w:sz w:val="28"/>
          <w:szCs w:val="28"/>
          <w:rtl/>
        </w:rPr>
        <w:t xml:space="preserve">על הנאשם לשאת איפוא בעונש מאסר ממשי לתקופה של 18 חודשים החל מיום 19.1.15 ובניכוי תקופת מעצרו של הנאשם בגין תיק זה מ- 17.2.14 עד 9.6.14. </w:t>
      </w:r>
    </w:p>
    <w:p w14:paraId="52292C13" w14:textId="77777777" w:rsidR="00B35585" w:rsidRDefault="003B030A">
      <w:pPr>
        <w:spacing w:line="360" w:lineRule="auto"/>
        <w:rPr>
          <w:rFonts w:ascii="Arial" w:hAnsi="Arial"/>
          <w:sz w:val="28"/>
          <w:szCs w:val="28"/>
          <w:rtl/>
        </w:rPr>
      </w:pPr>
      <w:r>
        <w:rPr>
          <w:rFonts w:ascii="Arial" w:hAnsi="Arial" w:hint="cs"/>
          <w:sz w:val="28"/>
          <w:szCs w:val="28"/>
          <w:rtl/>
        </w:rPr>
        <w:t>כמו כן אני מטיל על הנאשם שנה מאסר ע"ת שלא יעבור תוך 3 שנים מיום שחרורו מהמאסר עבירת נשק, וכן ששה חודשי מאסר ע"ת שלא יעבור תוך 3 שנים מיום שחרורו ממאסר עבירה של נהיגה בזמן פסילה.</w:t>
      </w:r>
    </w:p>
    <w:p w14:paraId="108CA8C0" w14:textId="77777777" w:rsidR="00B35585" w:rsidRDefault="003B030A">
      <w:pPr>
        <w:spacing w:line="360" w:lineRule="auto"/>
        <w:rPr>
          <w:rFonts w:ascii="Arial" w:hAnsi="Arial"/>
          <w:sz w:val="28"/>
          <w:szCs w:val="28"/>
          <w:rtl/>
        </w:rPr>
      </w:pPr>
      <w:r>
        <w:rPr>
          <w:rFonts w:ascii="Arial" w:hAnsi="Arial" w:hint="cs"/>
          <w:sz w:val="28"/>
          <w:szCs w:val="28"/>
          <w:rtl/>
        </w:rPr>
        <w:lastRenderedPageBreak/>
        <w:t>אני פוסל את הנאשם מלקבל או להחזיק רשיון לנהיגת רכב מנועי מסוג כלשהו לתקופה של שנה, ומפעיל את עונש הפסילה המותנה בן ששה חודשים שנגזר בתיק 2100-07-13 בבית משפט לתעבורה, במצטבר כך שעל הנאשם מוטל עונש פסילת רשיון לתקופה של 18 חודשים מתום הפסילה שנגזרה עליו בתיק הקודם.</w:t>
      </w:r>
    </w:p>
    <w:p w14:paraId="7F328B0A" w14:textId="77777777" w:rsidR="00B35585" w:rsidRDefault="003B030A">
      <w:pPr>
        <w:spacing w:line="360" w:lineRule="auto"/>
        <w:rPr>
          <w:rFonts w:ascii="Arial" w:hAnsi="Arial"/>
          <w:sz w:val="28"/>
          <w:szCs w:val="28"/>
          <w:rtl/>
        </w:rPr>
      </w:pPr>
      <w:r>
        <w:rPr>
          <w:rFonts w:ascii="Arial" w:hAnsi="Arial" w:hint="cs"/>
          <w:sz w:val="28"/>
          <w:szCs w:val="28"/>
          <w:rtl/>
        </w:rPr>
        <w:t xml:space="preserve">כמו כן אני מורה לחלט את האקדח, המחסנית והכדורים שנתפסו במסגרת החקירה. </w:t>
      </w:r>
    </w:p>
    <w:p w14:paraId="510CEECD" w14:textId="77777777" w:rsidR="00B35585" w:rsidRDefault="00B35585">
      <w:pPr>
        <w:spacing w:line="360" w:lineRule="auto"/>
        <w:rPr>
          <w:rFonts w:ascii="Arial" w:hAnsi="Arial"/>
          <w:sz w:val="28"/>
          <w:szCs w:val="28"/>
          <w:rtl/>
        </w:rPr>
      </w:pPr>
    </w:p>
    <w:p w14:paraId="78320529" w14:textId="77777777" w:rsidR="00B35585" w:rsidRDefault="003B030A">
      <w:pPr>
        <w:spacing w:line="360" w:lineRule="auto"/>
        <w:rPr>
          <w:rFonts w:ascii="Arial" w:hAnsi="Arial"/>
          <w:sz w:val="28"/>
          <w:szCs w:val="28"/>
        </w:rPr>
      </w:pPr>
      <w:r>
        <w:rPr>
          <w:rFonts w:ascii="Arial" w:hAnsi="Arial" w:hint="cs"/>
          <w:sz w:val="28"/>
          <w:szCs w:val="28"/>
          <w:rtl/>
        </w:rPr>
        <w:t>זכות ערעור תוך 45 יום.</w:t>
      </w:r>
    </w:p>
    <w:p w14:paraId="31FCFC2B" w14:textId="77777777" w:rsidR="00B35585" w:rsidRDefault="003B030A">
      <w:pPr>
        <w:spacing w:line="360" w:lineRule="auto"/>
        <w:rPr>
          <w:rFonts w:ascii="Arial" w:hAnsi="Arial"/>
          <w:sz w:val="6"/>
          <w:szCs w:val="6"/>
          <w:rtl/>
        </w:rPr>
      </w:pPr>
      <w:r w:rsidRPr="003B030A">
        <w:rPr>
          <w:rFonts w:ascii="Arial" w:hAnsi="Arial"/>
          <w:color w:val="FFFFFF"/>
          <w:sz w:val="2"/>
          <w:szCs w:val="2"/>
          <w:rtl/>
        </w:rPr>
        <w:t>5129371</w:t>
      </w:r>
      <w:r>
        <w:rPr>
          <w:rFonts w:ascii="Arial" w:hAnsi="Arial"/>
          <w:sz w:val="6"/>
          <w:szCs w:val="6"/>
          <w:rtl/>
        </w:rPr>
        <w:t>&lt;#3#&gt;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35585" w14:paraId="5510BCA5" w14:textId="77777777">
        <w:trPr>
          <w:trHeight w:val="316"/>
          <w:jc w:val="right"/>
        </w:trPr>
        <w:tc>
          <w:tcPr>
            <w:tcW w:w="3936" w:type="dxa"/>
          </w:tcPr>
          <w:p w14:paraId="5162C447" w14:textId="77777777" w:rsidR="00B35585" w:rsidRDefault="003B030A">
            <w:pPr>
              <w:jc w:val="center"/>
              <w:rPr>
                <w:rFonts w:ascii="Times New Roman" w:eastAsia="Times New Roman" w:hAnsi="Times New Roman" w:cs="Times New Roman"/>
                <w:rtl/>
              </w:rPr>
            </w:pPr>
            <w:r w:rsidRPr="003B030A">
              <w:rPr>
                <w:b/>
                <w:bCs/>
                <w:color w:val="FFFFFF"/>
                <w:sz w:val="2"/>
                <w:szCs w:val="2"/>
                <w:rtl/>
              </w:rPr>
              <w:t>54678313</w:t>
            </w:r>
            <w:r>
              <w:rPr>
                <w:b/>
                <w:bCs/>
                <w:rtl/>
              </w:rPr>
              <w:t xml:space="preserve">ניתן והודע היום ל' שבט תשע"ה, 19/02/2015 במעמד הנוכחים. </w:t>
            </w:r>
          </w:p>
        </w:tc>
      </w:tr>
      <w:tr w:rsidR="00B35585" w14:paraId="77616CFE" w14:textId="77777777">
        <w:trPr>
          <w:trHeight w:val="361"/>
          <w:jc w:val="right"/>
        </w:trPr>
        <w:tc>
          <w:tcPr>
            <w:tcW w:w="3936" w:type="dxa"/>
          </w:tcPr>
          <w:p w14:paraId="7E21F282" w14:textId="77777777" w:rsidR="00B35585" w:rsidRDefault="003B030A">
            <w:pPr>
              <w:jc w:val="center"/>
              <w:rPr>
                <w:rFonts w:ascii="Times New Roman" w:eastAsia="Times New Roman" w:hAnsi="Times New Roman"/>
                <w:b/>
                <w:bCs/>
                <w:rtl/>
              </w:rPr>
            </w:pPr>
            <w:r>
              <w:rPr>
                <w:rFonts w:ascii="Times New Roman" w:eastAsia="Times New Roman" w:hAnsi="Times New Roman" w:hint="cs"/>
                <w:b/>
                <w:bCs/>
                <w:rtl/>
              </w:rPr>
              <w:t>צבי גורפינקל</w:t>
            </w:r>
            <w:r>
              <w:rPr>
                <w:rFonts w:ascii="Times New Roman" w:eastAsia="Times New Roman" w:hAnsi="Times New Roman"/>
                <w:b/>
                <w:bCs/>
                <w:rtl/>
              </w:rPr>
              <w:t xml:space="preserve"> </w:t>
            </w:r>
            <w:r>
              <w:rPr>
                <w:rFonts w:ascii="Times New Roman" w:eastAsia="Times New Roman" w:hAnsi="Times New Roman" w:hint="cs"/>
                <w:b/>
                <w:bCs/>
                <w:rtl/>
              </w:rPr>
              <w:t>, שופט בכיר</w:t>
            </w:r>
            <w:r>
              <w:rPr>
                <w:rFonts w:ascii="Times New Roman" w:eastAsia="Times New Roman" w:hAnsi="Times New Roman"/>
                <w:b/>
                <w:bCs/>
                <w:rtl/>
              </w:rPr>
              <w:t xml:space="preserve"> </w:t>
            </w:r>
          </w:p>
        </w:tc>
      </w:tr>
    </w:tbl>
    <w:p w14:paraId="6F9F5191" w14:textId="77777777" w:rsidR="00B35585" w:rsidRDefault="003B030A">
      <w:pPr>
        <w:jc w:val="right"/>
        <w:rPr>
          <w:rtl/>
        </w:rPr>
      </w:pPr>
      <w:r>
        <w:rPr>
          <w:rtl/>
        </w:rPr>
        <w:t xml:space="preserve"> </w:t>
      </w:r>
      <w:bookmarkStart w:id="8" w:name="_GoBack"/>
      <w:bookmarkEnd w:id="8"/>
    </w:p>
    <w:p w14:paraId="4E092D46" w14:textId="77777777" w:rsidR="00B35585" w:rsidRDefault="003B030A">
      <w:r>
        <w:rPr>
          <w:rtl/>
        </w:rPr>
        <w:t>הוקלד</w:t>
      </w:r>
      <w:r>
        <w:t xml:space="preserve"> </w:t>
      </w:r>
      <w:r>
        <w:rPr>
          <w:rtl/>
        </w:rPr>
        <w:t>על</w:t>
      </w:r>
      <w:r>
        <w:t xml:space="preserve"> </w:t>
      </w:r>
      <w:r>
        <w:rPr>
          <w:rtl/>
        </w:rPr>
        <w:t>ידי</w:t>
      </w:r>
      <w:r>
        <w:t xml:space="preserve"> </w:t>
      </w:r>
      <w:r>
        <w:rPr>
          <w:rtl/>
        </w:rPr>
        <w:t>ליאת</w:t>
      </w:r>
      <w:r>
        <w:t xml:space="preserve"> </w:t>
      </w:r>
      <w:r>
        <w:rPr>
          <w:rtl/>
        </w:rPr>
        <w:t>כהן</w:t>
      </w:r>
    </w:p>
    <w:p w14:paraId="511AAB2C" w14:textId="77777777" w:rsidR="003B030A" w:rsidRPr="003B030A" w:rsidRDefault="003B030A" w:rsidP="003B030A">
      <w:pPr>
        <w:keepNext/>
        <w:rPr>
          <w:color w:val="000000"/>
          <w:sz w:val="22"/>
          <w:szCs w:val="22"/>
          <w:rtl/>
        </w:rPr>
      </w:pPr>
    </w:p>
    <w:p w14:paraId="0725A189" w14:textId="77777777" w:rsidR="003B030A" w:rsidRPr="003B030A" w:rsidRDefault="003B030A" w:rsidP="003B030A">
      <w:pPr>
        <w:keepNext/>
        <w:rPr>
          <w:color w:val="000000"/>
          <w:sz w:val="22"/>
          <w:szCs w:val="22"/>
          <w:rtl/>
        </w:rPr>
      </w:pPr>
      <w:r w:rsidRPr="003B030A">
        <w:rPr>
          <w:color w:val="000000"/>
          <w:sz w:val="22"/>
          <w:szCs w:val="22"/>
          <w:rtl/>
        </w:rPr>
        <w:t>צבי גורפינקל 54678313</w:t>
      </w:r>
    </w:p>
    <w:p w14:paraId="49B2C37C" w14:textId="77777777" w:rsidR="003B030A" w:rsidRDefault="003B030A" w:rsidP="003B030A">
      <w:r w:rsidRPr="003B030A">
        <w:rPr>
          <w:color w:val="000000"/>
          <w:rtl/>
        </w:rPr>
        <w:t>נוסח מסמך זה כפוף לשינויי ניסוח ועריכה</w:t>
      </w:r>
    </w:p>
    <w:p w14:paraId="6A024728" w14:textId="77777777" w:rsidR="003B030A" w:rsidRDefault="003B030A" w:rsidP="003B030A">
      <w:pPr>
        <w:rPr>
          <w:rtl/>
        </w:rPr>
      </w:pPr>
    </w:p>
    <w:p w14:paraId="7470C4EF" w14:textId="77777777" w:rsidR="003B030A" w:rsidRDefault="003B030A" w:rsidP="003B030A">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5400B3F" w14:textId="77777777" w:rsidR="00B35585" w:rsidRPr="003B030A" w:rsidRDefault="00B35585" w:rsidP="003B030A">
      <w:pPr>
        <w:jc w:val="center"/>
        <w:rPr>
          <w:color w:val="0000FF"/>
          <w:u w:val="single"/>
        </w:rPr>
      </w:pPr>
    </w:p>
    <w:sectPr w:rsidR="00B35585" w:rsidRPr="003B030A" w:rsidSect="003B030A">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C5252" w14:textId="77777777" w:rsidR="001009A1" w:rsidRPr="00B35192" w:rsidRDefault="001009A1">
      <w:pPr>
        <w:rPr>
          <w:rFonts w:cs="Arial"/>
          <w:szCs w:val="20"/>
        </w:rPr>
      </w:pPr>
      <w:r>
        <w:separator/>
      </w:r>
    </w:p>
  </w:endnote>
  <w:endnote w:type="continuationSeparator" w:id="0">
    <w:p w14:paraId="7E25D876" w14:textId="77777777" w:rsidR="001009A1" w:rsidRPr="00B35192" w:rsidRDefault="001009A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FBD6" w14:textId="77777777" w:rsidR="003B030A" w:rsidRDefault="003B030A" w:rsidP="003B03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0C8D3256" w14:textId="77777777" w:rsidR="00B35585" w:rsidRPr="003B030A" w:rsidRDefault="003B030A" w:rsidP="003B030A">
    <w:pPr>
      <w:pStyle w:val="a4"/>
      <w:pBdr>
        <w:top w:val="single" w:sz="4" w:space="1" w:color="auto"/>
        <w:between w:val="single" w:sz="4" w:space="0" w:color="auto"/>
      </w:pBdr>
      <w:spacing w:after="60"/>
      <w:jc w:val="center"/>
      <w:rPr>
        <w:rFonts w:ascii="FrankRuehl" w:hAnsi="FrankRuehl" w:cs="FrankRuehl"/>
        <w:color w:val="000000"/>
      </w:rPr>
    </w:pPr>
    <w:r w:rsidRPr="003B03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A8C34" w14:textId="77777777" w:rsidR="003B030A" w:rsidRDefault="003B030A" w:rsidP="003B03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146F">
      <w:rPr>
        <w:rFonts w:ascii="FrankRuehl" w:hAnsi="FrankRuehl" w:cs="FrankRuehl"/>
        <w:noProof/>
        <w:rtl/>
      </w:rPr>
      <w:t>3</w:t>
    </w:r>
    <w:r>
      <w:rPr>
        <w:rFonts w:ascii="FrankRuehl" w:hAnsi="FrankRuehl" w:cs="FrankRuehl"/>
        <w:rtl/>
      </w:rPr>
      <w:fldChar w:fldCharType="end"/>
    </w:r>
  </w:p>
  <w:p w14:paraId="4C0178C9" w14:textId="77777777" w:rsidR="00B35585" w:rsidRPr="003B030A" w:rsidRDefault="003B030A" w:rsidP="003B030A">
    <w:pPr>
      <w:pStyle w:val="a4"/>
      <w:pBdr>
        <w:top w:val="single" w:sz="4" w:space="1" w:color="auto"/>
        <w:between w:val="single" w:sz="4" w:space="0" w:color="auto"/>
      </w:pBdr>
      <w:spacing w:after="60"/>
      <w:jc w:val="center"/>
      <w:rPr>
        <w:rFonts w:ascii="FrankRuehl" w:hAnsi="FrankRuehl" w:cs="FrankRuehl"/>
        <w:color w:val="000000"/>
      </w:rPr>
    </w:pPr>
    <w:r w:rsidRPr="003B030A">
      <w:rPr>
        <w:rFonts w:ascii="FrankRuehl" w:hAnsi="FrankRuehl" w:cs="FrankRuehl"/>
        <w:color w:val="000000"/>
      </w:rPr>
      <w:pict w14:anchorId="7F4EA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BF08" w14:textId="77777777" w:rsidR="001009A1" w:rsidRPr="00B35192" w:rsidRDefault="001009A1">
      <w:pPr>
        <w:rPr>
          <w:rFonts w:cs="Arial"/>
          <w:szCs w:val="20"/>
        </w:rPr>
      </w:pPr>
      <w:r>
        <w:separator/>
      </w:r>
    </w:p>
  </w:footnote>
  <w:footnote w:type="continuationSeparator" w:id="0">
    <w:p w14:paraId="44BCAE85" w14:textId="77777777" w:rsidR="001009A1" w:rsidRPr="00B35192" w:rsidRDefault="001009A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B774E" w14:textId="77777777" w:rsidR="003B030A" w:rsidRPr="003B030A" w:rsidRDefault="003B030A" w:rsidP="003B030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6604-03-14</w:t>
    </w:r>
    <w:r>
      <w:rPr>
        <w:color w:val="000000"/>
        <w:sz w:val="22"/>
        <w:szCs w:val="22"/>
        <w:rtl/>
      </w:rPr>
      <w:tab/>
      <w:t xml:space="preserve"> מדינת ישראל נ' איברהים סיכסיכ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B0C45" w14:textId="77777777" w:rsidR="003B030A" w:rsidRPr="003B030A" w:rsidRDefault="003B030A" w:rsidP="003B030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6604-03-14</w:t>
    </w:r>
    <w:r>
      <w:rPr>
        <w:color w:val="000000"/>
        <w:sz w:val="22"/>
        <w:szCs w:val="22"/>
        <w:rtl/>
      </w:rPr>
      <w:tab/>
      <w:t xml:space="preserve"> מדינת ישראל נ' איברהים סיכסיכ הובא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5585"/>
    <w:rsid w:val="001009A1"/>
    <w:rsid w:val="003B030A"/>
    <w:rsid w:val="0048146F"/>
    <w:rsid w:val="00745817"/>
    <w:rsid w:val="00B35585"/>
    <w:rsid w:val="00E21B25"/>
    <w:rsid w:val="00E94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522C15"/>
  <w15:chartTrackingRefBased/>
  <w15:docId w15:val="{5A03B492-CB59-4C3D-803F-D6EC792E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558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35585"/>
    <w:pPr>
      <w:tabs>
        <w:tab w:val="center" w:pos="4153"/>
        <w:tab w:val="right" w:pos="8306"/>
      </w:tabs>
    </w:pPr>
  </w:style>
  <w:style w:type="paragraph" w:styleId="a4">
    <w:name w:val="footer"/>
    <w:basedOn w:val="a"/>
    <w:rsid w:val="00B35585"/>
    <w:pPr>
      <w:tabs>
        <w:tab w:val="center" w:pos="4153"/>
        <w:tab w:val="right" w:pos="8306"/>
      </w:tabs>
    </w:pPr>
  </w:style>
  <w:style w:type="character" w:styleId="a5">
    <w:name w:val="page number"/>
    <w:basedOn w:val="a0"/>
    <w:rsid w:val="00B35585"/>
  </w:style>
  <w:style w:type="paragraph" w:customStyle="1" w:styleId="12">
    <w:name w:val="רגיל + ‏12 נק'"/>
    <w:aliases w:val="מיושר לשני הצדדים,מרווח בין שורות:  שורה וחצי"/>
    <w:basedOn w:val="a"/>
    <w:rsid w:val="00B35585"/>
    <w:rPr>
      <w:rFonts w:ascii="Times New Roman" w:eastAsia="Times New Roman" w:hAnsi="Times New Roman"/>
      <w:b/>
      <w:bCs/>
      <w:u w:val="single"/>
    </w:rPr>
  </w:style>
  <w:style w:type="character" w:styleId="a6">
    <w:name w:val="line number"/>
    <w:basedOn w:val="a0"/>
    <w:rsid w:val="00B35585"/>
  </w:style>
  <w:style w:type="character" w:styleId="Hyperlink">
    <w:name w:val="Hyperlink"/>
    <w:basedOn w:val="a0"/>
    <w:rsid w:val="003B0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4501" TargetMode="External"/><Relationship Id="rId2" Type="http://schemas.openxmlformats.org/officeDocument/2006/relationships/settings" Target="settings.xml"/><Relationship Id="rId16" Type="http://schemas.openxmlformats.org/officeDocument/2006/relationships/hyperlink" Target="http://www.nevo.co.il/law/74501/2"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501/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fontTable" Target="fontTable.xml"/><Relationship Id="rId10" Type="http://schemas.openxmlformats.org/officeDocument/2006/relationships/hyperlink" Target="http://www.nevo.co.il/law/74501"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5227/67" TargetMode="External"/><Relationship Id="rId14" Type="http://schemas.openxmlformats.org/officeDocument/2006/relationships/hyperlink" Target="http://www.nevo.co.il/law/5227/6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3359</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4022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8257634</vt:i4>
      </vt:variant>
      <vt:variant>
        <vt:i4>33</vt:i4>
      </vt:variant>
      <vt:variant>
        <vt:i4>0</vt:i4>
      </vt:variant>
      <vt:variant>
        <vt:i4>5</vt:i4>
      </vt:variant>
      <vt:variant>
        <vt:lpwstr>http://www.nevo.co.il/law/74501</vt:lpwstr>
      </vt:variant>
      <vt:variant>
        <vt:lpwstr/>
      </vt:variant>
      <vt:variant>
        <vt:i4>5308499</vt:i4>
      </vt:variant>
      <vt:variant>
        <vt:i4>30</vt:i4>
      </vt:variant>
      <vt:variant>
        <vt:i4>0</vt:i4>
      </vt:variant>
      <vt:variant>
        <vt:i4>5</vt:i4>
      </vt:variant>
      <vt:variant>
        <vt:lpwstr>http://www.nevo.co.il/law/74501/2</vt:lpwstr>
      </vt:variant>
      <vt:variant>
        <vt:lpwstr/>
      </vt:variant>
      <vt:variant>
        <vt:i4>8323175</vt:i4>
      </vt:variant>
      <vt:variant>
        <vt:i4>27</vt:i4>
      </vt:variant>
      <vt:variant>
        <vt:i4>0</vt:i4>
      </vt:variant>
      <vt:variant>
        <vt:i4>5</vt:i4>
      </vt:variant>
      <vt:variant>
        <vt:lpwstr>http://www.nevo.co.il/law/5227</vt:lpwstr>
      </vt:variant>
      <vt:variant>
        <vt:lpwstr/>
      </vt:variant>
      <vt:variant>
        <vt:i4>4784200</vt:i4>
      </vt:variant>
      <vt:variant>
        <vt:i4>24</vt:i4>
      </vt:variant>
      <vt:variant>
        <vt:i4>0</vt:i4>
      </vt:variant>
      <vt:variant>
        <vt:i4>5</vt:i4>
      </vt:variant>
      <vt:variant>
        <vt:lpwstr>http://www.nevo.co.il/law/5227/67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5308499</vt:i4>
      </vt:variant>
      <vt:variant>
        <vt:i4>15</vt:i4>
      </vt:variant>
      <vt:variant>
        <vt:i4>0</vt:i4>
      </vt:variant>
      <vt:variant>
        <vt:i4>5</vt:i4>
      </vt:variant>
      <vt:variant>
        <vt:lpwstr>http://www.nevo.co.il/law/74501/2</vt:lpwstr>
      </vt:variant>
      <vt:variant>
        <vt:lpwstr/>
      </vt:variant>
      <vt:variant>
        <vt:i4>8257634</vt:i4>
      </vt:variant>
      <vt:variant>
        <vt:i4>12</vt:i4>
      </vt:variant>
      <vt:variant>
        <vt:i4>0</vt:i4>
      </vt:variant>
      <vt:variant>
        <vt:i4>5</vt:i4>
      </vt:variant>
      <vt:variant>
        <vt:lpwstr>http://www.nevo.co.il/law/74501</vt:lpwstr>
      </vt:variant>
      <vt:variant>
        <vt:lpwstr/>
      </vt:variant>
      <vt:variant>
        <vt:i4>4784200</vt:i4>
      </vt:variant>
      <vt:variant>
        <vt:i4>9</vt:i4>
      </vt:variant>
      <vt:variant>
        <vt:i4>0</vt:i4>
      </vt:variant>
      <vt:variant>
        <vt:i4>5</vt:i4>
      </vt:variant>
      <vt:variant>
        <vt:lpwstr>http://www.nevo.co.il/law/5227/67</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6604</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איברהים סיכסיכ הובא</vt:lpwstr>
  </property>
  <property fmtid="{D5CDD505-2E9C-101B-9397-08002B2CF9AE}" pid="10" name="LAWYER">
    <vt:lpwstr>;ריכטנברג;הליווי;סיכסיכ הובא</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20150219</vt:lpwstr>
  </property>
  <property fmtid="{D5CDD505-2E9C-101B-9397-08002B2CF9AE}" pid="14" name="TYPE_N_DATE">
    <vt:lpwstr>39020150219</vt:lpwstr>
  </property>
  <property fmtid="{D5CDD505-2E9C-101B-9397-08002B2CF9AE}" pid="15" name="WORDNUMPAGES">
    <vt:lpwstr>3</vt:lpwstr>
  </property>
  <property fmtid="{D5CDD505-2E9C-101B-9397-08002B2CF9AE}" pid="16" name="TYPE_ABS_DATE">
    <vt:lpwstr>390020150219</vt:lpwstr>
  </property>
  <property fmtid="{D5CDD505-2E9C-101B-9397-08002B2CF9AE}" pid="17" name="ISABSTRACT">
    <vt:lpwstr>Y</vt:lpwstr>
  </property>
  <property fmtid="{D5CDD505-2E9C-101B-9397-08002B2CF9AE}" pid="18" name="LAWLISTTMP1">
    <vt:lpwstr>70301/144.a</vt:lpwstr>
  </property>
  <property fmtid="{D5CDD505-2E9C-101B-9397-08002B2CF9AE}" pid="19" name="LAWLISTTMP2">
    <vt:lpwstr>5227/067</vt:lpwstr>
  </property>
  <property fmtid="{D5CDD505-2E9C-101B-9397-08002B2CF9AE}" pid="20" name="LAWLISTTMP3">
    <vt:lpwstr>74501/002</vt:lpwstr>
  </property>
</Properties>
</file>