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3AF6E" w14:textId="77777777" w:rsidR="00156078" w:rsidRPr="00165560" w:rsidRDefault="00EF07F7" w:rsidP="00156078">
      <w:pPr>
        <w:pStyle w:val="a4"/>
        <w:rPr>
          <w:rFonts w:hint="cs"/>
        </w:rPr>
      </w:pPr>
      <w:r>
        <w:rPr>
          <w:rFonts w:hint="cs"/>
          <w:rtl/>
        </w:rPr>
        <w:t xml:space="preserve"> </w:t>
      </w:r>
    </w:p>
    <w:p w14:paraId="2B2DF11E" w14:textId="77777777" w:rsidR="00E635D9" w:rsidRPr="00165560" w:rsidRDefault="00E635D9">
      <w:pPr>
        <w:pStyle w:val="a4"/>
        <w:tabs>
          <w:tab w:val="clear" w:pos="8306"/>
        </w:tabs>
        <w:jc w:val="center"/>
        <w:rPr>
          <w:rtl/>
        </w:rPr>
      </w:pPr>
    </w:p>
    <w:tbl>
      <w:tblPr>
        <w:bidiVisual/>
        <w:tblW w:w="0" w:type="auto"/>
        <w:jc w:val="center"/>
        <w:tblLook w:val="0000" w:firstRow="0" w:lastRow="0" w:firstColumn="0" w:lastColumn="0" w:noHBand="0" w:noVBand="0"/>
      </w:tblPr>
      <w:tblGrid>
        <w:gridCol w:w="6396"/>
        <w:gridCol w:w="236"/>
        <w:gridCol w:w="2088"/>
      </w:tblGrid>
      <w:tr w:rsidR="00E635D9" w:rsidRPr="00165560" w14:paraId="243A98B2" w14:textId="77777777">
        <w:trPr>
          <w:trHeight w:hRule="exact" w:val="418"/>
          <w:jc w:val="center"/>
        </w:trPr>
        <w:tc>
          <w:tcPr>
            <w:tcW w:w="8720" w:type="dxa"/>
            <w:gridSpan w:val="3"/>
          </w:tcPr>
          <w:p w14:paraId="1C87E3CB" w14:textId="77777777" w:rsidR="00E635D9" w:rsidRPr="00165560" w:rsidRDefault="00156078">
            <w:pPr>
              <w:pStyle w:val="a4"/>
              <w:tabs>
                <w:tab w:val="clear" w:pos="8306"/>
              </w:tabs>
              <w:jc w:val="center"/>
              <w:rPr>
                <w:rFonts w:ascii="Tahoma" w:hAnsi="Tahoma"/>
                <w:b/>
                <w:bCs/>
                <w:color w:val="000080"/>
                <w:sz w:val="20"/>
                <w:szCs w:val="20"/>
                <w:rtl/>
              </w:rPr>
            </w:pPr>
            <w:r w:rsidRPr="00165560">
              <w:rPr>
                <w:rFonts w:ascii="Tahoma" w:hAnsi="Tahoma"/>
                <w:b/>
                <w:bCs/>
                <w:color w:val="000080"/>
                <w:sz w:val="20"/>
                <w:szCs w:val="20"/>
                <w:rtl/>
              </w:rPr>
              <w:t>בית המשפט המחוזי מרכז-לוד</w:t>
            </w:r>
          </w:p>
        </w:tc>
      </w:tr>
      <w:tr w:rsidR="00E635D9" w:rsidRPr="00165560" w14:paraId="33673757" w14:textId="77777777">
        <w:trPr>
          <w:trHeight w:val="337"/>
          <w:jc w:val="center"/>
        </w:trPr>
        <w:tc>
          <w:tcPr>
            <w:tcW w:w="6396" w:type="dxa"/>
          </w:tcPr>
          <w:p w14:paraId="7700B61C" w14:textId="77777777" w:rsidR="00E635D9" w:rsidRPr="00165560" w:rsidRDefault="00156078">
            <w:pPr>
              <w:rPr>
                <w:b/>
                <w:bCs/>
                <w:sz w:val="26"/>
                <w:szCs w:val="26"/>
                <w:rtl/>
              </w:rPr>
            </w:pPr>
            <w:r w:rsidRPr="00165560">
              <w:rPr>
                <w:b/>
                <w:bCs/>
                <w:sz w:val="26"/>
                <w:szCs w:val="26"/>
                <w:rtl/>
              </w:rPr>
              <w:t>תפ"ח</w:t>
            </w:r>
            <w:r w:rsidRPr="00165560">
              <w:rPr>
                <w:rFonts w:hint="cs"/>
                <w:b/>
                <w:bCs/>
                <w:sz w:val="26"/>
                <w:szCs w:val="26"/>
                <w:rtl/>
              </w:rPr>
              <w:t xml:space="preserve"> </w:t>
            </w:r>
            <w:r w:rsidRPr="00165560">
              <w:rPr>
                <w:b/>
                <w:bCs/>
                <w:sz w:val="26"/>
                <w:szCs w:val="26"/>
                <w:rtl/>
              </w:rPr>
              <w:t>10788-05-14</w:t>
            </w:r>
            <w:r w:rsidRPr="00165560">
              <w:rPr>
                <w:rFonts w:hint="cs"/>
                <w:b/>
                <w:bCs/>
                <w:sz w:val="26"/>
                <w:szCs w:val="26"/>
                <w:rtl/>
              </w:rPr>
              <w:t xml:space="preserve"> </w:t>
            </w:r>
            <w:r w:rsidRPr="00165560">
              <w:rPr>
                <w:b/>
                <w:bCs/>
                <w:sz w:val="26"/>
                <w:szCs w:val="26"/>
                <w:rtl/>
              </w:rPr>
              <w:t>מדינת ישראל נ' וחידי(עציר) ואח'</w:t>
            </w:r>
          </w:p>
          <w:p w14:paraId="71573B04" w14:textId="77777777" w:rsidR="00E635D9" w:rsidRPr="00165560" w:rsidRDefault="00E635D9">
            <w:pPr>
              <w:rPr>
                <w:b/>
                <w:bCs/>
                <w:sz w:val="26"/>
                <w:szCs w:val="26"/>
                <w:rtl/>
              </w:rPr>
            </w:pPr>
          </w:p>
        </w:tc>
        <w:tc>
          <w:tcPr>
            <w:tcW w:w="236" w:type="dxa"/>
          </w:tcPr>
          <w:p w14:paraId="3A80098E" w14:textId="77777777" w:rsidR="00E635D9" w:rsidRPr="00165560" w:rsidRDefault="00E635D9">
            <w:pPr>
              <w:pStyle w:val="a4"/>
              <w:jc w:val="right"/>
              <w:rPr>
                <w:b/>
                <w:bCs/>
                <w:sz w:val="26"/>
                <w:szCs w:val="26"/>
                <w:rtl/>
              </w:rPr>
            </w:pPr>
          </w:p>
        </w:tc>
        <w:tc>
          <w:tcPr>
            <w:tcW w:w="2088" w:type="dxa"/>
          </w:tcPr>
          <w:p w14:paraId="5CFB653A" w14:textId="77777777" w:rsidR="00E635D9" w:rsidRPr="00165560" w:rsidRDefault="00156078">
            <w:pPr>
              <w:pStyle w:val="a4"/>
              <w:tabs>
                <w:tab w:val="clear" w:pos="4153"/>
              </w:tabs>
              <w:jc w:val="right"/>
              <w:rPr>
                <w:b/>
                <w:bCs/>
                <w:sz w:val="26"/>
                <w:szCs w:val="26"/>
                <w:rtl/>
              </w:rPr>
            </w:pPr>
            <w:r w:rsidRPr="00165560">
              <w:rPr>
                <w:b/>
                <w:bCs/>
                <w:sz w:val="26"/>
                <w:szCs w:val="26"/>
                <w:rtl/>
              </w:rPr>
              <w:t>16 פברואר 2016</w:t>
            </w:r>
          </w:p>
        </w:tc>
      </w:tr>
    </w:tbl>
    <w:p w14:paraId="19C2D335" w14:textId="77777777" w:rsidR="00E635D9" w:rsidRPr="00165560" w:rsidRDefault="00E635D9">
      <w:pPr>
        <w:pStyle w:val="a4"/>
        <w:jc w:val="center"/>
        <w:rPr>
          <w:rFonts w:ascii="Tahoma" w:hAnsi="Tahoma"/>
          <w:b/>
          <w:bCs/>
          <w:color w:val="000080"/>
          <w:sz w:val="20"/>
          <w:szCs w:val="20"/>
          <w:rtl/>
        </w:rPr>
      </w:pPr>
    </w:p>
    <w:p w14:paraId="622D607C" w14:textId="77777777" w:rsidR="00E635D9" w:rsidRPr="00165560" w:rsidRDefault="00E635D9">
      <w:pPr>
        <w:rPr>
          <w:rtl/>
        </w:rPr>
      </w:pPr>
    </w:p>
    <w:tbl>
      <w:tblPr>
        <w:bidiVisual/>
        <w:tblW w:w="0" w:type="auto"/>
        <w:jc w:val="center"/>
        <w:tblLook w:val="0000" w:firstRow="0" w:lastRow="0" w:firstColumn="0" w:lastColumn="0" w:noHBand="0" w:noVBand="0"/>
      </w:tblPr>
      <w:tblGrid>
        <w:gridCol w:w="1589"/>
        <w:gridCol w:w="4459"/>
        <w:gridCol w:w="2654"/>
        <w:gridCol w:w="18"/>
      </w:tblGrid>
      <w:tr w:rsidR="00E635D9" w:rsidRPr="00165560" w14:paraId="64ED966B" w14:textId="77777777">
        <w:trPr>
          <w:gridAfter w:val="1"/>
          <w:wAfter w:w="18" w:type="dxa"/>
          <w:trHeight w:val="337"/>
          <w:jc w:val="center"/>
        </w:trPr>
        <w:tc>
          <w:tcPr>
            <w:tcW w:w="1592" w:type="dxa"/>
          </w:tcPr>
          <w:p w14:paraId="01DB52C9" w14:textId="77777777" w:rsidR="00E635D9" w:rsidRPr="00165560" w:rsidRDefault="00156078">
            <w:pPr>
              <w:pStyle w:val="a4"/>
              <w:bidi w:val="0"/>
              <w:spacing w:line="360" w:lineRule="auto"/>
              <w:jc w:val="both"/>
              <w:rPr>
                <w:rFonts w:ascii="Times New Roman" w:hAnsi="Times New Roman"/>
              </w:rPr>
            </w:pPr>
            <w:r w:rsidRPr="00165560">
              <w:rPr>
                <w:rFonts w:ascii="Times New Roman" w:hAnsi="Times New Roman"/>
              </w:rPr>
              <w:t xml:space="preserve">   </w:t>
            </w:r>
          </w:p>
        </w:tc>
        <w:tc>
          <w:tcPr>
            <w:tcW w:w="7128" w:type="dxa"/>
            <w:gridSpan w:val="2"/>
          </w:tcPr>
          <w:p w14:paraId="5603A569" w14:textId="77777777" w:rsidR="00E635D9" w:rsidRPr="00165560" w:rsidRDefault="00156078">
            <w:pPr>
              <w:pStyle w:val="a4"/>
              <w:jc w:val="right"/>
              <w:rPr>
                <w:b/>
                <w:bCs/>
                <w:sz w:val="26"/>
                <w:szCs w:val="26"/>
                <w:rtl/>
              </w:rPr>
            </w:pPr>
            <w:r w:rsidRPr="00165560">
              <w:rPr>
                <w:rFonts w:hint="cs"/>
                <w:rtl/>
              </w:rPr>
              <w:t xml:space="preserve"> </w:t>
            </w:r>
          </w:p>
        </w:tc>
      </w:tr>
      <w:tr w:rsidR="00E635D9" w:rsidRPr="00165560" w14:paraId="489399A8" w14:textId="77777777">
        <w:tblPrEx>
          <w:tblLook w:val="04A0" w:firstRow="1" w:lastRow="0" w:firstColumn="1" w:lastColumn="0" w:noHBand="0" w:noVBand="1"/>
        </w:tblPrEx>
        <w:trPr>
          <w:trHeight w:val="337"/>
          <w:jc w:val="center"/>
        </w:trPr>
        <w:tc>
          <w:tcPr>
            <w:tcW w:w="6060" w:type="dxa"/>
            <w:gridSpan w:val="2"/>
          </w:tcPr>
          <w:p w14:paraId="09B07F96" w14:textId="77777777" w:rsidR="00E635D9" w:rsidRPr="00165560" w:rsidRDefault="00156078">
            <w:pPr>
              <w:rPr>
                <w:b/>
                <w:bCs/>
                <w:sz w:val="26"/>
                <w:szCs w:val="26"/>
              </w:rPr>
            </w:pPr>
            <w:r w:rsidRPr="00165560">
              <w:rPr>
                <w:rFonts w:hint="cs"/>
                <w:b/>
                <w:bCs/>
                <w:sz w:val="26"/>
                <w:szCs w:val="26"/>
                <w:rtl/>
              </w:rPr>
              <w:t>לפני:</w:t>
            </w:r>
          </w:p>
          <w:p w14:paraId="531B4282" w14:textId="77777777" w:rsidR="00E635D9" w:rsidRPr="00165560" w:rsidRDefault="00156078">
            <w:pPr>
              <w:rPr>
                <w:b/>
                <w:bCs/>
                <w:sz w:val="26"/>
                <w:szCs w:val="26"/>
                <w:rtl/>
              </w:rPr>
            </w:pPr>
            <w:r w:rsidRPr="00165560">
              <w:rPr>
                <w:rFonts w:hint="cs"/>
                <w:b/>
                <w:bCs/>
                <w:sz w:val="26"/>
                <w:szCs w:val="26"/>
                <w:rtl/>
              </w:rPr>
              <w:t>כב' השופט מנחם פינקלשטיין, סג"נ, אב"ד</w:t>
            </w:r>
          </w:p>
          <w:p w14:paraId="57D344B9" w14:textId="77777777" w:rsidR="00E635D9" w:rsidRPr="00165560" w:rsidRDefault="00156078">
            <w:pPr>
              <w:rPr>
                <w:b/>
                <w:bCs/>
                <w:sz w:val="26"/>
                <w:szCs w:val="26"/>
                <w:rtl/>
              </w:rPr>
            </w:pPr>
            <w:r w:rsidRPr="00165560">
              <w:rPr>
                <w:rFonts w:hint="cs"/>
                <w:b/>
                <w:bCs/>
                <w:sz w:val="26"/>
                <w:szCs w:val="26"/>
                <w:rtl/>
              </w:rPr>
              <w:t>כב' השופטת ליאורה ברודי</w:t>
            </w:r>
          </w:p>
          <w:p w14:paraId="5F0062B1" w14:textId="77777777" w:rsidR="00E635D9" w:rsidRPr="00165560" w:rsidRDefault="00156078">
            <w:pPr>
              <w:rPr>
                <w:b/>
                <w:bCs/>
                <w:sz w:val="26"/>
                <w:szCs w:val="26"/>
                <w:rtl/>
              </w:rPr>
            </w:pPr>
            <w:r w:rsidRPr="00165560">
              <w:rPr>
                <w:rFonts w:hint="cs"/>
                <w:b/>
                <w:bCs/>
                <w:sz w:val="26"/>
                <w:szCs w:val="26"/>
                <w:rtl/>
              </w:rPr>
              <w:t>כב' השופט רמי אמיר</w:t>
            </w:r>
          </w:p>
          <w:p w14:paraId="2CD71950" w14:textId="77777777" w:rsidR="00E635D9" w:rsidRPr="00165560" w:rsidRDefault="00E635D9">
            <w:pPr>
              <w:rPr>
                <w:b/>
                <w:bCs/>
                <w:sz w:val="26"/>
                <w:szCs w:val="26"/>
                <w:rtl/>
              </w:rPr>
            </w:pPr>
          </w:p>
        </w:tc>
        <w:tc>
          <w:tcPr>
            <w:tcW w:w="2660" w:type="dxa"/>
            <w:gridSpan w:val="2"/>
          </w:tcPr>
          <w:p w14:paraId="52F2D2F3" w14:textId="77777777" w:rsidR="00E635D9" w:rsidRPr="00165560" w:rsidRDefault="00E635D9">
            <w:pPr>
              <w:pStyle w:val="a4"/>
              <w:jc w:val="both"/>
              <w:rPr>
                <w:b/>
                <w:bCs/>
                <w:sz w:val="26"/>
                <w:szCs w:val="26"/>
                <w:rtl/>
              </w:rPr>
            </w:pPr>
          </w:p>
        </w:tc>
      </w:tr>
    </w:tbl>
    <w:p w14:paraId="617A92A7" w14:textId="77777777" w:rsidR="00E635D9" w:rsidRPr="00165560" w:rsidRDefault="00E635D9">
      <w:pPr>
        <w:spacing w:line="360" w:lineRule="auto"/>
        <w:jc w:val="both"/>
        <w:rPr>
          <w:sz w:val="6"/>
          <w:szCs w:val="6"/>
          <w:rtl/>
        </w:rPr>
      </w:pPr>
      <w:bookmarkStart w:id="0" w:name="LastJudge"/>
      <w:bookmarkEnd w:id="0"/>
    </w:p>
    <w:tbl>
      <w:tblPr>
        <w:bidiVisual/>
        <w:tblW w:w="8805" w:type="dxa"/>
        <w:tblInd w:w="-28" w:type="dxa"/>
        <w:tblLayout w:type="fixed"/>
        <w:tblLook w:val="01E0" w:firstRow="1" w:lastRow="1" w:firstColumn="1" w:lastColumn="1" w:noHBand="0" w:noVBand="0"/>
      </w:tblPr>
      <w:tblGrid>
        <w:gridCol w:w="3241"/>
        <w:gridCol w:w="5564"/>
      </w:tblGrid>
      <w:tr w:rsidR="00E635D9" w:rsidRPr="00165560" w14:paraId="5E7AF604" w14:textId="77777777">
        <w:tc>
          <w:tcPr>
            <w:tcW w:w="3240" w:type="dxa"/>
            <w:shd w:val="clear" w:color="auto" w:fill="auto"/>
          </w:tcPr>
          <w:p w14:paraId="3658FB97" w14:textId="77777777" w:rsidR="00E635D9" w:rsidRPr="00165560" w:rsidRDefault="00156078">
            <w:pPr>
              <w:ind w:left="26"/>
              <w:rPr>
                <w:rFonts w:ascii="Times New Roman" w:eastAsia="Times New Roman" w:hAnsi="Times New Roman"/>
                <w:b/>
                <w:bCs/>
                <w:sz w:val="26"/>
                <w:szCs w:val="26"/>
                <w:rtl/>
              </w:rPr>
            </w:pPr>
            <w:bookmarkStart w:id="1" w:name="FirstAppellant"/>
            <w:r w:rsidRPr="00165560">
              <w:rPr>
                <w:rFonts w:ascii="Times New Roman" w:eastAsia="Times New Roman" w:hAnsi="Times New Roman" w:hint="cs"/>
                <w:b/>
                <w:bCs/>
                <w:sz w:val="26"/>
                <w:szCs w:val="26"/>
                <w:rtl/>
              </w:rPr>
              <w:t>ה</w:t>
            </w:r>
            <w:r w:rsidRPr="00165560">
              <w:rPr>
                <w:rFonts w:ascii="Times New Roman" w:eastAsia="Times New Roman" w:hAnsi="Times New Roman" w:hint="cs"/>
                <w:rtl/>
              </w:rPr>
              <w:t>מאשימה</w:t>
            </w:r>
          </w:p>
        </w:tc>
        <w:tc>
          <w:tcPr>
            <w:tcW w:w="5562" w:type="dxa"/>
            <w:shd w:val="clear" w:color="auto" w:fill="auto"/>
          </w:tcPr>
          <w:p w14:paraId="0EB8B16A" w14:textId="77777777" w:rsidR="00E635D9" w:rsidRPr="00165560" w:rsidRDefault="00156078">
            <w:pPr>
              <w:rPr>
                <w:rFonts w:ascii="Times New Roman" w:eastAsia="Times New Roman" w:hAnsi="Times New Roman"/>
                <w:b/>
                <w:bCs/>
                <w:sz w:val="26"/>
                <w:szCs w:val="26"/>
                <w:rtl/>
              </w:rPr>
            </w:pPr>
            <w:r w:rsidRPr="00165560">
              <w:rPr>
                <w:rFonts w:ascii="Times New Roman" w:eastAsia="Times New Roman" w:hAnsi="Times New Roman"/>
                <w:rtl/>
              </w:rPr>
              <w:t xml:space="preserve">     </w:t>
            </w:r>
            <w:r w:rsidRPr="00165560">
              <w:rPr>
                <w:rFonts w:ascii="Times New Roman" w:eastAsia="Times New Roman" w:hAnsi="Times New Roman" w:hint="cs"/>
                <w:b/>
                <w:bCs/>
                <w:sz w:val="26"/>
                <w:szCs w:val="26"/>
                <w:rtl/>
              </w:rPr>
              <w:t xml:space="preserve"> </w:t>
            </w:r>
            <w:r w:rsidRPr="00165560">
              <w:rPr>
                <w:rFonts w:ascii="Times New Roman" w:eastAsia="Times New Roman" w:hAnsi="Times New Roman" w:hint="cs"/>
                <w:rtl/>
              </w:rPr>
              <w:t>מדינת ישראל</w:t>
            </w:r>
          </w:p>
        </w:tc>
      </w:tr>
      <w:bookmarkEnd w:id="1"/>
      <w:tr w:rsidR="00E635D9" w:rsidRPr="00165560" w14:paraId="4510B24F" w14:textId="77777777">
        <w:tc>
          <w:tcPr>
            <w:tcW w:w="8802" w:type="dxa"/>
            <w:gridSpan w:val="2"/>
            <w:shd w:val="clear" w:color="auto" w:fill="auto"/>
          </w:tcPr>
          <w:p w14:paraId="2E3CCE5F" w14:textId="77777777" w:rsidR="00E635D9" w:rsidRPr="00165560" w:rsidRDefault="00E635D9">
            <w:pPr>
              <w:jc w:val="both"/>
              <w:rPr>
                <w:rFonts w:ascii="Arial" w:eastAsia="Times New Roman" w:hAnsi="Arial"/>
                <w:b/>
                <w:bCs/>
                <w:sz w:val="26"/>
                <w:szCs w:val="26"/>
                <w:rtl/>
              </w:rPr>
            </w:pPr>
          </w:p>
          <w:p w14:paraId="6DC5E0F6" w14:textId="77777777" w:rsidR="00E635D9" w:rsidRPr="00165560" w:rsidRDefault="00156078">
            <w:pPr>
              <w:jc w:val="center"/>
              <w:rPr>
                <w:rFonts w:ascii="Arial" w:eastAsia="Times New Roman" w:hAnsi="Arial"/>
                <w:b/>
                <w:bCs/>
                <w:sz w:val="26"/>
                <w:szCs w:val="26"/>
                <w:rtl/>
              </w:rPr>
            </w:pPr>
            <w:r w:rsidRPr="00165560">
              <w:rPr>
                <w:rFonts w:ascii="Arial" w:eastAsia="Times New Roman" w:hAnsi="Arial" w:hint="cs"/>
                <w:b/>
                <w:bCs/>
                <w:sz w:val="26"/>
                <w:szCs w:val="26"/>
                <w:rtl/>
              </w:rPr>
              <w:t>נגד</w:t>
            </w:r>
          </w:p>
          <w:p w14:paraId="5B541E06" w14:textId="77777777" w:rsidR="00E635D9" w:rsidRPr="00165560" w:rsidRDefault="00E635D9">
            <w:pPr>
              <w:jc w:val="center"/>
              <w:rPr>
                <w:rFonts w:ascii="Arial" w:eastAsia="Times New Roman" w:hAnsi="Arial"/>
                <w:b/>
                <w:bCs/>
                <w:sz w:val="26"/>
                <w:szCs w:val="26"/>
                <w:rtl/>
              </w:rPr>
            </w:pPr>
          </w:p>
        </w:tc>
      </w:tr>
      <w:tr w:rsidR="00E635D9" w:rsidRPr="00165560" w14:paraId="2FE1D44C" w14:textId="77777777">
        <w:tc>
          <w:tcPr>
            <w:tcW w:w="3240" w:type="dxa"/>
            <w:shd w:val="clear" w:color="auto" w:fill="auto"/>
          </w:tcPr>
          <w:p w14:paraId="2C954A48" w14:textId="77777777" w:rsidR="00E635D9" w:rsidRPr="00165560" w:rsidRDefault="00156078">
            <w:pPr>
              <w:ind w:left="26"/>
              <w:rPr>
                <w:rFonts w:ascii="Times New Roman" w:eastAsia="Times New Roman" w:hAnsi="Times New Roman"/>
                <w:b/>
                <w:bCs/>
                <w:sz w:val="26"/>
                <w:szCs w:val="26"/>
              </w:rPr>
            </w:pPr>
            <w:r w:rsidRPr="00165560">
              <w:rPr>
                <w:rFonts w:ascii="Times New Roman" w:eastAsia="Times New Roman" w:hAnsi="Times New Roman" w:hint="cs"/>
                <w:b/>
                <w:bCs/>
                <w:sz w:val="26"/>
                <w:szCs w:val="26"/>
                <w:rtl/>
              </w:rPr>
              <w:t>ה</w:t>
            </w:r>
            <w:r w:rsidRPr="00165560">
              <w:rPr>
                <w:rFonts w:ascii="Times New Roman" w:eastAsia="Times New Roman" w:hAnsi="Times New Roman" w:hint="cs"/>
                <w:rtl/>
              </w:rPr>
              <w:t>נאשם</w:t>
            </w:r>
          </w:p>
        </w:tc>
        <w:tc>
          <w:tcPr>
            <w:tcW w:w="5562" w:type="dxa"/>
            <w:shd w:val="clear" w:color="auto" w:fill="auto"/>
          </w:tcPr>
          <w:p w14:paraId="764F6DDE" w14:textId="77777777" w:rsidR="00E635D9" w:rsidRPr="00165560" w:rsidRDefault="00156078">
            <w:pPr>
              <w:rPr>
                <w:rFonts w:ascii="Times New Roman" w:eastAsia="Times New Roman" w:hAnsi="Times New Roman"/>
                <w:b/>
                <w:bCs/>
                <w:sz w:val="26"/>
                <w:szCs w:val="26"/>
                <w:rtl/>
              </w:rPr>
            </w:pPr>
            <w:r w:rsidRPr="00165560">
              <w:rPr>
                <w:rFonts w:ascii="Times New Roman" w:eastAsia="Times New Roman" w:hAnsi="Times New Roman"/>
                <w:rtl/>
              </w:rPr>
              <w:t xml:space="preserve">     </w:t>
            </w:r>
            <w:r w:rsidRPr="00165560">
              <w:rPr>
                <w:rFonts w:ascii="Times New Roman" w:eastAsia="Times New Roman" w:hAnsi="Times New Roman" w:hint="cs"/>
                <w:b/>
                <w:bCs/>
                <w:sz w:val="26"/>
                <w:szCs w:val="26"/>
                <w:rtl/>
              </w:rPr>
              <w:t xml:space="preserve"> </w:t>
            </w:r>
            <w:r w:rsidRPr="00165560">
              <w:rPr>
                <w:rFonts w:ascii="Times New Roman" w:eastAsia="Times New Roman" w:hAnsi="Times New Roman" w:hint="cs"/>
                <w:rtl/>
              </w:rPr>
              <w:t xml:space="preserve">איימן וחידי </w:t>
            </w:r>
          </w:p>
          <w:p w14:paraId="6036C2F3" w14:textId="77777777" w:rsidR="00E635D9" w:rsidRPr="00165560" w:rsidRDefault="00E635D9">
            <w:pPr>
              <w:rPr>
                <w:rFonts w:ascii="Times New Roman" w:eastAsia="Times New Roman" w:hAnsi="Times New Roman"/>
                <w:b/>
                <w:bCs/>
                <w:sz w:val="26"/>
                <w:szCs w:val="26"/>
                <w:rtl/>
              </w:rPr>
            </w:pPr>
          </w:p>
        </w:tc>
      </w:tr>
    </w:tbl>
    <w:p w14:paraId="059A304B" w14:textId="77777777" w:rsidR="00E635D9" w:rsidRPr="00165560" w:rsidRDefault="00156078">
      <w:pPr>
        <w:spacing w:line="360" w:lineRule="auto"/>
        <w:jc w:val="both"/>
        <w:rPr>
          <w:sz w:val="6"/>
          <w:szCs w:val="6"/>
          <w:rtl/>
        </w:rPr>
      </w:pPr>
      <w:r w:rsidRPr="00165560">
        <w:rPr>
          <w:sz w:val="6"/>
          <w:szCs w:val="6"/>
          <w:rtl/>
        </w:rPr>
        <w:t>&lt;#2#&gt;</w:t>
      </w:r>
    </w:p>
    <w:p w14:paraId="073B6812" w14:textId="77777777" w:rsidR="00E635D9" w:rsidRPr="00165560" w:rsidRDefault="00156078">
      <w:pPr>
        <w:pStyle w:val="12"/>
        <w:rPr>
          <w:u w:val="none"/>
          <w:rtl/>
        </w:rPr>
      </w:pPr>
      <w:r w:rsidRPr="00165560">
        <w:rPr>
          <w:rFonts w:hint="cs"/>
          <w:u w:val="none"/>
          <w:rtl/>
        </w:rPr>
        <w:t>נוכחים:</w:t>
      </w:r>
    </w:p>
    <w:p w14:paraId="0D141E35" w14:textId="77777777" w:rsidR="00E635D9" w:rsidRPr="00165560" w:rsidRDefault="00156078">
      <w:pPr>
        <w:pStyle w:val="12"/>
        <w:rPr>
          <w:b w:val="0"/>
          <w:bCs w:val="0"/>
          <w:u w:val="none"/>
          <w:rtl/>
        </w:rPr>
      </w:pPr>
      <w:bookmarkStart w:id="2" w:name="FirstLawyer"/>
      <w:r w:rsidRPr="00165560">
        <w:rPr>
          <w:rFonts w:hint="cs"/>
          <w:b w:val="0"/>
          <w:bCs w:val="0"/>
          <w:u w:val="none"/>
          <w:rtl/>
        </w:rPr>
        <w:t>ב"כ</w:t>
      </w:r>
      <w:bookmarkEnd w:id="2"/>
      <w:r w:rsidRPr="00165560">
        <w:rPr>
          <w:rFonts w:hint="cs"/>
          <w:b w:val="0"/>
          <w:bCs w:val="0"/>
          <w:u w:val="none"/>
          <w:rtl/>
        </w:rPr>
        <w:t xml:space="preserve"> המאשימה עו"ד יסמין שביט</w:t>
      </w:r>
    </w:p>
    <w:p w14:paraId="57D79C69" w14:textId="77777777" w:rsidR="00E635D9" w:rsidRPr="00165560" w:rsidRDefault="00156078">
      <w:pPr>
        <w:pStyle w:val="12"/>
        <w:rPr>
          <w:b w:val="0"/>
          <w:bCs w:val="0"/>
          <w:u w:val="none"/>
          <w:rtl/>
        </w:rPr>
      </w:pPr>
      <w:r w:rsidRPr="00165560">
        <w:rPr>
          <w:rFonts w:hint="cs"/>
          <w:b w:val="0"/>
          <w:bCs w:val="0"/>
          <w:u w:val="none"/>
          <w:rtl/>
        </w:rPr>
        <w:t>ב"כ הנאשם עו"ד לנה סטל ממשרד עו"ד אבו עאמר</w:t>
      </w:r>
    </w:p>
    <w:p w14:paraId="05985B17" w14:textId="77777777" w:rsidR="00E635D9" w:rsidRPr="00165560" w:rsidRDefault="00E635D9">
      <w:pPr>
        <w:pStyle w:val="David"/>
        <w:rPr>
          <w:rtl/>
        </w:rPr>
      </w:pPr>
    </w:p>
    <w:p w14:paraId="40EB26E5" w14:textId="77777777" w:rsidR="00165560" w:rsidRPr="00165560" w:rsidRDefault="00156078">
      <w:pPr>
        <w:pStyle w:val="David"/>
        <w:jc w:val="center"/>
        <w:rPr>
          <w:rFonts w:ascii="Arial" w:eastAsia="David" w:hAnsi="Arial"/>
          <w:sz w:val="32"/>
          <w:szCs w:val="32"/>
          <w:rtl/>
        </w:rPr>
      </w:pPr>
      <w:r w:rsidRPr="00165560">
        <w:rPr>
          <w:rFonts w:ascii="Arial" w:eastAsia="David" w:hAnsi="Arial"/>
          <w:b/>
          <w:color w:val="FF0000"/>
          <w:sz w:val="32"/>
          <w:rtl/>
        </w:rPr>
        <w:t>במסמך זה הושמטו פרוטוקולים</w:t>
      </w:r>
      <w:bookmarkStart w:id="3" w:name="LawTable"/>
      <w:bookmarkEnd w:id="3"/>
    </w:p>
    <w:p w14:paraId="183FF91C" w14:textId="77777777" w:rsidR="00165560" w:rsidRPr="00165560" w:rsidRDefault="00165560" w:rsidP="00165560">
      <w:pPr>
        <w:pStyle w:val="David"/>
        <w:spacing w:after="120" w:line="240" w:lineRule="exact"/>
        <w:ind w:left="283" w:hanging="283"/>
        <w:rPr>
          <w:rFonts w:ascii="FrankRuehl" w:eastAsia="David" w:hAnsi="FrankRuehl"/>
          <w:rtl/>
        </w:rPr>
      </w:pPr>
    </w:p>
    <w:p w14:paraId="69445972" w14:textId="77777777" w:rsidR="00165560" w:rsidRPr="00165560" w:rsidRDefault="00165560" w:rsidP="00165560">
      <w:pPr>
        <w:pStyle w:val="David"/>
        <w:spacing w:after="120" w:line="240" w:lineRule="exact"/>
        <w:ind w:left="283" w:hanging="283"/>
        <w:rPr>
          <w:rFonts w:ascii="FrankRuehl" w:eastAsia="David" w:hAnsi="FrankRuehl"/>
          <w:rtl/>
        </w:rPr>
      </w:pPr>
      <w:r w:rsidRPr="00165560">
        <w:rPr>
          <w:rFonts w:ascii="FrankRuehl" w:eastAsia="David" w:hAnsi="FrankRuehl"/>
          <w:rtl/>
        </w:rPr>
        <w:t xml:space="preserve">חקיקה שאוזכרה: </w:t>
      </w:r>
    </w:p>
    <w:p w14:paraId="7E28660B" w14:textId="77777777" w:rsidR="00165560" w:rsidRPr="00165560" w:rsidRDefault="00165560" w:rsidP="00165560">
      <w:pPr>
        <w:pStyle w:val="David"/>
        <w:spacing w:after="120" w:line="240" w:lineRule="exact"/>
        <w:ind w:left="283" w:hanging="283"/>
        <w:rPr>
          <w:rFonts w:ascii="FrankRuehl" w:eastAsia="David" w:hAnsi="FrankRuehl"/>
          <w:rtl/>
        </w:rPr>
      </w:pPr>
      <w:hyperlink r:id="rId6" w:history="1">
        <w:r w:rsidRPr="00165560">
          <w:rPr>
            <w:rFonts w:ascii="FrankRuehl" w:eastAsia="David" w:hAnsi="FrankRuehl"/>
            <w:color w:val="0000FF"/>
            <w:u w:val="single"/>
            <w:rtl/>
          </w:rPr>
          <w:t>חוק העונשין, תשל"ז-1977</w:t>
        </w:r>
      </w:hyperlink>
      <w:r w:rsidRPr="00165560">
        <w:rPr>
          <w:rFonts w:ascii="FrankRuehl" w:eastAsia="David" w:hAnsi="FrankRuehl"/>
          <w:rtl/>
        </w:rPr>
        <w:t xml:space="preserve">: סע'  </w:t>
      </w:r>
      <w:hyperlink r:id="rId7" w:history="1">
        <w:r w:rsidRPr="00165560">
          <w:rPr>
            <w:rFonts w:ascii="FrankRuehl" w:eastAsia="David" w:hAnsi="FrankRuehl"/>
            <w:color w:val="0000FF"/>
            <w:u w:val="single"/>
            <w:rtl/>
          </w:rPr>
          <w:t>31</w:t>
        </w:r>
      </w:hyperlink>
      <w:r w:rsidRPr="00165560">
        <w:rPr>
          <w:rFonts w:ascii="FrankRuehl" w:eastAsia="David" w:hAnsi="FrankRuehl"/>
          <w:rtl/>
        </w:rPr>
        <w:t xml:space="preserve">, </w:t>
      </w:r>
      <w:hyperlink r:id="rId8" w:history="1">
        <w:r w:rsidRPr="00165560">
          <w:rPr>
            <w:rFonts w:ascii="FrankRuehl" w:eastAsia="David" w:hAnsi="FrankRuehl"/>
            <w:color w:val="0000FF"/>
            <w:u w:val="single"/>
            <w:rtl/>
          </w:rPr>
          <w:t>144(ב)</w:t>
        </w:r>
      </w:hyperlink>
      <w:r w:rsidRPr="00165560">
        <w:rPr>
          <w:rFonts w:ascii="FrankRuehl" w:eastAsia="David" w:hAnsi="FrankRuehl"/>
          <w:rtl/>
        </w:rPr>
        <w:t xml:space="preserve">, </w:t>
      </w:r>
      <w:hyperlink r:id="rId9" w:history="1">
        <w:r w:rsidRPr="00165560">
          <w:rPr>
            <w:rFonts w:ascii="FrankRuehl" w:eastAsia="David" w:hAnsi="FrankRuehl"/>
            <w:color w:val="0000FF"/>
            <w:u w:val="single"/>
            <w:rtl/>
          </w:rPr>
          <w:t>244</w:t>
        </w:r>
      </w:hyperlink>
      <w:r w:rsidRPr="00165560">
        <w:rPr>
          <w:rFonts w:ascii="FrankRuehl" w:eastAsia="David" w:hAnsi="FrankRuehl"/>
          <w:rtl/>
        </w:rPr>
        <w:t xml:space="preserve">, </w:t>
      </w:r>
      <w:hyperlink r:id="rId10" w:history="1">
        <w:r w:rsidRPr="00165560">
          <w:rPr>
            <w:rFonts w:ascii="FrankRuehl" w:eastAsia="David" w:hAnsi="FrankRuehl"/>
            <w:color w:val="0000FF"/>
            <w:u w:val="single"/>
            <w:rtl/>
          </w:rPr>
          <w:t>261 (1)</w:t>
        </w:r>
      </w:hyperlink>
      <w:r w:rsidRPr="00165560">
        <w:rPr>
          <w:rFonts w:ascii="FrankRuehl" w:eastAsia="David" w:hAnsi="FrankRuehl"/>
          <w:rtl/>
        </w:rPr>
        <w:t xml:space="preserve">, </w:t>
      </w:r>
      <w:hyperlink r:id="rId11" w:history="1">
        <w:r w:rsidRPr="00165560">
          <w:rPr>
            <w:rFonts w:ascii="FrankRuehl" w:eastAsia="David" w:hAnsi="FrankRuehl"/>
            <w:color w:val="0000FF"/>
            <w:u w:val="single"/>
            <w:rtl/>
          </w:rPr>
          <w:t>340א</w:t>
        </w:r>
      </w:hyperlink>
    </w:p>
    <w:p w14:paraId="6EDFA8F5" w14:textId="77777777" w:rsidR="00165560" w:rsidRPr="00165560" w:rsidRDefault="00165560" w:rsidP="00165560">
      <w:pPr>
        <w:pStyle w:val="David"/>
        <w:spacing w:after="120" w:line="240" w:lineRule="exact"/>
        <w:ind w:left="283" w:hanging="283"/>
        <w:rPr>
          <w:rFonts w:ascii="FrankRuehl" w:eastAsia="David" w:hAnsi="FrankRuehl"/>
          <w:rtl/>
        </w:rPr>
      </w:pPr>
    </w:p>
    <w:p w14:paraId="1561ADAD" w14:textId="77777777" w:rsidR="00156078" w:rsidRPr="00165560" w:rsidRDefault="00156078" w:rsidP="00156078">
      <w:pPr>
        <w:pStyle w:val="David"/>
        <w:jc w:val="center"/>
        <w:rPr>
          <w:rFonts w:ascii="Arial" w:eastAsia="David" w:hAnsi="Arial" w:hint="cs"/>
          <w:b/>
          <w:bCs/>
          <w:sz w:val="32"/>
          <w:szCs w:val="32"/>
          <w:u w:val="single"/>
          <w:rtl/>
        </w:rPr>
      </w:pPr>
      <w:bookmarkStart w:id="4" w:name="LawTable_End"/>
      <w:bookmarkStart w:id="5" w:name="PsakDin"/>
      <w:bookmarkEnd w:id="4"/>
      <w:r w:rsidRPr="00165560">
        <w:rPr>
          <w:rFonts w:ascii="Arial" w:eastAsia="David" w:hAnsi="Arial"/>
          <w:b/>
          <w:bCs/>
          <w:sz w:val="32"/>
          <w:szCs w:val="32"/>
          <w:u w:val="single"/>
          <w:rtl/>
        </w:rPr>
        <w:t>גזר דין</w:t>
      </w:r>
      <w:r w:rsidR="00165560">
        <w:rPr>
          <w:rFonts w:ascii="Arial" w:eastAsia="David" w:hAnsi="Arial" w:hint="cs"/>
          <w:b/>
          <w:bCs/>
          <w:sz w:val="32"/>
          <w:szCs w:val="32"/>
          <w:u w:val="single"/>
          <w:rtl/>
        </w:rPr>
        <w:t xml:space="preserve"> </w:t>
      </w:r>
    </w:p>
    <w:bookmarkEnd w:id="5"/>
    <w:p w14:paraId="5F508443" w14:textId="77777777" w:rsidR="00E635D9" w:rsidRPr="00165560" w:rsidRDefault="00E635D9">
      <w:pPr>
        <w:pStyle w:val="David"/>
        <w:jc w:val="center"/>
        <w:rPr>
          <w:rFonts w:ascii="David" w:hAnsi="David"/>
          <w:rtl/>
        </w:rPr>
      </w:pPr>
    </w:p>
    <w:p w14:paraId="2EEEE3F2" w14:textId="77777777" w:rsidR="00E635D9" w:rsidRPr="00165560" w:rsidRDefault="00156078">
      <w:pPr>
        <w:pStyle w:val="David"/>
        <w:rPr>
          <w:rFonts w:ascii="David" w:hAnsi="David"/>
          <w:rtl/>
        </w:rPr>
      </w:pPr>
      <w:r w:rsidRPr="00165560">
        <w:rPr>
          <w:rFonts w:ascii="David" w:hAnsi="David" w:hint="cs"/>
          <w:rtl/>
        </w:rPr>
        <w:t xml:space="preserve">ביום 21.7.15 הורשע הנאשם על יסוד הודייתו בכתב אישום מתוקן, במסגרת הסדר טיעון בעבירות של סיוע לאחר מעשה, לפי </w:t>
      </w:r>
      <w:hyperlink r:id="rId12" w:history="1">
        <w:r w:rsidR="00165560" w:rsidRPr="00165560">
          <w:rPr>
            <w:rFonts w:ascii="David" w:hAnsi="David"/>
            <w:color w:val="0000FF"/>
            <w:u w:val="single"/>
            <w:rtl/>
          </w:rPr>
          <w:t>סעיף 261 (1)</w:t>
        </w:r>
      </w:hyperlink>
      <w:r w:rsidRPr="00165560">
        <w:rPr>
          <w:rFonts w:ascii="David" w:hAnsi="David" w:hint="cs"/>
          <w:rtl/>
        </w:rPr>
        <w:t xml:space="preserve"> ל</w:t>
      </w:r>
      <w:hyperlink r:id="rId13" w:history="1">
        <w:r w:rsidRPr="00165560">
          <w:rPr>
            <w:rStyle w:val="Hyperlink"/>
            <w:rFonts w:ascii="David" w:hAnsi="David" w:hint="eastAsia"/>
            <w:rtl/>
          </w:rPr>
          <w:t>חוק</w:t>
        </w:r>
        <w:r w:rsidRPr="00165560">
          <w:rPr>
            <w:rStyle w:val="Hyperlink"/>
            <w:rFonts w:ascii="David" w:hAnsi="David"/>
            <w:rtl/>
          </w:rPr>
          <w:t xml:space="preserve"> העונשין</w:t>
        </w:r>
      </w:hyperlink>
      <w:r w:rsidRPr="00165560">
        <w:rPr>
          <w:rFonts w:ascii="David" w:hAnsi="David" w:hint="cs"/>
          <w:rtl/>
        </w:rPr>
        <w:t xml:space="preserve">, ושיבוש מהלכי משפט לפי </w:t>
      </w:r>
      <w:hyperlink r:id="rId14" w:history="1">
        <w:r w:rsidR="00165560" w:rsidRPr="00165560">
          <w:rPr>
            <w:rFonts w:ascii="David" w:hAnsi="David"/>
            <w:color w:val="0000FF"/>
            <w:u w:val="single"/>
            <w:rtl/>
          </w:rPr>
          <w:t>סעיף 244</w:t>
        </w:r>
      </w:hyperlink>
      <w:r w:rsidRPr="00165560">
        <w:rPr>
          <w:rFonts w:ascii="David" w:hAnsi="David" w:hint="cs"/>
          <w:rtl/>
        </w:rPr>
        <w:t xml:space="preserve"> לחוק, וכן בעבירות של סיוע לנשיאת נשק לפי </w:t>
      </w:r>
      <w:hyperlink r:id="rId15" w:history="1">
        <w:r w:rsidR="00165560" w:rsidRPr="00165560">
          <w:rPr>
            <w:rFonts w:ascii="David" w:hAnsi="David"/>
            <w:color w:val="0000FF"/>
            <w:u w:val="single"/>
            <w:rtl/>
          </w:rPr>
          <w:t>סעיף 144(ב)</w:t>
        </w:r>
      </w:hyperlink>
      <w:r w:rsidRPr="00165560">
        <w:rPr>
          <w:rFonts w:ascii="David" w:hAnsi="David" w:hint="cs"/>
          <w:rtl/>
        </w:rPr>
        <w:t xml:space="preserve"> רישא </w:t>
      </w:r>
      <w:hyperlink r:id="rId16" w:history="1">
        <w:r w:rsidR="00165560" w:rsidRPr="00165560">
          <w:rPr>
            <w:rFonts w:ascii="David" w:hAnsi="David"/>
            <w:color w:val="0000FF"/>
            <w:u w:val="single"/>
            <w:rtl/>
          </w:rPr>
          <w:t>וסעיף 31</w:t>
        </w:r>
      </w:hyperlink>
      <w:r w:rsidRPr="00165560">
        <w:rPr>
          <w:rFonts w:ascii="David" w:hAnsi="David" w:hint="cs"/>
          <w:rtl/>
        </w:rPr>
        <w:t xml:space="preserve"> לחוק העונשין, וכן סיוע ליריות באיזור מגורים לפי </w:t>
      </w:r>
      <w:hyperlink r:id="rId17" w:history="1">
        <w:r w:rsidR="00165560" w:rsidRPr="00165560">
          <w:rPr>
            <w:rFonts w:ascii="David" w:hAnsi="David"/>
            <w:color w:val="0000FF"/>
            <w:u w:val="single"/>
            <w:rtl/>
          </w:rPr>
          <w:t>סעיף 340א</w:t>
        </w:r>
      </w:hyperlink>
      <w:r w:rsidRPr="00165560">
        <w:rPr>
          <w:rFonts w:ascii="David" w:hAnsi="David" w:hint="cs"/>
          <w:rtl/>
        </w:rPr>
        <w:t xml:space="preserve"> ו-</w:t>
      </w:r>
      <w:hyperlink r:id="rId18" w:history="1">
        <w:r w:rsidR="00165560" w:rsidRPr="00165560">
          <w:rPr>
            <w:rFonts w:ascii="David" w:hAnsi="David"/>
            <w:color w:val="0000FF"/>
            <w:u w:val="single"/>
            <w:rtl/>
          </w:rPr>
          <w:t>31</w:t>
        </w:r>
      </w:hyperlink>
      <w:r w:rsidRPr="00165560">
        <w:rPr>
          <w:rFonts w:ascii="David" w:hAnsi="David" w:hint="cs"/>
          <w:rtl/>
        </w:rPr>
        <w:t xml:space="preserve"> לחוק העונשין.</w:t>
      </w:r>
    </w:p>
    <w:p w14:paraId="1DAB7A15" w14:textId="77777777" w:rsidR="00E635D9" w:rsidRPr="00165560" w:rsidRDefault="00156078">
      <w:pPr>
        <w:pStyle w:val="David"/>
        <w:rPr>
          <w:rFonts w:ascii="David" w:hAnsi="David"/>
          <w:rtl/>
        </w:rPr>
      </w:pPr>
      <w:r w:rsidRPr="00165560">
        <w:rPr>
          <w:rFonts w:ascii="David" w:hAnsi="David" w:hint="cs"/>
          <w:rtl/>
        </w:rPr>
        <w:t xml:space="preserve">מדובר בפרשה שבה הועמדו לדין שלושה נאשמים בעבירות חמורות. עניינו של הנאשם 3 הסתיים בזיכויו לאחר שהתקבלה טענה שאין להשיב לאשמה. עניינו של הנאשם 1 הסתיים בגזר דין שניתן ביום 21.7.15. </w:t>
      </w:r>
    </w:p>
    <w:p w14:paraId="56772FD3" w14:textId="77777777" w:rsidR="00E635D9" w:rsidRPr="00165560" w:rsidRDefault="00156078">
      <w:pPr>
        <w:pStyle w:val="David"/>
        <w:rPr>
          <w:rFonts w:ascii="David" w:hAnsi="David"/>
          <w:rtl/>
        </w:rPr>
      </w:pPr>
      <w:r w:rsidRPr="00165560">
        <w:rPr>
          <w:rFonts w:ascii="David" w:hAnsi="David" w:hint="cs"/>
          <w:rtl/>
        </w:rPr>
        <w:t>גזר הדין הזה מתייחס רק לנאשם שלפנינו שהיה הנאשם 2 בכתב האישום המקורי והמתוקן.</w:t>
      </w:r>
    </w:p>
    <w:p w14:paraId="35729455" w14:textId="77777777" w:rsidR="00E635D9" w:rsidRPr="00165560" w:rsidRDefault="00E635D9">
      <w:pPr>
        <w:pStyle w:val="David"/>
        <w:rPr>
          <w:rFonts w:ascii="David" w:hAnsi="David"/>
          <w:rtl/>
        </w:rPr>
      </w:pPr>
    </w:p>
    <w:p w14:paraId="07B16330" w14:textId="77777777" w:rsidR="00E635D9" w:rsidRPr="00165560" w:rsidRDefault="00156078">
      <w:pPr>
        <w:pStyle w:val="David"/>
        <w:rPr>
          <w:rFonts w:ascii="David" w:hAnsi="David"/>
          <w:rtl/>
        </w:rPr>
      </w:pPr>
      <w:r w:rsidRPr="00165560">
        <w:rPr>
          <w:rFonts w:ascii="David" w:hAnsi="David" w:hint="cs"/>
          <w:rtl/>
        </w:rPr>
        <w:t xml:space="preserve">מעבר לכך שהפרטים הרלוונטיים לגבי הנאשם שלפנינו פורטו בכתב האישום המתוקן, הרי שחזרנו עליהם למעשה גם בגזר הדין שניתן בעניינו של הנאשם 1. על כן, אין מקום לחזור שוב על הפרטים. </w:t>
      </w:r>
      <w:r w:rsidRPr="00165560">
        <w:rPr>
          <w:rFonts w:ascii="David" w:hAnsi="David" w:hint="cs"/>
          <w:rtl/>
        </w:rPr>
        <w:lastRenderedPageBreak/>
        <w:t>נזכיר רק כי במהלך שמיעת ההוכחות התרשמנו גם אנו בקיומם של קשיים ראייתיים ממשיים, והדבר צוין בגזר הדין בעניינו של הנאשם 1.</w:t>
      </w:r>
    </w:p>
    <w:p w14:paraId="3B36E7E7" w14:textId="77777777" w:rsidR="00E635D9" w:rsidRPr="00165560" w:rsidRDefault="00E635D9">
      <w:pPr>
        <w:pStyle w:val="David"/>
        <w:rPr>
          <w:rFonts w:ascii="David" w:hAnsi="David"/>
          <w:rtl/>
        </w:rPr>
      </w:pPr>
    </w:p>
    <w:p w14:paraId="446B5CFD" w14:textId="77777777" w:rsidR="00E635D9" w:rsidRPr="00165560" w:rsidRDefault="00156078">
      <w:pPr>
        <w:pStyle w:val="David"/>
        <w:rPr>
          <w:rFonts w:ascii="David" w:hAnsi="David"/>
          <w:rtl/>
        </w:rPr>
      </w:pPr>
      <w:r w:rsidRPr="00165560">
        <w:rPr>
          <w:rFonts w:ascii="David" w:hAnsi="David" w:hint="cs"/>
          <w:rtl/>
        </w:rPr>
        <w:t>לפי הסדר הטיעון, יוטלו על הנאשם 2 חודשיים מאסר בעבודות שירות, בכפוף לחוות דעת הממונה, וכן עונש מאסר על תנאי וקנס מוסכם בסך 2000 ש"ח. ב"כ המאשימה הדגישה כי בהסדר זה הביאה המאשימה בחשבון את העובדה שהנאשם 2 היה עצור בתיק זה כארבעה חודשים, ולאחר מכן היה תקופה ניכרת במעצר בית.</w:t>
      </w:r>
    </w:p>
    <w:p w14:paraId="65DB281B" w14:textId="77777777" w:rsidR="00E635D9" w:rsidRPr="00165560" w:rsidRDefault="00156078">
      <w:pPr>
        <w:pStyle w:val="David"/>
        <w:rPr>
          <w:rFonts w:ascii="David" w:hAnsi="David"/>
          <w:rtl/>
        </w:rPr>
      </w:pPr>
      <w:r w:rsidRPr="00165560">
        <w:rPr>
          <w:rFonts w:ascii="David" w:hAnsi="David" w:hint="cs"/>
          <w:rtl/>
        </w:rPr>
        <w:t>לאחר תקופה שבה לא ניתן אישור לביצוע המאסר בעבודות שירות, ניתנה עתה חוות דעת שלפיה כשיר הנאשם 2 לביצוע עבודות שירות, וניתן אפוא לסיים את ההליך המשפטי.</w:t>
      </w:r>
    </w:p>
    <w:p w14:paraId="239E779D" w14:textId="77777777" w:rsidR="00E635D9" w:rsidRPr="00165560" w:rsidRDefault="00156078">
      <w:pPr>
        <w:pStyle w:val="David"/>
        <w:rPr>
          <w:rFonts w:ascii="David" w:hAnsi="David"/>
          <w:rtl/>
        </w:rPr>
      </w:pPr>
      <w:r w:rsidRPr="00165560">
        <w:rPr>
          <w:rFonts w:ascii="David" w:hAnsi="David" w:hint="cs"/>
          <w:rtl/>
        </w:rPr>
        <w:t>היום שמענו את ב"כ הצדדים שמבקשים לאמץ את הסדר הטיעון, ואין לנו כל סיבה שלא לעשות כן, בהתחשב בכל הנתונים שלפנינו, ולאחר שאימצנו גם את הסדר הטיעון בעניינו של הנאשם 1.</w:t>
      </w:r>
    </w:p>
    <w:p w14:paraId="115F99C8" w14:textId="77777777" w:rsidR="00E635D9" w:rsidRPr="00165560" w:rsidRDefault="00E635D9">
      <w:pPr>
        <w:pStyle w:val="David"/>
        <w:rPr>
          <w:rFonts w:ascii="David" w:hAnsi="David"/>
          <w:rtl/>
        </w:rPr>
      </w:pPr>
    </w:p>
    <w:p w14:paraId="1B9B35AC" w14:textId="77777777" w:rsidR="00E635D9" w:rsidRPr="00165560" w:rsidRDefault="00156078">
      <w:pPr>
        <w:pStyle w:val="David"/>
        <w:rPr>
          <w:rFonts w:ascii="David" w:hAnsi="David"/>
          <w:rtl/>
        </w:rPr>
      </w:pPr>
      <w:r w:rsidRPr="00165560">
        <w:rPr>
          <w:rFonts w:ascii="David" w:hAnsi="David" w:hint="cs"/>
          <w:rtl/>
        </w:rPr>
        <w:t>אשר על כן, מטילים אנו על הנאשם את העונשים הבאים:</w:t>
      </w:r>
    </w:p>
    <w:p w14:paraId="2C66BAD0" w14:textId="77777777" w:rsidR="00E635D9" w:rsidRPr="00165560" w:rsidRDefault="00156078">
      <w:pPr>
        <w:pStyle w:val="David"/>
        <w:rPr>
          <w:rFonts w:ascii="David" w:hAnsi="David"/>
          <w:rtl/>
        </w:rPr>
      </w:pPr>
      <w:r w:rsidRPr="00165560">
        <w:rPr>
          <w:rFonts w:ascii="David" w:hAnsi="David" w:hint="cs"/>
          <w:rtl/>
        </w:rPr>
        <w:t>א.</w:t>
      </w:r>
      <w:r w:rsidRPr="00165560">
        <w:rPr>
          <w:rFonts w:ascii="David" w:hAnsi="David" w:hint="cs"/>
          <w:rtl/>
        </w:rPr>
        <w:tab/>
        <w:t>חודשיים מאסר בפועל שיבוצעו בעבודות שירות.</w:t>
      </w:r>
    </w:p>
    <w:p w14:paraId="7C19814B" w14:textId="77777777" w:rsidR="00E635D9" w:rsidRPr="00165560" w:rsidRDefault="00156078">
      <w:pPr>
        <w:pStyle w:val="David"/>
        <w:ind w:left="720" w:hanging="720"/>
        <w:rPr>
          <w:rFonts w:ascii="David" w:hAnsi="David"/>
          <w:rtl/>
        </w:rPr>
      </w:pPr>
      <w:r w:rsidRPr="00165560">
        <w:rPr>
          <w:rFonts w:ascii="David" w:hAnsi="David" w:hint="cs"/>
          <w:rtl/>
        </w:rPr>
        <w:t>ב.</w:t>
      </w:r>
      <w:r w:rsidRPr="00165560">
        <w:rPr>
          <w:rFonts w:ascii="David" w:hAnsi="David" w:hint="cs"/>
          <w:rtl/>
        </w:rPr>
        <w:tab/>
        <w:t>חמישה חודשי מאסר על תנאי, והתנאי הוא שהנאשם לא יעבור תוך שלוש שנים אחת העבירות שבהן הורשע.</w:t>
      </w:r>
    </w:p>
    <w:p w14:paraId="7982223D" w14:textId="77777777" w:rsidR="00E635D9" w:rsidRPr="00165560" w:rsidRDefault="00156078">
      <w:pPr>
        <w:pStyle w:val="David"/>
        <w:ind w:left="720" w:hanging="720"/>
        <w:rPr>
          <w:rFonts w:ascii="David" w:hAnsi="David"/>
          <w:rtl/>
        </w:rPr>
      </w:pPr>
      <w:r w:rsidRPr="00165560">
        <w:rPr>
          <w:rFonts w:ascii="David" w:hAnsi="David" w:hint="cs"/>
          <w:rtl/>
        </w:rPr>
        <w:t>ג.</w:t>
      </w:r>
      <w:r w:rsidRPr="00165560">
        <w:rPr>
          <w:rFonts w:ascii="David" w:hAnsi="David" w:hint="cs"/>
          <w:rtl/>
        </w:rPr>
        <w:tab/>
        <w:t>אלפיים ₪ קנס או 20 ימי מאסר תמורתם. הקנס ישולם מתוך הפקדון שבתיק מ"ת בו נעצר הנאשם. יתרת הפקדון באותו תיק תושב לידי ב"כ הנאשם.</w:t>
      </w:r>
      <w:r w:rsidRPr="00165560">
        <w:rPr>
          <w:rtl/>
        </w:rPr>
        <w:t xml:space="preserve"> </w:t>
      </w:r>
    </w:p>
    <w:p w14:paraId="10687214" w14:textId="77777777" w:rsidR="00E635D9" w:rsidRPr="00165560" w:rsidRDefault="00156078">
      <w:pPr>
        <w:pStyle w:val="David"/>
        <w:ind w:left="720" w:hanging="720"/>
        <w:rPr>
          <w:rFonts w:ascii="David" w:hAnsi="David"/>
          <w:rtl/>
        </w:rPr>
      </w:pPr>
      <w:r w:rsidRPr="00165560">
        <w:rPr>
          <w:rFonts w:ascii="David" w:hAnsi="David"/>
          <w:rtl/>
        </w:rPr>
        <w:tab/>
      </w:r>
      <w:r w:rsidRPr="00165560">
        <w:rPr>
          <w:rFonts w:ascii="David" w:hAnsi="David" w:hint="cs"/>
          <w:rtl/>
        </w:rPr>
        <w:t>ב"כ המאשימה תודיע למזכירות את פרטי תיק המ"ת ממנו יש לגבות את סכום הקנס.</w:t>
      </w:r>
    </w:p>
    <w:p w14:paraId="11ED1CBF" w14:textId="77777777" w:rsidR="00E635D9" w:rsidRPr="00165560" w:rsidRDefault="00E635D9">
      <w:pPr>
        <w:pStyle w:val="David"/>
        <w:ind w:left="720" w:hanging="720"/>
        <w:rPr>
          <w:rFonts w:ascii="David" w:hAnsi="David"/>
          <w:rtl/>
        </w:rPr>
      </w:pPr>
    </w:p>
    <w:p w14:paraId="507476B2" w14:textId="77777777" w:rsidR="00E635D9" w:rsidRPr="00165560" w:rsidRDefault="00156078">
      <w:pPr>
        <w:pStyle w:val="David"/>
        <w:rPr>
          <w:rFonts w:ascii="David" w:hAnsi="David"/>
          <w:rtl/>
        </w:rPr>
      </w:pPr>
      <w:r w:rsidRPr="00165560">
        <w:rPr>
          <w:rFonts w:ascii="David" w:hAnsi="David" w:hint="cs"/>
          <w:rtl/>
        </w:rPr>
        <w:t>עונש המאסר בן החודשיים ירוצה בעבודות שירות במרכז יום לקשיש ברח' ההגנה 1 ברמלה, וזאת החל מיום 17.4.16. תנאי ההעסקה יהיו ככתוב בחוות דעת הממונה על עבודות שירות מיום 10.2.16.</w:t>
      </w:r>
    </w:p>
    <w:p w14:paraId="1EFA640E" w14:textId="77777777" w:rsidR="00E635D9" w:rsidRPr="00165560" w:rsidRDefault="00E635D9">
      <w:pPr>
        <w:pStyle w:val="David"/>
        <w:rPr>
          <w:rFonts w:ascii="David" w:hAnsi="David"/>
          <w:rtl/>
        </w:rPr>
      </w:pPr>
    </w:p>
    <w:p w14:paraId="06DD3B51" w14:textId="77777777" w:rsidR="00E635D9" w:rsidRPr="00165560" w:rsidRDefault="00156078">
      <w:pPr>
        <w:pStyle w:val="David"/>
        <w:rPr>
          <w:rFonts w:ascii="David" w:hAnsi="David"/>
          <w:rtl/>
        </w:rPr>
      </w:pPr>
      <w:r w:rsidRPr="00165560">
        <w:rPr>
          <w:rFonts w:ascii="David" w:hAnsi="David" w:hint="cs"/>
          <w:rtl/>
        </w:rPr>
        <w:t>על הנאשם יהיה להתייצב ביום 17.4.16 בשעה 08:00 ביחידת עבודות שירות במפקדת מחוז מרכז ברמלה.</w:t>
      </w:r>
    </w:p>
    <w:p w14:paraId="703937D0" w14:textId="77777777" w:rsidR="00E635D9" w:rsidRPr="00165560" w:rsidRDefault="00E635D9">
      <w:pPr>
        <w:pStyle w:val="David"/>
        <w:rPr>
          <w:rFonts w:ascii="David" w:hAnsi="David"/>
          <w:rtl/>
        </w:rPr>
      </w:pPr>
    </w:p>
    <w:p w14:paraId="5E1F18E7" w14:textId="77777777" w:rsidR="00E635D9" w:rsidRPr="00165560" w:rsidRDefault="00156078">
      <w:pPr>
        <w:pStyle w:val="David"/>
        <w:rPr>
          <w:rFonts w:ascii="David" w:hAnsi="David"/>
          <w:rtl/>
        </w:rPr>
      </w:pPr>
      <w:r w:rsidRPr="00165560">
        <w:rPr>
          <w:rFonts w:ascii="David" w:hAnsi="David" w:hint="cs"/>
          <w:rtl/>
        </w:rPr>
        <w:t>הובהר לנאשם כי אי עמידה בתנאי עבודות השירות עלולה להביא להפסקת עבודות השירות ולביצוע עונש המאסר בכליאה.</w:t>
      </w:r>
    </w:p>
    <w:p w14:paraId="6A0B36F3" w14:textId="77777777" w:rsidR="00E635D9" w:rsidRPr="00165560" w:rsidRDefault="00E635D9">
      <w:pPr>
        <w:pStyle w:val="David"/>
        <w:rPr>
          <w:rFonts w:ascii="David" w:hAnsi="David"/>
          <w:rtl/>
        </w:rPr>
      </w:pPr>
    </w:p>
    <w:p w14:paraId="4B47EABC" w14:textId="77777777" w:rsidR="00E635D9" w:rsidRPr="00165560" w:rsidRDefault="00156078">
      <w:pPr>
        <w:pStyle w:val="David"/>
        <w:rPr>
          <w:rFonts w:ascii="David" w:hAnsi="David"/>
          <w:b/>
          <w:bCs/>
          <w:rtl/>
        </w:rPr>
      </w:pPr>
      <w:r w:rsidRPr="00165560">
        <w:rPr>
          <w:rFonts w:ascii="David" w:hAnsi="David" w:hint="cs"/>
          <w:b/>
          <w:bCs/>
          <w:rtl/>
        </w:rPr>
        <w:t>הודעה לנאשם זכות ערעור לבית המשפט העליון בתוך 45 יום מהיום.</w:t>
      </w:r>
    </w:p>
    <w:p w14:paraId="2104FBB3" w14:textId="77777777" w:rsidR="00E635D9" w:rsidRPr="00165560" w:rsidRDefault="00E635D9">
      <w:pPr>
        <w:pStyle w:val="David"/>
        <w:rPr>
          <w:rFonts w:ascii="David" w:hAnsi="David"/>
          <w:rtl/>
        </w:rPr>
      </w:pPr>
    </w:p>
    <w:p w14:paraId="5738CDDB" w14:textId="77777777" w:rsidR="00E635D9" w:rsidRPr="00165560" w:rsidRDefault="00156078">
      <w:pPr>
        <w:pStyle w:val="David"/>
        <w:rPr>
          <w:rFonts w:ascii="David" w:hAnsi="David"/>
          <w:sz w:val="6"/>
          <w:szCs w:val="6"/>
          <w:rtl/>
        </w:rPr>
      </w:pPr>
      <w:r w:rsidRPr="00165560">
        <w:rPr>
          <w:rFonts w:ascii="David" w:hAnsi="David"/>
          <w:sz w:val="6"/>
          <w:szCs w:val="6"/>
          <w:rtl/>
        </w:rPr>
        <w:t>&lt;#6#&gt;</w:t>
      </w:r>
    </w:p>
    <w:tbl>
      <w:tblPr>
        <w:bidiVisual/>
        <w:tblW w:w="0" w:type="auto"/>
        <w:tblLook w:val="01E0" w:firstRow="1" w:lastRow="1" w:firstColumn="1" w:lastColumn="1" w:noHBand="0" w:noVBand="0"/>
      </w:tblPr>
      <w:tblGrid>
        <w:gridCol w:w="2776"/>
        <w:gridCol w:w="348"/>
        <w:gridCol w:w="2308"/>
        <w:gridCol w:w="336"/>
        <w:gridCol w:w="2736"/>
      </w:tblGrid>
      <w:tr w:rsidR="00E635D9" w:rsidRPr="00165560" w14:paraId="1D32840B" w14:textId="77777777">
        <w:tc>
          <w:tcPr>
            <w:tcW w:w="2776" w:type="dxa"/>
            <w:tcBorders>
              <w:top w:val="nil"/>
              <w:left w:val="nil"/>
              <w:bottom w:val="single" w:sz="4" w:space="0" w:color="auto"/>
              <w:right w:val="nil"/>
            </w:tcBorders>
            <w:shd w:val="clear" w:color="auto" w:fill="auto"/>
            <w:vAlign w:val="bottom"/>
          </w:tcPr>
          <w:p w14:paraId="393E1D81" w14:textId="77777777" w:rsidR="00E635D9" w:rsidRPr="00165560" w:rsidRDefault="00156078">
            <w:pPr>
              <w:jc w:val="center"/>
              <w:rPr>
                <w:rFonts w:ascii="Courier New" w:eastAsia="Times New Roman" w:hAnsi="Courier New"/>
                <w:b/>
                <w:bCs/>
              </w:rPr>
            </w:pPr>
            <w:r w:rsidRPr="00165560">
              <w:rPr>
                <w:b/>
                <w:bCs/>
                <w:sz w:val="28"/>
                <w:szCs w:val="28"/>
                <w:rtl/>
              </w:rPr>
              <w:t xml:space="preserve">ניתן והודע היום ז' אדר א' תשע"ו, 16/02/2016 במעמד הנוכחים.  </w:t>
            </w:r>
          </w:p>
        </w:tc>
        <w:tc>
          <w:tcPr>
            <w:tcW w:w="348" w:type="dxa"/>
            <w:shd w:val="clear" w:color="auto" w:fill="auto"/>
            <w:vAlign w:val="bottom"/>
          </w:tcPr>
          <w:p w14:paraId="1EFEBAA0" w14:textId="77777777" w:rsidR="00E635D9" w:rsidRPr="00165560" w:rsidRDefault="00E635D9">
            <w:pPr>
              <w:jc w:val="center"/>
              <w:rPr>
                <w:rFonts w:ascii="Courier New" w:eastAsia="Times New Roman" w:hAnsi="Courier New"/>
                <w:b/>
                <w:bCs/>
              </w:rPr>
            </w:pPr>
          </w:p>
        </w:tc>
        <w:tc>
          <w:tcPr>
            <w:tcW w:w="2308" w:type="dxa"/>
            <w:tcBorders>
              <w:top w:val="nil"/>
              <w:left w:val="nil"/>
              <w:bottom w:val="single" w:sz="4" w:space="0" w:color="auto"/>
              <w:right w:val="nil"/>
            </w:tcBorders>
            <w:shd w:val="clear" w:color="auto" w:fill="auto"/>
            <w:vAlign w:val="bottom"/>
          </w:tcPr>
          <w:p w14:paraId="2D4A6105" w14:textId="77777777" w:rsidR="00E635D9" w:rsidRPr="00165560" w:rsidRDefault="00E635D9">
            <w:pPr>
              <w:jc w:val="center"/>
              <w:rPr>
                <w:rFonts w:ascii="Courier New" w:eastAsia="Times New Roman" w:hAnsi="Courier New"/>
                <w:b/>
                <w:bCs/>
              </w:rPr>
            </w:pPr>
          </w:p>
        </w:tc>
        <w:tc>
          <w:tcPr>
            <w:tcW w:w="336" w:type="dxa"/>
            <w:shd w:val="clear" w:color="auto" w:fill="auto"/>
            <w:vAlign w:val="bottom"/>
          </w:tcPr>
          <w:p w14:paraId="1978CEF1" w14:textId="77777777" w:rsidR="00E635D9" w:rsidRPr="00165560" w:rsidRDefault="00E635D9">
            <w:pPr>
              <w:jc w:val="center"/>
              <w:rPr>
                <w:rFonts w:ascii="Courier New" w:eastAsia="Times New Roman" w:hAnsi="Courier New"/>
                <w:b/>
                <w:bCs/>
              </w:rPr>
            </w:pPr>
          </w:p>
        </w:tc>
        <w:tc>
          <w:tcPr>
            <w:tcW w:w="2736" w:type="dxa"/>
            <w:tcBorders>
              <w:top w:val="nil"/>
              <w:left w:val="nil"/>
              <w:bottom w:val="single" w:sz="4" w:space="0" w:color="auto"/>
              <w:right w:val="nil"/>
            </w:tcBorders>
            <w:shd w:val="clear" w:color="auto" w:fill="auto"/>
            <w:vAlign w:val="bottom"/>
          </w:tcPr>
          <w:p w14:paraId="4AA7AA06" w14:textId="77777777" w:rsidR="00E635D9" w:rsidRPr="00165560" w:rsidRDefault="00E635D9">
            <w:pPr>
              <w:jc w:val="center"/>
              <w:rPr>
                <w:rFonts w:ascii="Courier New" w:eastAsia="Times New Roman" w:hAnsi="Courier New"/>
                <w:b/>
                <w:bCs/>
                <w:sz w:val="20"/>
                <w:szCs w:val="20"/>
              </w:rPr>
            </w:pPr>
          </w:p>
        </w:tc>
      </w:tr>
      <w:tr w:rsidR="00E635D9" w:rsidRPr="00165560" w14:paraId="132F0EE8" w14:textId="77777777">
        <w:tc>
          <w:tcPr>
            <w:tcW w:w="2776" w:type="dxa"/>
            <w:tcBorders>
              <w:top w:val="single" w:sz="4" w:space="0" w:color="auto"/>
              <w:left w:val="nil"/>
              <w:bottom w:val="nil"/>
              <w:right w:val="nil"/>
            </w:tcBorders>
            <w:shd w:val="clear" w:color="auto" w:fill="auto"/>
            <w:vAlign w:val="bottom"/>
          </w:tcPr>
          <w:p w14:paraId="360067FF" w14:textId="77777777" w:rsidR="00E635D9" w:rsidRPr="00165560" w:rsidRDefault="00156078">
            <w:pPr>
              <w:jc w:val="center"/>
              <w:rPr>
                <w:rFonts w:ascii="Courier New" w:eastAsia="Times New Roman" w:hAnsi="Courier New"/>
                <w:b/>
                <w:bCs/>
              </w:rPr>
            </w:pPr>
            <w:r w:rsidRPr="00165560">
              <w:rPr>
                <w:rFonts w:ascii="Courier New" w:eastAsia="Times New Roman" w:hAnsi="Courier New" w:hint="cs"/>
                <w:b/>
                <w:bCs/>
                <w:rtl/>
              </w:rPr>
              <w:t>השופט מנחם פינקלשטיין, סג"נ אב"ד</w:t>
            </w:r>
          </w:p>
        </w:tc>
        <w:tc>
          <w:tcPr>
            <w:tcW w:w="348" w:type="dxa"/>
            <w:shd w:val="clear" w:color="auto" w:fill="auto"/>
            <w:vAlign w:val="bottom"/>
          </w:tcPr>
          <w:p w14:paraId="48A27ED9" w14:textId="77777777" w:rsidR="00E635D9" w:rsidRPr="00165560" w:rsidRDefault="00E635D9">
            <w:pPr>
              <w:jc w:val="center"/>
              <w:rPr>
                <w:rFonts w:ascii="Courier New" w:eastAsia="Times New Roman" w:hAnsi="Courier New"/>
                <w:b/>
                <w:bCs/>
              </w:rPr>
            </w:pPr>
          </w:p>
        </w:tc>
        <w:tc>
          <w:tcPr>
            <w:tcW w:w="2308" w:type="dxa"/>
            <w:tcBorders>
              <w:top w:val="single" w:sz="4" w:space="0" w:color="auto"/>
              <w:left w:val="nil"/>
              <w:bottom w:val="nil"/>
              <w:right w:val="nil"/>
            </w:tcBorders>
            <w:shd w:val="clear" w:color="auto" w:fill="auto"/>
          </w:tcPr>
          <w:p w14:paraId="1CE9232D" w14:textId="77777777" w:rsidR="00E635D9" w:rsidRPr="00165560" w:rsidRDefault="00156078">
            <w:pPr>
              <w:jc w:val="center"/>
              <w:rPr>
                <w:rFonts w:ascii="Courier New" w:eastAsia="Times New Roman" w:hAnsi="Courier New"/>
                <w:b/>
                <w:bCs/>
              </w:rPr>
            </w:pPr>
            <w:r w:rsidRPr="00165560">
              <w:rPr>
                <w:rFonts w:ascii="Courier New" w:eastAsia="Times New Roman" w:hAnsi="Courier New" w:hint="cs"/>
                <w:b/>
                <w:bCs/>
                <w:rtl/>
              </w:rPr>
              <w:t>ליאורה ברודי, שופטת</w:t>
            </w:r>
          </w:p>
        </w:tc>
        <w:tc>
          <w:tcPr>
            <w:tcW w:w="336" w:type="dxa"/>
            <w:shd w:val="clear" w:color="auto" w:fill="auto"/>
          </w:tcPr>
          <w:p w14:paraId="36F72EBE" w14:textId="77777777" w:rsidR="00E635D9" w:rsidRPr="00165560" w:rsidRDefault="00E635D9">
            <w:pPr>
              <w:jc w:val="center"/>
              <w:rPr>
                <w:rFonts w:ascii="Courier New" w:eastAsia="Times New Roman" w:hAnsi="Courier New"/>
                <w:b/>
                <w:bCs/>
              </w:rPr>
            </w:pPr>
          </w:p>
        </w:tc>
        <w:tc>
          <w:tcPr>
            <w:tcW w:w="2736" w:type="dxa"/>
            <w:tcBorders>
              <w:top w:val="single" w:sz="4" w:space="0" w:color="auto"/>
              <w:left w:val="nil"/>
              <w:bottom w:val="nil"/>
              <w:right w:val="nil"/>
            </w:tcBorders>
            <w:shd w:val="clear" w:color="auto" w:fill="auto"/>
          </w:tcPr>
          <w:p w14:paraId="43C90E1C" w14:textId="77777777" w:rsidR="00E635D9" w:rsidRPr="00165560" w:rsidRDefault="00156078">
            <w:pPr>
              <w:jc w:val="center"/>
              <w:rPr>
                <w:rFonts w:ascii="Courier New" w:eastAsia="Times New Roman" w:hAnsi="Courier New"/>
                <w:b/>
                <w:bCs/>
              </w:rPr>
            </w:pPr>
            <w:r w:rsidRPr="00165560">
              <w:rPr>
                <w:rFonts w:ascii="Courier New" w:eastAsia="Times New Roman" w:hAnsi="Courier New" w:hint="cs"/>
                <w:b/>
                <w:bCs/>
                <w:rtl/>
              </w:rPr>
              <w:t>רמי אמיר, שופט</w:t>
            </w:r>
          </w:p>
        </w:tc>
      </w:tr>
    </w:tbl>
    <w:p w14:paraId="0F5B9FBE" w14:textId="77777777" w:rsidR="00E635D9" w:rsidRPr="00165560" w:rsidRDefault="00E635D9"/>
    <w:tbl>
      <w:tblPr>
        <w:bidiVisual/>
        <w:tblW w:w="10260" w:type="dxa"/>
        <w:tblInd w:w="-500" w:type="dxa"/>
        <w:tblLook w:val="01E0" w:firstRow="1" w:lastRow="1" w:firstColumn="1" w:lastColumn="1" w:noHBand="0" w:noVBand="0"/>
      </w:tblPr>
      <w:tblGrid>
        <w:gridCol w:w="3420"/>
        <w:gridCol w:w="3420"/>
        <w:gridCol w:w="3420"/>
      </w:tblGrid>
      <w:tr w:rsidR="00E635D9" w:rsidRPr="00165560" w14:paraId="002600A5" w14:textId="77777777">
        <w:tc>
          <w:tcPr>
            <w:tcW w:w="3420" w:type="dxa"/>
            <w:shd w:val="clear" w:color="auto" w:fill="auto"/>
          </w:tcPr>
          <w:p w14:paraId="490BFE1C" w14:textId="77777777" w:rsidR="00E635D9" w:rsidRPr="00165560" w:rsidRDefault="00156078">
            <w:pPr>
              <w:jc w:val="right"/>
              <w:rPr>
                <w:rFonts w:ascii="Times New Roman" w:eastAsia="Times New Roman" w:hAnsi="Times New Roman"/>
              </w:rPr>
            </w:pPr>
            <w:r w:rsidRPr="00165560">
              <w:rPr>
                <w:rFonts w:ascii="Times New Roman" w:eastAsia="Times New Roman" w:hAnsi="Times New Roman"/>
                <w:rtl/>
              </w:rPr>
              <w:t xml:space="preserve"> </w:t>
            </w:r>
          </w:p>
        </w:tc>
        <w:tc>
          <w:tcPr>
            <w:tcW w:w="3420" w:type="dxa"/>
            <w:shd w:val="clear" w:color="auto" w:fill="auto"/>
          </w:tcPr>
          <w:p w14:paraId="6C2059F3" w14:textId="77777777" w:rsidR="00E635D9" w:rsidRPr="00165560" w:rsidRDefault="00E635D9">
            <w:pPr>
              <w:jc w:val="right"/>
              <w:rPr>
                <w:rFonts w:ascii="Times New Roman" w:eastAsia="Times New Roman" w:hAnsi="Times New Roman"/>
              </w:rPr>
            </w:pPr>
          </w:p>
        </w:tc>
        <w:tc>
          <w:tcPr>
            <w:tcW w:w="3420" w:type="dxa"/>
            <w:shd w:val="clear" w:color="auto" w:fill="auto"/>
          </w:tcPr>
          <w:p w14:paraId="3027C10E" w14:textId="77777777" w:rsidR="00E635D9" w:rsidRPr="00165560" w:rsidRDefault="00E635D9">
            <w:pPr>
              <w:jc w:val="right"/>
              <w:rPr>
                <w:rFonts w:ascii="Times New Roman" w:eastAsia="Times New Roman" w:hAnsi="Times New Roman"/>
              </w:rPr>
            </w:pPr>
          </w:p>
        </w:tc>
      </w:tr>
      <w:tr w:rsidR="00E635D9" w:rsidRPr="00165560" w14:paraId="75EBF214" w14:textId="77777777">
        <w:tc>
          <w:tcPr>
            <w:tcW w:w="3420" w:type="dxa"/>
            <w:shd w:val="clear" w:color="auto" w:fill="auto"/>
          </w:tcPr>
          <w:p w14:paraId="4CF36327" w14:textId="77777777" w:rsidR="00E635D9" w:rsidRPr="00165560" w:rsidRDefault="00E635D9">
            <w:pPr>
              <w:spacing w:line="360" w:lineRule="auto"/>
              <w:jc w:val="center"/>
              <w:rPr>
                <w:rFonts w:ascii="Times New Roman" w:eastAsia="Times New Roman" w:hAnsi="Times New Roman"/>
                <w:rtl/>
              </w:rPr>
            </w:pPr>
          </w:p>
        </w:tc>
        <w:tc>
          <w:tcPr>
            <w:tcW w:w="3420" w:type="dxa"/>
            <w:shd w:val="clear" w:color="auto" w:fill="auto"/>
          </w:tcPr>
          <w:p w14:paraId="302FA543" w14:textId="77777777" w:rsidR="00E635D9" w:rsidRPr="00165560" w:rsidRDefault="00E635D9">
            <w:pPr>
              <w:spacing w:line="360" w:lineRule="auto"/>
              <w:jc w:val="center"/>
              <w:rPr>
                <w:rFonts w:ascii="Times New Roman" w:eastAsia="Times New Roman" w:hAnsi="Times New Roman"/>
                <w:rtl/>
              </w:rPr>
            </w:pPr>
          </w:p>
        </w:tc>
        <w:tc>
          <w:tcPr>
            <w:tcW w:w="3420" w:type="dxa"/>
            <w:shd w:val="clear" w:color="auto" w:fill="auto"/>
          </w:tcPr>
          <w:p w14:paraId="2EE3D841" w14:textId="77777777" w:rsidR="00E635D9" w:rsidRPr="00165560" w:rsidRDefault="00E635D9">
            <w:pPr>
              <w:spacing w:line="360" w:lineRule="auto"/>
              <w:jc w:val="center"/>
              <w:rPr>
                <w:rFonts w:ascii="Times New Roman" w:eastAsia="Times New Roman" w:hAnsi="Times New Roman"/>
                <w:rtl/>
              </w:rPr>
            </w:pPr>
          </w:p>
        </w:tc>
      </w:tr>
      <w:tr w:rsidR="00E635D9" w:rsidRPr="00165560" w14:paraId="71600A5D" w14:textId="77777777">
        <w:tc>
          <w:tcPr>
            <w:tcW w:w="3420" w:type="dxa"/>
            <w:shd w:val="clear" w:color="auto" w:fill="auto"/>
          </w:tcPr>
          <w:p w14:paraId="77B2D981" w14:textId="77777777" w:rsidR="00E635D9" w:rsidRPr="00165560" w:rsidRDefault="00E635D9">
            <w:pPr>
              <w:spacing w:line="360" w:lineRule="auto"/>
              <w:jc w:val="center"/>
              <w:rPr>
                <w:rFonts w:ascii="Times New Roman" w:eastAsia="Times New Roman" w:hAnsi="Times New Roman"/>
                <w:rtl/>
              </w:rPr>
            </w:pPr>
          </w:p>
        </w:tc>
        <w:tc>
          <w:tcPr>
            <w:tcW w:w="3420" w:type="dxa"/>
            <w:shd w:val="clear" w:color="auto" w:fill="auto"/>
          </w:tcPr>
          <w:p w14:paraId="234F2DF7" w14:textId="77777777" w:rsidR="00E635D9" w:rsidRPr="00165560" w:rsidRDefault="00E635D9">
            <w:pPr>
              <w:spacing w:line="360" w:lineRule="auto"/>
              <w:jc w:val="right"/>
              <w:rPr>
                <w:rFonts w:ascii="Times New Roman" w:eastAsia="Times New Roman" w:hAnsi="Times New Roman"/>
                <w:rtl/>
              </w:rPr>
            </w:pPr>
          </w:p>
        </w:tc>
        <w:tc>
          <w:tcPr>
            <w:tcW w:w="3420" w:type="dxa"/>
            <w:shd w:val="clear" w:color="auto" w:fill="auto"/>
          </w:tcPr>
          <w:p w14:paraId="2FA31933" w14:textId="77777777" w:rsidR="00156078" w:rsidRPr="00165560" w:rsidRDefault="00156078">
            <w:pPr>
              <w:spacing w:line="360" w:lineRule="auto"/>
              <w:jc w:val="center"/>
              <w:rPr>
                <w:rFonts w:ascii="Times New Roman" w:eastAsia="Times New Roman" w:hAnsi="Times New Roman"/>
                <w:rtl/>
              </w:rPr>
            </w:pPr>
          </w:p>
          <w:p w14:paraId="1F0A8369" w14:textId="77777777" w:rsidR="00E635D9" w:rsidRPr="00165560" w:rsidRDefault="00E635D9">
            <w:pPr>
              <w:spacing w:line="360" w:lineRule="auto"/>
              <w:jc w:val="center"/>
              <w:rPr>
                <w:rFonts w:ascii="Times New Roman" w:eastAsia="Times New Roman" w:hAnsi="Times New Roman"/>
                <w:rtl/>
              </w:rPr>
            </w:pPr>
          </w:p>
        </w:tc>
      </w:tr>
    </w:tbl>
    <w:p w14:paraId="0C7A8CF9" w14:textId="77777777" w:rsidR="00E635D9" w:rsidRPr="00165560" w:rsidRDefault="00156078">
      <w:pPr>
        <w:rPr>
          <w:color w:val="FFFFFF"/>
          <w:sz w:val="2"/>
          <w:szCs w:val="2"/>
        </w:rPr>
      </w:pPr>
      <w:r w:rsidRPr="00165560">
        <w:rPr>
          <w:color w:val="FFFFFF"/>
          <w:sz w:val="2"/>
          <w:szCs w:val="2"/>
          <w:rtl/>
        </w:rPr>
        <w:t>5129371</w:t>
      </w:r>
    </w:p>
    <w:p w14:paraId="547ED13F" w14:textId="77777777" w:rsidR="00E635D9" w:rsidRPr="00165560" w:rsidRDefault="00156078">
      <w:pPr>
        <w:pStyle w:val="David"/>
        <w:jc w:val="center"/>
        <w:rPr>
          <w:rFonts w:ascii="David" w:hAnsi="David"/>
          <w:color w:val="FFFFFF"/>
          <w:sz w:val="2"/>
          <w:szCs w:val="2"/>
          <w:rtl/>
        </w:rPr>
      </w:pPr>
      <w:r w:rsidRPr="00165560">
        <w:rPr>
          <w:rFonts w:ascii="David" w:hAnsi="David"/>
          <w:color w:val="FFFFFF"/>
          <w:sz w:val="2"/>
          <w:szCs w:val="2"/>
          <w:rtl/>
        </w:rPr>
        <w:t>54678313</w:t>
      </w:r>
    </w:p>
    <w:p w14:paraId="202E3ED9" w14:textId="77777777" w:rsidR="00E635D9" w:rsidRPr="00165560" w:rsidRDefault="00156078">
      <w:pPr>
        <w:pStyle w:val="David"/>
        <w:rPr>
          <w:rFonts w:ascii="David" w:hAnsi="David"/>
          <w:rtl/>
        </w:rPr>
      </w:pPr>
      <w:r w:rsidRPr="00165560">
        <w:rPr>
          <w:rFonts w:ascii="David" w:hAnsi="David"/>
          <w:rtl/>
        </w:rPr>
        <w:t xml:space="preserve"> </w:t>
      </w:r>
    </w:p>
    <w:p w14:paraId="292DBFF5" w14:textId="77777777" w:rsidR="00E635D9" w:rsidRPr="00165560" w:rsidRDefault="00156078">
      <w:r w:rsidRPr="00165560">
        <w:rPr>
          <w:rtl/>
        </w:rPr>
        <w:t>הוקלד</w:t>
      </w:r>
      <w:r w:rsidRPr="00165560">
        <w:t xml:space="preserve"> </w:t>
      </w:r>
      <w:r w:rsidRPr="00165560">
        <w:rPr>
          <w:rtl/>
        </w:rPr>
        <w:t>על</w:t>
      </w:r>
      <w:r w:rsidRPr="00165560">
        <w:t xml:space="preserve"> </w:t>
      </w:r>
      <w:r w:rsidRPr="00165560">
        <w:rPr>
          <w:rtl/>
        </w:rPr>
        <w:t>ידי</w:t>
      </w:r>
      <w:r w:rsidRPr="00165560">
        <w:t xml:space="preserve"> </w:t>
      </w:r>
      <w:r w:rsidRPr="00165560">
        <w:rPr>
          <w:rtl/>
        </w:rPr>
        <w:t>ליה</w:t>
      </w:r>
      <w:r w:rsidRPr="00165560">
        <w:t xml:space="preserve"> </w:t>
      </w:r>
      <w:r w:rsidRPr="00165560">
        <w:rPr>
          <w:rtl/>
        </w:rPr>
        <w:t>סטרניצקי</w:t>
      </w:r>
    </w:p>
    <w:p w14:paraId="5B29EB86" w14:textId="77777777" w:rsidR="00156078" w:rsidRPr="00165560" w:rsidRDefault="00156078" w:rsidP="00156078">
      <w:pPr>
        <w:keepNext/>
        <w:rPr>
          <w:color w:val="000000"/>
          <w:sz w:val="22"/>
          <w:szCs w:val="22"/>
          <w:rtl/>
        </w:rPr>
      </w:pPr>
    </w:p>
    <w:p w14:paraId="723D657E" w14:textId="77777777" w:rsidR="00156078" w:rsidRPr="00165560" w:rsidRDefault="00156078" w:rsidP="00156078">
      <w:pPr>
        <w:keepNext/>
        <w:rPr>
          <w:color w:val="000000"/>
          <w:sz w:val="22"/>
          <w:szCs w:val="22"/>
          <w:rtl/>
        </w:rPr>
      </w:pPr>
      <w:r w:rsidRPr="00165560">
        <w:rPr>
          <w:color w:val="000000"/>
          <w:sz w:val="22"/>
          <w:szCs w:val="22"/>
          <w:rtl/>
        </w:rPr>
        <w:t>מנחם פינקלשטיין 54678313</w:t>
      </w:r>
    </w:p>
    <w:p w14:paraId="386B8F9B" w14:textId="77777777" w:rsidR="00156078" w:rsidRPr="00165560" w:rsidRDefault="00156078" w:rsidP="00156078">
      <w:r w:rsidRPr="00165560">
        <w:rPr>
          <w:color w:val="000000"/>
          <w:rtl/>
        </w:rPr>
        <w:t>נוסח מסמך זה כפוף לשינויי ניסוח ועריכה</w:t>
      </w:r>
    </w:p>
    <w:p w14:paraId="1170F877" w14:textId="77777777" w:rsidR="00156078" w:rsidRPr="00165560" w:rsidRDefault="00156078" w:rsidP="00156078">
      <w:pPr>
        <w:rPr>
          <w:rtl/>
        </w:rPr>
      </w:pPr>
    </w:p>
    <w:p w14:paraId="35F8A7D3" w14:textId="77777777" w:rsidR="00156078" w:rsidRPr="00165560" w:rsidRDefault="00156078" w:rsidP="00156078">
      <w:pPr>
        <w:jc w:val="center"/>
        <w:rPr>
          <w:color w:val="0000FF"/>
          <w:u w:val="single"/>
        </w:rPr>
      </w:pPr>
      <w:hyperlink r:id="rId19" w:history="1">
        <w:r w:rsidRPr="00165560">
          <w:rPr>
            <w:color w:val="0000FF"/>
            <w:u w:val="single"/>
            <w:rtl/>
          </w:rPr>
          <w:t>בעניין עריכה ושינויים במסמכי פסיקה, חקיקה ועוד באתר נבו – הקש כאן</w:t>
        </w:r>
      </w:hyperlink>
    </w:p>
    <w:p w14:paraId="1F4B2524" w14:textId="77777777" w:rsidR="00E635D9" w:rsidRPr="00165560" w:rsidRDefault="00E635D9" w:rsidP="00156078">
      <w:pPr>
        <w:jc w:val="center"/>
        <w:rPr>
          <w:color w:val="0000FF"/>
          <w:u w:val="single"/>
        </w:rPr>
      </w:pPr>
    </w:p>
    <w:sectPr w:rsidR="00E635D9" w:rsidRPr="00165560" w:rsidSect="00156078">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E62F3" w14:textId="77777777" w:rsidR="00D32D3D" w:rsidRDefault="00D32D3D">
      <w:r>
        <w:separator/>
      </w:r>
    </w:p>
  </w:endnote>
  <w:endnote w:type="continuationSeparator" w:id="0">
    <w:p w14:paraId="33082638" w14:textId="77777777" w:rsidR="00D32D3D" w:rsidRDefault="00D3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92F13" w14:textId="77777777" w:rsidR="00D32D3D" w:rsidRDefault="00D32D3D" w:rsidP="0015607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1594</w:t>
    </w:r>
    <w:r>
      <w:rPr>
        <w:rFonts w:ascii="FrankRuehl" w:hAnsi="FrankRuehl" w:cs="FrankRuehl"/>
        <w:rtl/>
      </w:rPr>
      <w:fldChar w:fldCharType="end"/>
    </w:r>
  </w:p>
  <w:p w14:paraId="26BFE7E9" w14:textId="77777777" w:rsidR="00D32D3D" w:rsidRPr="00156078" w:rsidRDefault="00D32D3D" w:rsidP="00156078">
    <w:pPr>
      <w:pStyle w:val="a6"/>
      <w:pBdr>
        <w:top w:val="single" w:sz="4" w:space="1" w:color="auto"/>
        <w:between w:val="single" w:sz="4" w:space="0" w:color="auto"/>
      </w:pBdr>
      <w:spacing w:after="60"/>
      <w:jc w:val="center"/>
      <w:rPr>
        <w:rFonts w:ascii="FrankRuehl" w:hAnsi="FrankRuehl" w:cs="FrankRuehl"/>
        <w:color w:val="000000"/>
      </w:rPr>
    </w:pPr>
    <w:r w:rsidRPr="001560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2B333" w14:textId="77777777" w:rsidR="00D32D3D" w:rsidRDefault="00D32D3D" w:rsidP="0015607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C0BED">
      <w:rPr>
        <w:rFonts w:ascii="FrankRuehl" w:hAnsi="FrankRuehl" w:cs="FrankRuehl"/>
        <w:noProof/>
        <w:rtl/>
      </w:rPr>
      <w:t>1</w:t>
    </w:r>
    <w:r>
      <w:rPr>
        <w:rFonts w:ascii="FrankRuehl" w:hAnsi="FrankRuehl" w:cs="FrankRuehl"/>
        <w:rtl/>
      </w:rPr>
      <w:fldChar w:fldCharType="end"/>
    </w:r>
  </w:p>
  <w:p w14:paraId="2DF164C6" w14:textId="77777777" w:rsidR="00D32D3D" w:rsidRPr="00156078" w:rsidRDefault="00D32D3D" w:rsidP="00156078">
    <w:pPr>
      <w:pStyle w:val="a6"/>
      <w:pBdr>
        <w:top w:val="single" w:sz="4" w:space="1" w:color="auto"/>
        <w:between w:val="single" w:sz="4" w:space="0" w:color="auto"/>
      </w:pBdr>
      <w:spacing w:after="60"/>
      <w:jc w:val="center"/>
      <w:rPr>
        <w:rFonts w:ascii="FrankRuehl" w:hAnsi="FrankRuehl" w:cs="FrankRuehl"/>
        <w:color w:val="000000"/>
      </w:rPr>
    </w:pPr>
    <w:r w:rsidRPr="00156078">
      <w:rPr>
        <w:rFonts w:ascii="FrankRuehl" w:hAnsi="FrankRuehl" w:cs="FrankRuehl"/>
        <w:color w:val="000000"/>
      </w:rPr>
      <w:pict w14:anchorId="25E3FE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68A66" w14:textId="77777777" w:rsidR="00D32D3D" w:rsidRDefault="00D32D3D">
      <w:r>
        <w:separator/>
      </w:r>
    </w:p>
  </w:footnote>
  <w:footnote w:type="continuationSeparator" w:id="0">
    <w:p w14:paraId="78867CAE" w14:textId="77777777" w:rsidR="00D32D3D" w:rsidRDefault="00D32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1F987" w14:textId="77777777" w:rsidR="00D32D3D" w:rsidRPr="00156078" w:rsidRDefault="00D32D3D" w:rsidP="0015607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10788-05-14</w:t>
    </w:r>
    <w:r>
      <w:rPr>
        <w:color w:val="000000"/>
        <w:sz w:val="22"/>
        <w:szCs w:val="22"/>
        <w:rtl/>
      </w:rPr>
      <w:tab/>
      <w:t xml:space="preserve"> מדינת ישראל נ' איימן וחידי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04F4E" w14:textId="77777777" w:rsidR="00D32D3D" w:rsidRPr="00156078" w:rsidRDefault="00D32D3D" w:rsidP="0015607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10788-05-14</w:t>
    </w:r>
    <w:r>
      <w:rPr>
        <w:color w:val="000000"/>
        <w:sz w:val="22"/>
        <w:szCs w:val="22"/>
        <w:rtl/>
      </w:rPr>
      <w:tab/>
      <w:t xml:space="preserve"> מדינת ישראל נ' איימן וחידי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35D9"/>
    <w:rsid w:val="00071601"/>
    <w:rsid w:val="00156078"/>
    <w:rsid w:val="00165560"/>
    <w:rsid w:val="001D53BE"/>
    <w:rsid w:val="00460916"/>
    <w:rsid w:val="00575D35"/>
    <w:rsid w:val="00C22015"/>
    <w:rsid w:val="00D32D3D"/>
    <w:rsid w:val="00E635D9"/>
    <w:rsid w:val="00EC0BED"/>
    <w:rsid w:val="00EF07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05C4BA"/>
  <w15:chartTrackingRefBased/>
  <w15:docId w15:val="{224B64C4-3FAF-4B07-9080-C0E59DB0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35D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E635D9"/>
  </w:style>
  <w:style w:type="paragraph" w:styleId="a4">
    <w:name w:val="header"/>
    <w:basedOn w:val="a"/>
    <w:link w:val="a5"/>
    <w:rsid w:val="00E635D9"/>
    <w:pPr>
      <w:tabs>
        <w:tab w:val="center" w:pos="4153"/>
        <w:tab w:val="right" w:pos="8306"/>
      </w:tabs>
    </w:pPr>
  </w:style>
  <w:style w:type="paragraph" w:styleId="a6">
    <w:name w:val="footer"/>
    <w:basedOn w:val="a"/>
    <w:rsid w:val="00E635D9"/>
    <w:pPr>
      <w:tabs>
        <w:tab w:val="center" w:pos="4153"/>
        <w:tab w:val="right" w:pos="8306"/>
      </w:tabs>
    </w:pPr>
  </w:style>
  <w:style w:type="character" w:styleId="a7">
    <w:name w:val="page number"/>
    <w:basedOn w:val="a0"/>
    <w:rsid w:val="00E635D9"/>
  </w:style>
  <w:style w:type="character" w:customStyle="1" w:styleId="a5">
    <w:name w:val="כותרת עליונה תו"/>
    <w:link w:val="a4"/>
    <w:rsid w:val="00E635D9"/>
    <w:rPr>
      <w:rFonts w:ascii="David" w:eastAsia="David" w:hAnsi="David" w:cs="David"/>
      <w:sz w:val="24"/>
      <w:szCs w:val="24"/>
      <w:lang w:val="en-US" w:eastAsia="en-US" w:bidi="he-IL"/>
    </w:rPr>
  </w:style>
  <w:style w:type="paragraph" w:customStyle="1" w:styleId="12">
    <w:name w:val="רגיל + ‏12 נק'"/>
    <w:aliases w:val="מיושר לשני הצדדים,מרווח בין שורות:  שורה וחצי"/>
    <w:basedOn w:val="a"/>
    <w:rsid w:val="00E635D9"/>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E635D9"/>
    <w:pPr>
      <w:spacing w:line="360" w:lineRule="auto"/>
      <w:jc w:val="both"/>
    </w:pPr>
    <w:rPr>
      <w:rFonts w:ascii="Times New Roman" w:eastAsia="Times New Roman" w:hAnsi="Times New Roman"/>
    </w:rPr>
  </w:style>
  <w:style w:type="character" w:styleId="Hyperlink">
    <w:name w:val="Hyperlink"/>
    <w:basedOn w:val="a0"/>
    <w:rsid w:val="001560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31"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31" TargetMode="External"/><Relationship Id="rId12" Type="http://schemas.openxmlformats.org/officeDocument/2006/relationships/hyperlink" Target="http://www.nevo.co.il/law/70301/261.1" TargetMode="External"/><Relationship Id="rId17" Type="http://schemas.openxmlformats.org/officeDocument/2006/relationships/hyperlink" Target="http://www.nevo.co.il/law/70301/340a"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3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0a"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footer" Target="footer2.xml"/><Relationship Id="rId10" Type="http://schemas.openxmlformats.org/officeDocument/2006/relationships/hyperlink" Target="http://www.nevo.co.il/law/70301/261.1"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244" TargetMode="External"/><Relationship Id="rId14" Type="http://schemas.openxmlformats.org/officeDocument/2006/relationships/hyperlink" Target="http://www.nevo.co.il/law/70301/24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3820</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86</vt:i4>
      </vt:variant>
      <vt:variant>
        <vt:i4>33</vt:i4>
      </vt:variant>
      <vt:variant>
        <vt:i4>0</vt:i4>
      </vt:variant>
      <vt:variant>
        <vt:i4>5</vt:i4>
      </vt:variant>
      <vt:variant>
        <vt:lpwstr>http://www.nevo.co.il/law/70301/340a</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5046358</vt:i4>
      </vt:variant>
      <vt:variant>
        <vt:i4>18</vt:i4>
      </vt:variant>
      <vt:variant>
        <vt:i4>0</vt:i4>
      </vt:variant>
      <vt:variant>
        <vt:i4>5</vt:i4>
      </vt:variant>
      <vt:variant>
        <vt:lpwstr>http://www.nevo.co.il/law/70301/261.1</vt:lpwstr>
      </vt:variant>
      <vt:variant>
        <vt:lpwstr/>
      </vt:variant>
      <vt:variant>
        <vt:i4>86</vt:i4>
      </vt:variant>
      <vt:variant>
        <vt:i4>15</vt:i4>
      </vt:variant>
      <vt:variant>
        <vt:i4>0</vt:i4>
      </vt:variant>
      <vt:variant>
        <vt:i4>5</vt:i4>
      </vt:variant>
      <vt:variant>
        <vt:lpwstr>http://www.nevo.co.il/law/70301/340a</vt:lpwstr>
      </vt:variant>
      <vt:variant>
        <vt:lpwstr/>
      </vt:variant>
      <vt:variant>
        <vt:i4>5046358</vt:i4>
      </vt:variant>
      <vt:variant>
        <vt:i4>12</vt:i4>
      </vt:variant>
      <vt:variant>
        <vt:i4>0</vt:i4>
      </vt:variant>
      <vt:variant>
        <vt:i4>5</vt:i4>
      </vt:variant>
      <vt:variant>
        <vt:lpwstr>http://www.nevo.co.il/law/70301/261.1</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2025-01-19T15:53:00Z</dcterms:created>
  <dcterms:modified xsi:type="dcterms:W3CDTF">2025-01-19T15:53:00Z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10788</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איימן וחידי</vt:lpwstr>
  </property>
  <property fmtid="{D5CDD505-2E9C-101B-9397-08002B2CF9AE}" pid="10" name="LAWYER">
    <vt:lpwstr>יסמין שביט;לנה סטל ממשרד אבו עאמר</vt:lpwstr>
  </property>
  <property fmtid="{D5CDD505-2E9C-101B-9397-08002B2CF9AE}" pid="11" name="JUDGE">
    <vt:lpwstr>מנחם פינקלשטיין;ליאורה ברודי;רמי אמיר</vt:lpwstr>
  </property>
  <property fmtid="{D5CDD505-2E9C-101B-9397-08002B2CF9AE}" pid="12" name="CITY">
    <vt:lpwstr>מרכז</vt:lpwstr>
  </property>
  <property fmtid="{D5CDD505-2E9C-101B-9397-08002B2CF9AE}" pid="13" name="DATE">
    <vt:lpwstr>20160216</vt:lpwstr>
  </property>
  <property fmtid="{D5CDD505-2E9C-101B-9397-08002B2CF9AE}" pid="14" name="TYPE_N_DATE">
    <vt:lpwstr>39020160216</vt:lpwstr>
  </property>
  <property fmtid="{D5CDD505-2E9C-101B-9397-08002B2CF9AE}" pid="15" name="WORDNUMPAGES">
    <vt:lpwstr>3</vt:lpwstr>
  </property>
  <property fmtid="{D5CDD505-2E9C-101B-9397-08002B2CF9AE}" pid="16" name="TYPE_ABS_DATE">
    <vt:lpwstr>390020160216</vt:lpwstr>
  </property>
  <property fmtid="{D5CDD505-2E9C-101B-9397-08002B2CF9AE}" pid="17" name="LAWLISTTMP1">
    <vt:lpwstr>70301/261.1;244;144.b;031:2;340a</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