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37"/>
        <w:gridCol w:w="3684"/>
      </w:tblGrid>
      <w:tr w:rsidR="001F6032" w:rsidRPr="00975154" w14:paraId="7FE3411D" w14:textId="77777777">
        <w:trPr>
          <w:trHeight w:hRule="exact" w:val="418"/>
          <w:jc w:val="center"/>
        </w:trPr>
        <w:tc>
          <w:tcPr>
            <w:tcW w:w="8721" w:type="dxa"/>
            <w:gridSpan w:val="2"/>
          </w:tcPr>
          <w:p w14:paraId="3E0C7B4E" w14:textId="77777777" w:rsidR="001F6032" w:rsidRPr="00975154" w:rsidRDefault="00975154">
            <w:pPr>
              <w:pStyle w:val="a3"/>
              <w:jc w:val="center"/>
              <w:rPr>
                <w:rFonts w:ascii="Tahoma" w:hAnsi="Tahoma" w:cs="Tahoma"/>
                <w:color w:val="000080"/>
                <w:rtl/>
              </w:rPr>
            </w:pPr>
            <w:r w:rsidRPr="00975154">
              <w:rPr>
                <w:rFonts w:ascii="Tahoma" w:hAnsi="Tahoma" w:cs="Tahoma"/>
                <w:b/>
                <w:bCs/>
                <w:color w:val="000080"/>
                <w:rtl/>
              </w:rPr>
              <w:t>בית המשפט המחוזי בירושלים</w:t>
            </w:r>
          </w:p>
        </w:tc>
      </w:tr>
      <w:tr w:rsidR="001F6032" w:rsidRPr="00975154" w14:paraId="447CC4D6" w14:textId="77777777">
        <w:trPr>
          <w:trHeight w:val="337"/>
          <w:jc w:val="center"/>
        </w:trPr>
        <w:tc>
          <w:tcPr>
            <w:tcW w:w="5037" w:type="dxa"/>
          </w:tcPr>
          <w:p w14:paraId="4C45F74F" w14:textId="77777777" w:rsidR="001F6032" w:rsidRPr="00975154" w:rsidRDefault="001F6032">
            <w:pPr>
              <w:jc w:val="both"/>
              <w:rPr>
                <w:rFonts w:ascii="Arial" w:hAnsi="Arial"/>
                <w:sz w:val="30"/>
                <w:szCs w:val="30"/>
                <w:rtl/>
              </w:rPr>
            </w:pPr>
          </w:p>
          <w:p w14:paraId="332D829E" w14:textId="77777777" w:rsidR="001F6032" w:rsidRPr="00975154" w:rsidRDefault="00975154">
            <w:pPr>
              <w:jc w:val="both"/>
              <w:rPr>
                <w:rFonts w:ascii="Arial" w:hAnsi="Arial"/>
                <w:b/>
                <w:bCs/>
                <w:sz w:val="30"/>
                <w:szCs w:val="30"/>
                <w:rtl/>
              </w:rPr>
            </w:pPr>
            <w:r w:rsidRPr="00975154">
              <w:rPr>
                <w:rFonts w:ascii="Arial" w:hAnsi="Arial" w:hint="cs"/>
                <w:sz w:val="30"/>
                <w:szCs w:val="30"/>
                <w:rtl/>
              </w:rPr>
              <w:t>ל</w:t>
            </w:r>
            <w:r w:rsidRPr="00975154">
              <w:rPr>
                <w:rFonts w:ascii="Arial" w:hAnsi="Arial"/>
                <w:sz w:val="30"/>
                <w:szCs w:val="30"/>
                <w:rtl/>
              </w:rPr>
              <w:t xml:space="preserve">פני </w:t>
            </w:r>
            <w:r w:rsidRPr="00975154">
              <w:rPr>
                <w:rFonts w:ascii="Arial" w:hAnsi="Arial" w:hint="cs"/>
                <w:b/>
                <w:bCs/>
                <w:sz w:val="30"/>
                <w:szCs w:val="30"/>
                <w:rtl/>
              </w:rPr>
              <w:t xml:space="preserve">כב' השופט  </w:t>
            </w:r>
            <w:r w:rsidRPr="00975154">
              <w:rPr>
                <w:rFonts w:ascii="Arial" w:hAnsi="Arial"/>
                <w:b/>
                <w:bCs/>
                <w:sz w:val="30"/>
                <w:szCs w:val="30"/>
                <w:rtl/>
              </w:rPr>
              <w:t>אהרן פרקש</w:t>
            </w:r>
            <w:r w:rsidRPr="00975154">
              <w:rPr>
                <w:rFonts w:hint="cs"/>
                <w:b/>
                <w:bCs/>
                <w:sz w:val="30"/>
                <w:szCs w:val="30"/>
                <w:rtl/>
              </w:rPr>
              <w:t>, סגן נשיא</w:t>
            </w:r>
          </w:p>
          <w:p w14:paraId="73F8B6F8" w14:textId="77777777" w:rsidR="001F6032" w:rsidRPr="00975154" w:rsidRDefault="001F6032">
            <w:pPr>
              <w:jc w:val="both"/>
              <w:rPr>
                <w:rFonts w:ascii="Arial" w:hAnsi="Arial" w:cs="FrankRuehl"/>
                <w:sz w:val="28"/>
                <w:szCs w:val="28"/>
              </w:rPr>
            </w:pPr>
          </w:p>
        </w:tc>
        <w:tc>
          <w:tcPr>
            <w:tcW w:w="3684" w:type="dxa"/>
          </w:tcPr>
          <w:p w14:paraId="2790448D" w14:textId="77777777" w:rsidR="001F6032" w:rsidRPr="00975154" w:rsidRDefault="001F6032">
            <w:pPr>
              <w:jc w:val="both"/>
              <w:rPr>
                <w:sz w:val="28"/>
                <w:szCs w:val="28"/>
                <w:rtl/>
              </w:rPr>
            </w:pPr>
          </w:p>
          <w:p w14:paraId="64A2A3D2" w14:textId="77777777" w:rsidR="001F6032" w:rsidRPr="00975154" w:rsidRDefault="001F6032">
            <w:pPr>
              <w:jc w:val="both"/>
              <w:rPr>
                <w:rFonts w:ascii="Arial" w:hAnsi="Arial"/>
                <w:sz w:val="28"/>
                <w:szCs w:val="28"/>
                <w:rtl/>
              </w:rPr>
            </w:pPr>
          </w:p>
          <w:p w14:paraId="4E739DE2" w14:textId="77777777" w:rsidR="001F6032" w:rsidRPr="00975154" w:rsidRDefault="00975154">
            <w:pPr>
              <w:jc w:val="both"/>
              <w:rPr>
                <w:rFonts w:ascii="Arial" w:hAnsi="Arial"/>
                <w:b/>
                <w:bCs/>
                <w:sz w:val="28"/>
                <w:szCs w:val="28"/>
              </w:rPr>
            </w:pPr>
            <w:hyperlink r:id="rId6" w:history="1">
              <w:r w:rsidRPr="00975154">
                <w:rPr>
                  <w:rFonts w:ascii="Arial" w:hAnsi="Arial"/>
                  <w:b/>
                  <w:bCs/>
                  <w:color w:val="0000FF"/>
                  <w:sz w:val="28"/>
                  <w:szCs w:val="28"/>
                  <w:u w:val="single"/>
                  <w:rtl/>
                </w:rPr>
                <w:t>ת"פ 1847-05-14</w:t>
              </w:r>
            </w:hyperlink>
            <w:r w:rsidRPr="00975154">
              <w:rPr>
                <w:rFonts w:ascii="Arial" w:hAnsi="Arial" w:hint="cs"/>
                <w:b/>
                <w:bCs/>
                <w:sz w:val="28"/>
                <w:szCs w:val="28"/>
                <w:rtl/>
              </w:rPr>
              <w:t xml:space="preserve"> מדינ</w:t>
            </w:r>
            <w:r w:rsidRPr="00975154">
              <w:rPr>
                <w:rFonts w:hint="cs"/>
                <w:b/>
                <w:bCs/>
                <w:sz w:val="28"/>
                <w:szCs w:val="28"/>
                <w:rtl/>
              </w:rPr>
              <w:t>ת ישראל</w:t>
            </w:r>
            <w:r w:rsidRPr="00975154">
              <w:rPr>
                <w:rFonts w:ascii="Arial" w:hAnsi="Arial" w:hint="cs"/>
                <w:b/>
                <w:bCs/>
                <w:sz w:val="28"/>
                <w:szCs w:val="28"/>
                <w:rtl/>
              </w:rPr>
              <w:t xml:space="preserve"> נ' מופיד אעביד</w:t>
            </w:r>
          </w:p>
        </w:tc>
      </w:tr>
    </w:tbl>
    <w:p w14:paraId="01982880" w14:textId="77777777" w:rsidR="001F6032" w:rsidRPr="00975154" w:rsidRDefault="00975154">
      <w:pPr>
        <w:pStyle w:val="a3"/>
        <w:rPr>
          <w:rtl/>
        </w:rPr>
      </w:pPr>
      <w:bookmarkStart w:id="0" w:name="LastJudge"/>
      <w:bookmarkEnd w:id="0"/>
      <w:r w:rsidRPr="00975154">
        <w:rPr>
          <w:rFonts w:hint="cs"/>
          <w:rtl/>
        </w:rPr>
        <w:t xml:space="preserve"> </w:t>
      </w:r>
    </w:p>
    <w:p w14:paraId="45567969" w14:textId="77777777" w:rsidR="001F6032" w:rsidRPr="00975154" w:rsidRDefault="001F6032">
      <w:pPr>
        <w:jc w:val="both"/>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F6032" w:rsidRPr="00975154" w14:paraId="6DD6F377" w14:textId="77777777">
        <w:trPr>
          <w:trHeight w:val="295"/>
          <w:jc w:val="center"/>
        </w:trPr>
        <w:tc>
          <w:tcPr>
            <w:tcW w:w="923" w:type="dxa"/>
            <w:tcBorders>
              <w:top w:val="nil"/>
              <w:left w:val="nil"/>
              <w:bottom w:val="nil"/>
              <w:right w:val="nil"/>
            </w:tcBorders>
            <w:shd w:val="clear" w:color="auto" w:fill="auto"/>
          </w:tcPr>
          <w:p w14:paraId="217C92DB" w14:textId="77777777" w:rsidR="001F6032" w:rsidRPr="00975154" w:rsidRDefault="001F6032">
            <w:pPr>
              <w:jc w:val="both"/>
              <w:rPr>
                <w:rFonts w:ascii="Arial" w:hAnsi="Arial"/>
                <w:sz w:val="26"/>
                <w:szCs w:val="26"/>
              </w:rPr>
            </w:pPr>
          </w:p>
        </w:tc>
        <w:tc>
          <w:tcPr>
            <w:tcW w:w="7897" w:type="dxa"/>
            <w:gridSpan w:val="2"/>
            <w:tcBorders>
              <w:top w:val="nil"/>
              <w:left w:val="nil"/>
              <w:bottom w:val="nil"/>
              <w:right w:val="nil"/>
            </w:tcBorders>
            <w:shd w:val="clear" w:color="auto" w:fill="auto"/>
          </w:tcPr>
          <w:p w14:paraId="431A951B" w14:textId="77777777" w:rsidR="001F6032" w:rsidRPr="00975154" w:rsidRDefault="001F6032">
            <w:pPr>
              <w:jc w:val="both"/>
              <w:rPr>
                <w:rFonts w:ascii="Arial" w:hAnsi="Arial"/>
                <w:sz w:val="26"/>
                <w:szCs w:val="26"/>
              </w:rPr>
            </w:pPr>
          </w:p>
        </w:tc>
      </w:tr>
      <w:tr w:rsidR="001F6032" w:rsidRPr="00975154" w14:paraId="4178BD1E" w14:textId="77777777">
        <w:trPr>
          <w:trHeight w:val="355"/>
          <w:jc w:val="center"/>
        </w:trPr>
        <w:tc>
          <w:tcPr>
            <w:tcW w:w="923" w:type="dxa"/>
            <w:tcBorders>
              <w:top w:val="nil"/>
              <w:left w:val="nil"/>
              <w:bottom w:val="nil"/>
              <w:right w:val="nil"/>
            </w:tcBorders>
            <w:shd w:val="clear" w:color="auto" w:fill="auto"/>
          </w:tcPr>
          <w:p w14:paraId="6A470115" w14:textId="77777777" w:rsidR="001F6032" w:rsidRPr="00975154" w:rsidRDefault="00975154">
            <w:pPr>
              <w:jc w:val="both"/>
              <w:rPr>
                <w:rFonts w:ascii="Arial" w:hAnsi="Arial"/>
                <w:sz w:val="26"/>
                <w:szCs w:val="26"/>
              </w:rPr>
            </w:pPr>
            <w:bookmarkStart w:id="1" w:name="FirstAppellant"/>
            <w:bookmarkStart w:id="2" w:name="FirstLawyer"/>
            <w:r w:rsidRPr="00975154">
              <w:rPr>
                <w:rFonts w:ascii="Arial" w:hAnsi="Arial" w:hint="cs"/>
                <w:sz w:val="26"/>
                <w:szCs w:val="26"/>
                <w:rtl/>
              </w:rPr>
              <w:t>בעניין:</w:t>
            </w:r>
          </w:p>
        </w:tc>
        <w:tc>
          <w:tcPr>
            <w:tcW w:w="4126" w:type="dxa"/>
            <w:tcBorders>
              <w:top w:val="nil"/>
              <w:left w:val="nil"/>
              <w:bottom w:val="nil"/>
              <w:right w:val="nil"/>
            </w:tcBorders>
            <w:shd w:val="clear" w:color="auto" w:fill="auto"/>
          </w:tcPr>
          <w:p w14:paraId="41016F5A" w14:textId="77777777" w:rsidR="001F6032" w:rsidRPr="00975154" w:rsidRDefault="00975154">
            <w:pPr>
              <w:jc w:val="both"/>
              <w:rPr>
                <w:rFonts w:ascii="Browallia New" w:hAnsi="Browallia New"/>
                <w:b/>
                <w:bCs/>
                <w:sz w:val="26"/>
                <w:szCs w:val="26"/>
                <w:rtl/>
              </w:rPr>
            </w:pPr>
            <w:r w:rsidRPr="00975154">
              <w:rPr>
                <w:rFonts w:ascii="Browallia New" w:hAnsi="Browallia New" w:hint="cs"/>
                <w:b/>
                <w:bCs/>
                <w:sz w:val="26"/>
                <w:szCs w:val="26"/>
                <w:rtl/>
              </w:rPr>
              <w:t>מדינת ישראל</w:t>
            </w:r>
          </w:p>
          <w:p w14:paraId="6F1998AC" w14:textId="77777777" w:rsidR="001F6032" w:rsidRPr="00975154" w:rsidRDefault="00975154">
            <w:pPr>
              <w:jc w:val="both"/>
              <w:rPr>
                <w:rFonts w:ascii="Browallia New" w:hAnsi="Browallia New"/>
                <w:sz w:val="26"/>
                <w:szCs w:val="26"/>
              </w:rPr>
            </w:pPr>
            <w:r w:rsidRPr="00975154">
              <w:rPr>
                <w:rFonts w:ascii="Browallia New" w:hAnsi="Browallia New" w:hint="cs"/>
                <w:sz w:val="26"/>
                <w:szCs w:val="26"/>
                <w:rtl/>
              </w:rPr>
              <w:t>ע"י ב"כ עו"ד יפעת פנחסי מפרקליטות מחוז ירושלים (פלילי)</w:t>
            </w:r>
          </w:p>
        </w:tc>
        <w:tc>
          <w:tcPr>
            <w:tcW w:w="3771" w:type="dxa"/>
            <w:tcBorders>
              <w:top w:val="nil"/>
              <w:left w:val="nil"/>
              <w:bottom w:val="nil"/>
              <w:right w:val="nil"/>
            </w:tcBorders>
            <w:shd w:val="clear" w:color="auto" w:fill="auto"/>
          </w:tcPr>
          <w:p w14:paraId="4402FB8A" w14:textId="77777777" w:rsidR="001F6032" w:rsidRPr="00975154" w:rsidRDefault="001F6032">
            <w:pPr>
              <w:jc w:val="both"/>
              <w:rPr>
                <w:rFonts w:ascii="Browallia New" w:hAnsi="Browallia New"/>
                <w:sz w:val="26"/>
                <w:szCs w:val="26"/>
              </w:rPr>
            </w:pPr>
          </w:p>
        </w:tc>
      </w:tr>
      <w:bookmarkEnd w:id="1"/>
      <w:bookmarkEnd w:id="2"/>
      <w:tr w:rsidR="001F6032" w:rsidRPr="00975154" w14:paraId="78A4DB3D" w14:textId="77777777">
        <w:trPr>
          <w:trHeight w:val="355"/>
          <w:jc w:val="center"/>
        </w:trPr>
        <w:tc>
          <w:tcPr>
            <w:tcW w:w="923" w:type="dxa"/>
            <w:tcBorders>
              <w:top w:val="nil"/>
              <w:left w:val="nil"/>
              <w:bottom w:val="nil"/>
              <w:right w:val="nil"/>
            </w:tcBorders>
            <w:shd w:val="clear" w:color="auto" w:fill="auto"/>
          </w:tcPr>
          <w:p w14:paraId="4FFBF586" w14:textId="77777777" w:rsidR="001F6032" w:rsidRPr="00975154" w:rsidRDefault="001F6032">
            <w:pPr>
              <w:jc w:val="both"/>
              <w:rPr>
                <w:rFonts w:ascii="Arial" w:hAnsi="Arial"/>
                <w:sz w:val="26"/>
                <w:szCs w:val="26"/>
                <w:rtl/>
              </w:rPr>
            </w:pPr>
          </w:p>
        </w:tc>
        <w:tc>
          <w:tcPr>
            <w:tcW w:w="4126" w:type="dxa"/>
            <w:tcBorders>
              <w:top w:val="nil"/>
              <w:left w:val="nil"/>
              <w:bottom w:val="nil"/>
              <w:right w:val="nil"/>
            </w:tcBorders>
            <w:shd w:val="clear" w:color="auto" w:fill="auto"/>
          </w:tcPr>
          <w:p w14:paraId="1006F66A" w14:textId="77777777" w:rsidR="001F6032" w:rsidRPr="00975154" w:rsidRDefault="001F6032">
            <w:pPr>
              <w:jc w:val="both"/>
              <w:rPr>
                <w:rFonts w:ascii="Browallia New" w:hAnsi="Browallia New"/>
                <w:sz w:val="26"/>
                <w:szCs w:val="26"/>
                <w:rtl/>
              </w:rPr>
            </w:pPr>
          </w:p>
        </w:tc>
        <w:tc>
          <w:tcPr>
            <w:tcW w:w="3771" w:type="dxa"/>
            <w:tcBorders>
              <w:top w:val="nil"/>
              <w:left w:val="nil"/>
              <w:bottom w:val="nil"/>
              <w:right w:val="nil"/>
            </w:tcBorders>
            <w:shd w:val="clear" w:color="auto" w:fill="auto"/>
          </w:tcPr>
          <w:p w14:paraId="76280716" w14:textId="77777777" w:rsidR="001F6032" w:rsidRPr="00975154" w:rsidRDefault="00975154">
            <w:pPr>
              <w:jc w:val="both"/>
              <w:rPr>
                <w:rFonts w:ascii="Browallia New" w:hAnsi="Browallia New"/>
                <w:b/>
                <w:bCs/>
                <w:sz w:val="26"/>
                <w:szCs w:val="26"/>
                <w:rtl/>
              </w:rPr>
            </w:pPr>
            <w:r w:rsidRPr="00975154">
              <w:rPr>
                <w:rFonts w:ascii="Arial" w:hAnsi="Arial" w:hint="cs"/>
                <w:b/>
                <w:bCs/>
                <w:sz w:val="26"/>
                <w:szCs w:val="26"/>
                <w:rtl/>
              </w:rPr>
              <w:t xml:space="preserve">                                  ה</w:t>
            </w:r>
            <w:r w:rsidRPr="00975154">
              <w:rPr>
                <w:rFonts w:ascii="Browallia New" w:hAnsi="Browallia New" w:hint="cs"/>
                <w:b/>
                <w:bCs/>
                <w:sz w:val="26"/>
                <w:szCs w:val="26"/>
                <w:rtl/>
              </w:rPr>
              <w:t>מאשימה</w:t>
            </w:r>
          </w:p>
        </w:tc>
      </w:tr>
      <w:tr w:rsidR="001F6032" w:rsidRPr="00975154" w14:paraId="617B2AD0" w14:textId="77777777">
        <w:trPr>
          <w:trHeight w:val="355"/>
          <w:jc w:val="center"/>
        </w:trPr>
        <w:tc>
          <w:tcPr>
            <w:tcW w:w="923" w:type="dxa"/>
            <w:tcBorders>
              <w:top w:val="nil"/>
              <w:left w:val="nil"/>
              <w:bottom w:val="nil"/>
              <w:right w:val="nil"/>
            </w:tcBorders>
            <w:shd w:val="clear" w:color="auto" w:fill="auto"/>
          </w:tcPr>
          <w:p w14:paraId="677BA3ED" w14:textId="77777777" w:rsidR="001F6032" w:rsidRPr="00975154" w:rsidRDefault="001F6032">
            <w:pPr>
              <w:jc w:val="both"/>
              <w:rPr>
                <w:rFonts w:ascii="Arial" w:hAnsi="Arial"/>
                <w:sz w:val="26"/>
                <w:szCs w:val="26"/>
                <w:rtl/>
              </w:rPr>
            </w:pPr>
          </w:p>
        </w:tc>
        <w:tc>
          <w:tcPr>
            <w:tcW w:w="7897" w:type="dxa"/>
            <w:gridSpan w:val="2"/>
            <w:tcBorders>
              <w:top w:val="nil"/>
              <w:left w:val="nil"/>
              <w:bottom w:val="nil"/>
              <w:right w:val="nil"/>
            </w:tcBorders>
            <w:shd w:val="clear" w:color="auto" w:fill="auto"/>
          </w:tcPr>
          <w:p w14:paraId="0D4CA32D" w14:textId="77777777" w:rsidR="001F6032" w:rsidRPr="00975154" w:rsidRDefault="001F6032">
            <w:pPr>
              <w:jc w:val="both"/>
              <w:rPr>
                <w:rFonts w:ascii="Browallia New" w:hAnsi="Browallia New"/>
                <w:b/>
                <w:bCs/>
                <w:sz w:val="26"/>
                <w:szCs w:val="26"/>
                <w:rtl/>
              </w:rPr>
            </w:pPr>
          </w:p>
          <w:p w14:paraId="501CB449" w14:textId="77777777" w:rsidR="001F6032" w:rsidRPr="00975154" w:rsidRDefault="00975154">
            <w:pPr>
              <w:jc w:val="both"/>
              <w:rPr>
                <w:rFonts w:ascii="Browallia New" w:hAnsi="Browallia New"/>
                <w:b/>
                <w:bCs/>
                <w:sz w:val="26"/>
                <w:szCs w:val="26"/>
                <w:rtl/>
              </w:rPr>
            </w:pPr>
            <w:r w:rsidRPr="00975154">
              <w:rPr>
                <w:rFonts w:ascii="Arial" w:hAnsi="Arial" w:hint="cs"/>
                <w:b/>
                <w:bCs/>
                <w:sz w:val="26"/>
                <w:szCs w:val="26"/>
                <w:rtl/>
              </w:rPr>
              <w:t xml:space="preserve">                נ  ג  ד</w:t>
            </w:r>
          </w:p>
          <w:p w14:paraId="783D4489" w14:textId="77777777" w:rsidR="001F6032" w:rsidRPr="00975154" w:rsidRDefault="001F6032">
            <w:pPr>
              <w:jc w:val="both"/>
              <w:rPr>
                <w:rFonts w:ascii="Browallia New" w:hAnsi="Browallia New"/>
                <w:sz w:val="26"/>
                <w:szCs w:val="26"/>
              </w:rPr>
            </w:pPr>
          </w:p>
        </w:tc>
      </w:tr>
      <w:tr w:rsidR="001F6032" w:rsidRPr="00975154" w14:paraId="62832BAF" w14:textId="77777777">
        <w:trPr>
          <w:trHeight w:val="355"/>
          <w:jc w:val="center"/>
        </w:trPr>
        <w:tc>
          <w:tcPr>
            <w:tcW w:w="923" w:type="dxa"/>
            <w:tcBorders>
              <w:top w:val="nil"/>
              <w:left w:val="nil"/>
              <w:bottom w:val="nil"/>
              <w:right w:val="nil"/>
            </w:tcBorders>
            <w:shd w:val="clear" w:color="auto" w:fill="auto"/>
          </w:tcPr>
          <w:p w14:paraId="4D264EE5" w14:textId="77777777" w:rsidR="001F6032" w:rsidRPr="00975154" w:rsidRDefault="001F6032">
            <w:pPr>
              <w:jc w:val="both"/>
              <w:rPr>
                <w:rFonts w:ascii="Arial" w:hAnsi="Arial"/>
                <w:sz w:val="26"/>
                <w:szCs w:val="26"/>
                <w:rtl/>
              </w:rPr>
            </w:pPr>
          </w:p>
        </w:tc>
        <w:tc>
          <w:tcPr>
            <w:tcW w:w="4126" w:type="dxa"/>
            <w:tcBorders>
              <w:top w:val="nil"/>
              <w:left w:val="nil"/>
              <w:bottom w:val="nil"/>
              <w:right w:val="nil"/>
            </w:tcBorders>
            <w:shd w:val="clear" w:color="auto" w:fill="auto"/>
          </w:tcPr>
          <w:p w14:paraId="51AD7F28" w14:textId="77777777" w:rsidR="001F6032" w:rsidRPr="00975154" w:rsidRDefault="00975154">
            <w:pPr>
              <w:jc w:val="both"/>
              <w:rPr>
                <w:rFonts w:ascii="Browallia New" w:hAnsi="Browallia New"/>
                <w:b/>
                <w:bCs/>
                <w:sz w:val="26"/>
                <w:szCs w:val="26"/>
                <w:rtl/>
              </w:rPr>
            </w:pPr>
            <w:r w:rsidRPr="00975154">
              <w:rPr>
                <w:rFonts w:ascii="Browallia New" w:hAnsi="Browallia New" w:hint="cs"/>
                <w:b/>
                <w:bCs/>
                <w:sz w:val="26"/>
                <w:szCs w:val="26"/>
                <w:rtl/>
              </w:rPr>
              <w:t>מופיד אעביד (עציר) ת.ז. 205411622</w:t>
            </w:r>
          </w:p>
          <w:p w14:paraId="07F404D1" w14:textId="77777777" w:rsidR="001F6032" w:rsidRPr="00975154" w:rsidRDefault="00975154">
            <w:pPr>
              <w:jc w:val="both"/>
              <w:rPr>
                <w:rFonts w:ascii="Browallia New" w:hAnsi="Browallia New"/>
                <w:sz w:val="26"/>
                <w:szCs w:val="26"/>
                <w:rtl/>
              </w:rPr>
            </w:pPr>
            <w:r w:rsidRPr="00975154">
              <w:rPr>
                <w:rFonts w:ascii="Browallia New" w:hAnsi="Browallia New" w:hint="cs"/>
                <w:sz w:val="26"/>
                <w:szCs w:val="26"/>
                <w:rtl/>
              </w:rPr>
              <w:t>ע"י ב"כ עו"ד מוחמד מחמוד</w:t>
            </w:r>
          </w:p>
        </w:tc>
        <w:tc>
          <w:tcPr>
            <w:tcW w:w="3771" w:type="dxa"/>
            <w:tcBorders>
              <w:top w:val="nil"/>
              <w:left w:val="nil"/>
              <w:bottom w:val="nil"/>
              <w:right w:val="nil"/>
            </w:tcBorders>
            <w:shd w:val="clear" w:color="auto" w:fill="auto"/>
          </w:tcPr>
          <w:p w14:paraId="37696CE4" w14:textId="77777777" w:rsidR="001F6032" w:rsidRPr="00975154" w:rsidRDefault="001F6032">
            <w:pPr>
              <w:jc w:val="both"/>
              <w:rPr>
                <w:rFonts w:ascii="Browallia New" w:hAnsi="Browallia New"/>
                <w:sz w:val="26"/>
                <w:szCs w:val="26"/>
              </w:rPr>
            </w:pPr>
          </w:p>
        </w:tc>
      </w:tr>
      <w:tr w:rsidR="001F6032" w:rsidRPr="00975154" w14:paraId="0F7557FD" w14:textId="77777777">
        <w:trPr>
          <w:trHeight w:val="355"/>
          <w:jc w:val="center"/>
        </w:trPr>
        <w:tc>
          <w:tcPr>
            <w:tcW w:w="923" w:type="dxa"/>
            <w:tcBorders>
              <w:top w:val="nil"/>
              <w:left w:val="nil"/>
              <w:bottom w:val="nil"/>
              <w:right w:val="nil"/>
            </w:tcBorders>
            <w:shd w:val="clear" w:color="auto" w:fill="auto"/>
          </w:tcPr>
          <w:p w14:paraId="5D2FD601" w14:textId="77777777" w:rsidR="001F6032" w:rsidRPr="00975154" w:rsidRDefault="001F6032">
            <w:pPr>
              <w:jc w:val="both"/>
              <w:rPr>
                <w:rFonts w:ascii="Arial" w:hAnsi="Arial"/>
                <w:sz w:val="26"/>
                <w:szCs w:val="26"/>
                <w:rtl/>
              </w:rPr>
            </w:pPr>
          </w:p>
        </w:tc>
        <w:tc>
          <w:tcPr>
            <w:tcW w:w="4126" w:type="dxa"/>
            <w:tcBorders>
              <w:top w:val="nil"/>
              <w:left w:val="nil"/>
              <w:bottom w:val="nil"/>
              <w:right w:val="nil"/>
            </w:tcBorders>
            <w:shd w:val="clear" w:color="auto" w:fill="auto"/>
          </w:tcPr>
          <w:p w14:paraId="0F31C0C1" w14:textId="77777777" w:rsidR="001F6032" w:rsidRPr="00975154" w:rsidRDefault="001F6032">
            <w:pPr>
              <w:jc w:val="both"/>
              <w:rPr>
                <w:rFonts w:ascii="Browallia New" w:hAnsi="Browallia New"/>
                <w:sz w:val="26"/>
                <w:szCs w:val="26"/>
                <w:rtl/>
              </w:rPr>
            </w:pPr>
          </w:p>
        </w:tc>
        <w:tc>
          <w:tcPr>
            <w:tcW w:w="3771" w:type="dxa"/>
            <w:tcBorders>
              <w:top w:val="nil"/>
              <w:left w:val="nil"/>
              <w:bottom w:val="nil"/>
              <w:right w:val="nil"/>
            </w:tcBorders>
            <w:shd w:val="clear" w:color="auto" w:fill="auto"/>
          </w:tcPr>
          <w:p w14:paraId="02BC5E2B" w14:textId="77777777" w:rsidR="001F6032" w:rsidRPr="00975154" w:rsidRDefault="00975154">
            <w:pPr>
              <w:jc w:val="both"/>
              <w:rPr>
                <w:rFonts w:ascii="Browallia New" w:hAnsi="Browallia New"/>
                <w:b/>
                <w:bCs/>
                <w:sz w:val="26"/>
                <w:szCs w:val="26"/>
              </w:rPr>
            </w:pPr>
            <w:r w:rsidRPr="00975154">
              <w:rPr>
                <w:rFonts w:ascii="Arial" w:hAnsi="Arial" w:hint="cs"/>
                <w:b/>
                <w:bCs/>
                <w:sz w:val="26"/>
                <w:szCs w:val="26"/>
                <w:rtl/>
              </w:rPr>
              <w:t xml:space="preserve">                                   הנאשם</w:t>
            </w:r>
          </w:p>
        </w:tc>
      </w:tr>
    </w:tbl>
    <w:p w14:paraId="23BD3984" w14:textId="77777777" w:rsidR="00263A71" w:rsidRDefault="00263A71">
      <w:pPr>
        <w:jc w:val="both"/>
        <w:rPr>
          <w:sz w:val="26"/>
          <w:szCs w:val="26"/>
          <w:rtl/>
        </w:rPr>
      </w:pPr>
      <w:bookmarkStart w:id="3" w:name="LawTable"/>
      <w:bookmarkEnd w:id="3"/>
    </w:p>
    <w:p w14:paraId="2D5434B4" w14:textId="77777777" w:rsidR="00263A71" w:rsidRPr="00263A71" w:rsidRDefault="00263A71" w:rsidP="00263A71">
      <w:pPr>
        <w:spacing w:after="120" w:line="240" w:lineRule="exact"/>
        <w:ind w:left="283" w:hanging="283"/>
        <w:jc w:val="both"/>
        <w:rPr>
          <w:rFonts w:ascii="FrankRuehl" w:hAnsi="FrankRuehl" w:cs="FrankRuehl"/>
          <w:rtl/>
        </w:rPr>
      </w:pPr>
    </w:p>
    <w:p w14:paraId="12769644" w14:textId="77777777" w:rsidR="00263A71" w:rsidRPr="00263A71" w:rsidRDefault="00263A71" w:rsidP="00263A71">
      <w:pPr>
        <w:spacing w:after="120" w:line="240" w:lineRule="exact"/>
        <w:ind w:left="283" w:hanging="283"/>
        <w:jc w:val="both"/>
        <w:rPr>
          <w:rFonts w:ascii="FrankRuehl" w:hAnsi="FrankRuehl" w:cs="FrankRuehl"/>
          <w:rtl/>
        </w:rPr>
      </w:pPr>
      <w:r w:rsidRPr="00263A71">
        <w:rPr>
          <w:rFonts w:ascii="FrankRuehl" w:hAnsi="FrankRuehl" w:cs="FrankRuehl"/>
          <w:rtl/>
        </w:rPr>
        <w:t xml:space="preserve">חקיקה שאוזכרה: </w:t>
      </w:r>
    </w:p>
    <w:p w14:paraId="6A6F5D02" w14:textId="77777777" w:rsidR="00263A71" w:rsidRPr="00263A71" w:rsidRDefault="00263A71" w:rsidP="00263A71">
      <w:pPr>
        <w:spacing w:after="120" w:line="240" w:lineRule="exact"/>
        <w:ind w:left="283" w:hanging="283"/>
        <w:jc w:val="both"/>
        <w:rPr>
          <w:rFonts w:ascii="FrankRuehl" w:hAnsi="FrankRuehl" w:cs="FrankRuehl"/>
          <w:rtl/>
        </w:rPr>
      </w:pPr>
      <w:hyperlink r:id="rId7" w:history="1">
        <w:r w:rsidRPr="00263A71">
          <w:rPr>
            <w:rFonts w:ascii="FrankRuehl" w:hAnsi="FrankRuehl" w:cs="FrankRuehl"/>
            <w:color w:val="0000FF"/>
            <w:u w:val="single"/>
            <w:rtl/>
          </w:rPr>
          <w:t>פקודת מניעת טרור</w:t>
        </w:r>
      </w:hyperlink>
      <w:r w:rsidRPr="00263A71">
        <w:rPr>
          <w:rFonts w:ascii="FrankRuehl" w:hAnsi="FrankRuehl" w:cs="FrankRuehl"/>
          <w:rtl/>
        </w:rPr>
        <w:t xml:space="preserve">: סע'  </w:t>
      </w:r>
      <w:hyperlink r:id="rId8" w:history="1">
        <w:r w:rsidRPr="00263A71">
          <w:rPr>
            <w:rFonts w:ascii="FrankRuehl" w:hAnsi="FrankRuehl" w:cs="FrankRuehl"/>
            <w:color w:val="0000FF"/>
            <w:u w:val="single"/>
            <w:rtl/>
          </w:rPr>
          <w:t>3</w:t>
        </w:r>
      </w:hyperlink>
    </w:p>
    <w:p w14:paraId="4D4FF94E" w14:textId="77777777" w:rsidR="00263A71" w:rsidRPr="00263A71" w:rsidRDefault="00263A71" w:rsidP="00263A71">
      <w:pPr>
        <w:spacing w:after="120" w:line="240" w:lineRule="exact"/>
        <w:ind w:left="283" w:hanging="283"/>
        <w:jc w:val="both"/>
        <w:rPr>
          <w:rFonts w:ascii="FrankRuehl" w:hAnsi="FrankRuehl" w:cs="FrankRuehl"/>
          <w:rtl/>
        </w:rPr>
      </w:pPr>
      <w:hyperlink r:id="rId9" w:history="1">
        <w:r w:rsidRPr="00263A71">
          <w:rPr>
            <w:rFonts w:ascii="FrankRuehl" w:hAnsi="FrankRuehl" w:cs="FrankRuehl"/>
            <w:color w:val="0000FF"/>
            <w:u w:val="single"/>
            <w:rtl/>
          </w:rPr>
          <w:t>חוק העונשין, תשל"ז-1977</w:t>
        </w:r>
      </w:hyperlink>
      <w:r w:rsidRPr="00263A71">
        <w:rPr>
          <w:rFonts w:ascii="FrankRuehl" w:hAnsi="FrankRuehl" w:cs="FrankRuehl"/>
          <w:rtl/>
        </w:rPr>
        <w:t xml:space="preserve">: סע'  </w:t>
      </w:r>
      <w:hyperlink r:id="rId10" w:history="1">
        <w:r w:rsidRPr="00263A71">
          <w:rPr>
            <w:rFonts w:ascii="FrankRuehl" w:hAnsi="FrankRuehl" w:cs="FrankRuehl"/>
            <w:color w:val="0000FF"/>
            <w:u w:val="single"/>
            <w:rtl/>
          </w:rPr>
          <w:t>29</w:t>
        </w:r>
      </w:hyperlink>
      <w:r w:rsidRPr="00263A71">
        <w:rPr>
          <w:rFonts w:ascii="FrankRuehl" w:hAnsi="FrankRuehl" w:cs="FrankRuehl"/>
          <w:rtl/>
        </w:rPr>
        <w:t xml:space="preserve">, </w:t>
      </w:r>
      <w:hyperlink r:id="rId11" w:history="1">
        <w:r w:rsidRPr="00263A71">
          <w:rPr>
            <w:rFonts w:ascii="FrankRuehl" w:hAnsi="FrankRuehl" w:cs="FrankRuehl"/>
            <w:color w:val="0000FF"/>
            <w:u w:val="single"/>
            <w:rtl/>
          </w:rPr>
          <w:t>40ב'</w:t>
        </w:r>
      </w:hyperlink>
      <w:r w:rsidRPr="00263A71">
        <w:rPr>
          <w:rFonts w:ascii="FrankRuehl" w:hAnsi="FrankRuehl" w:cs="FrankRuehl"/>
          <w:rtl/>
        </w:rPr>
        <w:t xml:space="preserve">, </w:t>
      </w:r>
      <w:hyperlink r:id="rId12" w:history="1">
        <w:r w:rsidRPr="00263A71">
          <w:rPr>
            <w:rFonts w:ascii="FrankRuehl" w:hAnsi="FrankRuehl" w:cs="FrankRuehl"/>
            <w:color w:val="0000FF"/>
            <w:u w:val="single"/>
            <w:rtl/>
          </w:rPr>
          <w:t>40ג(א)</w:t>
        </w:r>
      </w:hyperlink>
      <w:r w:rsidRPr="00263A71">
        <w:rPr>
          <w:rFonts w:ascii="FrankRuehl" w:hAnsi="FrankRuehl" w:cs="FrankRuehl"/>
          <w:rtl/>
        </w:rPr>
        <w:t xml:space="preserve">, </w:t>
      </w:r>
      <w:hyperlink r:id="rId13" w:history="1">
        <w:r w:rsidRPr="00263A71">
          <w:rPr>
            <w:rFonts w:ascii="FrankRuehl" w:hAnsi="FrankRuehl" w:cs="FrankRuehl"/>
            <w:color w:val="0000FF"/>
            <w:u w:val="single"/>
            <w:rtl/>
          </w:rPr>
          <w:t>40ג(ב)</w:t>
        </w:r>
      </w:hyperlink>
      <w:r w:rsidRPr="00263A71">
        <w:rPr>
          <w:rFonts w:ascii="FrankRuehl" w:hAnsi="FrankRuehl" w:cs="FrankRuehl"/>
          <w:rtl/>
        </w:rPr>
        <w:t xml:space="preserve">, </w:t>
      </w:r>
      <w:hyperlink r:id="rId14" w:history="1">
        <w:r w:rsidRPr="00263A71">
          <w:rPr>
            <w:rFonts w:ascii="FrankRuehl" w:hAnsi="FrankRuehl" w:cs="FrankRuehl"/>
            <w:color w:val="0000FF"/>
            <w:u w:val="single"/>
            <w:rtl/>
          </w:rPr>
          <w:t>40ד</w:t>
        </w:r>
      </w:hyperlink>
      <w:r w:rsidRPr="00263A71">
        <w:rPr>
          <w:rFonts w:ascii="FrankRuehl" w:hAnsi="FrankRuehl" w:cs="FrankRuehl"/>
          <w:rtl/>
        </w:rPr>
        <w:t xml:space="preserve">, </w:t>
      </w:r>
      <w:hyperlink r:id="rId15" w:history="1">
        <w:r w:rsidRPr="00263A71">
          <w:rPr>
            <w:rFonts w:ascii="FrankRuehl" w:hAnsi="FrankRuehl" w:cs="FrankRuehl"/>
            <w:color w:val="0000FF"/>
            <w:u w:val="single"/>
            <w:rtl/>
          </w:rPr>
          <w:t>40ד(א)</w:t>
        </w:r>
      </w:hyperlink>
      <w:r w:rsidRPr="00263A71">
        <w:rPr>
          <w:rFonts w:ascii="FrankRuehl" w:hAnsi="FrankRuehl" w:cs="FrankRuehl"/>
          <w:rtl/>
        </w:rPr>
        <w:t xml:space="preserve">, </w:t>
      </w:r>
      <w:hyperlink r:id="rId16" w:history="1">
        <w:r w:rsidRPr="00263A71">
          <w:rPr>
            <w:rFonts w:ascii="FrankRuehl" w:hAnsi="FrankRuehl" w:cs="FrankRuehl"/>
            <w:color w:val="0000FF"/>
            <w:u w:val="single"/>
            <w:rtl/>
          </w:rPr>
          <w:t>40ה</w:t>
        </w:r>
      </w:hyperlink>
      <w:r w:rsidRPr="00263A71">
        <w:rPr>
          <w:rFonts w:ascii="FrankRuehl" w:hAnsi="FrankRuehl" w:cs="FrankRuehl"/>
          <w:rtl/>
        </w:rPr>
        <w:t xml:space="preserve">, </w:t>
      </w:r>
      <w:hyperlink r:id="rId17" w:history="1">
        <w:r w:rsidRPr="00263A71">
          <w:rPr>
            <w:rFonts w:ascii="FrankRuehl" w:hAnsi="FrankRuehl" w:cs="FrankRuehl"/>
            <w:color w:val="0000FF"/>
            <w:u w:val="single"/>
            <w:rtl/>
          </w:rPr>
          <w:t>40ט</w:t>
        </w:r>
      </w:hyperlink>
      <w:r w:rsidRPr="00263A71">
        <w:rPr>
          <w:rFonts w:ascii="FrankRuehl" w:hAnsi="FrankRuehl" w:cs="FrankRuehl"/>
          <w:rtl/>
        </w:rPr>
        <w:t xml:space="preserve">, </w:t>
      </w:r>
      <w:hyperlink r:id="rId18" w:history="1">
        <w:r w:rsidRPr="00263A71">
          <w:rPr>
            <w:rFonts w:ascii="FrankRuehl" w:hAnsi="FrankRuehl" w:cs="FrankRuehl"/>
            <w:color w:val="0000FF"/>
            <w:u w:val="single"/>
            <w:rtl/>
          </w:rPr>
          <w:t>144(ב2)</w:t>
        </w:r>
      </w:hyperlink>
      <w:r w:rsidRPr="00263A71">
        <w:rPr>
          <w:rFonts w:ascii="FrankRuehl" w:hAnsi="FrankRuehl" w:cs="FrankRuehl"/>
          <w:rtl/>
        </w:rPr>
        <w:t xml:space="preserve">, </w:t>
      </w:r>
      <w:hyperlink r:id="rId19" w:history="1">
        <w:r w:rsidRPr="00263A71">
          <w:rPr>
            <w:rFonts w:ascii="FrankRuehl" w:hAnsi="FrankRuehl" w:cs="FrankRuehl"/>
            <w:color w:val="0000FF"/>
            <w:u w:val="single"/>
            <w:rtl/>
          </w:rPr>
          <w:t>274(2)</w:t>
        </w:r>
      </w:hyperlink>
      <w:r w:rsidRPr="00263A71">
        <w:rPr>
          <w:rFonts w:ascii="FrankRuehl" w:hAnsi="FrankRuehl" w:cs="FrankRuehl"/>
          <w:rtl/>
        </w:rPr>
        <w:t xml:space="preserve">, </w:t>
      </w:r>
      <w:hyperlink r:id="rId20" w:history="1">
        <w:r w:rsidRPr="00263A71">
          <w:rPr>
            <w:rFonts w:ascii="FrankRuehl" w:hAnsi="FrankRuehl" w:cs="FrankRuehl"/>
            <w:color w:val="0000FF"/>
            <w:u w:val="single"/>
            <w:rtl/>
          </w:rPr>
          <w:t>274(3)</w:t>
        </w:r>
      </w:hyperlink>
      <w:r w:rsidRPr="00263A71">
        <w:rPr>
          <w:rFonts w:ascii="FrankRuehl" w:hAnsi="FrankRuehl" w:cs="FrankRuehl"/>
          <w:rtl/>
        </w:rPr>
        <w:t xml:space="preserve">, </w:t>
      </w:r>
      <w:hyperlink r:id="rId21" w:history="1">
        <w:r w:rsidRPr="00263A71">
          <w:rPr>
            <w:rFonts w:ascii="FrankRuehl" w:hAnsi="FrankRuehl" w:cs="FrankRuehl"/>
            <w:color w:val="0000FF"/>
            <w:u w:val="single"/>
            <w:rtl/>
          </w:rPr>
          <w:t>329(א)(2)</w:t>
        </w:r>
      </w:hyperlink>
      <w:r w:rsidRPr="00263A71">
        <w:rPr>
          <w:rFonts w:ascii="FrankRuehl" w:hAnsi="FrankRuehl" w:cs="FrankRuehl"/>
          <w:rtl/>
        </w:rPr>
        <w:t xml:space="preserve">, </w:t>
      </w:r>
      <w:hyperlink r:id="rId22" w:history="1">
        <w:r w:rsidRPr="00263A71">
          <w:rPr>
            <w:rFonts w:ascii="FrankRuehl" w:hAnsi="FrankRuehl" w:cs="FrankRuehl"/>
            <w:color w:val="0000FF"/>
            <w:u w:val="single"/>
            <w:rtl/>
          </w:rPr>
          <w:t>40יא</w:t>
        </w:r>
      </w:hyperlink>
      <w:r w:rsidRPr="00263A71">
        <w:rPr>
          <w:rFonts w:ascii="FrankRuehl" w:hAnsi="FrankRuehl" w:cs="FrankRuehl"/>
          <w:rtl/>
        </w:rPr>
        <w:t xml:space="preserve">, </w:t>
      </w:r>
      <w:hyperlink r:id="rId23" w:history="1">
        <w:r w:rsidRPr="00263A71">
          <w:rPr>
            <w:rFonts w:ascii="FrankRuehl" w:hAnsi="FrankRuehl" w:cs="FrankRuehl"/>
            <w:color w:val="0000FF"/>
            <w:u w:val="single"/>
            <w:rtl/>
          </w:rPr>
          <w:t>40יג</w:t>
        </w:r>
      </w:hyperlink>
      <w:r w:rsidRPr="00263A71">
        <w:rPr>
          <w:rFonts w:ascii="FrankRuehl" w:hAnsi="FrankRuehl" w:cs="FrankRuehl"/>
          <w:rtl/>
        </w:rPr>
        <w:t xml:space="preserve">, </w:t>
      </w:r>
      <w:hyperlink r:id="rId24" w:history="1">
        <w:r w:rsidRPr="00263A71">
          <w:rPr>
            <w:rFonts w:ascii="FrankRuehl" w:hAnsi="FrankRuehl" w:cs="FrankRuehl"/>
            <w:color w:val="0000FF"/>
            <w:u w:val="single"/>
            <w:rtl/>
          </w:rPr>
          <w:t>40יג(א)</w:t>
        </w:r>
      </w:hyperlink>
      <w:r w:rsidRPr="00263A71">
        <w:rPr>
          <w:rFonts w:ascii="FrankRuehl" w:hAnsi="FrankRuehl" w:cs="FrankRuehl"/>
          <w:rtl/>
        </w:rPr>
        <w:t xml:space="preserve">, </w:t>
      </w:r>
      <w:hyperlink r:id="rId25" w:history="1">
        <w:r w:rsidRPr="00263A71">
          <w:rPr>
            <w:rFonts w:ascii="FrankRuehl" w:hAnsi="FrankRuehl" w:cs="FrankRuehl"/>
            <w:color w:val="0000FF"/>
            <w:u w:val="single"/>
            <w:rtl/>
          </w:rPr>
          <w:t>40יג(ב)</w:t>
        </w:r>
      </w:hyperlink>
    </w:p>
    <w:p w14:paraId="101C0E8A" w14:textId="77777777" w:rsidR="00263A71" w:rsidRPr="00263A71" w:rsidRDefault="00263A71" w:rsidP="00263A71">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F6032" w14:paraId="1847990D" w14:textId="77777777">
        <w:trPr>
          <w:trHeight w:val="355"/>
          <w:jc w:val="center"/>
        </w:trPr>
        <w:tc>
          <w:tcPr>
            <w:tcW w:w="8820" w:type="dxa"/>
            <w:tcBorders>
              <w:top w:val="nil"/>
              <w:left w:val="nil"/>
              <w:bottom w:val="nil"/>
              <w:right w:val="nil"/>
            </w:tcBorders>
            <w:shd w:val="clear" w:color="auto" w:fill="auto"/>
          </w:tcPr>
          <w:p w14:paraId="1F667883" w14:textId="77777777" w:rsidR="00975154" w:rsidRPr="00975154" w:rsidRDefault="00975154" w:rsidP="00975154">
            <w:pPr>
              <w:jc w:val="center"/>
              <w:rPr>
                <w:rFonts w:ascii="Arial" w:hAnsi="Arial"/>
                <w:b/>
                <w:bCs/>
                <w:sz w:val="26"/>
                <w:szCs w:val="26"/>
                <w:u w:val="single"/>
                <w:rtl/>
              </w:rPr>
            </w:pPr>
            <w:bookmarkStart w:id="4" w:name="LawTable_End"/>
            <w:bookmarkStart w:id="5" w:name="PsakDin" w:colFirst="0" w:colLast="0"/>
            <w:bookmarkEnd w:id="4"/>
            <w:r w:rsidRPr="00975154">
              <w:rPr>
                <w:rFonts w:ascii="Arial" w:hAnsi="Arial"/>
                <w:b/>
                <w:bCs/>
                <w:sz w:val="26"/>
                <w:szCs w:val="26"/>
                <w:u w:val="single"/>
                <w:rtl/>
              </w:rPr>
              <w:t>גזר דין</w:t>
            </w:r>
          </w:p>
          <w:p w14:paraId="3929EBCB" w14:textId="77777777" w:rsidR="001F6032" w:rsidRPr="00975154" w:rsidRDefault="001F6032" w:rsidP="00975154">
            <w:pPr>
              <w:jc w:val="center"/>
              <w:rPr>
                <w:rFonts w:ascii="Arial" w:hAnsi="Arial"/>
                <w:bCs/>
                <w:sz w:val="26"/>
                <w:szCs w:val="26"/>
                <w:u w:val="single"/>
                <w:rtl/>
              </w:rPr>
            </w:pPr>
          </w:p>
        </w:tc>
      </w:tr>
      <w:bookmarkEnd w:id="5"/>
    </w:tbl>
    <w:p w14:paraId="0DC73415" w14:textId="77777777" w:rsidR="001F6032" w:rsidRDefault="001F6032">
      <w:pPr>
        <w:jc w:val="both"/>
        <w:rPr>
          <w:rFonts w:ascii="Arial" w:hAnsi="Arial"/>
          <w:sz w:val="26"/>
          <w:szCs w:val="26"/>
          <w:rtl/>
        </w:rPr>
      </w:pPr>
    </w:p>
    <w:p w14:paraId="2E25D17D" w14:textId="77777777" w:rsidR="001F6032" w:rsidRDefault="00975154">
      <w:pPr>
        <w:spacing w:line="360" w:lineRule="auto"/>
        <w:ind w:left="720" w:hanging="720"/>
        <w:jc w:val="both"/>
        <w:rPr>
          <w:rFonts w:ascii="Arial" w:hAnsi="Arial"/>
          <w:sz w:val="26"/>
          <w:szCs w:val="26"/>
          <w:rtl/>
        </w:rPr>
      </w:pPr>
      <w:r>
        <w:rPr>
          <w:rFonts w:ascii="Arial" w:hAnsi="Arial" w:hint="cs"/>
          <w:sz w:val="26"/>
          <w:szCs w:val="26"/>
          <w:rtl/>
        </w:rPr>
        <w:t>1.</w:t>
      </w:r>
      <w:r>
        <w:rPr>
          <w:rFonts w:ascii="Arial" w:hAnsi="Arial" w:hint="cs"/>
          <w:sz w:val="26"/>
          <w:szCs w:val="26"/>
          <w:rtl/>
        </w:rPr>
        <w:tab/>
      </w:r>
      <w:bookmarkStart w:id="6" w:name="ABSTRACT_START"/>
      <w:bookmarkEnd w:id="6"/>
      <w:r>
        <w:rPr>
          <w:rFonts w:ascii="Arial" w:hAnsi="Arial" w:hint="cs"/>
          <w:sz w:val="26"/>
          <w:szCs w:val="26"/>
          <w:rtl/>
        </w:rPr>
        <w:t>נגד הנאשם הוגש כתב אישום מתוקן במסגרת הסדר טיעון, שלא כלל הסדר לעונש</w:t>
      </w:r>
      <w:bookmarkStart w:id="7" w:name="ABSTRACT_END"/>
      <w:bookmarkEnd w:id="7"/>
      <w:r>
        <w:rPr>
          <w:rFonts w:ascii="Arial" w:hAnsi="Arial" w:hint="cs"/>
          <w:sz w:val="26"/>
          <w:szCs w:val="26"/>
          <w:rtl/>
        </w:rPr>
        <w:t xml:space="preserve">, הכולל שני אישומים: </w:t>
      </w:r>
    </w:p>
    <w:p w14:paraId="7BE2634D" w14:textId="77777777" w:rsidR="001F6032" w:rsidRDefault="001F6032">
      <w:pPr>
        <w:jc w:val="both"/>
        <w:rPr>
          <w:rFonts w:ascii="Arial" w:hAnsi="Arial"/>
          <w:sz w:val="26"/>
          <w:szCs w:val="26"/>
          <w:rtl/>
        </w:rPr>
      </w:pPr>
    </w:p>
    <w:p w14:paraId="37087856" w14:textId="77777777" w:rsidR="001F6032" w:rsidRDefault="00975154">
      <w:pPr>
        <w:spacing w:line="360" w:lineRule="auto"/>
        <w:ind w:left="720" w:hanging="720"/>
        <w:jc w:val="both"/>
        <w:rPr>
          <w:sz w:val="26"/>
          <w:szCs w:val="26"/>
          <w:rtl/>
        </w:rPr>
      </w:pPr>
      <w:r>
        <w:rPr>
          <w:rFonts w:hint="cs"/>
          <w:sz w:val="26"/>
          <w:szCs w:val="26"/>
          <w:rtl/>
        </w:rPr>
        <w:tab/>
        <w:t>א. בפרק העובדות של האישום ראשון נאמר, כי בתאריך 30.1.1986 הכריזה ממשלת ישראל כי ארגון "החזית העממית הדמוקרטית לשחרור פלסטין (חואתמה)", הינו ארגון טרוריסטי (להלן: "</w:t>
      </w:r>
      <w:r>
        <w:rPr>
          <w:rFonts w:hint="cs"/>
          <w:b/>
          <w:bCs/>
          <w:sz w:val="26"/>
          <w:szCs w:val="26"/>
          <w:rtl/>
        </w:rPr>
        <w:t>הארגון</w:t>
      </w:r>
      <w:r>
        <w:rPr>
          <w:rFonts w:hint="cs"/>
          <w:sz w:val="26"/>
          <w:szCs w:val="26"/>
          <w:rtl/>
        </w:rPr>
        <w:t xml:space="preserve">").  </w:t>
      </w:r>
    </w:p>
    <w:p w14:paraId="5AFD3C5B" w14:textId="77777777" w:rsidR="001F6032" w:rsidRDefault="00975154">
      <w:pPr>
        <w:spacing w:line="360" w:lineRule="auto"/>
        <w:ind w:left="720"/>
        <w:jc w:val="both"/>
        <w:rPr>
          <w:sz w:val="26"/>
          <w:szCs w:val="26"/>
          <w:rtl/>
        </w:rPr>
      </w:pPr>
      <w:r>
        <w:rPr>
          <w:rFonts w:hint="cs"/>
          <w:sz w:val="26"/>
          <w:szCs w:val="26"/>
          <w:rtl/>
        </w:rPr>
        <w:t xml:space="preserve">במהלך שנת 2010, בתאריך שאינו ידוע במדויק למאשימה, החליט הנאשם להצטרף ולפעול בארגון ומאז ועד היום הינו פעיל במסגרתו. הנאשם פעל בחזית הדמוקרטית יחד עם אחרים, אשר היו נפגשים באזור הסמוך למסגד אלארבעין בעיסוויה, ומתכננים את פעילותם. </w:t>
      </w:r>
    </w:p>
    <w:p w14:paraId="400142FB" w14:textId="77777777" w:rsidR="001F6032" w:rsidRDefault="00975154">
      <w:pPr>
        <w:spacing w:line="360" w:lineRule="auto"/>
        <w:ind w:left="720"/>
        <w:jc w:val="both"/>
        <w:rPr>
          <w:sz w:val="26"/>
          <w:szCs w:val="26"/>
          <w:rtl/>
        </w:rPr>
      </w:pPr>
      <w:r>
        <w:rPr>
          <w:rFonts w:hint="cs"/>
          <w:sz w:val="26"/>
          <w:szCs w:val="26"/>
          <w:rtl/>
        </w:rPr>
        <w:t xml:space="preserve">ביום 22.2.14 הידוע כיום ייסוד החזית הדמוקרטית, השתתף הנאשם במחאת הזדהות שנערכה מטעם החזית הדמוקרטית בעיסוויה. </w:t>
      </w:r>
    </w:p>
    <w:p w14:paraId="0B735B72" w14:textId="77777777" w:rsidR="001F6032" w:rsidRDefault="00975154">
      <w:pPr>
        <w:spacing w:line="360" w:lineRule="auto"/>
        <w:ind w:left="720"/>
        <w:jc w:val="both"/>
        <w:rPr>
          <w:sz w:val="26"/>
          <w:szCs w:val="26"/>
          <w:rtl/>
        </w:rPr>
      </w:pPr>
      <w:r>
        <w:rPr>
          <w:rFonts w:hint="cs"/>
          <w:sz w:val="26"/>
          <w:szCs w:val="26"/>
          <w:rtl/>
        </w:rPr>
        <w:lastRenderedPageBreak/>
        <w:t xml:space="preserve">הנאשם הואשם בחברות בארגון טרוריסטי </w:t>
      </w:r>
      <w:r>
        <w:rPr>
          <w:sz w:val="26"/>
          <w:szCs w:val="26"/>
          <w:rtl/>
        </w:rPr>
        <w:t>–</w:t>
      </w:r>
      <w:r>
        <w:rPr>
          <w:rFonts w:hint="cs"/>
          <w:sz w:val="26"/>
          <w:szCs w:val="26"/>
          <w:rtl/>
        </w:rPr>
        <w:t xml:space="preserve"> עבירה לפי </w:t>
      </w:r>
      <w:hyperlink r:id="rId26" w:history="1">
        <w:r w:rsidR="00263A71" w:rsidRPr="00263A71">
          <w:rPr>
            <w:color w:val="0000FF"/>
            <w:sz w:val="26"/>
            <w:szCs w:val="26"/>
            <w:u w:val="single"/>
            <w:rtl/>
          </w:rPr>
          <w:t>סעיף 3</w:t>
        </w:r>
      </w:hyperlink>
      <w:r>
        <w:rPr>
          <w:rFonts w:hint="cs"/>
          <w:sz w:val="26"/>
          <w:szCs w:val="26"/>
          <w:rtl/>
        </w:rPr>
        <w:t xml:space="preserve"> </w:t>
      </w:r>
      <w:hyperlink r:id="rId27" w:history="1">
        <w:r w:rsidR="00263A71" w:rsidRPr="00263A71">
          <w:rPr>
            <w:color w:val="0000FF"/>
            <w:sz w:val="26"/>
            <w:szCs w:val="26"/>
            <w:u w:val="single"/>
            <w:rtl/>
          </w:rPr>
          <w:t>לפקודה למניעת טרור, התש"ח – 1948</w:t>
        </w:r>
      </w:hyperlink>
      <w:r>
        <w:rPr>
          <w:rFonts w:hint="cs"/>
          <w:sz w:val="26"/>
          <w:szCs w:val="26"/>
          <w:rtl/>
        </w:rPr>
        <w:t xml:space="preserve"> (להלן: "</w:t>
      </w:r>
      <w:r>
        <w:rPr>
          <w:rFonts w:hint="cs"/>
          <w:b/>
          <w:bCs/>
          <w:sz w:val="26"/>
          <w:szCs w:val="26"/>
          <w:rtl/>
        </w:rPr>
        <w:t>הפקודה</w:t>
      </w:r>
      <w:r>
        <w:rPr>
          <w:rFonts w:hint="cs"/>
          <w:sz w:val="26"/>
          <w:szCs w:val="26"/>
          <w:rtl/>
        </w:rPr>
        <w:t xml:space="preserve">"). </w:t>
      </w:r>
    </w:p>
    <w:p w14:paraId="6387EA18" w14:textId="77777777" w:rsidR="001F6032" w:rsidRDefault="001F6032">
      <w:pPr>
        <w:spacing w:line="360" w:lineRule="auto"/>
        <w:ind w:left="720"/>
        <w:jc w:val="both"/>
        <w:rPr>
          <w:sz w:val="26"/>
          <w:szCs w:val="26"/>
          <w:rtl/>
        </w:rPr>
      </w:pPr>
    </w:p>
    <w:p w14:paraId="702C9812" w14:textId="77777777" w:rsidR="001F6032" w:rsidRDefault="00975154">
      <w:pPr>
        <w:spacing w:line="360" w:lineRule="auto"/>
        <w:ind w:left="720"/>
        <w:jc w:val="both"/>
        <w:rPr>
          <w:sz w:val="26"/>
          <w:szCs w:val="26"/>
          <w:rtl/>
        </w:rPr>
      </w:pPr>
      <w:r>
        <w:rPr>
          <w:rFonts w:hint="cs"/>
          <w:sz w:val="26"/>
          <w:szCs w:val="26"/>
          <w:rtl/>
        </w:rPr>
        <w:t>ב. בפרק העובדות של האישום השני נאמר, כי בהמשך למתואר באישום הראשון, וכחלק מפעילותו בארגון, יידה הנאשם בקבוקי תבערה ואבנים במספר הזדמנויות שונות לעבר כוחות הביטחון כפי שיפורט להלן:</w:t>
      </w:r>
    </w:p>
    <w:p w14:paraId="79D2E651" w14:textId="77777777" w:rsidR="001F6032" w:rsidRDefault="00975154">
      <w:pPr>
        <w:spacing w:line="360" w:lineRule="auto"/>
        <w:ind w:left="720"/>
        <w:jc w:val="both"/>
        <w:rPr>
          <w:sz w:val="26"/>
          <w:szCs w:val="26"/>
          <w:rtl/>
        </w:rPr>
      </w:pPr>
      <w:r>
        <w:rPr>
          <w:rFonts w:hint="cs"/>
          <w:sz w:val="26"/>
          <w:szCs w:val="26"/>
          <w:u w:val="single"/>
          <w:rtl/>
        </w:rPr>
        <w:t>בשלוש הזדמנויות שונות</w:t>
      </w:r>
      <w:r>
        <w:rPr>
          <w:rFonts w:hint="cs"/>
          <w:sz w:val="26"/>
          <w:szCs w:val="26"/>
          <w:rtl/>
        </w:rPr>
        <w:t xml:space="preserve">, במועדים שאינם ידועים במדויק למאשימה, בסמוך למסגד אלארבעין בכפר עיסוויה שבירושלים, יידה הנאשם אבנים לעבר כוחות הביטחון, כשעל מצחו בד אשר עליו הסמל של החזית הדמוקרטית. </w:t>
      </w:r>
    </w:p>
    <w:p w14:paraId="2ADAB454" w14:textId="77777777" w:rsidR="001F6032" w:rsidRDefault="00975154">
      <w:pPr>
        <w:spacing w:line="360" w:lineRule="auto"/>
        <w:ind w:left="720"/>
        <w:jc w:val="both"/>
        <w:rPr>
          <w:sz w:val="26"/>
          <w:szCs w:val="26"/>
          <w:rtl/>
        </w:rPr>
      </w:pPr>
      <w:r>
        <w:rPr>
          <w:rFonts w:hint="cs"/>
          <w:sz w:val="26"/>
          <w:szCs w:val="26"/>
          <w:u w:val="single"/>
          <w:rtl/>
        </w:rPr>
        <w:t>ביום 19.11.13 בשעות הערב</w:t>
      </w:r>
      <w:r>
        <w:rPr>
          <w:rFonts w:hint="cs"/>
          <w:sz w:val="26"/>
          <w:szCs w:val="26"/>
          <w:rtl/>
        </w:rPr>
        <w:t xml:space="preserve">, בשעה שאינה ידועה במדויק למאשימה, באזור מסגד אלארבעין בכפר עיסוויה השתתף הנאשם בהתפרעות יחד עם אחרים רעולי פנים, שהחלה במטרה למנוע מהמשטרה לעצור חשוד. במהלך ההתפרעות יידה הנאשם אבנים לעבר כוחות הביטחון שהיו במקום. במהלך ההתפרעות נפגעו מספר שוטרים מהאבנים אשר נזרקו לעברם ושלושה שוטרים אף נזקקו לטיפול רפואי. </w:t>
      </w:r>
    </w:p>
    <w:p w14:paraId="2344BA95" w14:textId="77777777" w:rsidR="001F6032" w:rsidRDefault="00975154">
      <w:pPr>
        <w:spacing w:line="360" w:lineRule="auto"/>
        <w:ind w:left="720"/>
        <w:jc w:val="both"/>
        <w:rPr>
          <w:sz w:val="26"/>
          <w:szCs w:val="26"/>
          <w:rtl/>
        </w:rPr>
      </w:pPr>
      <w:r>
        <w:rPr>
          <w:rFonts w:hint="cs"/>
          <w:sz w:val="26"/>
          <w:szCs w:val="26"/>
          <w:rtl/>
        </w:rPr>
        <w:t>בהמשך, החליט הנאשם לזרוק בקבוקי תבערה לעבר כוחות הביטחון. הנאשם הלך לתחנת הדלק של חברת "דלק" בכניסה לעיסוויה ורכש בנזין בסכום של 5 ₪. הנאשם חזר לאזור ההתפרעות, מילא בקבוק בבנזין והוסיף פיסת בד, הצית את בקבוק התבערה ויידה אותו לעבר כוחות הביטחון. בקבוק התבערה התלקח ופגע בקרקע.</w:t>
      </w:r>
    </w:p>
    <w:p w14:paraId="1EB6A539" w14:textId="77777777" w:rsidR="001F6032" w:rsidRDefault="00975154">
      <w:pPr>
        <w:spacing w:line="360" w:lineRule="auto"/>
        <w:ind w:left="720"/>
        <w:jc w:val="both"/>
        <w:rPr>
          <w:sz w:val="26"/>
          <w:szCs w:val="26"/>
          <w:rtl/>
        </w:rPr>
      </w:pPr>
      <w:r>
        <w:rPr>
          <w:rFonts w:hint="cs"/>
          <w:sz w:val="26"/>
          <w:szCs w:val="26"/>
          <w:u w:val="single"/>
          <w:rtl/>
        </w:rPr>
        <w:t>ביום 15.5.13</w:t>
      </w:r>
      <w:r>
        <w:rPr>
          <w:rFonts w:hint="cs"/>
          <w:sz w:val="26"/>
          <w:szCs w:val="26"/>
          <w:rtl/>
        </w:rPr>
        <w:t>, הידוע כ"יום הנכבה", בסמוך לשעה 14:00, השתתף הנאשם בהתקהלות אסורה יחד עם אחרים רעולי פנים, לשם הפרות סדר בקרבת מסגד אלארבעין בעיסוויה (להלן: "</w:t>
      </w:r>
      <w:r>
        <w:rPr>
          <w:rFonts w:hint="cs"/>
          <w:b/>
          <w:bCs/>
          <w:sz w:val="26"/>
          <w:szCs w:val="26"/>
          <w:rtl/>
        </w:rPr>
        <w:t>ההתפרעות</w:t>
      </w:r>
      <w:r>
        <w:rPr>
          <w:rFonts w:hint="cs"/>
          <w:sz w:val="26"/>
          <w:szCs w:val="26"/>
          <w:rtl/>
        </w:rPr>
        <w:t xml:space="preserve">"). במהלך ההתפרעות זרק הנאשם יחד עם אחרים אבנים וזיקוקים לעבר כוחות הביטחון. </w:t>
      </w:r>
    </w:p>
    <w:p w14:paraId="5FED2CEF" w14:textId="77777777" w:rsidR="001F6032" w:rsidRDefault="00975154">
      <w:pPr>
        <w:spacing w:line="360" w:lineRule="auto"/>
        <w:ind w:left="720"/>
        <w:jc w:val="both"/>
        <w:rPr>
          <w:sz w:val="26"/>
          <w:szCs w:val="26"/>
          <w:rtl/>
        </w:rPr>
      </w:pPr>
      <w:r>
        <w:rPr>
          <w:rFonts w:hint="cs"/>
          <w:sz w:val="26"/>
          <w:szCs w:val="26"/>
          <w:rtl/>
        </w:rPr>
        <w:t xml:space="preserve">על כל זאת, הואשם הנאשם בייצור נשק </w:t>
      </w:r>
      <w:r>
        <w:rPr>
          <w:sz w:val="26"/>
          <w:szCs w:val="26"/>
          <w:rtl/>
        </w:rPr>
        <w:t>–</w:t>
      </w:r>
      <w:r>
        <w:rPr>
          <w:rFonts w:hint="cs"/>
          <w:sz w:val="26"/>
          <w:szCs w:val="26"/>
          <w:rtl/>
        </w:rPr>
        <w:t xml:space="preserve"> עבירה לפי </w:t>
      </w:r>
      <w:hyperlink r:id="rId28" w:history="1">
        <w:r w:rsidR="00263A71" w:rsidRPr="00263A71">
          <w:rPr>
            <w:color w:val="0000FF"/>
            <w:sz w:val="26"/>
            <w:szCs w:val="26"/>
            <w:u w:val="single"/>
            <w:rtl/>
          </w:rPr>
          <w:t>סעיף 144(ב2)</w:t>
        </w:r>
      </w:hyperlink>
      <w:r>
        <w:rPr>
          <w:rFonts w:hint="cs"/>
          <w:sz w:val="26"/>
          <w:szCs w:val="26"/>
          <w:rtl/>
        </w:rPr>
        <w:t xml:space="preserve"> בצירוף </w:t>
      </w:r>
      <w:hyperlink r:id="rId29" w:history="1">
        <w:r w:rsidR="00263A71" w:rsidRPr="00263A71">
          <w:rPr>
            <w:color w:val="0000FF"/>
            <w:sz w:val="26"/>
            <w:szCs w:val="26"/>
            <w:u w:val="single"/>
            <w:rtl/>
          </w:rPr>
          <w:t>סעיף 29</w:t>
        </w:r>
      </w:hyperlink>
      <w:r>
        <w:rPr>
          <w:rFonts w:hint="cs"/>
          <w:sz w:val="26"/>
          <w:szCs w:val="26"/>
          <w:rtl/>
        </w:rPr>
        <w:t xml:space="preserve"> ל</w:t>
      </w:r>
      <w:hyperlink r:id="rId30" w:history="1">
        <w:r w:rsidRPr="00975154">
          <w:rPr>
            <w:color w:val="0000FF"/>
            <w:sz w:val="26"/>
            <w:szCs w:val="26"/>
            <w:u w:val="single"/>
            <w:rtl/>
          </w:rPr>
          <w:t>חוק העונשין</w:t>
        </w:r>
      </w:hyperlink>
      <w:r>
        <w:rPr>
          <w:rFonts w:hint="cs"/>
          <w:sz w:val="26"/>
          <w:szCs w:val="26"/>
          <w:rtl/>
        </w:rPr>
        <w:t xml:space="preserve">, התשל"ז </w:t>
      </w:r>
      <w:r>
        <w:rPr>
          <w:sz w:val="26"/>
          <w:szCs w:val="26"/>
          <w:rtl/>
        </w:rPr>
        <w:t>–</w:t>
      </w:r>
      <w:r>
        <w:rPr>
          <w:rFonts w:hint="cs"/>
          <w:sz w:val="26"/>
          <w:szCs w:val="26"/>
          <w:rtl/>
        </w:rPr>
        <w:t xml:space="preserve"> 1977 (להלן: "</w:t>
      </w:r>
      <w:r>
        <w:rPr>
          <w:rFonts w:hint="cs"/>
          <w:b/>
          <w:bCs/>
          <w:sz w:val="26"/>
          <w:szCs w:val="26"/>
          <w:rtl/>
        </w:rPr>
        <w:t>החוק</w:t>
      </w:r>
      <w:r>
        <w:rPr>
          <w:rFonts w:hint="cs"/>
          <w:sz w:val="26"/>
          <w:szCs w:val="26"/>
          <w:rtl/>
        </w:rPr>
        <w:t xml:space="preserve">"); בחבלה בכוונה מחמירה </w:t>
      </w:r>
      <w:r>
        <w:rPr>
          <w:sz w:val="26"/>
          <w:szCs w:val="26"/>
          <w:rtl/>
        </w:rPr>
        <w:t>–</w:t>
      </w:r>
      <w:r>
        <w:rPr>
          <w:rFonts w:hint="cs"/>
          <w:sz w:val="26"/>
          <w:szCs w:val="26"/>
          <w:rtl/>
        </w:rPr>
        <w:t xml:space="preserve"> עבירה לפי </w:t>
      </w:r>
      <w:hyperlink r:id="rId31" w:history="1">
        <w:r w:rsidR="00263A71" w:rsidRPr="00263A71">
          <w:rPr>
            <w:color w:val="0000FF"/>
            <w:sz w:val="26"/>
            <w:szCs w:val="26"/>
            <w:u w:val="single"/>
            <w:rtl/>
          </w:rPr>
          <w:t>סעיף 329(א)(2)</w:t>
        </w:r>
      </w:hyperlink>
      <w:r>
        <w:rPr>
          <w:rFonts w:hint="cs"/>
          <w:sz w:val="26"/>
          <w:szCs w:val="26"/>
          <w:rtl/>
        </w:rPr>
        <w:t xml:space="preserve"> בצירוף </w:t>
      </w:r>
      <w:hyperlink r:id="rId32" w:history="1">
        <w:r w:rsidR="00263A71" w:rsidRPr="00263A71">
          <w:rPr>
            <w:color w:val="0000FF"/>
            <w:sz w:val="26"/>
            <w:szCs w:val="26"/>
            <w:u w:val="single"/>
            <w:rtl/>
          </w:rPr>
          <w:t>סעיף 29</w:t>
        </w:r>
      </w:hyperlink>
      <w:r>
        <w:rPr>
          <w:rFonts w:hint="cs"/>
          <w:sz w:val="26"/>
          <w:szCs w:val="26"/>
          <w:rtl/>
        </w:rPr>
        <w:t xml:space="preserve"> לחוק; ובתקיפת שוטר בנסיבות מחמירות </w:t>
      </w:r>
      <w:r>
        <w:rPr>
          <w:sz w:val="26"/>
          <w:szCs w:val="26"/>
          <w:rtl/>
        </w:rPr>
        <w:t>–</w:t>
      </w:r>
      <w:r>
        <w:rPr>
          <w:rFonts w:hint="cs"/>
          <w:sz w:val="26"/>
          <w:szCs w:val="26"/>
          <w:rtl/>
        </w:rPr>
        <w:t xml:space="preserve"> עבירה לפי </w:t>
      </w:r>
      <w:hyperlink r:id="rId33" w:history="1">
        <w:r w:rsidR="00263A71" w:rsidRPr="00263A71">
          <w:rPr>
            <w:color w:val="0000FF"/>
            <w:sz w:val="26"/>
            <w:szCs w:val="26"/>
            <w:u w:val="single"/>
            <w:rtl/>
          </w:rPr>
          <w:t>סעיף 274(2)</w:t>
        </w:r>
      </w:hyperlink>
      <w:r>
        <w:rPr>
          <w:rFonts w:hint="cs"/>
          <w:sz w:val="26"/>
          <w:szCs w:val="26"/>
          <w:rtl/>
        </w:rPr>
        <w:t xml:space="preserve"> </w:t>
      </w:r>
      <w:hyperlink r:id="rId34" w:history="1">
        <w:r w:rsidR="00263A71" w:rsidRPr="00263A71">
          <w:rPr>
            <w:color w:val="0000FF"/>
            <w:sz w:val="26"/>
            <w:szCs w:val="26"/>
            <w:u w:val="single"/>
            <w:rtl/>
          </w:rPr>
          <w:t>וסעיף 274(3)</w:t>
        </w:r>
      </w:hyperlink>
      <w:r>
        <w:rPr>
          <w:rFonts w:hint="cs"/>
          <w:sz w:val="26"/>
          <w:szCs w:val="26"/>
          <w:rtl/>
        </w:rPr>
        <w:t xml:space="preserve"> לחוק בצירוף </w:t>
      </w:r>
      <w:hyperlink r:id="rId35" w:history="1">
        <w:r w:rsidR="00263A71" w:rsidRPr="00263A71">
          <w:rPr>
            <w:color w:val="0000FF"/>
            <w:sz w:val="26"/>
            <w:szCs w:val="26"/>
            <w:u w:val="single"/>
            <w:rtl/>
          </w:rPr>
          <w:t>סעיף 29</w:t>
        </w:r>
      </w:hyperlink>
      <w:r>
        <w:rPr>
          <w:rFonts w:hint="cs"/>
          <w:sz w:val="26"/>
          <w:szCs w:val="26"/>
          <w:rtl/>
        </w:rPr>
        <w:t xml:space="preserve"> לחוק. </w:t>
      </w:r>
    </w:p>
    <w:p w14:paraId="28E1B3A1" w14:textId="77777777" w:rsidR="001F6032" w:rsidRDefault="001F6032">
      <w:pPr>
        <w:spacing w:line="360" w:lineRule="auto"/>
        <w:ind w:left="720" w:hanging="720"/>
        <w:jc w:val="both"/>
        <w:rPr>
          <w:sz w:val="26"/>
          <w:szCs w:val="26"/>
          <w:rtl/>
        </w:rPr>
      </w:pPr>
    </w:p>
    <w:p w14:paraId="75B4E30E" w14:textId="77777777" w:rsidR="001F6032" w:rsidRDefault="00975154">
      <w:pPr>
        <w:spacing w:line="360" w:lineRule="auto"/>
        <w:ind w:left="720" w:hanging="720"/>
        <w:jc w:val="both"/>
        <w:rPr>
          <w:sz w:val="26"/>
          <w:szCs w:val="26"/>
          <w:rtl/>
        </w:rPr>
      </w:pPr>
      <w:r>
        <w:rPr>
          <w:rFonts w:hint="cs"/>
          <w:sz w:val="26"/>
          <w:szCs w:val="26"/>
          <w:rtl/>
        </w:rPr>
        <w:t>3.</w:t>
      </w:r>
      <w:r>
        <w:rPr>
          <w:rFonts w:hint="cs"/>
          <w:sz w:val="26"/>
          <w:szCs w:val="26"/>
          <w:rtl/>
        </w:rPr>
        <w:tab/>
        <w:t>ביום 12.11.14, במסגרת הסדר הטיעון, הודה הנאשם בעובדות כתב האישום המתוקן והורשע על פי הודאתו בעבירות שצוינו. נוכח גילו של הנאשם התבקש שירות המבחן להגיש תסקיר בעניינו.</w:t>
      </w:r>
    </w:p>
    <w:p w14:paraId="37777970" w14:textId="77777777" w:rsidR="001F6032" w:rsidRDefault="00975154">
      <w:pPr>
        <w:spacing w:line="360" w:lineRule="auto"/>
        <w:ind w:left="720" w:hanging="720"/>
        <w:jc w:val="both"/>
        <w:rPr>
          <w:sz w:val="26"/>
          <w:szCs w:val="26"/>
        </w:rPr>
      </w:pPr>
      <w:r>
        <w:rPr>
          <w:rFonts w:hint="cs"/>
          <w:sz w:val="26"/>
          <w:szCs w:val="26"/>
          <w:rtl/>
        </w:rPr>
        <w:tab/>
      </w:r>
    </w:p>
    <w:p w14:paraId="7D7A8025" w14:textId="77777777" w:rsidR="001F6032" w:rsidRDefault="00975154">
      <w:pPr>
        <w:spacing w:line="360" w:lineRule="auto"/>
        <w:jc w:val="both"/>
        <w:rPr>
          <w:b/>
          <w:bCs/>
          <w:sz w:val="26"/>
          <w:szCs w:val="26"/>
          <w:u w:val="single"/>
          <w:rtl/>
        </w:rPr>
      </w:pPr>
      <w:r>
        <w:rPr>
          <w:rFonts w:hint="cs"/>
          <w:b/>
          <w:bCs/>
          <w:sz w:val="26"/>
          <w:szCs w:val="26"/>
          <w:u w:val="single"/>
          <w:rtl/>
        </w:rPr>
        <w:lastRenderedPageBreak/>
        <w:t xml:space="preserve">תסקיר שירות המבחן </w:t>
      </w:r>
    </w:p>
    <w:p w14:paraId="5F931010" w14:textId="77777777" w:rsidR="001F6032" w:rsidRDefault="00975154">
      <w:pPr>
        <w:spacing w:line="360" w:lineRule="auto"/>
        <w:ind w:left="720" w:hanging="720"/>
        <w:jc w:val="both"/>
        <w:rPr>
          <w:sz w:val="26"/>
          <w:szCs w:val="26"/>
          <w:rtl/>
        </w:rPr>
      </w:pPr>
      <w:r>
        <w:rPr>
          <w:rFonts w:hint="cs"/>
          <w:sz w:val="26"/>
          <w:szCs w:val="26"/>
          <w:rtl/>
        </w:rPr>
        <w:t>4.</w:t>
      </w:r>
      <w:r>
        <w:rPr>
          <w:rFonts w:hint="cs"/>
          <w:sz w:val="26"/>
          <w:szCs w:val="26"/>
          <w:rtl/>
        </w:rPr>
        <w:tab/>
        <w:t>מעיון בתסקיר עולה, כי הנאשם כבן 20, נשוי ללא ילדים. עד למעצרו התגורר עם רעייתו בבית הוריו שבשכונת עיסוויה. הנאשם סיים 9 שנות לימוד בבתי ספר בשכונה, כתלמיד בינוני ללא בעיות משמעת מיוחדות, ועזב את לימודיו בשל הצורך לסייע בפרנסת הוריו ומשפחתו. הנאשם עבד כסדרן בחנויות וכשנה וחצי קודם למעצרו עבד כמסייע לנהג משאית. כשלושה חודשים לפני מעצרו נשא אשה ובשל הצורך לממן את הוצאות החתונה החל לעבוד גם בעבודות ניקיון בבית החולים "הדסה" הר הצופים בירושלים.</w:t>
      </w:r>
    </w:p>
    <w:p w14:paraId="27DC2322" w14:textId="77777777" w:rsidR="001F6032" w:rsidRDefault="00975154">
      <w:pPr>
        <w:spacing w:line="360" w:lineRule="auto"/>
        <w:ind w:left="720"/>
        <w:jc w:val="both"/>
        <w:rPr>
          <w:sz w:val="26"/>
          <w:szCs w:val="26"/>
          <w:rtl/>
        </w:rPr>
      </w:pPr>
      <w:r>
        <w:rPr>
          <w:rFonts w:hint="cs"/>
          <w:sz w:val="26"/>
          <w:szCs w:val="26"/>
          <w:rtl/>
        </w:rPr>
        <w:t>הנאשם מסר, כי במהלך מעצרו מעסיק עצמו בהשלמת בגרויות נוכח כוונתו להשתלב בלימודים אקדמאיים לאחר שחרורו. עוד מסר, כי אין לו קשרים חברתיים בתוך הכלא וכי אמו מגיעה אחת לחודש לבקרו בכלא. הוא מעוניין להשתחרר בהקדם בעיקר בשל הדאגה לפרנסת הוריו ואשתו.</w:t>
      </w:r>
    </w:p>
    <w:p w14:paraId="433CA9B7" w14:textId="77777777" w:rsidR="001F6032" w:rsidRDefault="00975154">
      <w:pPr>
        <w:spacing w:line="360" w:lineRule="auto"/>
        <w:ind w:left="720"/>
        <w:jc w:val="both"/>
        <w:rPr>
          <w:sz w:val="26"/>
          <w:szCs w:val="26"/>
          <w:rtl/>
        </w:rPr>
      </w:pPr>
      <w:r>
        <w:rPr>
          <w:rFonts w:hint="cs"/>
          <w:sz w:val="26"/>
          <w:szCs w:val="26"/>
          <w:rtl/>
        </w:rPr>
        <w:t>עוד מסר הנאשם, כי אביו נפצע לפני כ-15 שנים מרכב ומאז אינו עובד ואמו מעולם לא עבדה. הנאשם הוא הצעיר מחמישה ילדים להוריו, ששלושת הבוגרים נשואים.</w:t>
      </w:r>
    </w:p>
    <w:p w14:paraId="0947AD92" w14:textId="77777777" w:rsidR="001F6032" w:rsidRDefault="00975154">
      <w:pPr>
        <w:spacing w:line="360" w:lineRule="auto"/>
        <w:ind w:left="720"/>
        <w:jc w:val="both"/>
        <w:rPr>
          <w:sz w:val="26"/>
          <w:szCs w:val="26"/>
          <w:rtl/>
        </w:rPr>
      </w:pPr>
      <w:r>
        <w:rPr>
          <w:rFonts w:hint="cs"/>
          <w:sz w:val="26"/>
          <w:szCs w:val="26"/>
          <w:rtl/>
        </w:rPr>
        <w:t xml:space="preserve">לפי המפורט בתסקיר, לנאשם אין הרשעות קודמות, אולם רשומים לחובתו שני מבד"ים: האחד, מיום 12.7.11, בגין חשד לביצוע עבירות של הפרת הוראה חוקית, סיכון חיי אדם בנתיב תחבורה בירי/זריקה, השתתפות בהתפרעות ותקיפת שוטר כשהתוקף מזויין בנשק חם/קר, ובגין כך הוגש נגדו כתב אישום בבית משפט השלום בירושלים; השני, בגין חשד לביצוע עבירות של השתתפות בהתפרעות, תקיפת שוטר על ידי שלושה או יותר ותקיפת שוטר כשהתוקף מזויין בנשק חם/קר. </w:t>
      </w:r>
    </w:p>
    <w:p w14:paraId="1DDA7695" w14:textId="77777777" w:rsidR="001F6032" w:rsidRDefault="00975154">
      <w:pPr>
        <w:spacing w:line="360" w:lineRule="auto"/>
        <w:ind w:left="720"/>
        <w:jc w:val="both"/>
        <w:rPr>
          <w:sz w:val="26"/>
          <w:szCs w:val="26"/>
          <w:rtl/>
        </w:rPr>
      </w:pPr>
      <w:r>
        <w:rPr>
          <w:rFonts w:hint="cs"/>
          <w:sz w:val="26"/>
          <w:szCs w:val="26"/>
          <w:rtl/>
        </w:rPr>
        <w:t xml:space="preserve">שירות המבחן התרשם מצעיר בעל יכולות קוגניטיביות וורבליות תקינות אשר מגיל צעיר נטל על עצמו תפקיד כמפרנס את הוריו ובני משפחתו, וכי נטילת התפקיד פיתחה אצלו תחושת אחריות ומסוגלות. אולם נראה, כי בשל הנטל הרגשי הגדול עקב כך, אשר אינו מותאם ליכולותיו כנער צעיר, החל לחפש פורקן ללחצים בהתחברות לחברה שולית ויתכן אף בהשתייכות לארגון טרור, ונטילת חלק בהתפרעויות. </w:t>
      </w:r>
    </w:p>
    <w:p w14:paraId="610402FA" w14:textId="77777777" w:rsidR="001F6032" w:rsidRDefault="00975154">
      <w:pPr>
        <w:spacing w:line="360" w:lineRule="auto"/>
        <w:ind w:left="720"/>
        <w:jc w:val="both"/>
        <w:rPr>
          <w:sz w:val="26"/>
          <w:szCs w:val="26"/>
          <w:rtl/>
        </w:rPr>
      </w:pPr>
      <w:r>
        <w:rPr>
          <w:rFonts w:hint="cs"/>
          <w:sz w:val="26"/>
          <w:szCs w:val="26"/>
          <w:rtl/>
        </w:rPr>
        <w:t xml:space="preserve">בבחינת גורמי הסיכון והסיכוי לשיקום הנאשם, הובא בחשבון כגורם המשקף סיכוי לשיקום, כי המדובר בבחור צעיר, אשר חש אחריות כלפי משפחתו ברובד הכלכלי, ואשר המחירים הכלכליים של מעצרו מהווים עבורו גורם מרתיע, אשר יתכן ויגרום לו לשקול בכובד ראש את מעשיו. לצד זאת, נלקחו כגורם סיכון קשייו לקבל ולציית לגבולות חיצוניים, את העמדות האידיאולוגיות המטושטשות שמסר, את תפיסתו הקורבנית והכחשתו כי ביצע את רוב העבירות המוזכרות. עוד הובאה בחשבון העובדה, כי העבירות בתיק הנוכחי נעברו בתקופה בה התנהל כנגדו תיק פלילי על עבירות דומות, וחרף זאת לא נרתע לבצען שוב. </w:t>
      </w:r>
    </w:p>
    <w:p w14:paraId="71F30A48" w14:textId="77777777" w:rsidR="001F6032" w:rsidRDefault="00975154">
      <w:pPr>
        <w:spacing w:line="360" w:lineRule="auto"/>
        <w:ind w:left="720"/>
        <w:jc w:val="both"/>
        <w:rPr>
          <w:sz w:val="26"/>
          <w:szCs w:val="26"/>
          <w:rtl/>
        </w:rPr>
      </w:pPr>
      <w:r>
        <w:rPr>
          <w:rFonts w:hint="cs"/>
          <w:sz w:val="26"/>
          <w:szCs w:val="26"/>
          <w:rtl/>
        </w:rPr>
        <w:t xml:space="preserve">לאחר שקלול כל הגורמים, נמנע שירות המבחן מהמלצה שיקומית, והומלץ על ענישה מוחשית בצורה של מאסר אשר תמחיש לו את חומרת מעשיו ואשר יש בו גורם הרתעתי מלשוב ולבצע עבירות דומות. </w:t>
      </w:r>
    </w:p>
    <w:p w14:paraId="13DE67B7" w14:textId="77777777" w:rsidR="001F6032" w:rsidRDefault="001F6032">
      <w:pPr>
        <w:spacing w:line="360" w:lineRule="auto"/>
        <w:jc w:val="both"/>
        <w:rPr>
          <w:sz w:val="26"/>
          <w:szCs w:val="26"/>
          <w:rtl/>
        </w:rPr>
      </w:pPr>
    </w:p>
    <w:p w14:paraId="563D9F30" w14:textId="77777777" w:rsidR="001F6032" w:rsidRDefault="00975154">
      <w:pPr>
        <w:pStyle w:val="P00"/>
        <w:tabs>
          <w:tab w:val="left" w:pos="8505"/>
        </w:tabs>
        <w:spacing w:before="72" w:line="360" w:lineRule="auto"/>
        <w:ind w:left="624" w:hanging="624"/>
        <w:rPr>
          <w:rStyle w:val="default"/>
          <w:rFonts w:cs="David"/>
          <w:noProof w:val="0"/>
          <w:rtl/>
        </w:rPr>
      </w:pPr>
      <w:r>
        <w:rPr>
          <w:rFonts w:cs="David" w:hint="cs"/>
          <w:sz w:val="26"/>
          <w:rtl/>
        </w:rPr>
        <w:t>5.</w:t>
      </w:r>
      <w:r>
        <w:rPr>
          <w:rFonts w:cs="David" w:hint="cs"/>
          <w:sz w:val="26"/>
          <w:rtl/>
        </w:rPr>
        <w:tab/>
      </w:r>
      <w:r>
        <w:rPr>
          <w:rStyle w:val="default"/>
          <w:rFonts w:cs="David" w:hint="cs"/>
          <w:noProof w:val="0"/>
          <w:rtl/>
        </w:rPr>
        <w:t xml:space="preserve">יודגש, כי בטרם הטיעונים לעונש, ומשהתברר כי הנאשם הכחיש בפני שירות המבחן את מעורבותו על פי המתואר בכתב האישום בו הודה והורשע, שב ונשאל הנאשם האם מודה הוא בעובדות כתב האישום כפי שהן. </w:t>
      </w:r>
    </w:p>
    <w:p w14:paraId="1510C7C3" w14:textId="77777777" w:rsidR="001F6032" w:rsidRDefault="00975154">
      <w:pPr>
        <w:pStyle w:val="P00"/>
        <w:tabs>
          <w:tab w:val="left" w:pos="8505"/>
        </w:tabs>
        <w:spacing w:before="72" w:line="360" w:lineRule="auto"/>
        <w:ind w:left="624" w:hanging="624"/>
        <w:rPr>
          <w:rStyle w:val="default"/>
          <w:rFonts w:cs="David"/>
          <w:noProof w:val="0"/>
          <w:rtl/>
        </w:rPr>
      </w:pPr>
      <w:r>
        <w:rPr>
          <w:rStyle w:val="default"/>
          <w:rFonts w:cs="David"/>
          <w:noProof w:val="0"/>
          <w:rtl/>
        </w:rPr>
        <w:tab/>
      </w:r>
      <w:r>
        <w:rPr>
          <w:rStyle w:val="default"/>
          <w:rFonts w:cs="David" w:hint="cs"/>
          <w:noProof w:val="0"/>
          <w:rtl/>
        </w:rPr>
        <w:t>לאחר שבירר עמו את הדברים, נמסר מפי ב"כ הנאשם כי לדבריו חלה אי הבנה בינו לבין קצינת המבחן והוא עדיין עומד על הודאתו כפי שניתנה בבית המשפט ועליה שב בדיון האמור. בדיון נשאל הנאשם אישית בפרוטרוט ביחס לכל פעולה שביצע והנאשם שב והודה בעובדות כתב האישום (פרוטוקול עמ' 9).</w:t>
      </w:r>
    </w:p>
    <w:p w14:paraId="3FCC36B7" w14:textId="77777777" w:rsidR="001F6032" w:rsidRDefault="001F6032">
      <w:pPr>
        <w:pStyle w:val="P00"/>
        <w:tabs>
          <w:tab w:val="left" w:pos="8505"/>
        </w:tabs>
        <w:spacing w:before="72" w:line="360" w:lineRule="auto"/>
        <w:ind w:left="624"/>
        <w:rPr>
          <w:rStyle w:val="default"/>
          <w:rFonts w:cs="David"/>
          <w:noProof w:val="0"/>
          <w:rtl/>
        </w:rPr>
      </w:pPr>
    </w:p>
    <w:p w14:paraId="185BF123" w14:textId="77777777" w:rsidR="001F6032" w:rsidRDefault="00975154">
      <w:pPr>
        <w:pStyle w:val="P00"/>
        <w:tabs>
          <w:tab w:val="left" w:pos="8505"/>
        </w:tabs>
        <w:spacing w:before="72" w:line="360" w:lineRule="auto"/>
        <w:ind w:left="624"/>
        <w:rPr>
          <w:rFonts w:cs="David"/>
          <w:sz w:val="26"/>
          <w:rtl/>
        </w:rPr>
      </w:pPr>
      <w:r>
        <w:rPr>
          <w:rStyle w:val="default"/>
          <w:rFonts w:cs="David" w:hint="cs"/>
          <w:noProof w:val="0"/>
          <w:rtl/>
        </w:rPr>
        <w:t xml:space="preserve">הנה כי כן, הנאשם שב והודה בעובדות המפורטות בכתב האישום, אולם לא הייתה נטילת אחריות על מעשיו ולא הובע כל רצון לחזור למוטב או לעשות מאמץ לעשות כן. </w:t>
      </w:r>
    </w:p>
    <w:p w14:paraId="1A3E7959" w14:textId="77777777" w:rsidR="001F6032" w:rsidRDefault="001F6032">
      <w:pPr>
        <w:spacing w:line="360" w:lineRule="auto"/>
        <w:ind w:left="720" w:hanging="720"/>
        <w:jc w:val="both"/>
        <w:rPr>
          <w:sz w:val="26"/>
          <w:szCs w:val="26"/>
          <w:rtl/>
        </w:rPr>
      </w:pPr>
    </w:p>
    <w:p w14:paraId="69C2168F" w14:textId="77777777" w:rsidR="001F6032" w:rsidRDefault="00975154">
      <w:pPr>
        <w:spacing w:line="360" w:lineRule="auto"/>
        <w:jc w:val="both"/>
        <w:rPr>
          <w:b/>
          <w:bCs/>
          <w:sz w:val="26"/>
          <w:szCs w:val="26"/>
          <w:u w:val="single"/>
          <w:rtl/>
        </w:rPr>
      </w:pPr>
      <w:r>
        <w:rPr>
          <w:rFonts w:hint="cs"/>
          <w:b/>
          <w:bCs/>
          <w:sz w:val="26"/>
          <w:szCs w:val="26"/>
          <w:u w:val="single"/>
          <w:rtl/>
        </w:rPr>
        <w:t>עיקרי טענות הצדדים</w:t>
      </w:r>
    </w:p>
    <w:p w14:paraId="55E853E0" w14:textId="77777777" w:rsidR="001F6032" w:rsidRDefault="00975154">
      <w:pPr>
        <w:spacing w:line="360" w:lineRule="auto"/>
        <w:ind w:left="720" w:hanging="720"/>
        <w:jc w:val="both"/>
        <w:rPr>
          <w:sz w:val="26"/>
          <w:szCs w:val="26"/>
          <w:rtl/>
        </w:rPr>
      </w:pPr>
      <w:r>
        <w:rPr>
          <w:rFonts w:hint="cs"/>
          <w:sz w:val="26"/>
          <w:szCs w:val="26"/>
          <w:rtl/>
        </w:rPr>
        <w:t>6.</w:t>
      </w:r>
      <w:r>
        <w:rPr>
          <w:sz w:val="26"/>
          <w:szCs w:val="26"/>
          <w:rtl/>
        </w:rPr>
        <w:tab/>
      </w:r>
      <w:r>
        <w:rPr>
          <w:rFonts w:hint="cs"/>
          <w:sz w:val="26"/>
          <w:szCs w:val="26"/>
          <w:rtl/>
        </w:rPr>
        <w:t xml:space="preserve">בגדר טיעוניה לעונשו של הנאשם טענה ב"כ המאשימה, עוה"ד יפעת פנחסי, לעניין הערכים המוגנים ביחס לעבירות שביצע הנאשם וכי בעצם החברות של הנאשם בארגון טרור, הוא מהווה חלק מהתשתית וממסד כוח האדם שארגון הטרור פועל כדי לבנותו, ובעת הצורך יוכל להשתמש בכל אחד מאנשי הארגון למימוש פעולה טרוריסטית, כפי שאכן עשה הנאשם. עוד הוסיפה וטענה, כי בקשר לאלמנטים המחמירים של ביצוע העבירות על ידי הנאשם, המדובר במספר הזדמנויות שונות בהן יידה אבנים לעבר כוחות הביטחון, כאשר בידוע הוא כי זריקת אבן מהווה משום שימוש בנשק קר, זמין מאוד, אשר גרם לפגיעה במספר שוטרים, שאף נזקקו לטיפול רפואי. אף אם אין המדובר באבן הספציפית אותה יידה הנאשם, הרי עצם השתתפותו בקבוצת אנשים המיידים אבנים וזיקוקים, מהווה משום פוטנציאל לגרימת נזק גבוה. עוד הדגישה כי הנאשם ייצר נשק על ידי כך שייצר בקבוק תבערה שאותו יידה לעבר השוטרים. גם אם בקבוק התבערה לא פגע בפועל, פוטנציאל הנזק הוא קשה מאוד. </w:t>
      </w:r>
    </w:p>
    <w:p w14:paraId="4CE68FBE" w14:textId="77777777" w:rsidR="001F6032" w:rsidRDefault="00975154">
      <w:pPr>
        <w:spacing w:line="360" w:lineRule="auto"/>
        <w:ind w:left="720" w:hanging="720"/>
        <w:jc w:val="both"/>
        <w:rPr>
          <w:sz w:val="26"/>
          <w:szCs w:val="26"/>
          <w:rtl/>
        </w:rPr>
      </w:pPr>
      <w:r>
        <w:rPr>
          <w:sz w:val="26"/>
          <w:szCs w:val="26"/>
          <w:rtl/>
        </w:rPr>
        <w:tab/>
      </w:r>
    </w:p>
    <w:p w14:paraId="44253DEC" w14:textId="77777777" w:rsidR="001F6032" w:rsidRDefault="00975154">
      <w:pPr>
        <w:spacing w:line="360" w:lineRule="auto"/>
        <w:ind w:left="720"/>
        <w:jc w:val="both"/>
        <w:rPr>
          <w:sz w:val="26"/>
          <w:szCs w:val="26"/>
          <w:rtl/>
        </w:rPr>
      </w:pPr>
      <w:r>
        <w:rPr>
          <w:rFonts w:hint="cs"/>
          <w:sz w:val="26"/>
          <w:szCs w:val="26"/>
          <w:rtl/>
        </w:rPr>
        <w:t xml:space="preserve">אשר למתחמי הענישה בקשר לעבירות השונות, ביקשה ב"כ המאשימה לקבוע מתחם ענישה נפרד לאישום הראשון של 10 עד 24 חודשים. אשר לאישום השני, עתרה לקבוע מתחם ענישה נפרד ביחס לכל עבירה. כך, ביחס לתקיפת שוטר בנסיבות מחמירות למתחם ענישה שבין 20 ל </w:t>
      </w:r>
      <w:r>
        <w:rPr>
          <w:sz w:val="26"/>
          <w:szCs w:val="26"/>
          <w:rtl/>
        </w:rPr>
        <w:t>–</w:t>
      </w:r>
      <w:r>
        <w:rPr>
          <w:rFonts w:hint="cs"/>
          <w:sz w:val="26"/>
          <w:szCs w:val="26"/>
          <w:rtl/>
        </w:rPr>
        <w:t xml:space="preserve"> 30 חודשים, ובאשר לעבירות של ייצור נשק וחבלה בכוונה מחמירה, מתחם ענישה שינוע בין 3 ל </w:t>
      </w:r>
      <w:r>
        <w:rPr>
          <w:sz w:val="26"/>
          <w:szCs w:val="26"/>
          <w:rtl/>
        </w:rPr>
        <w:t>–</w:t>
      </w:r>
      <w:r>
        <w:rPr>
          <w:rFonts w:hint="cs"/>
          <w:sz w:val="26"/>
          <w:szCs w:val="26"/>
          <w:rtl/>
        </w:rPr>
        <w:t xml:space="preserve"> 6 שנים. </w:t>
      </w:r>
    </w:p>
    <w:p w14:paraId="63C54EAA" w14:textId="77777777" w:rsidR="001F6032" w:rsidRDefault="00975154">
      <w:pPr>
        <w:spacing w:line="360" w:lineRule="auto"/>
        <w:ind w:left="720" w:hanging="720"/>
        <w:jc w:val="both"/>
        <w:rPr>
          <w:sz w:val="26"/>
          <w:szCs w:val="26"/>
          <w:rtl/>
        </w:rPr>
      </w:pPr>
      <w:r>
        <w:rPr>
          <w:sz w:val="26"/>
          <w:szCs w:val="26"/>
          <w:rtl/>
        </w:rPr>
        <w:tab/>
      </w:r>
      <w:r>
        <w:rPr>
          <w:rFonts w:hint="cs"/>
          <w:sz w:val="26"/>
          <w:szCs w:val="26"/>
          <w:rtl/>
        </w:rPr>
        <w:t xml:space="preserve">ב"כ המאשימה ציינה כאלמנט מחמיר נוסף את העובדה שטרור עממי נעשה כמו במקרה זה יחד עם אנשים נוספים, כאשר הם רעולי פנים וקיים קושי לכוחות הביטחון לתפוס את העבריינים הללו. העובדה שמדובר בהתפרעויות גדולות מדגישה את הצורך להרתיע יותר ולקבוע עונשים הולמים על מנת שכוחות הביטחון שמתמודדים עם אותם מתפרעים יידעו שבתי המשפט עומדים מאחוריהם ומעבירים מסר למתפרעים כי ייענשו בחומרה. </w:t>
      </w:r>
    </w:p>
    <w:p w14:paraId="2367B7FC" w14:textId="77777777" w:rsidR="001F6032" w:rsidRDefault="00975154">
      <w:pPr>
        <w:spacing w:line="360" w:lineRule="auto"/>
        <w:ind w:left="720" w:hanging="720"/>
        <w:jc w:val="both"/>
        <w:rPr>
          <w:sz w:val="26"/>
          <w:szCs w:val="26"/>
          <w:rtl/>
        </w:rPr>
      </w:pPr>
      <w:r>
        <w:rPr>
          <w:sz w:val="26"/>
          <w:szCs w:val="26"/>
          <w:rtl/>
        </w:rPr>
        <w:tab/>
      </w:r>
      <w:r>
        <w:rPr>
          <w:rFonts w:hint="cs"/>
          <w:sz w:val="26"/>
          <w:szCs w:val="26"/>
          <w:rtl/>
        </w:rPr>
        <w:t xml:space="preserve">אשר לגילו הצעיר של הנאשם נטען, כי אין לתת לכך משקל גבוה, מאחר שמדובר בעבירות השכיחות בקרב קטינים וצעירים. מבחינת ארגוני הטרור נהוג לגייס קטינים לשירותיהם ולהשתמש בהם ליידוי אבנים וזיקוקים לעבר כוחות הביטחון. </w:t>
      </w:r>
    </w:p>
    <w:p w14:paraId="5D0A0B6C" w14:textId="77777777" w:rsidR="001F6032" w:rsidRDefault="00975154">
      <w:pPr>
        <w:spacing w:line="360" w:lineRule="auto"/>
        <w:ind w:left="720" w:hanging="720"/>
        <w:jc w:val="both"/>
        <w:rPr>
          <w:sz w:val="26"/>
          <w:szCs w:val="26"/>
          <w:rtl/>
        </w:rPr>
      </w:pPr>
      <w:r>
        <w:rPr>
          <w:sz w:val="26"/>
          <w:szCs w:val="26"/>
          <w:rtl/>
        </w:rPr>
        <w:tab/>
      </w:r>
      <w:r>
        <w:rPr>
          <w:rFonts w:hint="cs"/>
          <w:sz w:val="26"/>
          <w:szCs w:val="26"/>
          <w:rtl/>
        </w:rPr>
        <w:t xml:space="preserve">ב"כ המאשימה הוסיפה לזכותו של הנאשם, כי הנאשם הודה בעבירות שיוחסו לו כבר במהלך חקירתו במשטרה וחלק מהמעשים יוחסו לו על בסיס הבאת הדברים על ידו לידיעת המשטרה. עם זאת הדגישה, כי הנאשם לא הביע צער או חרטה על המעשים, ולפיכך על העונש להרתיע אותו מלבצע עבירות כאלו ולהרחיקו מהחברה למספר שנים. </w:t>
      </w:r>
    </w:p>
    <w:p w14:paraId="65651602" w14:textId="77777777" w:rsidR="001F6032" w:rsidRDefault="00975154">
      <w:pPr>
        <w:spacing w:line="360" w:lineRule="auto"/>
        <w:ind w:left="720"/>
        <w:jc w:val="both"/>
        <w:rPr>
          <w:sz w:val="26"/>
          <w:szCs w:val="26"/>
          <w:rtl/>
        </w:rPr>
      </w:pPr>
      <w:r>
        <w:rPr>
          <w:rFonts w:hint="cs"/>
          <w:sz w:val="26"/>
          <w:szCs w:val="26"/>
          <w:rtl/>
        </w:rPr>
        <w:t xml:space="preserve">ב"כ המאשימה ביקשה לגזור על הנאשם עונש בשליש התחתון של המתחמים העונשיים שהציעה, וכי העונשים יצטברו. בסופו של יום עתרה לעונש שינוע בין 5 ל </w:t>
      </w:r>
      <w:r>
        <w:rPr>
          <w:sz w:val="26"/>
          <w:szCs w:val="26"/>
          <w:rtl/>
        </w:rPr>
        <w:t>–</w:t>
      </w:r>
      <w:r>
        <w:rPr>
          <w:rFonts w:hint="cs"/>
          <w:sz w:val="26"/>
          <w:szCs w:val="26"/>
          <w:rtl/>
        </w:rPr>
        <w:t xml:space="preserve"> 6 שנות מאסר. </w:t>
      </w:r>
    </w:p>
    <w:p w14:paraId="720A3A84" w14:textId="77777777" w:rsidR="001F6032" w:rsidRDefault="00975154">
      <w:pPr>
        <w:spacing w:line="360" w:lineRule="auto"/>
        <w:ind w:left="720"/>
        <w:jc w:val="both"/>
        <w:rPr>
          <w:sz w:val="26"/>
          <w:szCs w:val="26"/>
          <w:rtl/>
        </w:rPr>
      </w:pPr>
      <w:r>
        <w:rPr>
          <w:rFonts w:hint="cs"/>
          <w:sz w:val="26"/>
          <w:szCs w:val="26"/>
          <w:rtl/>
        </w:rPr>
        <w:t xml:space="preserve">ב"כ המאשימה הגישה פסיקה לתמיכה בטיעוניה. </w:t>
      </w:r>
    </w:p>
    <w:p w14:paraId="0D73DA75" w14:textId="77777777" w:rsidR="001F6032" w:rsidRDefault="001F6032">
      <w:pPr>
        <w:spacing w:line="360" w:lineRule="auto"/>
        <w:ind w:left="720"/>
        <w:jc w:val="both"/>
        <w:rPr>
          <w:sz w:val="26"/>
          <w:szCs w:val="26"/>
          <w:rtl/>
        </w:rPr>
      </w:pPr>
    </w:p>
    <w:p w14:paraId="309081C3" w14:textId="77777777" w:rsidR="001F6032" w:rsidRDefault="00975154">
      <w:pPr>
        <w:spacing w:line="360" w:lineRule="auto"/>
        <w:ind w:left="720" w:hanging="720"/>
        <w:jc w:val="both"/>
        <w:rPr>
          <w:sz w:val="26"/>
          <w:szCs w:val="26"/>
          <w:rtl/>
        </w:rPr>
      </w:pPr>
      <w:r>
        <w:rPr>
          <w:rFonts w:hint="cs"/>
          <w:sz w:val="26"/>
          <w:szCs w:val="26"/>
          <w:rtl/>
        </w:rPr>
        <w:t>7.</w:t>
      </w:r>
      <w:r>
        <w:rPr>
          <w:rFonts w:hint="cs"/>
          <w:sz w:val="26"/>
          <w:szCs w:val="26"/>
          <w:rtl/>
        </w:rPr>
        <w:tab/>
        <w:t xml:space="preserve">ב"כ הנאשם טען, כי אף במקרים חמורים יותר מאלו המפורטים בכתב האישום, לא נטען את אשר טענה ב"כ המאשימה כאן. צוין, כי חלף פרק זמן מעת הצטרפותו של הנאשם לארגון טרור בשנת 2010, ועד למועדים בהם ביצע את העבירות האחרות בשנים 2012 עד 2013. </w:t>
      </w:r>
    </w:p>
    <w:p w14:paraId="32CEE5B7" w14:textId="77777777" w:rsidR="001F6032" w:rsidRDefault="00975154">
      <w:pPr>
        <w:spacing w:line="360" w:lineRule="auto"/>
        <w:ind w:left="720"/>
        <w:jc w:val="both"/>
        <w:rPr>
          <w:sz w:val="26"/>
          <w:szCs w:val="26"/>
          <w:rtl/>
        </w:rPr>
      </w:pPr>
      <w:r>
        <w:rPr>
          <w:rFonts w:hint="cs"/>
          <w:sz w:val="26"/>
          <w:szCs w:val="26"/>
          <w:rtl/>
        </w:rPr>
        <w:t xml:space="preserve">ב"כ הנאשם הציג פסיקה שונה, אשר לשיטתו נקבעו שם מתחמי ענישה שונים מאלו שלהם עתרה ב"כ המאשימה. </w:t>
      </w:r>
    </w:p>
    <w:p w14:paraId="464F6915" w14:textId="77777777" w:rsidR="001F6032" w:rsidRDefault="00975154">
      <w:pPr>
        <w:spacing w:line="360" w:lineRule="auto"/>
        <w:ind w:left="720" w:hanging="720"/>
        <w:jc w:val="both"/>
        <w:rPr>
          <w:sz w:val="26"/>
          <w:szCs w:val="26"/>
          <w:rtl/>
        </w:rPr>
      </w:pPr>
      <w:r>
        <w:rPr>
          <w:sz w:val="26"/>
          <w:szCs w:val="26"/>
          <w:rtl/>
        </w:rPr>
        <w:tab/>
      </w:r>
      <w:r>
        <w:rPr>
          <w:rFonts w:hint="cs"/>
          <w:sz w:val="26"/>
          <w:szCs w:val="26"/>
          <w:rtl/>
        </w:rPr>
        <w:t xml:space="preserve">עוד צוין, כי אומנם אין להקל ראש במיוחס לנאשם, אולם המדובר במי שגדל בנסיבות לא פשוטות כעולה מהתסקיר. </w:t>
      </w:r>
    </w:p>
    <w:p w14:paraId="6F7F2F08" w14:textId="77777777" w:rsidR="001F6032" w:rsidRDefault="00975154">
      <w:pPr>
        <w:spacing w:line="360" w:lineRule="auto"/>
        <w:ind w:left="720"/>
        <w:jc w:val="both"/>
        <w:rPr>
          <w:sz w:val="26"/>
          <w:szCs w:val="26"/>
          <w:rtl/>
        </w:rPr>
      </w:pPr>
      <w:r>
        <w:rPr>
          <w:rFonts w:hint="cs"/>
          <w:sz w:val="26"/>
          <w:szCs w:val="26"/>
          <w:rtl/>
        </w:rPr>
        <w:t xml:space="preserve">אשר למתחם הענישה באישום הראשון טען ב"כ הנאשם, כי הראוי הוא לקבוע מתחם שינוע בין 6 ל </w:t>
      </w:r>
      <w:r>
        <w:rPr>
          <w:sz w:val="26"/>
          <w:szCs w:val="26"/>
          <w:rtl/>
        </w:rPr>
        <w:t>–</w:t>
      </w:r>
      <w:r>
        <w:rPr>
          <w:rFonts w:hint="cs"/>
          <w:sz w:val="26"/>
          <w:szCs w:val="26"/>
          <w:rtl/>
        </w:rPr>
        <w:t xml:space="preserve"> 12 חודשים, שכן המדובר ברף הנמוך של חברות בארגון הטרור. </w:t>
      </w:r>
    </w:p>
    <w:p w14:paraId="7D3C2F07" w14:textId="77777777" w:rsidR="001F6032" w:rsidRDefault="00975154">
      <w:pPr>
        <w:spacing w:line="360" w:lineRule="auto"/>
        <w:ind w:left="720" w:hanging="720"/>
        <w:jc w:val="both"/>
        <w:rPr>
          <w:sz w:val="26"/>
          <w:szCs w:val="26"/>
          <w:rtl/>
        </w:rPr>
      </w:pPr>
      <w:r>
        <w:rPr>
          <w:sz w:val="26"/>
          <w:szCs w:val="26"/>
          <w:rtl/>
        </w:rPr>
        <w:tab/>
      </w:r>
      <w:r>
        <w:rPr>
          <w:rFonts w:hint="cs"/>
          <w:sz w:val="26"/>
          <w:szCs w:val="26"/>
          <w:rtl/>
        </w:rPr>
        <w:t xml:space="preserve">אשר לאישום השני סבר, כי יש לקבוע  מתחם אחד ועל פי הצעתו </w:t>
      </w:r>
      <w:r>
        <w:rPr>
          <w:sz w:val="26"/>
          <w:szCs w:val="26"/>
          <w:rtl/>
        </w:rPr>
        <w:t>–</w:t>
      </w:r>
      <w:r>
        <w:rPr>
          <w:rFonts w:hint="cs"/>
          <w:sz w:val="26"/>
          <w:szCs w:val="26"/>
          <w:rtl/>
        </w:rPr>
        <w:t xml:space="preserve"> בין 12 ל </w:t>
      </w:r>
      <w:r>
        <w:rPr>
          <w:sz w:val="26"/>
          <w:szCs w:val="26"/>
          <w:rtl/>
        </w:rPr>
        <w:t>–</w:t>
      </w:r>
      <w:r>
        <w:rPr>
          <w:rFonts w:hint="cs"/>
          <w:sz w:val="26"/>
          <w:szCs w:val="26"/>
          <w:rtl/>
        </w:rPr>
        <w:t xml:space="preserve"> 40 חודשים של מאסר. </w:t>
      </w:r>
    </w:p>
    <w:p w14:paraId="08E519C1" w14:textId="77777777" w:rsidR="001F6032" w:rsidRDefault="00975154">
      <w:pPr>
        <w:spacing w:line="360" w:lineRule="auto"/>
        <w:ind w:left="720" w:hanging="720"/>
        <w:jc w:val="both"/>
        <w:rPr>
          <w:sz w:val="26"/>
          <w:szCs w:val="26"/>
          <w:rtl/>
        </w:rPr>
      </w:pPr>
      <w:r>
        <w:rPr>
          <w:sz w:val="26"/>
          <w:szCs w:val="26"/>
          <w:rtl/>
        </w:rPr>
        <w:tab/>
      </w:r>
    </w:p>
    <w:p w14:paraId="5819BE7A" w14:textId="77777777" w:rsidR="001F6032" w:rsidRDefault="00975154">
      <w:pPr>
        <w:spacing w:line="360" w:lineRule="auto"/>
        <w:ind w:left="720" w:hanging="720"/>
        <w:jc w:val="both"/>
        <w:rPr>
          <w:sz w:val="26"/>
          <w:szCs w:val="26"/>
          <w:rtl/>
        </w:rPr>
      </w:pPr>
      <w:r>
        <w:rPr>
          <w:sz w:val="26"/>
          <w:szCs w:val="26"/>
          <w:rtl/>
        </w:rPr>
        <w:tab/>
      </w:r>
      <w:r>
        <w:rPr>
          <w:rFonts w:hint="cs"/>
          <w:sz w:val="26"/>
          <w:szCs w:val="26"/>
          <w:rtl/>
        </w:rPr>
        <w:t>בדבריו האחרונים אמר הנאשם כי כולנו טועים, ומבקש לסיים עם זה ולהתחיל בחיים חדשים.</w:t>
      </w:r>
    </w:p>
    <w:p w14:paraId="6EAD4574" w14:textId="77777777" w:rsidR="001F6032" w:rsidRDefault="001F6032">
      <w:pPr>
        <w:spacing w:line="360" w:lineRule="auto"/>
        <w:jc w:val="both"/>
        <w:rPr>
          <w:sz w:val="26"/>
          <w:szCs w:val="26"/>
          <w:rtl/>
        </w:rPr>
      </w:pPr>
    </w:p>
    <w:p w14:paraId="084E6C01" w14:textId="77777777" w:rsidR="001F6032" w:rsidRDefault="00975154">
      <w:pPr>
        <w:spacing w:line="360" w:lineRule="auto"/>
        <w:jc w:val="both"/>
        <w:rPr>
          <w:sz w:val="26"/>
          <w:szCs w:val="26"/>
          <w:rtl/>
        </w:rPr>
      </w:pPr>
      <w:r>
        <w:rPr>
          <w:rFonts w:hint="cs"/>
          <w:b/>
          <w:bCs/>
          <w:sz w:val="26"/>
          <w:szCs w:val="26"/>
          <w:u w:val="single"/>
          <w:rtl/>
        </w:rPr>
        <w:t>דיון</w:t>
      </w:r>
      <w:r>
        <w:rPr>
          <w:rFonts w:hint="cs"/>
          <w:sz w:val="26"/>
          <w:szCs w:val="26"/>
          <w:rtl/>
        </w:rPr>
        <w:t>:</w:t>
      </w:r>
    </w:p>
    <w:p w14:paraId="43921564" w14:textId="77777777" w:rsidR="001F6032" w:rsidRDefault="00975154">
      <w:pPr>
        <w:spacing w:line="360" w:lineRule="auto"/>
        <w:ind w:left="720" w:hanging="720"/>
        <w:jc w:val="both"/>
        <w:rPr>
          <w:sz w:val="26"/>
          <w:szCs w:val="26"/>
          <w:rtl/>
        </w:rPr>
      </w:pPr>
      <w:r>
        <w:rPr>
          <w:rFonts w:hint="cs"/>
          <w:sz w:val="26"/>
          <w:szCs w:val="26"/>
          <w:rtl/>
        </w:rPr>
        <w:t>8.</w:t>
      </w:r>
      <w:r>
        <w:rPr>
          <w:rFonts w:hint="cs"/>
          <w:sz w:val="26"/>
          <w:szCs w:val="26"/>
          <w:rtl/>
        </w:rPr>
        <w:tab/>
        <w:t xml:space="preserve">המעשים בהם הורשע הנאשם הינם חמורים. כבר בהיותו בגיל צעיר, כבן 16, הצטרף לפעילות בארגון, שהוגדר כארגון טרור. מני אז ועד היום הוא חבר בארגון זה ממניעים אידיאולוגיים. גם את העבירות שבהן הודה במסגרת האישום השני, ביצע כאשר הוא חבר בארגון הטרור, וכחלק מפעילותו בארגון. נפסק כבר לא אחת, כי כאשר מדובר בעבריינות על רקע אידיאולוגי </w:t>
      </w:r>
      <w:r>
        <w:rPr>
          <w:sz w:val="26"/>
          <w:szCs w:val="26"/>
          <w:rtl/>
        </w:rPr>
        <w:t>–</w:t>
      </w:r>
      <w:r>
        <w:rPr>
          <w:rFonts w:hint="cs"/>
          <w:sz w:val="26"/>
          <w:szCs w:val="26"/>
          <w:rtl/>
        </w:rPr>
        <w:t xml:space="preserve"> לאומני "</w:t>
      </w:r>
      <w:r>
        <w:rPr>
          <w:rFonts w:hint="cs"/>
          <w:b/>
          <w:bCs/>
          <w:sz w:val="26"/>
          <w:szCs w:val="26"/>
          <w:rtl/>
        </w:rPr>
        <w:t xml:space="preserve">נדחים שיקולי ענישה אחרים מפני שיקול ההרתעה" </w:t>
      </w:r>
      <w:r>
        <w:rPr>
          <w:rFonts w:hint="cs"/>
          <w:sz w:val="26"/>
          <w:szCs w:val="26"/>
          <w:rtl/>
        </w:rPr>
        <w:t>(</w:t>
      </w:r>
      <w:hyperlink r:id="rId36" w:history="1">
        <w:r w:rsidRPr="00975154">
          <w:rPr>
            <w:color w:val="0000FF"/>
            <w:sz w:val="26"/>
            <w:szCs w:val="26"/>
            <w:u w:val="single"/>
            <w:rtl/>
          </w:rPr>
          <w:t>ע"פ 1163/07</w:t>
        </w:r>
      </w:hyperlink>
      <w:r>
        <w:rPr>
          <w:rFonts w:hint="cs"/>
          <w:b/>
          <w:bCs/>
          <w:sz w:val="26"/>
          <w:szCs w:val="26"/>
          <w:rtl/>
        </w:rPr>
        <w:t xml:space="preserve"> אבו ח'דיר נ' מדינת ישראל</w:t>
      </w:r>
      <w:r>
        <w:rPr>
          <w:rFonts w:hint="cs"/>
          <w:sz w:val="26"/>
          <w:szCs w:val="26"/>
          <w:rtl/>
        </w:rPr>
        <w:t xml:space="preserve"> (29.3.2007) והפסיקה המאוזכרת שם; </w:t>
      </w:r>
      <w:hyperlink r:id="rId37" w:history="1">
        <w:r w:rsidRPr="00975154">
          <w:rPr>
            <w:color w:val="0000FF"/>
            <w:sz w:val="26"/>
            <w:szCs w:val="26"/>
            <w:u w:val="single"/>
            <w:rtl/>
          </w:rPr>
          <w:t>ע"פ 3057/13</w:t>
        </w:r>
      </w:hyperlink>
      <w:r>
        <w:rPr>
          <w:rFonts w:hint="cs"/>
          <w:sz w:val="26"/>
          <w:szCs w:val="26"/>
          <w:rtl/>
        </w:rPr>
        <w:t xml:space="preserve"> </w:t>
      </w:r>
      <w:r>
        <w:rPr>
          <w:rFonts w:hint="cs"/>
          <w:b/>
          <w:bCs/>
          <w:sz w:val="26"/>
          <w:szCs w:val="26"/>
          <w:rtl/>
        </w:rPr>
        <w:t>מדינת ישראל נ' עבאסי</w:t>
      </w:r>
      <w:r>
        <w:rPr>
          <w:rFonts w:hint="cs"/>
          <w:sz w:val="26"/>
          <w:szCs w:val="26"/>
          <w:rtl/>
        </w:rPr>
        <w:t xml:space="preserve"> (2.7.2013)). בעבירות כגון אלו שבהן הורשע הנאשם גם "</w:t>
      </w:r>
      <w:r>
        <w:rPr>
          <w:rFonts w:hint="cs"/>
          <w:b/>
          <w:bCs/>
          <w:sz w:val="26"/>
          <w:szCs w:val="26"/>
          <w:rtl/>
        </w:rPr>
        <w:t>אין מקום לתת משקל מיוחד לטענה לפיה היה קטין בעת ביצוע העבירה</w:t>
      </w:r>
      <w:r>
        <w:rPr>
          <w:rFonts w:hint="cs"/>
          <w:sz w:val="26"/>
          <w:szCs w:val="26"/>
          <w:rtl/>
        </w:rPr>
        <w:t>" (</w:t>
      </w:r>
      <w:hyperlink r:id="rId38" w:history="1">
        <w:r w:rsidRPr="00975154">
          <w:rPr>
            <w:color w:val="0000FF"/>
            <w:sz w:val="26"/>
            <w:szCs w:val="26"/>
            <w:u w:val="single"/>
            <w:rtl/>
          </w:rPr>
          <w:t>ע"פ 1776/10</w:t>
        </w:r>
      </w:hyperlink>
      <w:r>
        <w:rPr>
          <w:rFonts w:hint="cs"/>
          <w:sz w:val="26"/>
          <w:szCs w:val="26"/>
          <w:rtl/>
        </w:rPr>
        <w:t xml:space="preserve"> </w:t>
      </w:r>
      <w:r>
        <w:rPr>
          <w:rFonts w:hint="cs"/>
          <w:b/>
          <w:bCs/>
          <w:sz w:val="26"/>
          <w:szCs w:val="26"/>
          <w:rtl/>
        </w:rPr>
        <w:t>פלוני נ' מדינת ישראל</w:t>
      </w:r>
      <w:r>
        <w:rPr>
          <w:rFonts w:hint="cs"/>
          <w:sz w:val="26"/>
          <w:szCs w:val="26"/>
          <w:rtl/>
        </w:rPr>
        <w:t xml:space="preserve"> (5.5.2010); </w:t>
      </w:r>
      <w:hyperlink r:id="rId39" w:history="1">
        <w:r w:rsidRPr="00975154">
          <w:rPr>
            <w:color w:val="0000FF"/>
            <w:sz w:val="26"/>
            <w:szCs w:val="26"/>
            <w:u w:val="single"/>
            <w:rtl/>
          </w:rPr>
          <w:t>ע"פ 556/12</w:t>
        </w:r>
      </w:hyperlink>
      <w:r>
        <w:rPr>
          <w:rFonts w:hint="cs"/>
          <w:sz w:val="26"/>
          <w:szCs w:val="26"/>
          <w:rtl/>
        </w:rPr>
        <w:t xml:space="preserve"> </w:t>
      </w:r>
      <w:r>
        <w:rPr>
          <w:rFonts w:hint="cs"/>
          <w:b/>
          <w:bCs/>
          <w:sz w:val="26"/>
          <w:szCs w:val="26"/>
          <w:rtl/>
        </w:rPr>
        <w:t>מדינת ישראל נ' אבו סמינה</w:t>
      </w:r>
      <w:r>
        <w:rPr>
          <w:rFonts w:hint="cs"/>
          <w:sz w:val="26"/>
          <w:szCs w:val="26"/>
          <w:rtl/>
        </w:rPr>
        <w:t xml:space="preserve"> (11.3.2012); </w:t>
      </w:r>
      <w:hyperlink r:id="rId40" w:history="1">
        <w:r w:rsidRPr="00975154">
          <w:rPr>
            <w:color w:val="0000FF"/>
            <w:sz w:val="26"/>
            <w:szCs w:val="26"/>
            <w:u w:val="single"/>
            <w:rtl/>
          </w:rPr>
          <w:t>ע"פ 3057/13</w:t>
        </w:r>
      </w:hyperlink>
      <w:r>
        <w:rPr>
          <w:rFonts w:hint="cs"/>
          <w:sz w:val="26"/>
          <w:szCs w:val="26"/>
          <w:rtl/>
        </w:rPr>
        <w:t xml:space="preserve"> הנ"ל).</w:t>
      </w:r>
    </w:p>
    <w:p w14:paraId="564B6B8D" w14:textId="77777777" w:rsidR="001F6032" w:rsidRDefault="001F6032">
      <w:pPr>
        <w:spacing w:line="360" w:lineRule="auto"/>
        <w:ind w:left="720" w:hanging="720"/>
        <w:jc w:val="both"/>
        <w:rPr>
          <w:sz w:val="26"/>
          <w:szCs w:val="26"/>
          <w:rtl/>
        </w:rPr>
      </w:pPr>
    </w:p>
    <w:p w14:paraId="2669F257" w14:textId="77777777" w:rsidR="001F6032" w:rsidRDefault="00975154">
      <w:pPr>
        <w:spacing w:line="360" w:lineRule="auto"/>
        <w:ind w:left="720" w:hanging="720"/>
        <w:jc w:val="both"/>
        <w:rPr>
          <w:sz w:val="26"/>
          <w:szCs w:val="26"/>
          <w:rtl/>
        </w:rPr>
      </w:pPr>
      <w:r>
        <w:rPr>
          <w:rFonts w:hint="cs"/>
          <w:sz w:val="26"/>
          <w:szCs w:val="26"/>
          <w:rtl/>
        </w:rPr>
        <w:t>9.</w:t>
      </w:r>
      <w:r>
        <w:rPr>
          <w:rFonts w:hint="cs"/>
          <w:sz w:val="26"/>
          <w:szCs w:val="26"/>
          <w:rtl/>
        </w:rPr>
        <w:tab/>
        <w:t xml:space="preserve">המעשים שבוצעו על ידי הנאשם מצדיקים ענישה מחמירה. יידוי אבנים, זיקוקים ובקבוק תבערה לעבר כוחות הביטחון, ולעבר אזרחים, הפך לצער הכול לתופעה נפוצה. כאשר מדובר ביידוי בקבוק תבערה מהווה הדבר משום שימוש בנשק חם העלול לגרום לפגיעות חמורות בגוף וברכוש. </w:t>
      </w:r>
    </w:p>
    <w:p w14:paraId="4982BF95" w14:textId="77777777" w:rsidR="001F6032" w:rsidRDefault="00975154">
      <w:pPr>
        <w:spacing w:line="360" w:lineRule="auto"/>
        <w:ind w:left="720"/>
        <w:jc w:val="both"/>
        <w:rPr>
          <w:sz w:val="26"/>
          <w:szCs w:val="26"/>
          <w:rtl/>
        </w:rPr>
      </w:pPr>
      <w:r>
        <w:rPr>
          <w:rFonts w:hint="cs"/>
          <w:sz w:val="26"/>
          <w:szCs w:val="26"/>
          <w:rtl/>
        </w:rPr>
        <w:t>ב</w:t>
      </w:r>
      <w:hyperlink r:id="rId41" w:history="1">
        <w:r w:rsidRPr="00975154">
          <w:rPr>
            <w:color w:val="0000FF"/>
            <w:sz w:val="26"/>
            <w:szCs w:val="26"/>
            <w:u w:val="single"/>
            <w:rtl/>
          </w:rPr>
          <w:t>ע"פ 262/06</w:t>
        </w:r>
      </w:hyperlink>
      <w:r>
        <w:rPr>
          <w:rFonts w:hint="cs"/>
          <w:sz w:val="26"/>
          <w:szCs w:val="26"/>
          <w:rtl/>
        </w:rPr>
        <w:t xml:space="preserve"> </w:t>
      </w:r>
      <w:r>
        <w:rPr>
          <w:rFonts w:hint="cs"/>
          <w:b/>
          <w:bCs/>
          <w:sz w:val="26"/>
          <w:szCs w:val="26"/>
          <w:rtl/>
        </w:rPr>
        <w:t>פלוני נ' מדינת ישראל</w:t>
      </w:r>
      <w:r>
        <w:rPr>
          <w:rFonts w:hint="cs"/>
          <w:sz w:val="26"/>
          <w:szCs w:val="26"/>
          <w:rtl/>
        </w:rPr>
        <w:t xml:space="preserve"> (6.7.2006) נאמר, כי </w:t>
      </w:r>
      <w:r>
        <w:rPr>
          <w:sz w:val="26"/>
          <w:szCs w:val="26"/>
          <w:rtl/>
        </w:rPr>
        <w:t>–</w:t>
      </w:r>
      <w:r>
        <w:rPr>
          <w:rFonts w:hint="cs"/>
          <w:sz w:val="26"/>
          <w:szCs w:val="26"/>
          <w:rtl/>
        </w:rPr>
        <w:t xml:space="preserve"> "</w:t>
      </w:r>
      <w:r>
        <w:rPr>
          <w:rFonts w:hint="cs"/>
          <w:b/>
          <w:bCs/>
          <w:sz w:val="26"/>
          <w:szCs w:val="26"/>
          <w:rtl/>
        </w:rPr>
        <w:t>סוג עבירות זה, שעניינן בקבוקי תבערה, מחייב ענישה מחמירה. תוצאותיו של בקבוק תבערה, וכבר היו דברים מעולם, עלולות להיות קשות ביותר, וראוי איפוא, כי ייצא הקול שהענישה בכגון דא לא תהיה קלה...".</w:t>
      </w:r>
      <w:r>
        <w:rPr>
          <w:rFonts w:hint="cs"/>
          <w:sz w:val="26"/>
          <w:szCs w:val="26"/>
          <w:rtl/>
        </w:rPr>
        <w:t xml:space="preserve"> הודגש, כי אף אם "</w:t>
      </w:r>
      <w:r>
        <w:rPr>
          <w:rFonts w:hint="cs"/>
          <w:b/>
          <w:bCs/>
          <w:sz w:val="26"/>
          <w:szCs w:val="26"/>
          <w:rtl/>
        </w:rPr>
        <w:t>לא הייתה פגיעה בגוף ולא ברכוש, אין בכך להקהות את המסוכנות</w:t>
      </w:r>
      <w:r>
        <w:rPr>
          <w:rFonts w:hint="cs"/>
          <w:sz w:val="26"/>
          <w:szCs w:val="26"/>
          <w:rtl/>
        </w:rPr>
        <w:t>" (</w:t>
      </w:r>
      <w:hyperlink r:id="rId42" w:history="1">
        <w:r w:rsidRPr="00975154">
          <w:rPr>
            <w:color w:val="0000FF"/>
            <w:sz w:val="26"/>
            <w:szCs w:val="26"/>
            <w:u w:val="single"/>
            <w:rtl/>
          </w:rPr>
          <w:t>ע"פ 3063/12</w:t>
        </w:r>
      </w:hyperlink>
      <w:r>
        <w:rPr>
          <w:rFonts w:hint="cs"/>
          <w:sz w:val="26"/>
          <w:szCs w:val="26"/>
          <w:rtl/>
        </w:rPr>
        <w:t xml:space="preserve"> </w:t>
      </w:r>
      <w:r>
        <w:rPr>
          <w:rFonts w:hint="cs"/>
          <w:b/>
          <w:bCs/>
          <w:sz w:val="26"/>
          <w:szCs w:val="26"/>
          <w:rtl/>
        </w:rPr>
        <w:t>מדינת ישראל נ' אסלאם עודה</w:t>
      </w:r>
      <w:r>
        <w:rPr>
          <w:rFonts w:hint="cs"/>
          <w:sz w:val="26"/>
          <w:szCs w:val="26"/>
          <w:rtl/>
        </w:rPr>
        <w:t xml:space="preserve"> (8.5.2012). </w:t>
      </w:r>
    </w:p>
    <w:p w14:paraId="37FC9803" w14:textId="77777777" w:rsidR="001F6032" w:rsidRDefault="00975154">
      <w:pPr>
        <w:spacing w:line="360" w:lineRule="auto"/>
        <w:ind w:left="720"/>
        <w:jc w:val="both"/>
        <w:rPr>
          <w:sz w:val="26"/>
          <w:szCs w:val="26"/>
          <w:rtl/>
        </w:rPr>
      </w:pPr>
      <w:r>
        <w:rPr>
          <w:rFonts w:hint="cs"/>
          <w:sz w:val="26"/>
          <w:szCs w:val="26"/>
          <w:rtl/>
        </w:rPr>
        <w:t xml:space="preserve">ענישה מחמירה מתחייבת גם כלפי מיידי אבנים, המהווה נשק קר, שאף פגיעתן עלולה להיות קשה. </w:t>
      </w:r>
    </w:p>
    <w:p w14:paraId="70607F9B" w14:textId="77777777" w:rsidR="001F6032" w:rsidRDefault="00975154">
      <w:pPr>
        <w:spacing w:line="360" w:lineRule="auto"/>
        <w:ind w:left="720"/>
        <w:jc w:val="both"/>
        <w:rPr>
          <w:sz w:val="26"/>
          <w:szCs w:val="26"/>
          <w:rtl/>
        </w:rPr>
      </w:pPr>
      <w:r>
        <w:rPr>
          <w:rFonts w:hint="cs"/>
          <w:sz w:val="26"/>
          <w:szCs w:val="26"/>
          <w:rtl/>
        </w:rPr>
        <w:t xml:space="preserve">חומרה יתירה יש לראות בביצוען של עבירות מסוג זה כלפי כוחות הביטחון במהלך התפרעויות של משתתפים רבים, שרובם קטינים. על בית המשפט לומר דברו בקול ברור וצלול, כי העושים זאת ייענשו בחומרה. תפקידם של כוחות הביטחון לשמור על חיי האזרחים ועל הסדר הציבורי, וכל המנסים לפגוע בהם ייענשו בחומרה. </w:t>
      </w:r>
    </w:p>
    <w:p w14:paraId="410C5951" w14:textId="77777777" w:rsidR="001F6032" w:rsidRDefault="001F6032">
      <w:pPr>
        <w:spacing w:line="360" w:lineRule="auto"/>
        <w:ind w:left="720"/>
        <w:jc w:val="both"/>
        <w:rPr>
          <w:sz w:val="26"/>
          <w:szCs w:val="26"/>
          <w:rtl/>
        </w:rPr>
      </w:pPr>
    </w:p>
    <w:p w14:paraId="11CB4395" w14:textId="77777777" w:rsidR="001F6032" w:rsidRDefault="00975154">
      <w:pPr>
        <w:spacing w:line="360" w:lineRule="auto"/>
        <w:ind w:left="720"/>
        <w:jc w:val="both"/>
        <w:rPr>
          <w:b/>
          <w:bCs/>
          <w:sz w:val="26"/>
          <w:szCs w:val="26"/>
          <w:u w:val="single"/>
          <w:rtl/>
        </w:rPr>
      </w:pPr>
      <w:r>
        <w:rPr>
          <w:rFonts w:hint="cs"/>
          <w:sz w:val="26"/>
          <w:szCs w:val="26"/>
          <w:rtl/>
        </w:rPr>
        <w:t>העונש שייגזר על הנאשם יהא במתווה שנקבע בתיקון 113 לחוק.</w:t>
      </w:r>
    </w:p>
    <w:p w14:paraId="3DEC65B9" w14:textId="77777777" w:rsidR="001F6032" w:rsidRDefault="001F6032">
      <w:pPr>
        <w:spacing w:line="360" w:lineRule="auto"/>
        <w:ind w:left="720"/>
        <w:jc w:val="both"/>
        <w:rPr>
          <w:b/>
          <w:bCs/>
          <w:sz w:val="26"/>
          <w:szCs w:val="26"/>
          <w:u w:val="single"/>
          <w:rtl/>
        </w:rPr>
      </w:pPr>
    </w:p>
    <w:p w14:paraId="310745B2" w14:textId="77777777" w:rsidR="001F6032" w:rsidRDefault="00975154">
      <w:pPr>
        <w:spacing w:line="360" w:lineRule="auto"/>
        <w:ind w:right="567"/>
        <w:jc w:val="both"/>
        <w:rPr>
          <w:sz w:val="26"/>
          <w:szCs w:val="26"/>
          <w:rtl/>
        </w:rPr>
      </w:pPr>
      <w:r>
        <w:rPr>
          <w:rFonts w:hint="cs"/>
          <w:b/>
          <w:bCs/>
          <w:sz w:val="26"/>
          <w:szCs w:val="26"/>
          <w:u w:val="single"/>
          <w:rtl/>
        </w:rPr>
        <w:t>מתחם הענישה</w:t>
      </w:r>
    </w:p>
    <w:p w14:paraId="7F098F2F" w14:textId="77777777" w:rsidR="001F6032" w:rsidRDefault="00975154">
      <w:pPr>
        <w:spacing w:line="360" w:lineRule="auto"/>
        <w:ind w:left="720" w:hanging="720"/>
        <w:jc w:val="both"/>
        <w:rPr>
          <w:sz w:val="26"/>
          <w:szCs w:val="26"/>
          <w:rtl/>
        </w:rPr>
      </w:pPr>
      <w:r>
        <w:rPr>
          <w:rFonts w:hint="cs"/>
          <w:sz w:val="26"/>
          <w:szCs w:val="26"/>
          <w:rtl/>
        </w:rPr>
        <w:t>10.</w:t>
      </w:r>
      <w:r>
        <w:rPr>
          <w:rFonts w:hint="cs"/>
          <w:sz w:val="26"/>
          <w:szCs w:val="26"/>
          <w:rtl/>
        </w:rPr>
        <w:tab/>
        <w:t xml:space="preserve">בהתאם לתיקון 113 לחוק, העיקרון המנחה בענישה הוא עקרון ההלימה, כפי שנאמר </w:t>
      </w:r>
      <w:hyperlink r:id="rId43" w:history="1">
        <w:r w:rsidR="00263A71" w:rsidRPr="00263A71">
          <w:rPr>
            <w:color w:val="0000FF"/>
            <w:sz w:val="26"/>
            <w:szCs w:val="26"/>
            <w:u w:val="single"/>
            <w:rtl/>
          </w:rPr>
          <w:t>בסעיף 40ב'</w:t>
        </w:r>
      </w:hyperlink>
      <w:r>
        <w:rPr>
          <w:rFonts w:hint="cs"/>
          <w:sz w:val="26"/>
          <w:szCs w:val="26"/>
          <w:rtl/>
        </w:rPr>
        <w:t xml:space="preserve"> לחוק – </w:t>
      </w:r>
      <w:r>
        <w:rPr>
          <w:rFonts w:hint="cs"/>
          <w:b/>
          <w:bCs/>
          <w:sz w:val="26"/>
          <w:szCs w:val="26"/>
          <w:rtl/>
        </w:rPr>
        <w:t>"קיומו של יחס הולם בין חומרת מעשה העבירה, בנסיבותיו ובמידת אשמו של הנאשם, ובין סוג ומידת העונש המוטל עליו"</w:t>
      </w:r>
      <w:r>
        <w:rPr>
          <w:rFonts w:hint="cs"/>
          <w:sz w:val="26"/>
          <w:szCs w:val="26"/>
          <w:rtl/>
        </w:rPr>
        <w:t xml:space="preserve">. עיקרון זה שם דגש על עיקרון הגמול על מעשה העבירה, כאשר הנסיבות האישיות של הנאשם מהוות שיקול בשלב מאוחר יותר, בעת קביעת העונש בתוך מתחם הענישה. </w:t>
      </w:r>
    </w:p>
    <w:p w14:paraId="2CC6EFE4" w14:textId="77777777" w:rsidR="001F6032" w:rsidRDefault="00975154">
      <w:pPr>
        <w:spacing w:line="360" w:lineRule="auto"/>
        <w:ind w:left="720" w:hanging="720"/>
        <w:jc w:val="both"/>
        <w:rPr>
          <w:sz w:val="26"/>
          <w:szCs w:val="26"/>
          <w:rtl/>
        </w:rPr>
      </w:pPr>
      <w:r>
        <w:rPr>
          <w:sz w:val="26"/>
          <w:szCs w:val="26"/>
          <w:rtl/>
        </w:rPr>
        <w:tab/>
      </w:r>
      <w:r>
        <w:rPr>
          <w:rFonts w:hint="cs"/>
          <w:sz w:val="26"/>
          <w:szCs w:val="26"/>
          <w:rtl/>
        </w:rPr>
        <w:t xml:space="preserve">אשר לחומרת מעשה העבירה יש מקום לפנות ולבחון את עונש המקסימום שקצב המחוקק בצידה של כל עבירה בה הורשע הנאשם. כך, לעבירה של חברות בארגון טרוריסטי קבעה הפקודה עונש של עד 5 שנות מאסר; לעבירה של ייצור נשק, קבע המחוקק </w:t>
      </w:r>
      <w:hyperlink r:id="rId44" w:history="1">
        <w:r w:rsidR="00263A71" w:rsidRPr="00263A71">
          <w:rPr>
            <w:color w:val="0000FF"/>
            <w:sz w:val="26"/>
            <w:szCs w:val="26"/>
            <w:u w:val="single"/>
            <w:rtl/>
          </w:rPr>
          <w:t>בסעיף 144(ב2)</w:t>
        </w:r>
      </w:hyperlink>
      <w:r>
        <w:rPr>
          <w:rFonts w:hint="cs"/>
          <w:sz w:val="26"/>
          <w:szCs w:val="26"/>
          <w:rtl/>
        </w:rPr>
        <w:t xml:space="preserve"> לחוק, מאסר של עד 15 שנים; לעבירה של חבלה בכוונה מחמירה בענייננו, מאסר של עד 20 שנים; ולעבירה של תקיפת שוטר בנסיבות מחמירות, מאסר של עד 5 שנים ולא פחות מ - 3 חודשים. </w:t>
      </w:r>
    </w:p>
    <w:p w14:paraId="66EDD45E" w14:textId="77777777" w:rsidR="001F6032" w:rsidRDefault="00975154">
      <w:pPr>
        <w:spacing w:line="360" w:lineRule="auto"/>
        <w:ind w:left="720" w:hanging="720"/>
        <w:jc w:val="both"/>
        <w:rPr>
          <w:sz w:val="26"/>
          <w:szCs w:val="26"/>
          <w:rtl/>
        </w:rPr>
      </w:pPr>
      <w:r>
        <w:rPr>
          <w:sz w:val="26"/>
          <w:szCs w:val="26"/>
          <w:rtl/>
        </w:rPr>
        <w:tab/>
      </w:r>
      <w:r>
        <w:rPr>
          <w:rFonts w:hint="cs"/>
          <w:sz w:val="26"/>
          <w:szCs w:val="26"/>
          <w:rtl/>
        </w:rPr>
        <w:t>לצד הענישה שנקבעה בחוק יש להתחשב במדיניות הענישה הנוהגת. לכך הגישו ב"כ הצדדים פסיקה עניפה ובעלת מנעד עונשים רחב.</w:t>
      </w:r>
    </w:p>
    <w:p w14:paraId="4CF9127C" w14:textId="77777777" w:rsidR="001F6032" w:rsidRDefault="001F6032">
      <w:pPr>
        <w:spacing w:line="360" w:lineRule="auto"/>
        <w:ind w:left="720" w:hanging="720"/>
        <w:jc w:val="both"/>
        <w:rPr>
          <w:sz w:val="26"/>
          <w:szCs w:val="26"/>
          <w:rtl/>
        </w:rPr>
      </w:pPr>
    </w:p>
    <w:p w14:paraId="0A46EDF3" w14:textId="77777777" w:rsidR="001F6032" w:rsidRDefault="00975154">
      <w:pPr>
        <w:spacing w:line="360" w:lineRule="auto"/>
        <w:ind w:left="720" w:hanging="720"/>
        <w:jc w:val="both"/>
        <w:rPr>
          <w:sz w:val="26"/>
          <w:szCs w:val="26"/>
          <w:rtl/>
        </w:rPr>
      </w:pPr>
      <w:r>
        <w:rPr>
          <w:rFonts w:hint="cs"/>
          <w:sz w:val="26"/>
          <w:szCs w:val="26"/>
          <w:rtl/>
        </w:rPr>
        <w:t>11.</w:t>
      </w:r>
      <w:r>
        <w:rPr>
          <w:rFonts w:hint="cs"/>
          <w:sz w:val="26"/>
          <w:szCs w:val="26"/>
          <w:rtl/>
        </w:rPr>
        <w:tab/>
        <w:t xml:space="preserve">אשר לשיקולים לקביעת מתחם הענישה ההולם, קובע </w:t>
      </w:r>
      <w:hyperlink r:id="rId45" w:history="1">
        <w:r w:rsidR="00263A71" w:rsidRPr="00263A71">
          <w:rPr>
            <w:color w:val="0000FF"/>
            <w:sz w:val="26"/>
            <w:szCs w:val="26"/>
            <w:u w:val="single"/>
            <w:rtl/>
          </w:rPr>
          <w:t>סעיף 40ג(א)</w:t>
        </w:r>
      </w:hyperlink>
      <w:r>
        <w:rPr>
          <w:rFonts w:hint="cs"/>
          <w:sz w:val="26"/>
          <w:szCs w:val="26"/>
          <w:rtl/>
        </w:rPr>
        <w:t xml:space="preserve"> לחוק, כי יש להתחשב בערך החברתי שנפגע מביצוע העבירה, במידת הפגיעה בו, במדיניות הענישה הנהוגה ובנסיבות הקשורות בביצוע העבירה כאמור </w:t>
      </w:r>
      <w:hyperlink r:id="rId46" w:history="1">
        <w:r w:rsidR="00263A71" w:rsidRPr="00263A71">
          <w:rPr>
            <w:color w:val="0000FF"/>
            <w:sz w:val="26"/>
            <w:szCs w:val="26"/>
            <w:u w:val="single"/>
            <w:rtl/>
          </w:rPr>
          <w:t>בסעיף 40ט</w:t>
        </w:r>
      </w:hyperlink>
      <w:r>
        <w:rPr>
          <w:rFonts w:hint="cs"/>
          <w:sz w:val="26"/>
          <w:szCs w:val="26"/>
          <w:rtl/>
        </w:rPr>
        <w:t xml:space="preserve"> לחוק. </w:t>
      </w:r>
    </w:p>
    <w:p w14:paraId="5E234104" w14:textId="77777777" w:rsidR="001F6032" w:rsidRDefault="00975154">
      <w:pPr>
        <w:spacing w:line="360" w:lineRule="auto"/>
        <w:ind w:left="720" w:hanging="720"/>
        <w:jc w:val="both"/>
        <w:rPr>
          <w:sz w:val="26"/>
          <w:szCs w:val="26"/>
          <w:rtl/>
        </w:rPr>
      </w:pPr>
      <w:r>
        <w:rPr>
          <w:sz w:val="26"/>
          <w:szCs w:val="26"/>
          <w:rtl/>
        </w:rPr>
        <w:tab/>
      </w:r>
      <w:hyperlink r:id="rId47" w:history="1">
        <w:r w:rsidR="00263A71" w:rsidRPr="00263A71">
          <w:rPr>
            <w:color w:val="0000FF"/>
            <w:sz w:val="26"/>
            <w:szCs w:val="26"/>
            <w:u w:val="single"/>
            <w:rtl/>
          </w:rPr>
          <w:t>סעיף 40ג(ב)</w:t>
        </w:r>
      </w:hyperlink>
      <w:r>
        <w:rPr>
          <w:rFonts w:hint="cs"/>
          <w:sz w:val="26"/>
          <w:szCs w:val="26"/>
          <w:rtl/>
        </w:rPr>
        <w:t xml:space="preserve"> לחוק קובע, כי בתוך מתחם העונש ההולם יגזור בית המשפט את העונש המתאים לנאשם, בהתחשב בנסיבות שאינן קשורות לביצוע העבירה, המפורטות </w:t>
      </w:r>
      <w:hyperlink r:id="rId48" w:history="1">
        <w:r w:rsidR="00263A71" w:rsidRPr="00263A71">
          <w:rPr>
            <w:color w:val="0000FF"/>
            <w:sz w:val="26"/>
            <w:szCs w:val="26"/>
            <w:u w:val="single"/>
            <w:rtl/>
          </w:rPr>
          <w:t>בסעיף 40יא</w:t>
        </w:r>
      </w:hyperlink>
      <w:r>
        <w:rPr>
          <w:rFonts w:hint="cs"/>
          <w:sz w:val="26"/>
          <w:szCs w:val="26"/>
          <w:rtl/>
        </w:rPr>
        <w:t xml:space="preserve"> לחוק. ניתן לחרוג ממתחם הענישה משיקולי שיקום או הגנה על שלום הציבור לפי הוראות </w:t>
      </w:r>
      <w:hyperlink r:id="rId49" w:history="1">
        <w:r w:rsidR="00263A71" w:rsidRPr="00263A71">
          <w:rPr>
            <w:color w:val="0000FF"/>
            <w:sz w:val="26"/>
            <w:szCs w:val="26"/>
            <w:u w:val="single"/>
            <w:rtl/>
          </w:rPr>
          <w:t>סעיפים 40ד</w:t>
        </w:r>
      </w:hyperlink>
      <w:r>
        <w:rPr>
          <w:rFonts w:hint="cs"/>
          <w:sz w:val="26"/>
          <w:szCs w:val="26"/>
          <w:rtl/>
        </w:rPr>
        <w:t xml:space="preserve"> ו </w:t>
      </w:r>
      <w:r>
        <w:rPr>
          <w:sz w:val="26"/>
          <w:szCs w:val="26"/>
          <w:rtl/>
        </w:rPr>
        <w:t>–</w:t>
      </w:r>
      <w:r>
        <w:rPr>
          <w:rFonts w:hint="cs"/>
          <w:sz w:val="26"/>
          <w:szCs w:val="26"/>
          <w:rtl/>
        </w:rPr>
        <w:t xml:space="preserve"> </w:t>
      </w:r>
      <w:hyperlink r:id="rId50" w:history="1">
        <w:r w:rsidR="00263A71" w:rsidRPr="00263A71">
          <w:rPr>
            <w:color w:val="0000FF"/>
            <w:sz w:val="26"/>
            <w:szCs w:val="26"/>
            <w:u w:val="single"/>
            <w:rtl/>
          </w:rPr>
          <w:t>40ה</w:t>
        </w:r>
      </w:hyperlink>
      <w:r>
        <w:rPr>
          <w:rFonts w:hint="cs"/>
          <w:sz w:val="26"/>
          <w:szCs w:val="26"/>
          <w:rtl/>
        </w:rPr>
        <w:t xml:space="preserve"> לחוק. </w:t>
      </w:r>
    </w:p>
    <w:p w14:paraId="09822A12" w14:textId="77777777" w:rsidR="001F6032" w:rsidRDefault="001F6032">
      <w:pPr>
        <w:spacing w:line="360" w:lineRule="auto"/>
        <w:ind w:left="720" w:hanging="720"/>
        <w:jc w:val="both"/>
        <w:rPr>
          <w:sz w:val="26"/>
          <w:szCs w:val="26"/>
          <w:rtl/>
        </w:rPr>
      </w:pPr>
    </w:p>
    <w:p w14:paraId="6194B26E" w14:textId="77777777" w:rsidR="001F6032" w:rsidRDefault="00975154">
      <w:pPr>
        <w:spacing w:line="360" w:lineRule="auto"/>
        <w:ind w:left="720" w:hanging="720"/>
        <w:jc w:val="both"/>
        <w:rPr>
          <w:sz w:val="26"/>
          <w:szCs w:val="26"/>
          <w:rtl/>
        </w:rPr>
      </w:pPr>
      <w:r>
        <w:rPr>
          <w:rFonts w:hint="cs"/>
          <w:sz w:val="26"/>
          <w:szCs w:val="26"/>
          <w:rtl/>
        </w:rPr>
        <w:t>12.</w:t>
      </w:r>
      <w:r>
        <w:rPr>
          <w:rFonts w:hint="cs"/>
          <w:sz w:val="26"/>
          <w:szCs w:val="26"/>
          <w:rtl/>
        </w:rPr>
        <w:tab/>
        <w:t xml:space="preserve">בטרם נעבור לקביעת מתחמי הענישה, נדון בטענות הצדדים בהקשר לאישום השני, לשאלה - האם יש לקבוע מתחם ענישה אחד לאישום, כטענת הסניגור המלומד, או מתחם ענישה נפרד לכל אחד מהעבירות שבאישום השני, כטענת ב"כ המאשימה, או שמא יש לברור דרך אחרת משתי הדרכים המוצעות. </w:t>
      </w:r>
    </w:p>
    <w:p w14:paraId="208E0127" w14:textId="77777777" w:rsidR="001F6032" w:rsidRDefault="001F6032">
      <w:pPr>
        <w:spacing w:line="360" w:lineRule="auto"/>
        <w:ind w:left="567" w:hanging="567"/>
        <w:jc w:val="both"/>
        <w:rPr>
          <w:sz w:val="26"/>
          <w:szCs w:val="26"/>
          <w:rtl/>
        </w:rPr>
      </w:pPr>
    </w:p>
    <w:p w14:paraId="02CEEAD2" w14:textId="77777777" w:rsidR="001F6032" w:rsidRDefault="00975154">
      <w:pPr>
        <w:spacing w:line="360" w:lineRule="auto"/>
        <w:ind w:left="567" w:hanging="567"/>
        <w:jc w:val="both"/>
        <w:rPr>
          <w:sz w:val="26"/>
          <w:szCs w:val="26"/>
          <w:rtl/>
        </w:rPr>
      </w:pPr>
      <w:r>
        <w:rPr>
          <w:rFonts w:hint="cs"/>
          <w:sz w:val="26"/>
          <w:szCs w:val="26"/>
          <w:rtl/>
        </w:rPr>
        <w:t xml:space="preserve">13. </w:t>
      </w:r>
      <w:r>
        <w:rPr>
          <w:rFonts w:hint="cs"/>
          <w:sz w:val="26"/>
          <w:szCs w:val="26"/>
          <w:rtl/>
        </w:rPr>
        <w:tab/>
        <w:t xml:space="preserve">לדעתי, יש לדחות את טענת הסניגור כי כל המעשים המפורטים באישום השני הם בבחינת "אירוע אחד", ועל כן יש לקבוע מתחם ענישה אחד בגינם. </w:t>
      </w:r>
    </w:p>
    <w:p w14:paraId="57132FDD" w14:textId="77777777" w:rsidR="001F6032" w:rsidRDefault="00263A71">
      <w:pPr>
        <w:spacing w:line="360" w:lineRule="auto"/>
        <w:ind w:left="567"/>
        <w:jc w:val="both"/>
        <w:rPr>
          <w:b/>
          <w:bCs/>
          <w:sz w:val="26"/>
          <w:szCs w:val="26"/>
          <w:rtl/>
        </w:rPr>
      </w:pPr>
      <w:hyperlink r:id="rId51" w:history="1">
        <w:r w:rsidRPr="00263A71">
          <w:rPr>
            <w:color w:val="0000FF"/>
            <w:sz w:val="26"/>
            <w:szCs w:val="26"/>
            <w:u w:val="single"/>
            <w:rtl/>
          </w:rPr>
          <w:t>סעיף 40יג</w:t>
        </w:r>
      </w:hyperlink>
      <w:r w:rsidR="00975154">
        <w:rPr>
          <w:rFonts w:hint="cs"/>
          <w:sz w:val="26"/>
          <w:szCs w:val="26"/>
          <w:rtl/>
        </w:rPr>
        <w:t xml:space="preserve"> לחוק מתייחס לשאלה האם ומתי על בית המשפט לקבוע כי המדובר באירוע אחד או במספר אירועים, וזה לשון הסעיף:</w:t>
      </w:r>
      <w:r w:rsidR="00975154">
        <w:rPr>
          <w:rFonts w:hint="cs"/>
          <w:b/>
          <w:bCs/>
          <w:sz w:val="26"/>
          <w:szCs w:val="26"/>
          <w:rtl/>
        </w:rPr>
        <w:t xml:space="preserve"> </w:t>
      </w:r>
    </w:p>
    <w:p w14:paraId="16200642" w14:textId="77777777" w:rsidR="001F6032" w:rsidRDefault="001F6032">
      <w:pPr>
        <w:spacing w:line="360" w:lineRule="auto"/>
        <w:ind w:left="567"/>
        <w:jc w:val="both"/>
        <w:rPr>
          <w:b/>
          <w:bCs/>
          <w:sz w:val="26"/>
          <w:szCs w:val="26"/>
          <w:rtl/>
        </w:rPr>
      </w:pPr>
    </w:p>
    <w:p w14:paraId="659CDBB4" w14:textId="77777777" w:rsidR="001F6032" w:rsidRDefault="00975154">
      <w:pPr>
        <w:pStyle w:val="P00"/>
        <w:tabs>
          <w:tab w:val="clear" w:pos="1474"/>
          <w:tab w:val="left" w:pos="1134"/>
          <w:tab w:val="left" w:pos="7938"/>
        </w:tabs>
        <w:spacing w:before="0" w:line="360" w:lineRule="auto"/>
        <w:ind w:left="1134" w:right="567" w:hanging="426"/>
        <w:rPr>
          <w:rStyle w:val="default"/>
          <w:rFonts w:cs="David"/>
          <w:noProof w:val="0"/>
          <w:rtl/>
        </w:rPr>
      </w:pPr>
      <w:r>
        <w:rPr>
          <w:rFonts w:cs="David" w:hint="cs"/>
          <w:b/>
          <w:bCs/>
          <w:sz w:val="26"/>
          <w:rtl/>
        </w:rPr>
        <w:tab/>
        <w:t>"</w:t>
      </w:r>
      <w:r>
        <w:rPr>
          <w:rStyle w:val="big-number"/>
          <w:rFonts w:cs="David" w:hint="cs"/>
          <w:b/>
          <w:bCs/>
          <w:noProof w:val="0"/>
          <w:sz w:val="26"/>
          <w:rtl/>
        </w:rPr>
        <w:t>40</w:t>
      </w:r>
      <w:r>
        <w:rPr>
          <w:rStyle w:val="default"/>
          <w:rFonts w:cs="David" w:hint="cs"/>
          <w:b/>
          <w:bCs/>
          <w:noProof w:val="0"/>
          <w:rtl/>
        </w:rPr>
        <w:t>יג. (א) הרשיע בית המשפט נאשם בכמה עבירות המהוות אירוע אחד, יקבע מתחם עונש הולם כאמור בסעיף 40ג(א) לאירוע כולו, ויגזור עונש כולל לכל העבירות בשל אותו אירוע.</w:t>
      </w:r>
    </w:p>
    <w:p w14:paraId="4DA57E67" w14:textId="77777777" w:rsidR="001F6032" w:rsidRDefault="00975154">
      <w:pPr>
        <w:pStyle w:val="P00"/>
        <w:tabs>
          <w:tab w:val="clear" w:pos="1474"/>
          <w:tab w:val="left" w:pos="1134"/>
          <w:tab w:val="left" w:pos="7938"/>
        </w:tabs>
        <w:spacing w:before="72" w:line="360" w:lineRule="auto"/>
        <w:ind w:left="1134" w:right="567" w:hanging="426"/>
        <w:rPr>
          <w:rStyle w:val="default"/>
          <w:rFonts w:cs="David"/>
          <w:b/>
          <w:bCs/>
          <w:noProof w:val="0"/>
          <w:rtl/>
        </w:rPr>
      </w:pPr>
      <w:r>
        <w:rPr>
          <w:rStyle w:val="default"/>
          <w:rFonts w:cs="David" w:hint="cs"/>
          <w:b/>
          <w:bCs/>
          <w:noProof w:val="0"/>
          <w:rtl/>
        </w:rPr>
        <w:tab/>
        <w:t>(ב) הרשיע בית המשפט נאשם בכמה עבירות המהוות כמה אירועים, יקבע מתחם עונש הולם כאמור בסעיף 40ג(א) לכל אירוע בנפרד, ולאחר מכן רשאי הוא לגזור עונש נפרד לכל אירוע או עונש כולל לכל האירועים; גזר בית המשפט עונש נפרד לכל אירוע, יקבע את מידת החפיפה בין העונשים או הצטברותם.</w:t>
      </w:r>
    </w:p>
    <w:p w14:paraId="60EF127A" w14:textId="77777777" w:rsidR="001F6032" w:rsidRDefault="00975154">
      <w:pPr>
        <w:pStyle w:val="P00"/>
        <w:tabs>
          <w:tab w:val="clear" w:pos="1474"/>
          <w:tab w:val="left" w:pos="1134"/>
          <w:tab w:val="left" w:pos="7938"/>
        </w:tabs>
        <w:spacing w:before="72" w:line="360" w:lineRule="auto"/>
        <w:ind w:left="1134" w:right="567" w:hanging="426"/>
        <w:rPr>
          <w:rStyle w:val="default"/>
          <w:rFonts w:cs="David"/>
          <w:b/>
          <w:bCs/>
          <w:noProof w:val="0"/>
          <w:rtl/>
        </w:rPr>
      </w:pPr>
      <w:r>
        <w:rPr>
          <w:rStyle w:val="default"/>
          <w:rFonts w:cs="David" w:hint="cs"/>
          <w:b/>
          <w:bCs/>
          <w:noProof w:val="0"/>
          <w:rtl/>
        </w:rPr>
        <w:tab/>
        <w:t>(ג) בגזירת העונש לפי סעיף זה, יתחשב בית המשפט, בין השאר, במספר העבירות, בתדירותן ובזיקה ביניהן, וישמור על יחס הולם בין חומרת מכלול המעשים ומידת אשמו של הנאשם לבין סוג העונש, ואם גזר עונש מאסר – לבין תקופת המאסר שעל הנאשם לשאת".</w:t>
      </w:r>
    </w:p>
    <w:p w14:paraId="4EA4C316" w14:textId="77777777" w:rsidR="001F6032" w:rsidRDefault="001F6032">
      <w:pPr>
        <w:pStyle w:val="P00"/>
        <w:tabs>
          <w:tab w:val="clear" w:pos="1474"/>
          <w:tab w:val="left" w:pos="1134"/>
          <w:tab w:val="left" w:pos="7938"/>
        </w:tabs>
        <w:spacing w:before="72" w:line="360" w:lineRule="auto"/>
        <w:ind w:left="1134" w:right="567" w:hanging="426"/>
        <w:rPr>
          <w:rStyle w:val="default"/>
          <w:rFonts w:cs="David"/>
          <w:b/>
          <w:bCs/>
          <w:noProof w:val="0"/>
          <w:rtl/>
        </w:rPr>
      </w:pPr>
    </w:p>
    <w:p w14:paraId="21DD0AFF" w14:textId="77777777" w:rsidR="001F6032" w:rsidRDefault="00975154">
      <w:pPr>
        <w:spacing w:line="360" w:lineRule="auto"/>
        <w:ind w:left="567" w:hanging="720"/>
        <w:jc w:val="both"/>
        <w:rPr>
          <w:sz w:val="26"/>
          <w:szCs w:val="26"/>
          <w:rtl/>
        </w:rPr>
      </w:pPr>
      <w:r>
        <w:rPr>
          <w:sz w:val="26"/>
          <w:szCs w:val="26"/>
          <w:rtl/>
        </w:rPr>
        <w:tab/>
      </w:r>
      <w:r>
        <w:rPr>
          <w:rFonts w:hint="cs"/>
          <w:sz w:val="26"/>
          <w:szCs w:val="26"/>
          <w:rtl/>
        </w:rPr>
        <w:t>ב</w:t>
      </w:r>
      <w:hyperlink r:id="rId52" w:history="1">
        <w:r w:rsidRPr="00975154">
          <w:rPr>
            <w:color w:val="0000FF"/>
            <w:sz w:val="26"/>
            <w:szCs w:val="26"/>
            <w:u w:val="single"/>
            <w:rtl/>
          </w:rPr>
          <w:t>ע"פ 4910/13</w:t>
        </w:r>
      </w:hyperlink>
      <w:r>
        <w:rPr>
          <w:rFonts w:hint="cs"/>
          <w:sz w:val="26"/>
          <w:szCs w:val="26"/>
          <w:rtl/>
        </w:rPr>
        <w:t xml:space="preserve"> </w:t>
      </w:r>
      <w:r>
        <w:rPr>
          <w:rFonts w:hint="cs"/>
          <w:b/>
          <w:bCs/>
          <w:sz w:val="26"/>
          <w:szCs w:val="26"/>
          <w:rtl/>
        </w:rPr>
        <w:t>ג'אבר נ' מדינת ישראל</w:t>
      </w:r>
      <w:r>
        <w:rPr>
          <w:rFonts w:hint="cs"/>
          <w:sz w:val="26"/>
          <w:szCs w:val="26"/>
          <w:rtl/>
        </w:rPr>
        <w:t xml:space="preserve"> (29.10.2014) דן בית המשפט העליון בהבחנה בין "</w:t>
      </w:r>
      <w:r>
        <w:rPr>
          <w:rFonts w:hint="cs"/>
          <w:b/>
          <w:bCs/>
          <w:sz w:val="26"/>
          <w:szCs w:val="26"/>
          <w:rtl/>
        </w:rPr>
        <w:t>אירוע אחד</w:t>
      </w:r>
      <w:r>
        <w:rPr>
          <w:rFonts w:hint="cs"/>
          <w:sz w:val="26"/>
          <w:szCs w:val="26"/>
          <w:rtl/>
        </w:rPr>
        <w:t>" ל"</w:t>
      </w:r>
      <w:r>
        <w:rPr>
          <w:rFonts w:hint="cs"/>
          <w:b/>
          <w:bCs/>
          <w:sz w:val="26"/>
          <w:szCs w:val="26"/>
          <w:rtl/>
        </w:rPr>
        <w:t>כמה אירועים</w:t>
      </w:r>
      <w:r>
        <w:rPr>
          <w:rFonts w:hint="cs"/>
          <w:sz w:val="26"/>
          <w:szCs w:val="26"/>
          <w:rtl/>
        </w:rPr>
        <w:t xml:space="preserve">" והמבחנים שעל בית המשפט להפעיל בטרם בואו לקבוע את מתחם הענישה.  </w:t>
      </w:r>
    </w:p>
    <w:p w14:paraId="37FB909C" w14:textId="77777777" w:rsidR="001F6032" w:rsidRDefault="001F6032">
      <w:pPr>
        <w:spacing w:line="360" w:lineRule="auto"/>
        <w:ind w:left="567" w:hanging="720"/>
        <w:jc w:val="both"/>
        <w:rPr>
          <w:sz w:val="26"/>
          <w:szCs w:val="26"/>
          <w:rtl/>
        </w:rPr>
      </w:pPr>
    </w:p>
    <w:p w14:paraId="48E77E72" w14:textId="77777777" w:rsidR="001F6032" w:rsidRDefault="00975154">
      <w:pPr>
        <w:pStyle w:val="Ruller4"/>
        <w:ind w:left="567"/>
        <w:rPr>
          <w:rFonts w:cs="David"/>
          <w:sz w:val="26"/>
          <w:szCs w:val="26"/>
          <w:rtl/>
        </w:rPr>
      </w:pPr>
      <w:r>
        <w:rPr>
          <w:rFonts w:cs="David" w:hint="cs"/>
          <w:sz w:val="26"/>
          <w:szCs w:val="26"/>
          <w:rtl/>
        </w:rPr>
        <w:t>ב</w:t>
      </w:r>
      <w:hyperlink r:id="rId53" w:history="1">
        <w:r w:rsidRPr="00975154">
          <w:rPr>
            <w:rFonts w:cs="David"/>
            <w:color w:val="0000FF"/>
            <w:sz w:val="26"/>
            <w:szCs w:val="26"/>
            <w:u w:val="single"/>
            <w:rtl/>
          </w:rPr>
          <w:t>רע"פ 4760/14</w:t>
        </w:r>
      </w:hyperlink>
      <w:r>
        <w:rPr>
          <w:rFonts w:cs="David" w:hint="cs"/>
          <w:sz w:val="26"/>
          <w:szCs w:val="26"/>
          <w:rtl/>
        </w:rPr>
        <w:t xml:space="preserve"> </w:t>
      </w:r>
      <w:r>
        <w:rPr>
          <w:rFonts w:cs="David" w:hint="cs"/>
          <w:b/>
          <w:bCs/>
          <w:sz w:val="26"/>
          <w:szCs w:val="26"/>
          <w:rtl/>
        </w:rPr>
        <w:t>קיסלמן נ' מדינת ישראל</w:t>
      </w:r>
      <w:r>
        <w:rPr>
          <w:rFonts w:cs="David" w:hint="cs"/>
          <w:sz w:val="26"/>
          <w:szCs w:val="26"/>
          <w:rtl/>
        </w:rPr>
        <w:t xml:space="preserve"> (7.5.2015), שניתן במותב תלתא, סיכם כב' השופט ח' מלצר (בסעיף 20 לפסק הדין), בהסכמת כב' השופטים צ' זילברטל ו-ד' ברק </w:t>
      </w:r>
      <w:r>
        <w:rPr>
          <w:rFonts w:cs="David"/>
          <w:sz w:val="26"/>
          <w:szCs w:val="26"/>
          <w:rtl/>
        </w:rPr>
        <w:t>–</w:t>
      </w:r>
      <w:r>
        <w:rPr>
          <w:rFonts w:cs="David" w:hint="cs"/>
          <w:sz w:val="26"/>
          <w:szCs w:val="26"/>
          <w:rtl/>
        </w:rPr>
        <w:t xml:space="preserve"> ארז, את המבחנים על פיהם יקבע בית בית המשפט האם מדובר ב"אירוע אחד" או במספר אירועים לעניין </w:t>
      </w:r>
      <w:hyperlink r:id="rId54" w:history="1">
        <w:r w:rsidR="00263A71" w:rsidRPr="00263A71">
          <w:rPr>
            <w:rFonts w:cs="David"/>
            <w:color w:val="0000FF"/>
            <w:sz w:val="26"/>
            <w:szCs w:val="26"/>
            <w:u w:val="single"/>
            <w:rtl/>
          </w:rPr>
          <w:t>סעיף 40יג</w:t>
        </w:r>
      </w:hyperlink>
      <w:r>
        <w:rPr>
          <w:rFonts w:cs="David" w:hint="cs"/>
          <w:sz w:val="26"/>
          <w:szCs w:val="26"/>
          <w:rtl/>
        </w:rPr>
        <w:t xml:space="preserve"> לחוק: </w:t>
      </w:r>
    </w:p>
    <w:p w14:paraId="73EACA15" w14:textId="77777777" w:rsidR="001F6032" w:rsidRDefault="001F6032">
      <w:pPr>
        <w:pStyle w:val="Ruller4"/>
        <w:ind w:left="567"/>
        <w:rPr>
          <w:rFonts w:cs="David"/>
          <w:sz w:val="26"/>
          <w:szCs w:val="26"/>
          <w:rtl/>
        </w:rPr>
      </w:pPr>
    </w:p>
    <w:p w14:paraId="11576C56" w14:textId="77777777" w:rsidR="001F6032" w:rsidRDefault="00975154">
      <w:pPr>
        <w:pStyle w:val="Ruller4"/>
        <w:tabs>
          <w:tab w:val="clear" w:pos="800"/>
          <w:tab w:val="left" w:pos="1134"/>
        </w:tabs>
        <w:ind w:left="1134" w:right="709"/>
        <w:rPr>
          <w:rFonts w:cs="David"/>
          <w:sz w:val="26"/>
          <w:szCs w:val="26"/>
          <w:rtl/>
        </w:rPr>
      </w:pPr>
      <w:r>
        <w:rPr>
          <w:rFonts w:cs="David" w:hint="cs"/>
          <w:b/>
          <w:bCs/>
          <w:sz w:val="26"/>
          <w:szCs w:val="26"/>
          <w:rtl/>
        </w:rPr>
        <w:t>"...</w:t>
      </w:r>
      <w:r>
        <w:rPr>
          <w:rFonts w:cs="David"/>
          <w:b/>
          <w:bCs/>
          <w:sz w:val="26"/>
          <w:szCs w:val="26"/>
          <w:rtl/>
        </w:rPr>
        <w:t>ב</w:t>
      </w:r>
      <w:r>
        <w:rPr>
          <w:rFonts w:ascii="Century" w:hAnsi="Century" w:cs="David" w:hint="eastAsia"/>
          <w:b/>
          <w:bCs/>
          <w:spacing w:val="0"/>
          <w:sz w:val="26"/>
          <w:szCs w:val="26"/>
          <w:rtl/>
        </w:rPr>
        <w:t>עניין</w:t>
      </w:r>
      <w:r>
        <w:rPr>
          <w:rFonts w:ascii="Century" w:hAnsi="Century" w:cs="David"/>
          <w:b/>
          <w:bCs/>
          <w:spacing w:val="0"/>
          <w:sz w:val="26"/>
          <w:szCs w:val="26"/>
          <w:rtl/>
        </w:rPr>
        <w:t xml:space="preserve"> </w:t>
      </w:r>
      <w:r>
        <w:rPr>
          <w:rFonts w:ascii="Century" w:hAnsi="Century" w:cs="David" w:hint="eastAsia"/>
          <w:b/>
          <w:bCs/>
          <w:spacing w:val="0"/>
          <w:sz w:val="26"/>
          <w:szCs w:val="26"/>
          <w:rtl/>
        </w:rPr>
        <w:t>ג</w:t>
      </w:r>
      <w:r>
        <w:rPr>
          <w:rFonts w:ascii="Century" w:hAnsi="Century" w:cs="David"/>
          <w:b/>
          <w:bCs/>
          <w:spacing w:val="0"/>
          <w:sz w:val="26"/>
          <w:szCs w:val="26"/>
          <w:rtl/>
        </w:rPr>
        <w:t>'</w:t>
      </w:r>
      <w:r>
        <w:rPr>
          <w:rFonts w:ascii="Century" w:hAnsi="Century" w:cs="David" w:hint="eastAsia"/>
          <w:b/>
          <w:bCs/>
          <w:spacing w:val="0"/>
          <w:sz w:val="26"/>
          <w:szCs w:val="26"/>
          <w:rtl/>
        </w:rPr>
        <w:t>אבר</w:t>
      </w:r>
      <w:r>
        <w:rPr>
          <w:rFonts w:ascii="Century" w:hAnsi="Century" w:cs="David" w:hint="cs"/>
          <w:b/>
          <w:bCs/>
          <w:spacing w:val="0"/>
          <w:sz w:val="26"/>
          <w:szCs w:val="26"/>
          <w:rtl/>
        </w:rPr>
        <w:t>...</w:t>
      </w:r>
      <w:r>
        <w:rPr>
          <w:rFonts w:cs="David" w:hint="cs"/>
          <w:b/>
          <w:bCs/>
          <w:sz w:val="26"/>
          <w:szCs w:val="26"/>
          <w:rtl/>
        </w:rPr>
        <w:t xml:space="preserve"> </w:t>
      </w:r>
      <w:r>
        <w:rPr>
          <w:rFonts w:cs="David"/>
          <w:b/>
          <w:bCs/>
          <w:sz w:val="26"/>
          <w:szCs w:val="26"/>
          <w:rtl/>
        </w:rPr>
        <w:t xml:space="preserve">אומץ, בדעת רוב, "מבחן הקשר ההדוק" להכרעה בשאלה אימתי מספר מעשים, או עבירות, ייחשבו ל"אירוע אחד" לצורך קביעת מתחם העונש ההולם. על פי המבחן האמור, "עבירות שיש ביניהן קשר הדוק", כגון: כאלה שנעשו ב"סמיכות זמנים" ושהן "חלק מאותה תכנית עבריינית" אחת, "אף כאשר הן בוצעו לאורך תקופת זמן שאינה קצרה", ואף כאשר ניתן היה להפריד ביניהן ולחדול לאחר ביצוע כל אחת מהן (כך שאין לראות בהן "מעשה אחד") – ייחשבו ל"אירוע אחד", אשר ביחס אליו ייקבע מתחם ענישה אחד. ראו: שם, בפיסקאות 6-5 לחוות דעתה של חברתי, השופטת </w:t>
      </w:r>
      <w:r>
        <w:rPr>
          <w:rFonts w:ascii="Century" w:hAnsi="Century" w:cs="David" w:hint="eastAsia"/>
          <w:b/>
          <w:bCs/>
          <w:spacing w:val="0"/>
          <w:sz w:val="26"/>
          <w:szCs w:val="26"/>
          <w:rtl/>
        </w:rPr>
        <w:t>ד</w:t>
      </w:r>
      <w:r>
        <w:rPr>
          <w:rFonts w:ascii="Century" w:hAnsi="Century" w:cs="David"/>
          <w:b/>
          <w:bCs/>
          <w:spacing w:val="0"/>
          <w:sz w:val="26"/>
          <w:szCs w:val="26"/>
          <w:rtl/>
        </w:rPr>
        <w:t xml:space="preserve">' </w:t>
      </w:r>
      <w:r>
        <w:rPr>
          <w:rFonts w:ascii="Century" w:hAnsi="Century" w:cs="David" w:hint="eastAsia"/>
          <w:b/>
          <w:bCs/>
          <w:spacing w:val="0"/>
          <w:sz w:val="26"/>
          <w:szCs w:val="26"/>
          <w:rtl/>
        </w:rPr>
        <w:t>ברק</w:t>
      </w:r>
      <w:r>
        <w:rPr>
          <w:rFonts w:ascii="Century" w:hAnsi="Century" w:cs="David"/>
          <w:b/>
          <w:bCs/>
          <w:spacing w:val="0"/>
          <w:sz w:val="26"/>
          <w:szCs w:val="26"/>
          <w:rtl/>
        </w:rPr>
        <w:t>-</w:t>
      </w:r>
      <w:r>
        <w:rPr>
          <w:rFonts w:ascii="Century" w:hAnsi="Century" w:cs="David" w:hint="eastAsia"/>
          <w:b/>
          <w:bCs/>
          <w:spacing w:val="0"/>
          <w:sz w:val="26"/>
          <w:szCs w:val="26"/>
          <w:rtl/>
        </w:rPr>
        <w:t>ארז</w:t>
      </w:r>
      <w:r>
        <w:rPr>
          <w:rFonts w:cs="David"/>
          <w:b/>
          <w:bCs/>
          <w:sz w:val="26"/>
          <w:szCs w:val="26"/>
          <w:rtl/>
        </w:rPr>
        <w:t xml:space="preserve"> וכן בפיסקה 2 לחוות דעתו של חברי, השופט </w:t>
      </w:r>
      <w:r>
        <w:rPr>
          <w:rFonts w:ascii="Century" w:hAnsi="Century" w:cs="David" w:hint="eastAsia"/>
          <w:b/>
          <w:bCs/>
          <w:spacing w:val="0"/>
          <w:sz w:val="26"/>
          <w:szCs w:val="26"/>
          <w:rtl/>
        </w:rPr>
        <w:t>ע</w:t>
      </w:r>
      <w:r>
        <w:rPr>
          <w:rFonts w:ascii="Century" w:hAnsi="Century" w:cs="David"/>
          <w:b/>
          <w:bCs/>
          <w:spacing w:val="0"/>
          <w:sz w:val="26"/>
          <w:szCs w:val="26"/>
          <w:rtl/>
        </w:rPr>
        <w:t xml:space="preserve">' </w:t>
      </w:r>
      <w:r>
        <w:rPr>
          <w:rFonts w:ascii="Century" w:hAnsi="Century" w:cs="David" w:hint="eastAsia"/>
          <w:b/>
          <w:bCs/>
          <w:spacing w:val="0"/>
          <w:sz w:val="26"/>
          <w:szCs w:val="26"/>
          <w:rtl/>
        </w:rPr>
        <w:t>פוגלמן</w:t>
      </w:r>
      <w:r>
        <w:rPr>
          <w:rFonts w:cs="David"/>
          <w:b/>
          <w:bCs/>
          <w:sz w:val="26"/>
          <w:szCs w:val="26"/>
          <w:rtl/>
        </w:rPr>
        <w:t>, אשר הוסיף והטעים כי להשקפתו: "התיבה 'אירוע אחד' רחבה דיה כדי לכלול גם: פעולות עברייניות שבוצעו על פני רצף זמן; כללו מעשים שונים; ביחס לקורבנות שונים ובמקומות שונים. והכל – כל עוד הם מהווים מסכת עבריינית אחת" (שם, שם)</w:t>
      </w:r>
      <w:r>
        <w:rPr>
          <w:rFonts w:cs="David" w:hint="cs"/>
          <w:b/>
          <w:bCs/>
          <w:sz w:val="26"/>
          <w:szCs w:val="26"/>
          <w:rtl/>
        </w:rPr>
        <w:t>"</w:t>
      </w:r>
      <w:r>
        <w:rPr>
          <w:rFonts w:cs="David"/>
          <w:b/>
          <w:bCs/>
          <w:sz w:val="26"/>
          <w:szCs w:val="26"/>
          <w:rtl/>
        </w:rPr>
        <w:t xml:space="preserve">. </w:t>
      </w:r>
    </w:p>
    <w:p w14:paraId="61E3D783" w14:textId="77777777" w:rsidR="001F6032" w:rsidRDefault="001F6032">
      <w:pPr>
        <w:pStyle w:val="Ruller4"/>
        <w:tabs>
          <w:tab w:val="clear" w:pos="800"/>
          <w:tab w:val="left" w:pos="1134"/>
        </w:tabs>
        <w:ind w:left="1134" w:right="709"/>
        <w:rPr>
          <w:rFonts w:cs="David"/>
          <w:sz w:val="26"/>
          <w:szCs w:val="26"/>
          <w:rtl/>
        </w:rPr>
      </w:pPr>
    </w:p>
    <w:p w14:paraId="7CCFA63C" w14:textId="77777777" w:rsidR="001F6032" w:rsidRDefault="00975154">
      <w:pPr>
        <w:pStyle w:val="Ruller4"/>
        <w:tabs>
          <w:tab w:val="clear" w:pos="800"/>
          <w:tab w:val="left" w:pos="567"/>
        </w:tabs>
        <w:ind w:left="708"/>
        <w:rPr>
          <w:rStyle w:val="default"/>
          <w:rFonts w:cs="David"/>
          <w:b/>
          <w:bCs/>
          <w:rtl/>
        </w:rPr>
      </w:pPr>
      <w:r>
        <w:rPr>
          <w:rFonts w:cs="David" w:hint="cs"/>
          <w:sz w:val="26"/>
          <w:szCs w:val="26"/>
          <w:rtl/>
        </w:rPr>
        <w:t xml:space="preserve">ראו גם: </w:t>
      </w:r>
      <w:hyperlink r:id="rId55" w:history="1">
        <w:r w:rsidRPr="00975154">
          <w:rPr>
            <w:rFonts w:cs="David"/>
            <w:color w:val="0000FF"/>
            <w:sz w:val="26"/>
            <w:szCs w:val="26"/>
            <w:u w:val="single"/>
            <w:rtl/>
          </w:rPr>
          <w:t>ע"פ 1605/13</w:t>
        </w:r>
      </w:hyperlink>
      <w:r>
        <w:rPr>
          <w:rFonts w:cs="David" w:hint="cs"/>
          <w:sz w:val="26"/>
          <w:szCs w:val="26"/>
          <w:rtl/>
        </w:rPr>
        <w:t xml:space="preserve"> </w:t>
      </w:r>
      <w:r>
        <w:rPr>
          <w:rFonts w:cs="David" w:hint="cs"/>
          <w:b/>
          <w:bCs/>
          <w:sz w:val="26"/>
          <w:szCs w:val="26"/>
          <w:rtl/>
        </w:rPr>
        <w:t>פלוני נ' מדינת ישראל</w:t>
      </w:r>
      <w:r>
        <w:rPr>
          <w:rFonts w:cs="David" w:hint="cs"/>
          <w:sz w:val="26"/>
          <w:szCs w:val="26"/>
          <w:rtl/>
        </w:rPr>
        <w:t xml:space="preserve"> (27.8.2014) בפסק דינו של כב' השופט ס' ג'ובראן (סעיפים 15 </w:t>
      </w:r>
      <w:r>
        <w:rPr>
          <w:rFonts w:cs="David"/>
          <w:sz w:val="26"/>
          <w:szCs w:val="26"/>
          <w:rtl/>
        </w:rPr>
        <w:t>–</w:t>
      </w:r>
      <w:r>
        <w:rPr>
          <w:rFonts w:cs="David" w:hint="cs"/>
          <w:sz w:val="26"/>
          <w:szCs w:val="26"/>
          <w:rtl/>
        </w:rPr>
        <w:t xml:space="preserve"> 18 והאסמכתאות שם); </w:t>
      </w:r>
      <w:hyperlink r:id="rId56" w:history="1">
        <w:r w:rsidRPr="00975154">
          <w:rPr>
            <w:rFonts w:cs="David"/>
            <w:color w:val="0000FF"/>
            <w:sz w:val="26"/>
            <w:szCs w:val="26"/>
            <w:u w:val="single"/>
            <w:rtl/>
          </w:rPr>
          <w:t>ע"פ 2519/14</w:t>
        </w:r>
      </w:hyperlink>
      <w:r>
        <w:rPr>
          <w:rFonts w:cs="David" w:hint="cs"/>
          <w:sz w:val="26"/>
          <w:szCs w:val="26"/>
          <w:rtl/>
        </w:rPr>
        <w:t xml:space="preserve"> </w:t>
      </w:r>
      <w:r>
        <w:rPr>
          <w:rFonts w:cs="David" w:hint="cs"/>
          <w:b/>
          <w:bCs/>
          <w:sz w:val="26"/>
          <w:szCs w:val="26"/>
          <w:rtl/>
        </w:rPr>
        <w:t>קיעאן נ' מדינת ישראל</w:t>
      </w:r>
      <w:r>
        <w:rPr>
          <w:rFonts w:cs="David" w:hint="cs"/>
          <w:sz w:val="26"/>
          <w:szCs w:val="26"/>
          <w:rtl/>
        </w:rPr>
        <w:t xml:space="preserve"> (29.12.14); </w:t>
      </w:r>
      <w:hyperlink r:id="rId57" w:history="1">
        <w:r w:rsidRPr="00975154">
          <w:rPr>
            <w:rFonts w:cs="David"/>
            <w:color w:val="0000FF"/>
            <w:sz w:val="26"/>
            <w:szCs w:val="26"/>
            <w:u w:val="single"/>
            <w:rtl/>
          </w:rPr>
          <w:t>ע"פ 4289/14</w:t>
        </w:r>
      </w:hyperlink>
      <w:r>
        <w:rPr>
          <w:rFonts w:cs="David" w:hint="cs"/>
          <w:sz w:val="26"/>
          <w:szCs w:val="26"/>
          <w:rtl/>
        </w:rPr>
        <w:t xml:space="preserve">  </w:t>
      </w:r>
      <w:r>
        <w:rPr>
          <w:rFonts w:cs="David" w:hint="cs"/>
          <w:b/>
          <w:bCs/>
          <w:sz w:val="26"/>
          <w:szCs w:val="26"/>
          <w:rtl/>
        </w:rPr>
        <w:t>חנונה נ' מדינת ישראל</w:t>
      </w:r>
      <w:r>
        <w:rPr>
          <w:rFonts w:cs="David" w:hint="cs"/>
          <w:sz w:val="26"/>
          <w:szCs w:val="26"/>
          <w:rtl/>
        </w:rPr>
        <w:t xml:space="preserve"> (21.1.15), סעיף 38 לפסק דינו של כב' השופט י' דנציגר, כאשר בקשה לדיון נוסף בנושא נדחתה </w:t>
      </w:r>
      <w:r>
        <w:rPr>
          <w:rFonts w:cs="David"/>
          <w:sz w:val="26"/>
          <w:szCs w:val="26"/>
          <w:rtl/>
        </w:rPr>
        <w:t>–</w:t>
      </w:r>
      <w:r>
        <w:rPr>
          <w:rFonts w:cs="David" w:hint="cs"/>
          <w:sz w:val="26"/>
          <w:szCs w:val="26"/>
          <w:rtl/>
        </w:rPr>
        <w:t xml:space="preserve"> </w:t>
      </w:r>
      <w:hyperlink r:id="rId58" w:history="1">
        <w:r w:rsidRPr="00975154">
          <w:rPr>
            <w:rFonts w:cs="David"/>
            <w:color w:val="0000FF"/>
            <w:sz w:val="26"/>
            <w:szCs w:val="26"/>
            <w:u w:val="single"/>
            <w:rtl/>
          </w:rPr>
          <w:t>דנ"פ 845/15</w:t>
        </w:r>
      </w:hyperlink>
      <w:r>
        <w:rPr>
          <w:rFonts w:cs="David" w:hint="cs"/>
          <w:sz w:val="26"/>
          <w:szCs w:val="26"/>
          <w:rtl/>
        </w:rPr>
        <w:t xml:space="preserve"> </w:t>
      </w:r>
      <w:r>
        <w:rPr>
          <w:rFonts w:cs="David" w:hint="cs"/>
          <w:b/>
          <w:bCs/>
          <w:sz w:val="26"/>
          <w:szCs w:val="26"/>
          <w:rtl/>
        </w:rPr>
        <w:t>ברבי נ' מדינת ישראל</w:t>
      </w:r>
      <w:r>
        <w:rPr>
          <w:rFonts w:cs="David" w:hint="cs"/>
          <w:sz w:val="26"/>
          <w:szCs w:val="26"/>
          <w:rtl/>
        </w:rPr>
        <w:t xml:space="preserve"> (22.3.15).</w:t>
      </w:r>
    </w:p>
    <w:p w14:paraId="45295058" w14:textId="77777777" w:rsidR="001F6032" w:rsidRDefault="001F6032">
      <w:pPr>
        <w:spacing w:line="360" w:lineRule="auto"/>
        <w:ind w:left="720" w:hanging="720"/>
        <w:jc w:val="both"/>
        <w:rPr>
          <w:sz w:val="26"/>
          <w:szCs w:val="26"/>
          <w:rtl/>
        </w:rPr>
      </w:pPr>
    </w:p>
    <w:p w14:paraId="5CFC263F" w14:textId="77777777" w:rsidR="001F6032" w:rsidRDefault="00975154">
      <w:pPr>
        <w:spacing w:line="360" w:lineRule="auto"/>
        <w:ind w:left="720" w:hanging="720"/>
        <w:jc w:val="both"/>
        <w:rPr>
          <w:sz w:val="26"/>
          <w:szCs w:val="26"/>
          <w:rtl/>
        </w:rPr>
      </w:pPr>
      <w:r>
        <w:rPr>
          <w:rFonts w:hint="cs"/>
          <w:sz w:val="26"/>
          <w:szCs w:val="26"/>
          <w:rtl/>
        </w:rPr>
        <w:t>14.</w:t>
      </w:r>
      <w:r>
        <w:rPr>
          <w:rFonts w:hint="cs"/>
          <w:sz w:val="26"/>
          <w:szCs w:val="26"/>
          <w:rtl/>
        </w:rPr>
        <w:tab/>
        <w:t xml:space="preserve">כאמור, באישום השני נזכרים בסך הכול </w:t>
      </w:r>
      <w:r>
        <w:rPr>
          <w:rFonts w:hint="cs"/>
          <w:sz w:val="26"/>
          <w:szCs w:val="26"/>
          <w:u w:val="single"/>
          <w:rtl/>
        </w:rPr>
        <w:t>חמישה</w:t>
      </w:r>
      <w:r>
        <w:rPr>
          <w:rFonts w:hint="cs"/>
          <w:sz w:val="26"/>
          <w:szCs w:val="26"/>
          <w:rtl/>
        </w:rPr>
        <w:t xml:space="preserve"> אירועים של יידויי אבנים של הנאשם לעבר כוחות הביטחון:</w:t>
      </w:r>
    </w:p>
    <w:p w14:paraId="50541667" w14:textId="77777777" w:rsidR="001F6032" w:rsidRDefault="00975154">
      <w:pPr>
        <w:spacing w:line="360" w:lineRule="auto"/>
        <w:ind w:left="720"/>
        <w:jc w:val="both"/>
        <w:rPr>
          <w:sz w:val="26"/>
          <w:szCs w:val="26"/>
          <w:rtl/>
        </w:rPr>
      </w:pPr>
      <w:r>
        <w:rPr>
          <w:rFonts w:hint="cs"/>
          <w:sz w:val="26"/>
          <w:szCs w:val="26"/>
          <w:rtl/>
        </w:rPr>
        <w:t xml:space="preserve"> </w:t>
      </w:r>
      <w:r>
        <w:rPr>
          <w:rFonts w:hint="cs"/>
          <w:sz w:val="26"/>
          <w:szCs w:val="26"/>
          <w:u w:val="single"/>
          <w:rtl/>
        </w:rPr>
        <w:t>שלושה אירועים במועדים שאינם ידועים למאשימה</w:t>
      </w:r>
      <w:r>
        <w:rPr>
          <w:rFonts w:hint="cs"/>
          <w:sz w:val="26"/>
          <w:szCs w:val="26"/>
          <w:rtl/>
        </w:rPr>
        <w:t xml:space="preserve"> בהם יידה הנאשם אבנים לעבר כוחות הביטחון כשעל מצחו בד אשר נושא את סמל ארגון הטרור (סעיף 2 לאישום השני); </w:t>
      </w:r>
    </w:p>
    <w:p w14:paraId="44EC4D40" w14:textId="77777777" w:rsidR="001F6032" w:rsidRDefault="00975154">
      <w:pPr>
        <w:spacing w:line="360" w:lineRule="auto"/>
        <w:ind w:left="720"/>
        <w:jc w:val="both"/>
        <w:rPr>
          <w:sz w:val="26"/>
          <w:szCs w:val="26"/>
          <w:rtl/>
        </w:rPr>
      </w:pPr>
      <w:r>
        <w:rPr>
          <w:rFonts w:hint="cs"/>
          <w:sz w:val="26"/>
          <w:szCs w:val="26"/>
          <w:u w:val="single"/>
          <w:rtl/>
        </w:rPr>
        <w:t>אירוע מיום 15.5.13,</w:t>
      </w:r>
      <w:r>
        <w:rPr>
          <w:rFonts w:hint="cs"/>
          <w:sz w:val="26"/>
          <w:szCs w:val="26"/>
          <w:rtl/>
        </w:rPr>
        <w:t xml:space="preserve"> "יום הנכבה", שעה שהנאשם השתתף יחד עם אחרים רעולי פנים בהתפרעות שבמהלכה זרק הנאשם יחד עם אחרים אבנים וזיקוקים לעבר כוחות הביטחון (סעיף 5 לאישום השני); </w:t>
      </w:r>
    </w:p>
    <w:p w14:paraId="385C764E" w14:textId="77777777" w:rsidR="001F6032" w:rsidRDefault="00975154">
      <w:pPr>
        <w:spacing w:line="360" w:lineRule="auto"/>
        <w:ind w:left="720"/>
        <w:jc w:val="both"/>
        <w:rPr>
          <w:sz w:val="26"/>
          <w:szCs w:val="26"/>
          <w:rtl/>
        </w:rPr>
      </w:pPr>
      <w:r>
        <w:rPr>
          <w:rFonts w:hint="cs"/>
          <w:sz w:val="26"/>
          <w:szCs w:val="26"/>
          <w:u w:val="single"/>
          <w:rtl/>
        </w:rPr>
        <w:t>אירוע נוסף, מיום 19.11.13,</w:t>
      </w:r>
      <w:r>
        <w:rPr>
          <w:rFonts w:hint="cs"/>
          <w:sz w:val="26"/>
          <w:szCs w:val="26"/>
          <w:rtl/>
        </w:rPr>
        <w:t xml:space="preserve"> עת השתתף הנאשם יחד עם אחרים רעולי פנים בהתפרעות, יידה אבנים לעבר השוטרים, וכתוצאה נפגעו מספר שוטרים ושלושה מהם אף נזקקו לטיפול רפואי. בהמשך לכך, רכש הנאשם בנזין בתחנת דלק סמוכה, הכין בקבוק תבערה ויידה אותו לעבר כוחות הביטחון. הבקבוק התלקח ופגע בקרקע (סעיפים 3 </w:t>
      </w:r>
      <w:r>
        <w:rPr>
          <w:sz w:val="26"/>
          <w:szCs w:val="26"/>
          <w:rtl/>
        </w:rPr>
        <w:t>–</w:t>
      </w:r>
      <w:r>
        <w:rPr>
          <w:rFonts w:hint="cs"/>
          <w:sz w:val="26"/>
          <w:szCs w:val="26"/>
          <w:rtl/>
        </w:rPr>
        <w:t xml:space="preserve"> 4 לאישום השני). </w:t>
      </w:r>
    </w:p>
    <w:p w14:paraId="4E3350F2" w14:textId="77777777" w:rsidR="001F6032" w:rsidRDefault="001F6032">
      <w:pPr>
        <w:spacing w:line="360" w:lineRule="auto"/>
        <w:ind w:left="720"/>
        <w:jc w:val="both"/>
        <w:rPr>
          <w:sz w:val="26"/>
          <w:szCs w:val="26"/>
          <w:rtl/>
        </w:rPr>
      </w:pPr>
    </w:p>
    <w:p w14:paraId="21B5401D" w14:textId="77777777" w:rsidR="001F6032" w:rsidRDefault="00975154">
      <w:pPr>
        <w:spacing w:line="360" w:lineRule="auto"/>
        <w:ind w:left="720" w:hanging="720"/>
        <w:jc w:val="both"/>
        <w:rPr>
          <w:sz w:val="26"/>
          <w:szCs w:val="26"/>
          <w:rtl/>
        </w:rPr>
      </w:pPr>
      <w:r>
        <w:rPr>
          <w:rFonts w:hint="cs"/>
          <w:sz w:val="26"/>
          <w:szCs w:val="26"/>
          <w:rtl/>
        </w:rPr>
        <w:t>15.</w:t>
      </w:r>
      <w:r>
        <w:rPr>
          <w:rFonts w:hint="cs"/>
          <w:sz w:val="26"/>
          <w:szCs w:val="26"/>
          <w:rtl/>
        </w:rPr>
        <w:tab/>
        <w:t>הנה כי כן, למעשה ובפועל, המדובר בשלושה אירועים במועדים שאינם ידועים למאשימה, ובשני אירועים נוספים בהפרש של כחצי שנה בין האחד למשנהו, כאשר באירוע המאוחר יותר, מלבד השתתפות בהתפרעות ויידוי אבנים לעבר כוחות הביטחון, רכש הנאשם בנזין, הכין בקבוק תבערה ויידה אותו לעבר כוחות הביטחון.</w:t>
      </w:r>
    </w:p>
    <w:p w14:paraId="4169571A" w14:textId="77777777" w:rsidR="001F6032" w:rsidRDefault="00975154">
      <w:pPr>
        <w:spacing w:line="360" w:lineRule="auto"/>
        <w:ind w:left="720" w:hanging="720"/>
        <w:jc w:val="both"/>
        <w:rPr>
          <w:sz w:val="26"/>
          <w:szCs w:val="26"/>
          <w:rtl/>
        </w:rPr>
      </w:pPr>
      <w:r>
        <w:rPr>
          <w:rFonts w:hint="cs"/>
          <w:sz w:val="26"/>
          <w:szCs w:val="26"/>
          <w:rtl/>
        </w:rPr>
        <w:t xml:space="preserve"> </w:t>
      </w:r>
    </w:p>
    <w:p w14:paraId="013F4DA0" w14:textId="77777777" w:rsidR="001F6032" w:rsidRDefault="00975154">
      <w:pPr>
        <w:spacing w:line="360" w:lineRule="auto"/>
        <w:ind w:left="720"/>
        <w:jc w:val="both"/>
        <w:rPr>
          <w:sz w:val="26"/>
          <w:szCs w:val="26"/>
          <w:rtl/>
        </w:rPr>
      </w:pPr>
      <w:r>
        <w:rPr>
          <w:rFonts w:hint="cs"/>
          <w:sz w:val="26"/>
          <w:szCs w:val="26"/>
          <w:rtl/>
        </w:rPr>
        <w:t xml:space="preserve">לדעתי, על פי הפסיקה שהובאה לעיל, לא ניתן לראות בכל חמשת האירועים כ"אירוע אחד" על פי </w:t>
      </w:r>
      <w:hyperlink r:id="rId59" w:history="1">
        <w:r w:rsidR="00263A71" w:rsidRPr="00263A71">
          <w:rPr>
            <w:color w:val="0000FF"/>
            <w:sz w:val="26"/>
            <w:szCs w:val="26"/>
            <w:u w:val="single"/>
            <w:rtl/>
          </w:rPr>
          <w:t>סעיף 40יג</w:t>
        </w:r>
      </w:hyperlink>
      <w:r>
        <w:rPr>
          <w:rFonts w:hint="cs"/>
          <w:sz w:val="26"/>
          <w:szCs w:val="26"/>
          <w:rtl/>
        </w:rPr>
        <w:t xml:space="preserve"> לחוק, כטענת הסניגור המלומד. גם אם נתייחס לשלושת האירועים הראשונים שאירעו במועדים לא ידועים למאשימה כ"אירוע אחד", שני האירועים הנוספים הם נפרדים, בהפרש של כמחצית השנה ביניהם, כאשר בכל אחד מהם עבר הנאשם מספר עבירות. לכן, לשיטתי, יש לקבוע מתחמי ענישה שונים ביחס לכל אירוע, כאמור </w:t>
      </w:r>
      <w:hyperlink r:id="rId60" w:history="1">
        <w:r w:rsidR="00263A71" w:rsidRPr="00263A71">
          <w:rPr>
            <w:color w:val="0000FF"/>
            <w:sz w:val="26"/>
            <w:szCs w:val="26"/>
            <w:u w:val="single"/>
            <w:rtl/>
          </w:rPr>
          <w:t>בסעיף 40יג(ב)</w:t>
        </w:r>
      </w:hyperlink>
      <w:r>
        <w:rPr>
          <w:rFonts w:hint="cs"/>
          <w:sz w:val="26"/>
          <w:szCs w:val="26"/>
          <w:rtl/>
        </w:rPr>
        <w:t xml:space="preserve"> לחוק, ובסך הכול לקבוע שלושה מתחמי ענישה: לשלושת האירועים הראשונים שבאישום השני; לאירוע מיום 15.5.13; לאירוע מיום 19.11.13.</w:t>
      </w:r>
    </w:p>
    <w:p w14:paraId="7491AA0B" w14:textId="77777777" w:rsidR="001F6032" w:rsidRDefault="001F6032">
      <w:pPr>
        <w:spacing w:line="360" w:lineRule="auto"/>
        <w:jc w:val="both"/>
        <w:rPr>
          <w:sz w:val="26"/>
          <w:szCs w:val="26"/>
          <w:rtl/>
        </w:rPr>
      </w:pPr>
    </w:p>
    <w:p w14:paraId="13356DAC" w14:textId="77777777" w:rsidR="001F6032" w:rsidRDefault="00975154">
      <w:pPr>
        <w:spacing w:line="360" w:lineRule="auto"/>
        <w:ind w:left="720" w:hanging="720"/>
        <w:jc w:val="both"/>
        <w:rPr>
          <w:sz w:val="26"/>
          <w:szCs w:val="26"/>
          <w:rtl/>
        </w:rPr>
      </w:pPr>
      <w:r>
        <w:rPr>
          <w:rFonts w:hint="cs"/>
          <w:sz w:val="26"/>
          <w:szCs w:val="26"/>
          <w:rtl/>
        </w:rPr>
        <w:t>16.</w:t>
      </w:r>
      <w:r>
        <w:rPr>
          <w:rFonts w:hint="cs"/>
          <w:sz w:val="26"/>
          <w:szCs w:val="26"/>
          <w:rtl/>
        </w:rPr>
        <w:tab/>
        <w:t xml:space="preserve">זאת ועוד. לדעתי, גם אין מקום לקבוע מתחם ענישה נפרד לכל עבירה באירוע מיום 19.11.13, כטענת ב"כ המאשימה. אכן, מלבד ההשתתפות של הנאשם בהתפרעות ויידוי אבנים לעבר כוחות הביטחון, פרש הנאשם מקבוצת המתפרעים, קנה בנזין, הכין בקבוק תבערה שב לחבורה ויידה אותו לעבר כוחות הביטחון. ברם, נראה שעל פי הפסיקה שהובאה לעיל, המדובר ברצף מעשים הסמוכים ביותר זה לזה: היינו, עוד בטרם הסתיימה ההתפרעות שב הנאשם למקום ויידה את בקבוק התבערה כחלק מהשתתפותו האינטגרלית בהתפרעות. על כן, לשיטתי, אין מקום להפריד ולקבוע מתחמי ענישה נפרדים בגין התפרעות ויידוי האבנים, תקיפת השוטרים,  ייצור בקבוק התבערה ויידויו לעבר השוטרים. בכל האירועים שצוינו, עבר הנאשם מספר עבירות, ועל כן יש לקבוע מתחם ענישה ביחס לכל העבירות שבכל אירוע כמקשה אחת, כאמור </w:t>
      </w:r>
      <w:hyperlink r:id="rId61" w:history="1">
        <w:r w:rsidR="00263A71" w:rsidRPr="00263A71">
          <w:rPr>
            <w:color w:val="0000FF"/>
            <w:sz w:val="26"/>
            <w:szCs w:val="26"/>
            <w:u w:val="single"/>
            <w:rtl/>
          </w:rPr>
          <w:t>בסעיף 40יג(א)</w:t>
        </w:r>
      </w:hyperlink>
      <w:r>
        <w:rPr>
          <w:rFonts w:hint="cs"/>
          <w:sz w:val="26"/>
          <w:szCs w:val="26"/>
          <w:rtl/>
        </w:rPr>
        <w:t xml:space="preserve"> לחוק.</w:t>
      </w:r>
    </w:p>
    <w:p w14:paraId="03BD204D" w14:textId="77777777" w:rsidR="001F6032" w:rsidRDefault="001F6032">
      <w:pPr>
        <w:spacing w:line="360" w:lineRule="auto"/>
        <w:jc w:val="both"/>
        <w:rPr>
          <w:sz w:val="26"/>
          <w:szCs w:val="26"/>
          <w:rtl/>
        </w:rPr>
      </w:pPr>
    </w:p>
    <w:p w14:paraId="098CE206" w14:textId="77777777" w:rsidR="001F6032" w:rsidRDefault="00975154">
      <w:pPr>
        <w:spacing w:line="360" w:lineRule="auto"/>
        <w:jc w:val="both"/>
        <w:rPr>
          <w:b/>
          <w:bCs/>
          <w:sz w:val="26"/>
          <w:szCs w:val="26"/>
          <w:u w:val="single"/>
          <w:rtl/>
        </w:rPr>
      </w:pPr>
      <w:r>
        <w:rPr>
          <w:rFonts w:hint="cs"/>
          <w:b/>
          <w:bCs/>
          <w:sz w:val="26"/>
          <w:szCs w:val="26"/>
          <w:u w:val="single"/>
          <w:rtl/>
        </w:rPr>
        <w:t>מן הכלל אל הפרט</w:t>
      </w:r>
    </w:p>
    <w:p w14:paraId="7CC7AE8F" w14:textId="77777777" w:rsidR="001F6032" w:rsidRDefault="00975154">
      <w:pPr>
        <w:spacing w:line="360" w:lineRule="auto"/>
        <w:ind w:left="720" w:hanging="720"/>
        <w:jc w:val="both"/>
        <w:rPr>
          <w:color w:val="FF0000"/>
          <w:sz w:val="26"/>
          <w:szCs w:val="26"/>
          <w:rtl/>
        </w:rPr>
      </w:pPr>
      <w:r>
        <w:rPr>
          <w:rFonts w:hint="cs"/>
          <w:sz w:val="26"/>
          <w:szCs w:val="26"/>
          <w:rtl/>
        </w:rPr>
        <w:t>17.</w:t>
      </w:r>
      <w:r>
        <w:rPr>
          <w:rFonts w:hint="cs"/>
          <w:sz w:val="26"/>
          <w:szCs w:val="26"/>
          <w:rtl/>
        </w:rPr>
        <w:tab/>
        <w:t xml:space="preserve">הערכים החברתיים שנפגעו במקרה זה הם פגיעה בביטחון המדינה ויציבותה, מעצם היותו של הנאשם חבר בארגון טרור ופעילות במסגרת ארגון זה - ארגון העוסק בחתירה תחת יסודות קיומה של מדינת ישראל. כמו כן, פגע הנאשם בערך של שמירה על גוף האדם וחיי אדם, כאשר יידה אבנים ובקבוק תבערה לעבר כוחות הביטחון. כן  נפגע הערך של השמירה על הסדר הציבור, כאשר הנאשם השתתף בהתפרעויות ובמספר פעולות של יידוי אבנים וזיקוקים לעבר כוחות הביטחון. </w:t>
      </w:r>
    </w:p>
    <w:p w14:paraId="13808E80" w14:textId="77777777" w:rsidR="001F6032" w:rsidRDefault="001F6032">
      <w:pPr>
        <w:spacing w:line="360" w:lineRule="auto"/>
        <w:jc w:val="both"/>
        <w:rPr>
          <w:sz w:val="26"/>
          <w:szCs w:val="26"/>
          <w:rtl/>
        </w:rPr>
      </w:pPr>
    </w:p>
    <w:p w14:paraId="45E7835D" w14:textId="77777777" w:rsidR="001F6032" w:rsidRDefault="00975154">
      <w:pPr>
        <w:spacing w:line="360" w:lineRule="auto"/>
        <w:ind w:left="708" w:hanging="708"/>
        <w:jc w:val="both"/>
        <w:rPr>
          <w:sz w:val="26"/>
          <w:szCs w:val="26"/>
          <w:rtl/>
        </w:rPr>
      </w:pPr>
      <w:r>
        <w:rPr>
          <w:rFonts w:hint="cs"/>
          <w:sz w:val="26"/>
          <w:szCs w:val="26"/>
          <w:rtl/>
        </w:rPr>
        <w:t>18.</w:t>
      </w:r>
      <w:r>
        <w:rPr>
          <w:rFonts w:hint="cs"/>
          <w:sz w:val="26"/>
          <w:szCs w:val="26"/>
          <w:rtl/>
        </w:rPr>
        <w:tab/>
      </w:r>
      <w:hyperlink r:id="rId62" w:history="1">
        <w:r w:rsidR="00263A71" w:rsidRPr="00263A71">
          <w:rPr>
            <w:color w:val="0000FF"/>
            <w:sz w:val="26"/>
            <w:szCs w:val="26"/>
            <w:u w:val="single"/>
            <w:rtl/>
          </w:rPr>
          <w:t>סעיף 40ט'</w:t>
        </w:r>
      </w:hyperlink>
      <w:r>
        <w:rPr>
          <w:rFonts w:hint="cs"/>
          <w:sz w:val="26"/>
          <w:szCs w:val="26"/>
          <w:rtl/>
        </w:rPr>
        <w:t xml:space="preserve"> לחוק קובע באילו </w:t>
      </w:r>
      <w:r>
        <w:rPr>
          <w:rFonts w:hint="cs"/>
          <w:sz w:val="26"/>
          <w:szCs w:val="26"/>
          <w:u w:val="single"/>
          <w:rtl/>
        </w:rPr>
        <w:t>נסיבות הקשורות בביצוע העבירה</w:t>
      </w:r>
      <w:r>
        <w:rPr>
          <w:rFonts w:hint="cs"/>
          <w:sz w:val="26"/>
          <w:szCs w:val="26"/>
          <w:rtl/>
        </w:rPr>
        <w:t xml:space="preserve">, במידה שהתקיימו, על בית המשפט להתחשב בקביעת מתחם העונש ההולם. להלן יובאו הנסיבות שמנה המחוקק וההתייחסות ביחס לנסיבות הרלוונטיות למקרה שלפנינו. </w:t>
      </w:r>
    </w:p>
    <w:p w14:paraId="5DA76FD5" w14:textId="77777777" w:rsidR="001F6032" w:rsidRDefault="001F6032">
      <w:pPr>
        <w:spacing w:line="360" w:lineRule="auto"/>
        <w:ind w:left="708" w:hanging="708"/>
        <w:jc w:val="both"/>
        <w:rPr>
          <w:sz w:val="26"/>
          <w:szCs w:val="26"/>
          <w:rtl/>
        </w:rPr>
      </w:pPr>
    </w:p>
    <w:p w14:paraId="7B7A318A" w14:textId="77777777" w:rsidR="001F6032" w:rsidRDefault="001F6032">
      <w:pPr>
        <w:spacing w:line="360" w:lineRule="auto"/>
        <w:ind w:left="708" w:hanging="708"/>
        <w:jc w:val="both"/>
        <w:rPr>
          <w:sz w:val="26"/>
          <w:szCs w:val="26"/>
          <w:rtl/>
        </w:rPr>
      </w:pPr>
    </w:p>
    <w:p w14:paraId="19CB824E" w14:textId="77777777" w:rsidR="001F6032" w:rsidRDefault="00975154">
      <w:pPr>
        <w:pStyle w:val="P00"/>
        <w:spacing w:before="0" w:line="360" w:lineRule="auto"/>
        <w:ind w:left="708" w:right="1134"/>
        <w:rPr>
          <w:rStyle w:val="default"/>
          <w:rFonts w:cs="David"/>
          <w:noProof w:val="0"/>
          <w:rtl/>
        </w:rPr>
      </w:pPr>
      <w:r>
        <w:rPr>
          <w:rStyle w:val="default"/>
          <w:rFonts w:cs="David" w:hint="cs"/>
          <w:noProof w:val="0"/>
          <w:rtl/>
        </w:rPr>
        <w:t>(1)</w:t>
      </w:r>
      <w:r>
        <w:rPr>
          <w:rStyle w:val="default"/>
          <w:rFonts w:cs="David" w:hint="cs"/>
          <w:noProof w:val="0"/>
          <w:rtl/>
        </w:rPr>
        <w:tab/>
      </w:r>
      <w:r>
        <w:rPr>
          <w:rStyle w:val="default"/>
          <w:rFonts w:cs="David" w:hint="cs"/>
          <w:b/>
          <w:bCs/>
          <w:noProof w:val="0"/>
          <w:rtl/>
        </w:rPr>
        <w:t>התכנון שקדם לביצוע העבירה;</w:t>
      </w:r>
    </w:p>
    <w:p w14:paraId="2F52B7E3" w14:textId="77777777" w:rsidR="001F6032" w:rsidRDefault="00975154">
      <w:pPr>
        <w:pStyle w:val="P00"/>
        <w:spacing w:before="72" w:line="360" w:lineRule="auto"/>
        <w:ind w:left="708"/>
        <w:rPr>
          <w:rStyle w:val="default"/>
          <w:rFonts w:cs="David"/>
          <w:noProof w:val="0"/>
          <w:rtl/>
        </w:rPr>
      </w:pPr>
      <w:r>
        <w:rPr>
          <w:rStyle w:val="default"/>
          <w:rFonts w:cs="David" w:hint="cs"/>
          <w:noProof w:val="0"/>
          <w:rtl/>
        </w:rPr>
        <w:t xml:space="preserve">כעולה מהעובדות של כתב האישום באישום הראשון הצטרף הנאשם במהלך שנת 2010 לארגון טרור, וברי שקדם לכך תכנון בטרם עשה כן. </w:t>
      </w:r>
    </w:p>
    <w:p w14:paraId="1365593B" w14:textId="77777777" w:rsidR="001F6032" w:rsidRDefault="00975154">
      <w:pPr>
        <w:pStyle w:val="P00"/>
        <w:spacing w:before="72" w:line="360" w:lineRule="auto"/>
        <w:ind w:left="708"/>
        <w:rPr>
          <w:rStyle w:val="default"/>
          <w:rFonts w:cs="David"/>
          <w:noProof w:val="0"/>
          <w:rtl/>
        </w:rPr>
      </w:pPr>
      <w:r>
        <w:rPr>
          <w:rStyle w:val="default"/>
          <w:rFonts w:cs="David" w:hint="cs"/>
          <w:noProof w:val="0"/>
          <w:rtl/>
        </w:rPr>
        <w:t xml:space="preserve">כך הם פני הדברים גם באשר להשתתפותו במחאת ההזדהות שנערכה על ידי הארגון ביום 22.2.14, כאמור בסעיף 4 לאישום הראשון. </w:t>
      </w:r>
    </w:p>
    <w:p w14:paraId="321CF723" w14:textId="77777777" w:rsidR="001F6032" w:rsidRDefault="00975154">
      <w:pPr>
        <w:pStyle w:val="P00"/>
        <w:spacing w:before="72" w:line="360" w:lineRule="auto"/>
        <w:ind w:left="708"/>
        <w:rPr>
          <w:rStyle w:val="default"/>
          <w:rFonts w:cs="David"/>
          <w:noProof w:val="0"/>
          <w:rtl/>
        </w:rPr>
      </w:pPr>
      <w:r>
        <w:rPr>
          <w:rStyle w:val="default"/>
          <w:rFonts w:cs="David" w:hint="cs"/>
          <w:noProof w:val="0"/>
          <w:rtl/>
        </w:rPr>
        <w:t xml:space="preserve">דברים דומים יש לומר גם ביחס למפורט באישום השני, כאשר הנאשם נטל חלק בידויי אבנים ובקבוקי תבעירה בהזדמנויות שונות במהלך שנת 2013 לעבר כוחות הביטחון, כאשר על מצחו בד אשר עליו הסמל של ארגון הטרור. </w:t>
      </w:r>
    </w:p>
    <w:p w14:paraId="1C41D73A" w14:textId="77777777" w:rsidR="001F6032" w:rsidRDefault="00975154">
      <w:pPr>
        <w:pStyle w:val="P00"/>
        <w:spacing w:before="72" w:line="360" w:lineRule="auto"/>
        <w:ind w:left="708"/>
        <w:rPr>
          <w:rStyle w:val="default"/>
          <w:rFonts w:cs="David"/>
          <w:noProof w:val="0"/>
          <w:rtl/>
        </w:rPr>
      </w:pPr>
      <w:r>
        <w:rPr>
          <w:rStyle w:val="default"/>
          <w:rFonts w:cs="David" w:hint="cs"/>
          <w:noProof w:val="0"/>
          <w:rtl/>
        </w:rPr>
        <w:t xml:space="preserve">אף כאן ברי כי פעילויותיו של הנאשם נעשו תוך כדי תכנון מראש. </w:t>
      </w:r>
    </w:p>
    <w:p w14:paraId="24EA99EC" w14:textId="77777777" w:rsidR="001F6032" w:rsidRDefault="001F6032">
      <w:pPr>
        <w:pStyle w:val="P00"/>
        <w:spacing w:before="72" w:line="360" w:lineRule="auto"/>
        <w:ind w:left="708"/>
        <w:rPr>
          <w:rStyle w:val="default"/>
          <w:rFonts w:cs="David"/>
          <w:noProof w:val="0"/>
          <w:rtl/>
        </w:rPr>
      </w:pPr>
    </w:p>
    <w:p w14:paraId="571FC202" w14:textId="77777777" w:rsidR="001F6032" w:rsidRDefault="00975154">
      <w:pPr>
        <w:pStyle w:val="P00"/>
        <w:tabs>
          <w:tab w:val="clear" w:pos="1021"/>
          <w:tab w:val="left" w:pos="283"/>
        </w:tabs>
        <w:spacing w:before="72" w:line="360" w:lineRule="auto"/>
        <w:ind w:left="708"/>
        <w:rPr>
          <w:rStyle w:val="default"/>
          <w:rFonts w:cs="David"/>
          <w:noProof w:val="0"/>
          <w:rtl/>
        </w:rPr>
      </w:pPr>
      <w:r>
        <w:rPr>
          <w:rStyle w:val="default"/>
          <w:rFonts w:cs="David" w:hint="cs"/>
          <w:noProof w:val="0"/>
          <w:rtl/>
        </w:rPr>
        <w:t xml:space="preserve">(2) </w:t>
      </w:r>
      <w:r>
        <w:rPr>
          <w:rStyle w:val="default"/>
          <w:rFonts w:cs="David" w:hint="cs"/>
          <w:b/>
          <w:bCs/>
          <w:noProof w:val="0"/>
          <w:rtl/>
        </w:rPr>
        <w:t>חלקו היחסי של הנאשם בביצוע העבירה ומידת ההשפעה של אחר על הנאשם בביצוע העבירה;</w:t>
      </w:r>
    </w:p>
    <w:p w14:paraId="7862A74E" w14:textId="77777777" w:rsidR="001F6032" w:rsidRDefault="00975154">
      <w:pPr>
        <w:pStyle w:val="P00"/>
        <w:spacing w:before="72" w:line="360" w:lineRule="auto"/>
        <w:ind w:left="708"/>
        <w:rPr>
          <w:rStyle w:val="default"/>
          <w:rFonts w:cs="David"/>
          <w:noProof w:val="0"/>
          <w:rtl/>
        </w:rPr>
      </w:pPr>
      <w:r>
        <w:rPr>
          <w:rStyle w:val="default"/>
          <w:rFonts w:cs="David" w:hint="cs"/>
          <w:noProof w:val="0"/>
          <w:rtl/>
        </w:rPr>
        <w:t xml:space="preserve">כאמור, הנאשם נטל חלק יחד עם אחרים בפעילויות שונות במסגרת ארגון הטרור. על פי כתב האישום, בחמישה מועדים שונים נטל הנאשם חלק פעיל בהתפרעויות יחד עם אחרים ביידוי אבנים לעבר כוחות הביטחון. באחד המועדים החליט הנאשם לזרוק בקבוק תבערה לעבר כוחות הביטחון ולשם כך הלך לתחנת דלק סמוכה, רכש בנזין, חזר לאזור ההתפרעות, מילא בקבוק בבנזין, הוסיף פיסת בד, הצית את הפתיל ויידה אותו לעבר כוחות הביטחון. על פי המובן מכתב האישום, נעשו הדברים ביוזמתו מבלי שהושפע על ידי אחרים לעשות כן. יתר על כן, בכתב האישום, בתסקיר שירות המבחן, בטיעוני הסניגור ובדברי הנאשם, לא מצינו כל טענה כי מעשיו של הנאשם נעשו בהשפעתו של מאן דהוא. </w:t>
      </w:r>
    </w:p>
    <w:p w14:paraId="7BB960B4" w14:textId="77777777" w:rsidR="001F6032" w:rsidRDefault="001F6032">
      <w:pPr>
        <w:pStyle w:val="P00"/>
        <w:spacing w:before="72" w:line="360" w:lineRule="auto"/>
        <w:ind w:left="708"/>
        <w:rPr>
          <w:rStyle w:val="default"/>
          <w:rFonts w:cs="David"/>
          <w:noProof w:val="0"/>
          <w:rtl/>
        </w:rPr>
      </w:pPr>
    </w:p>
    <w:p w14:paraId="11BFE5E2" w14:textId="77777777" w:rsidR="001F6032" w:rsidRDefault="00975154">
      <w:pPr>
        <w:pStyle w:val="P00"/>
        <w:tabs>
          <w:tab w:val="clear" w:pos="1021"/>
          <w:tab w:val="left" w:pos="283"/>
        </w:tabs>
        <w:spacing w:before="72"/>
        <w:ind w:left="567"/>
        <w:rPr>
          <w:rStyle w:val="default"/>
          <w:rFonts w:cs="David"/>
          <w:noProof w:val="0"/>
          <w:rtl/>
        </w:rPr>
      </w:pPr>
      <w:r>
        <w:rPr>
          <w:rStyle w:val="default"/>
          <w:rFonts w:cs="David" w:hint="cs"/>
          <w:noProof w:val="0"/>
          <w:rtl/>
        </w:rPr>
        <w:t>(3)</w:t>
      </w:r>
      <w:r>
        <w:rPr>
          <w:rStyle w:val="default"/>
          <w:rFonts w:cs="David" w:hint="cs"/>
          <w:b/>
          <w:bCs/>
          <w:noProof w:val="0"/>
          <w:rtl/>
        </w:rPr>
        <w:t xml:space="preserve"> הנזק שהיה צפוי להיגרם מביצוע העבירה;</w:t>
      </w:r>
    </w:p>
    <w:p w14:paraId="09E2D8C2" w14:textId="77777777" w:rsidR="001F6032" w:rsidRDefault="00975154">
      <w:pPr>
        <w:pStyle w:val="P00"/>
        <w:spacing w:before="72" w:line="360" w:lineRule="auto"/>
        <w:ind w:left="708"/>
        <w:rPr>
          <w:rStyle w:val="default"/>
          <w:rFonts w:cs="David"/>
          <w:noProof w:val="0"/>
          <w:rtl/>
        </w:rPr>
      </w:pPr>
      <w:r>
        <w:rPr>
          <w:rStyle w:val="default"/>
          <w:rFonts w:cs="David" w:hint="cs"/>
          <w:noProof w:val="0"/>
          <w:rtl/>
        </w:rPr>
        <w:t xml:space="preserve">הנזק שהיה צפוי להיגרם מביצוע כל אחת מהעבירות הוא רב ביותר. יידוי אבנים, זיקוקים ובקבוק תבערה לעבר כוחות הביטחון עלול לגרום לפגיעה קשה בנפש, ודומה כי אין צורך להרחיב באשר לכך. </w:t>
      </w:r>
    </w:p>
    <w:p w14:paraId="5EA25328" w14:textId="77777777" w:rsidR="001F6032" w:rsidRDefault="001F6032">
      <w:pPr>
        <w:pStyle w:val="P00"/>
        <w:spacing w:before="72" w:line="360" w:lineRule="auto"/>
        <w:ind w:left="708"/>
        <w:rPr>
          <w:rStyle w:val="default"/>
          <w:rFonts w:cs="David"/>
          <w:noProof w:val="0"/>
          <w:rtl/>
        </w:rPr>
      </w:pPr>
    </w:p>
    <w:p w14:paraId="145D06B7" w14:textId="77777777" w:rsidR="001F6032" w:rsidRDefault="001F6032">
      <w:pPr>
        <w:pStyle w:val="P00"/>
        <w:spacing w:before="72" w:line="360" w:lineRule="auto"/>
        <w:ind w:left="708"/>
        <w:rPr>
          <w:rStyle w:val="default"/>
          <w:rFonts w:cs="David"/>
          <w:noProof w:val="0"/>
          <w:rtl/>
        </w:rPr>
      </w:pPr>
    </w:p>
    <w:p w14:paraId="4FD76482" w14:textId="77777777" w:rsidR="001F6032" w:rsidRDefault="00975154">
      <w:pPr>
        <w:pStyle w:val="P00"/>
        <w:tabs>
          <w:tab w:val="clear" w:pos="1021"/>
          <w:tab w:val="left" w:pos="283"/>
        </w:tabs>
        <w:spacing w:before="72" w:line="360" w:lineRule="auto"/>
        <w:ind w:left="567"/>
        <w:rPr>
          <w:rStyle w:val="default"/>
          <w:rFonts w:cs="David"/>
          <w:noProof w:val="0"/>
          <w:rtl/>
        </w:rPr>
      </w:pPr>
      <w:r>
        <w:rPr>
          <w:rStyle w:val="default"/>
          <w:rFonts w:cs="David" w:hint="cs"/>
          <w:noProof w:val="0"/>
          <w:rtl/>
        </w:rPr>
        <w:tab/>
        <w:t>(4)</w:t>
      </w:r>
      <w:r>
        <w:rPr>
          <w:rStyle w:val="default"/>
          <w:rFonts w:cs="David" w:hint="cs"/>
          <w:b/>
          <w:bCs/>
          <w:noProof w:val="0"/>
          <w:rtl/>
        </w:rPr>
        <w:t xml:space="preserve"> הנזק שנגרם מביצוע העבירה</w:t>
      </w:r>
      <w:r>
        <w:rPr>
          <w:rStyle w:val="default"/>
          <w:rFonts w:cs="David" w:hint="cs"/>
          <w:noProof w:val="0"/>
          <w:rtl/>
        </w:rPr>
        <w:t>;</w:t>
      </w:r>
    </w:p>
    <w:p w14:paraId="1537BAC0" w14:textId="77777777" w:rsidR="001F6032" w:rsidRDefault="00975154">
      <w:pPr>
        <w:pStyle w:val="P00"/>
        <w:tabs>
          <w:tab w:val="clear" w:pos="1021"/>
          <w:tab w:val="left" w:pos="283"/>
        </w:tabs>
        <w:spacing w:before="72" w:line="360" w:lineRule="auto"/>
        <w:ind w:left="567"/>
        <w:rPr>
          <w:rStyle w:val="default"/>
          <w:rFonts w:cs="David"/>
          <w:noProof w:val="0"/>
          <w:rtl/>
        </w:rPr>
      </w:pPr>
      <w:r>
        <w:rPr>
          <w:rStyle w:val="default"/>
          <w:rFonts w:cs="David" w:hint="cs"/>
          <w:noProof w:val="0"/>
          <w:rtl/>
        </w:rPr>
        <w:t xml:space="preserve">כעולה מהאמור בסעיף 3 לאישום השני, באירוע מיום 19.11.13, במהלך ההתפרעות שהייתה במקום, שבה נטל הנאשם חלק, נפגעו מספר שוטרים מאבנים שנזרקו לעברם, ושלושה מהם אף נזקקו לטיפול רפואי. </w:t>
      </w:r>
    </w:p>
    <w:p w14:paraId="16042454" w14:textId="77777777" w:rsidR="001F6032" w:rsidRDefault="001F6032">
      <w:pPr>
        <w:pStyle w:val="P00"/>
        <w:tabs>
          <w:tab w:val="clear" w:pos="1021"/>
          <w:tab w:val="left" w:pos="283"/>
        </w:tabs>
        <w:spacing w:before="72" w:line="360" w:lineRule="auto"/>
        <w:ind w:left="567"/>
        <w:rPr>
          <w:rStyle w:val="default"/>
          <w:rFonts w:cs="David"/>
          <w:noProof w:val="0"/>
          <w:rtl/>
        </w:rPr>
      </w:pPr>
    </w:p>
    <w:p w14:paraId="37F2766B" w14:textId="77777777" w:rsidR="001F6032" w:rsidRDefault="00975154">
      <w:pPr>
        <w:pStyle w:val="P00"/>
        <w:tabs>
          <w:tab w:val="clear" w:pos="1021"/>
          <w:tab w:val="left" w:pos="283"/>
        </w:tabs>
        <w:spacing w:before="72" w:line="360" w:lineRule="auto"/>
        <w:ind w:left="567"/>
        <w:rPr>
          <w:rStyle w:val="default"/>
          <w:rFonts w:cs="David"/>
          <w:noProof w:val="0"/>
          <w:rtl/>
        </w:rPr>
      </w:pPr>
      <w:r>
        <w:rPr>
          <w:rStyle w:val="default"/>
          <w:rFonts w:cs="David" w:hint="cs"/>
          <w:noProof w:val="0"/>
          <w:rtl/>
        </w:rPr>
        <w:tab/>
        <w:t>(5)</w:t>
      </w:r>
      <w:r>
        <w:rPr>
          <w:rStyle w:val="default"/>
          <w:rFonts w:cs="David" w:hint="cs"/>
          <w:b/>
          <w:bCs/>
          <w:noProof w:val="0"/>
          <w:rtl/>
        </w:rPr>
        <w:t xml:space="preserve"> הסיבות שהביאו את הנאשם לבצע את העבירה;</w:t>
      </w:r>
    </w:p>
    <w:p w14:paraId="6BB5C0C8" w14:textId="77777777" w:rsidR="001F6032" w:rsidRDefault="00975154">
      <w:pPr>
        <w:pStyle w:val="P00"/>
        <w:tabs>
          <w:tab w:val="clear" w:pos="1021"/>
          <w:tab w:val="left" w:pos="283"/>
        </w:tabs>
        <w:spacing w:before="72" w:line="360" w:lineRule="auto"/>
        <w:ind w:left="567"/>
        <w:rPr>
          <w:rStyle w:val="default"/>
          <w:rFonts w:cs="David"/>
          <w:noProof w:val="0"/>
          <w:rtl/>
        </w:rPr>
      </w:pPr>
      <w:r>
        <w:rPr>
          <w:rStyle w:val="default"/>
          <w:rFonts w:cs="David" w:hint="cs"/>
          <w:noProof w:val="0"/>
          <w:rtl/>
        </w:rPr>
        <w:t xml:space="preserve">הצטרפותו של הנאשם לארגון הטרור, כמו גם ביצוע המעשים המפורטים בכתבה האישום נעשו מתוך מניע אידיאולוגי מובהק, אשר יש בו אלמנטים של פעילות טרור עממי של צעירים שהתגייסו לארגון הטרור, שיש בו פן של החמרה למעשים. </w:t>
      </w:r>
    </w:p>
    <w:p w14:paraId="36B1B7A9" w14:textId="77777777" w:rsidR="001F6032" w:rsidRDefault="001F6032">
      <w:pPr>
        <w:pStyle w:val="P00"/>
        <w:tabs>
          <w:tab w:val="clear" w:pos="1021"/>
          <w:tab w:val="left" w:pos="283"/>
        </w:tabs>
        <w:spacing w:before="72" w:line="360" w:lineRule="auto"/>
        <w:ind w:left="567"/>
        <w:rPr>
          <w:rStyle w:val="default"/>
          <w:rFonts w:cs="David"/>
          <w:noProof w:val="0"/>
          <w:rtl/>
        </w:rPr>
      </w:pPr>
    </w:p>
    <w:p w14:paraId="5ADFA3BD" w14:textId="77777777" w:rsidR="001F6032" w:rsidRDefault="00975154">
      <w:pPr>
        <w:pStyle w:val="P00"/>
        <w:tabs>
          <w:tab w:val="clear" w:pos="1021"/>
          <w:tab w:val="clear" w:pos="1474"/>
          <w:tab w:val="left" w:pos="283"/>
          <w:tab w:val="left" w:pos="708"/>
        </w:tabs>
        <w:spacing w:before="72" w:line="360" w:lineRule="auto"/>
        <w:ind w:left="567" w:hanging="283"/>
        <w:rPr>
          <w:rStyle w:val="default"/>
          <w:rFonts w:cs="David"/>
          <w:noProof w:val="0"/>
          <w:rtl/>
        </w:rPr>
      </w:pPr>
      <w:r>
        <w:rPr>
          <w:rStyle w:val="default"/>
          <w:rFonts w:cs="David" w:hint="cs"/>
          <w:noProof w:val="0"/>
          <w:rtl/>
        </w:rPr>
        <w:tab/>
        <w:t>(6)</w:t>
      </w:r>
      <w:r>
        <w:rPr>
          <w:rStyle w:val="default"/>
          <w:rFonts w:cs="David" w:hint="cs"/>
          <w:b/>
          <w:bCs/>
          <w:noProof w:val="0"/>
          <w:rtl/>
        </w:rPr>
        <w:t xml:space="preserve"> יכולתו של הנאשם להבין את אשר הוא עושה, את הפסול שבמעשהו או את משמעות מעשהו, לרבות בשל גילו;</w:t>
      </w:r>
    </w:p>
    <w:p w14:paraId="50995F3A" w14:textId="77777777" w:rsidR="001F6032" w:rsidRDefault="00975154">
      <w:pPr>
        <w:pStyle w:val="P00"/>
        <w:tabs>
          <w:tab w:val="clear" w:pos="1021"/>
          <w:tab w:val="clear" w:pos="1474"/>
          <w:tab w:val="left" w:pos="283"/>
          <w:tab w:val="left" w:pos="567"/>
        </w:tabs>
        <w:spacing w:before="72" w:line="360" w:lineRule="auto"/>
        <w:ind w:left="567" w:hanging="283"/>
        <w:rPr>
          <w:rStyle w:val="default"/>
          <w:rFonts w:cs="David"/>
          <w:noProof w:val="0"/>
          <w:rtl/>
        </w:rPr>
      </w:pPr>
      <w:r>
        <w:rPr>
          <w:rStyle w:val="default"/>
          <w:rFonts w:cs="David"/>
          <w:noProof w:val="0"/>
          <w:rtl/>
        </w:rPr>
        <w:tab/>
      </w:r>
      <w:r>
        <w:rPr>
          <w:rStyle w:val="default"/>
          <w:rFonts w:cs="David"/>
          <w:noProof w:val="0"/>
          <w:rtl/>
        </w:rPr>
        <w:tab/>
      </w:r>
      <w:r>
        <w:rPr>
          <w:rStyle w:val="default"/>
          <w:rFonts w:cs="David" w:hint="cs"/>
          <w:noProof w:val="0"/>
          <w:rtl/>
        </w:rPr>
        <w:t xml:space="preserve">על אף גילו הצעיר בעת הצטרפותו לארגון הטרור מתקבל הרושם כי ידע היטב את מטרותיו של הארגון ונפגש יחד עם אחרים לתכנון פעולות שונות במסגרת הארגון. כך, כאשר ביום 22.2.14, הידוע כיום ייסוד הארגון, השתתף במחאת הזדהות שנערכה מטעם ארגון הטרור בעיסוייה. </w:t>
      </w:r>
    </w:p>
    <w:p w14:paraId="26E71E8C" w14:textId="77777777" w:rsidR="001F6032" w:rsidRDefault="00975154">
      <w:pPr>
        <w:pStyle w:val="P00"/>
        <w:tabs>
          <w:tab w:val="clear" w:pos="1021"/>
          <w:tab w:val="clear" w:pos="1474"/>
          <w:tab w:val="left" w:pos="283"/>
          <w:tab w:val="left" w:pos="567"/>
        </w:tabs>
        <w:spacing w:before="72" w:line="360" w:lineRule="auto"/>
        <w:ind w:left="567" w:hanging="283"/>
        <w:rPr>
          <w:rStyle w:val="default"/>
          <w:rFonts w:cs="David"/>
          <w:noProof w:val="0"/>
          <w:rtl/>
        </w:rPr>
      </w:pPr>
      <w:r>
        <w:rPr>
          <w:rStyle w:val="default"/>
          <w:rFonts w:cs="David"/>
          <w:noProof w:val="0"/>
          <w:rtl/>
        </w:rPr>
        <w:tab/>
      </w:r>
      <w:r>
        <w:rPr>
          <w:rStyle w:val="default"/>
          <w:rFonts w:cs="David" w:hint="cs"/>
          <w:noProof w:val="0"/>
          <w:rtl/>
        </w:rPr>
        <w:t>כך בהמשך מעשיו, כאשר נטל חלק פעיל ביידוי אבנים, זיקוקים ובקבוק תבערה לעבר כוחות הביטחון. לא נשמעה כל טענה, כי הנאשם לא הבין את אשר הוא עושה ואת הפסול במעשיו. היבט לחומרה יש בכך שמעשיו נעשו לאחר שכבר הוגש נגדו כתב אישום לבית משפט השלום לנוער בירושלים בעבירות דומות לאלו בהן הורשע כאן, ומב"ד נוסף תלוי ועומד נגדו.</w:t>
      </w:r>
    </w:p>
    <w:p w14:paraId="0B8B989C" w14:textId="77777777" w:rsidR="001F6032" w:rsidRDefault="001F6032">
      <w:pPr>
        <w:pStyle w:val="P00"/>
        <w:tabs>
          <w:tab w:val="clear" w:pos="1021"/>
          <w:tab w:val="clear" w:pos="1474"/>
          <w:tab w:val="left" w:pos="283"/>
          <w:tab w:val="left" w:pos="567"/>
        </w:tabs>
        <w:spacing w:before="72" w:line="360" w:lineRule="auto"/>
        <w:ind w:left="567" w:hanging="283"/>
        <w:rPr>
          <w:rStyle w:val="default"/>
          <w:rFonts w:cs="David"/>
          <w:noProof w:val="0"/>
          <w:rtl/>
        </w:rPr>
      </w:pPr>
    </w:p>
    <w:p w14:paraId="056A518C" w14:textId="77777777" w:rsidR="001F6032" w:rsidRDefault="00975154">
      <w:pPr>
        <w:pStyle w:val="P00"/>
        <w:tabs>
          <w:tab w:val="clear" w:pos="1021"/>
          <w:tab w:val="clear" w:pos="1474"/>
          <w:tab w:val="left" w:pos="283"/>
          <w:tab w:val="left" w:pos="567"/>
        </w:tabs>
        <w:spacing w:before="72" w:line="360" w:lineRule="auto"/>
        <w:ind w:left="567" w:hanging="283"/>
        <w:rPr>
          <w:rStyle w:val="default"/>
          <w:rFonts w:cs="David"/>
          <w:noProof w:val="0"/>
          <w:rtl/>
        </w:rPr>
      </w:pPr>
      <w:r>
        <w:rPr>
          <w:rStyle w:val="default"/>
          <w:rFonts w:cs="David" w:hint="cs"/>
          <w:noProof w:val="0"/>
          <w:rtl/>
        </w:rPr>
        <w:tab/>
        <w:t>(7)</w:t>
      </w:r>
      <w:r>
        <w:rPr>
          <w:rStyle w:val="default"/>
          <w:rFonts w:cs="David" w:hint="cs"/>
          <w:b/>
          <w:bCs/>
          <w:noProof w:val="0"/>
          <w:rtl/>
        </w:rPr>
        <w:t xml:space="preserve"> יכולתו של הנאשם להימנע מהמעשה ומידת השליטה שלו על מעשהו, לרבות עקב התגרות של נפגע העבירה</w:t>
      </w:r>
      <w:r>
        <w:rPr>
          <w:rStyle w:val="default"/>
          <w:rFonts w:cs="David" w:hint="cs"/>
          <w:noProof w:val="0"/>
          <w:rtl/>
        </w:rPr>
        <w:t>;</w:t>
      </w:r>
    </w:p>
    <w:p w14:paraId="5AC7162A" w14:textId="77777777" w:rsidR="001F6032" w:rsidRDefault="00975154">
      <w:pPr>
        <w:pStyle w:val="P00"/>
        <w:tabs>
          <w:tab w:val="clear" w:pos="1021"/>
          <w:tab w:val="clear" w:pos="1474"/>
          <w:tab w:val="left" w:pos="283"/>
          <w:tab w:val="left" w:pos="567"/>
        </w:tabs>
        <w:spacing w:before="72" w:line="360" w:lineRule="auto"/>
        <w:ind w:left="567" w:hanging="283"/>
        <w:rPr>
          <w:rStyle w:val="default"/>
          <w:rFonts w:cs="David"/>
          <w:noProof w:val="0"/>
          <w:rtl/>
        </w:rPr>
      </w:pPr>
      <w:r>
        <w:rPr>
          <w:rStyle w:val="default"/>
          <w:rFonts w:cs="David" w:hint="cs"/>
          <w:noProof w:val="0"/>
          <w:rtl/>
        </w:rPr>
        <w:tab/>
      </w:r>
      <w:r>
        <w:rPr>
          <w:rStyle w:val="default"/>
          <w:rFonts w:cs="David" w:hint="cs"/>
          <w:noProof w:val="0"/>
          <w:rtl/>
        </w:rPr>
        <w:tab/>
        <w:t xml:space="preserve">הנאשם היה מודע היטב למעשיו, הן בהצטרפותו לארגון הטרור הן בהשתתפותו במפגשים ובאירועים שונים שיזם הארגון וכן בהשתתפותו בהתפרעויות במסגרתן יידה הנאשם יחד עם אחרים, כאשר הם רעולי פנים, אבנים, זיקוקים ובקבוק תבערה לעבר כוחות הביטחון שהגיעו לשמור על הסדר במקום. הנאשם יכול היה להימנע מהמעשים הללו והוא זה אשר שלט במעשיו. לא הייתה כל התגרות של כוחות הביטחון בנאשם. </w:t>
      </w:r>
    </w:p>
    <w:p w14:paraId="22AA2CD7" w14:textId="77777777" w:rsidR="001F6032" w:rsidRDefault="001F6032">
      <w:pPr>
        <w:pStyle w:val="P00"/>
        <w:tabs>
          <w:tab w:val="clear" w:pos="1021"/>
          <w:tab w:val="clear" w:pos="1474"/>
          <w:tab w:val="left" w:pos="283"/>
          <w:tab w:val="left" w:pos="850"/>
        </w:tabs>
        <w:spacing w:before="72" w:line="360" w:lineRule="auto"/>
        <w:ind w:left="850" w:hanging="283"/>
        <w:rPr>
          <w:rStyle w:val="default"/>
          <w:rFonts w:cs="David"/>
          <w:noProof w:val="0"/>
          <w:rtl/>
        </w:rPr>
      </w:pPr>
    </w:p>
    <w:p w14:paraId="7586F6F0" w14:textId="77777777" w:rsidR="001F6032" w:rsidRDefault="00975154">
      <w:pPr>
        <w:pStyle w:val="P00"/>
        <w:tabs>
          <w:tab w:val="clear" w:pos="1021"/>
          <w:tab w:val="clear" w:pos="1474"/>
          <w:tab w:val="left" w:pos="283"/>
          <w:tab w:val="left" w:pos="567"/>
        </w:tabs>
        <w:spacing w:before="72" w:line="360" w:lineRule="auto"/>
        <w:ind w:left="567" w:hanging="567"/>
        <w:rPr>
          <w:rStyle w:val="default"/>
          <w:rFonts w:cs="David"/>
          <w:noProof w:val="0"/>
          <w:rtl/>
        </w:rPr>
      </w:pPr>
      <w:r>
        <w:rPr>
          <w:rStyle w:val="default"/>
          <w:rFonts w:cs="David" w:hint="cs"/>
          <w:noProof w:val="0"/>
          <w:rtl/>
        </w:rPr>
        <w:t>19.</w:t>
      </w:r>
      <w:r>
        <w:rPr>
          <w:rStyle w:val="default"/>
          <w:rFonts w:cs="David"/>
          <w:noProof w:val="0"/>
          <w:rtl/>
        </w:rPr>
        <w:tab/>
      </w:r>
      <w:r>
        <w:rPr>
          <w:rStyle w:val="default"/>
          <w:rFonts w:cs="David" w:hint="cs"/>
          <w:noProof w:val="0"/>
          <w:rtl/>
        </w:rPr>
        <w:t xml:space="preserve">לאחר שנתתי דעתי לטענות הצדדים ובשים לב לנסיבות הקשורות בביצוע העבירות ועיינתי בפסיקה שהוגשה ע"י באי כוח הצדדים למדיניות הענישה הנהוגה, אני קובע את מתחמי הענישה למאסר בפועל כדלקמן: </w:t>
      </w:r>
    </w:p>
    <w:p w14:paraId="55BC564A" w14:textId="77777777" w:rsidR="001F6032" w:rsidRDefault="001F6032">
      <w:pPr>
        <w:pStyle w:val="P00"/>
        <w:tabs>
          <w:tab w:val="clear" w:pos="1021"/>
          <w:tab w:val="clear" w:pos="1474"/>
          <w:tab w:val="left" w:pos="283"/>
          <w:tab w:val="left" w:pos="567"/>
        </w:tabs>
        <w:spacing w:before="72" w:line="360" w:lineRule="auto"/>
        <w:ind w:left="567" w:hanging="567"/>
        <w:rPr>
          <w:rStyle w:val="default"/>
          <w:rFonts w:cs="David"/>
          <w:noProof w:val="0"/>
          <w:rtl/>
        </w:rPr>
      </w:pPr>
    </w:p>
    <w:p w14:paraId="35472D86" w14:textId="77777777" w:rsidR="001F6032" w:rsidRDefault="00975154">
      <w:pPr>
        <w:pStyle w:val="P00"/>
        <w:tabs>
          <w:tab w:val="clear" w:pos="1021"/>
          <w:tab w:val="clear" w:pos="1474"/>
          <w:tab w:val="left" w:pos="283"/>
          <w:tab w:val="left" w:pos="567"/>
        </w:tabs>
        <w:spacing w:before="72" w:line="360" w:lineRule="auto"/>
        <w:ind w:left="567" w:right="567" w:hanging="567"/>
        <w:rPr>
          <w:rStyle w:val="default"/>
          <w:rFonts w:cs="David"/>
          <w:noProof w:val="0"/>
          <w:rtl/>
        </w:rPr>
      </w:pPr>
      <w:r>
        <w:rPr>
          <w:rStyle w:val="default"/>
          <w:rFonts w:cs="David"/>
          <w:noProof w:val="0"/>
          <w:rtl/>
        </w:rPr>
        <w:tab/>
      </w:r>
      <w:r>
        <w:rPr>
          <w:rStyle w:val="default"/>
          <w:rFonts w:cs="David"/>
          <w:noProof w:val="0"/>
          <w:rtl/>
        </w:rPr>
        <w:tab/>
      </w:r>
      <w:r>
        <w:rPr>
          <w:rStyle w:val="default"/>
          <w:rFonts w:cs="David" w:hint="cs"/>
          <w:noProof w:val="0"/>
          <w:rtl/>
        </w:rPr>
        <w:t xml:space="preserve">א. </w:t>
      </w:r>
      <w:r>
        <w:rPr>
          <w:rStyle w:val="default"/>
          <w:rFonts w:cs="David" w:hint="cs"/>
          <w:noProof w:val="0"/>
          <w:u w:val="single"/>
          <w:rtl/>
        </w:rPr>
        <w:t>אשר לאישום הראשון</w:t>
      </w:r>
      <w:r>
        <w:rPr>
          <w:rStyle w:val="default"/>
          <w:rFonts w:cs="David" w:hint="cs"/>
          <w:noProof w:val="0"/>
          <w:rtl/>
        </w:rPr>
        <w:t xml:space="preserve"> - העבירה של </w:t>
      </w:r>
      <w:r>
        <w:rPr>
          <w:rStyle w:val="default"/>
          <w:rFonts w:cs="David" w:hint="cs"/>
          <w:b/>
          <w:bCs/>
          <w:noProof w:val="0"/>
          <w:rtl/>
        </w:rPr>
        <w:t>חברות בארגון טרור</w:t>
      </w:r>
      <w:r>
        <w:rPr>
          <w:rStyle w:val="default"/>
          <w:rFonts w:cs="David" w:hint="cs"/>
          <w:noProof w:val="0"/>
          <w:rtl/>
        </w:rPr>
        <w:t xml:space="preserve"> - מתחם ענישה שבין עשרה (10) חודשים לעשרים וארבעה (24) חודשים.</w:t>
      </w:r>
    </w:p>
    <w:p w14:paraId="06AA42F4" w14:textId="77777777" w:rsidR="001F6032" w:rsidRDefault="00975154">
      <w:pPr>
        <w:pStyle w:val="P00"/>
        <w:tabs>
          <w:tab w:val="clear" w:pos="1021"/>
          <w:tab w:val="clear" w:pos="1474"/>
          <w:tab w:val="left" w:pos="283"/>
          <w:tab w:val="left" w:pos="567"/>
        </w:tabs>
        <w:spacing w:before="72" w:line="360" w:lineRule="auto"/>
        <w:ind w:left="567" w:right="567" w:hanging="567"/>
        <w:rPr>
          <w:rStyle w:val="default"/>
          <w:rFonts w:cs="David"/>
          <w:noProof w:val="0"/>
          <w:rtl/>
        </w:rPr>
      </w:pPr>
      <w:r>
        <w:rPr>
          <w:rStyle w:val="default"/>
          <w:rFonts w:cs="David"/>
          <w:noProof w:val="0"/>
          <w:rtl/>
        </w:rPr>
        <w:tab/>
      </w:r>
      <w:r>
        <w:rPr>
          <w:rStyle w:val="default"/>
          <w:rFonts w:cs="David"/>
          <w:noProof w:val="0"/>
          <w:rtl/>
        </w:rPr>
        <w:tab/>
      </w:r>
      <w:r>
        <w:rPr>
          <w:rStyle w:val="default"/>
          <w:rFonts w:cs="David" w:hint="cs"/>
          <w:noProof w:val="0"/>
          <w:rtl/>
        </w:rPr>
        <w:t xml:space="preserve">ב. </w:t>
      </w:r>
      <w:r>
        <w:rPr>
          <w:rStyle w:val="default"/>
          <w:rFonts w:cs="David" w:hint="cs"/>
          <w:noProof w:val="0"/>
          <w:u w:val="single"/>
          <w:rtl/>
        </w:rPr>
        <w:t>אשר לעבירות שבוצעו ע"י הנאשם באירוע הראשון שבאישום השני</w:t>
      </w:r>
      <w:r>
        <w:rPr>
          <w:rStyle w:val="default"/>
          <w:rFonts w:cs="David" w:hint="cs"/>
          <w:noProof w:val="0"/>
          <w:rtl/>
        </w:rPr>
        <w:t xml:space="preserve">, היינו השתתפות </w:t>
      </w:r>
      <w:r>
        <w:rPr>
          <w:rStyle w:val="default"/>
          <w:rFonts w:cs="David" w:hint="cs"/>
          <w:b/>
          <w:bCs/>
          <w:noProof w:val="0"/>
          <w:rtl/>
        </w:rPr>
        <w:t>בשלושה מקרים של יידוי אבנים</w:t>
      </w:r>
      <w:r>
        <w:rPr>
          <w:rStyle w:val="default"/>
          <w:rFonts w:cs="David" w:hint="cs"/>
          <w:noProof w:val="0"/>
          <w:rtl/>
        </w:rPr>
        <w:t xml:space="preserve"> לעבר כוחות הביטחון יחד עם אחרים כשהינם רעולי פנים (סעיף 2 לאישום השני), אני קובע את מתחם הענישה בין שנים עשר (12) חודשים לבין שלושים וששה (36) חודשים.</w:t>
      </w:r>
    </w:p>
    <w:p w14:paraId="4CD732E0" w14:textId="77777777" w:rsidR="001F6032" w:rsidRDefault="00975154">
      <w:pPr>
        <w:pStyle w:val="P00"/>
        <w:tabs>
          <w:tab w:val="clear" w:pos="1021"/>
          <w:tab w:val="clear" w:pos="1474"/>
          <w:tab w:val="left" w:pos="283"/>
          <w:tab w:val="left" w:pos="567"/>
        </w:tabs>
        <w:spacing w:before="72" w:line="360" w:lineRule="auto"/>
        <w:ind w:left="567" w:right="567" w:hanging="567"/>
        <w:rPr>
          <w:rStyle w:val="default"/>
          <w:rFonts w:cs="David"/>
          <w:noProof w:val="0"/>
          <w:rtl/>
        </w:rPr>
      </w:pPr>
      <w:r>
        <w:rPr>
          <w:rStyle w:val="default"/>
          <w:rFonts w:cs="David"/>
          <w:noProof w:val="0"/>
          <w:rtl/>
        </w:rPr>
        <w:tab/>
      </w:r>
      <w:r>
        <w:rPr>
          <w:rStyle w:val="default"/>
          <w:rFonts w:cs="David"/>
          <w:noProof w:val="0"/>
          <w:rtl/>
        </w:rPr>
        <w:tab/>
      </w:r>
      <w:r>
        <w:rPr>
          <w:rStyle w:val="default"/>
          <w:rFonts w:cs="David" w:hint="cs"/>
          <w:noProof w:val="0"/>
          <w:rtl/>
        </w:rPr>
        <w:t xml:space="preserve">ג. </w:t>
      </w:r>
      <w:r>
        <w:rPr>
          <w:rStyle w:val="default"/>
          <w:rFonts w:cs="David" w:hint="cs"/>
          <w:noProof w:val="0"/>
          <w:u w:val="single"/>
          <w:rtl/>
        </w:rPr>
        <w:t>אשר לאירוע ביום 15.5.13,</w:t>
      </w:r>
      <w:r>
        <w:rPr>
          <w:rStyle w:val="default"/>
          <w:rFonts w:cs="David" w:hint="cs"/>
          <w:noProof w:val="0"/>
          <w:rtl/>
        </w:rPr>
        <w:t xml:space="preserve"> שהוגדר כ"יום הנכבה", שבמהלכו התפרע הנאשם יחד עם אחרים וזרק </w:t>
      </w:r>
      <w:r>
        <w:rPr>
          <w:rStyle w:val="default"/>
          <w:rFonts w:cs="David" w:hint="cs"/>
          <w:b/>
          <w:bCs/>
          <w:noProof w:val="0"/>
          <w:rtl/>
        </w:rPr>
        <w:t>אבנים וזיקוקים</w:t>
      </w:r>
      <w:r>
        <w:rPr>
          <w:rStyle w:val="default"/>
          <w:rFonts w:cs="David" w:hint="cs"/>
          <w:noProof w:val="0"/>
          <w:rtl/>
        </w:rPr>
        <w:t xml:space="preserve"> לעבר כוחות הביטחון (סעיף 5 לאישום השני), אני קובע את מתחם הענישה בין שנים עשר (12) חודשים לארבעים ושמונה (48) חודשים. </w:t>
      </w:r>
    </w:p>
    <w:p w14:paraId="76C7A9F7" w14:textId="77777777" w:rsidR="001F6032" w:rsidRDefault="00975154">
      <w:pPr>
        <w:pStyle w:val="P00"/>
        <w:tabs>
          <w:tab w:val="clear" w:pos="1021"/>
          <w:tab w:val="clear" w:pos="1474"/>
          <w:tab w:val="left" w:pos="283"/>
          <w:tab w:val="left" w:pos="567"/>
        </w:tabs>
        <w:spacing w:before="72" w:line="360" w:lineRule="auto"/>
        <w:ind w:left="567" w:right="567" w:hanging="567"/>
        <w:rPr>
          <w:rStyle w:val="default"/>
          <w:rFonts w:cs="David"/>
          <w:noProof w:val="0"/>
          <w:rtl/>
        </w:rPr>
      </w:pPr>
      <w:r>
        <w:rPr>
          <w:rStyle w:val="default"/>
          <w:rFonts w:cs="David"/>
          <w:noProof w:val="0"/>
          <w:rtl/>
        </w:rPr>
        <w:tab/>
      </w:r>
      <w:r>
        <w:rPr>
          <w:rStyle w:val="default"/>
          <w:rFonts w:cs="David"/>
          <w:noProof w:val="0"/>
          <w:rtl/>
        </w:rPr>
        <w:tab/>
      </w:r>
      <w:r>
        <w:rPr>
          <w:rStyle w:val="default"/>
          <w:rFonts w:cs="David" w:hint="cs"/>
          <w:noProof w:val="0"/>
          <w:rtl/>
        </w:rPr>
        <w:t xml:space="preserve">ד. אשר לאירוע מיום 19.11.13 שבאישום השני (סעיפים 3 ו </w:t>
      </w:r>
      <w:r>
        <w:rPr>
          <w:rStyle w:val="default"/>
          <w:rFonts w:cs="David"/>
          <w:noProof w:val="0"/>
          <w:rtl/>
        </w:rPr>
        <w:t>–</w:t>
      </w:r>
      <w:r>
        <w:rPr>
          <w:rStyle w:val="default"/>
          <w:rFonts w:cs="David" w:hint="cs"/>
          <w:noProof w:val="0"/>
          <w:rtl/>
        </w:rPr>
        <w:t xml:space="preserve"> 4 לאישום השני), וכאשר המדובר </w:t>
      </w:r>
      <w:r>
        <w:rPr>
          <w:rStyle w:val="default"/>
          <w:rFonts w:cs="David" w:hint="cs"/>
          <w:b/>
          <w:bCs/>
          <w:noProof w:val="0"/>
          <w:rtl/>
        </w:rPr>
        <w:t>ביידוי אבנים שכתוצאה נפגעו מספר שוטרים ושלושה מהם נזקקו לטיפול רפואי וכן בעבירה של ייצור נשק, הוא בקבוק התבערה שהכין הנאשם וזרק לעבר כוחות הביטחון</w:t>
      </w:r>
      <w:r>
        <w:rPr>
          <w:rStyle w:val="default"/>
          <w:rFonts w:cs="David" w:hint="cs"/>
          <w:noProof w:val="0"/>
          <w:rtl/>
        </w:rPr>
        <w:t xml:space="preserve">, אני קובע את מתחם הענישה בין עשרים (20) חודשים לששים (60) חודשים של מאסר בפועל. </w:t>
      </w:r>
    </w:p>
    <w:p w14:paraId="64D06CD4" w14:textId="77777777" w:rsidR="001F6032" w:rsidRDefault="001F6032">
      <w:pPr>
        <w:pStyle w:val="P00"/>
        <w:tabs>
          <w:tab w:val="clear" w:pos="1021"/>
          <w:tab w:val="clear" w:pos="1474"/>
          <w:tab w:val="left" w:pos="283"/>
          <w:tab w:val="left" w:pos="850"/>
        </w:tabs>
        <w:spacing w:before="72" w:line="360" w:lineRule="auto"/>
        <w:ind w:left="850" w:hanging="283"/>
        <w:rPr>
          <w:rStyle w:val="default"/>
          <w:rFonts w:cs="David"/>
          <w:noProof w:val="0"/>
          <w:rtl/>
        </w:rPr>
      </w:pPr>
    </w:p>
    <w:p w14:paraId="2AEBE3D9" w14:textId="77777777" w:rsidR="001F6032" w:rsidRDefault="00975154">
      <w:pPr>
        <w:spacing w:line="360" w:lineRule="auto"/>
        <w:ind w:left="567" w:hanging="567"/>
        <w:jc w:val="both"/>
        <w:rPr>
          <w:sz w:val="26"/>
          <w:szCs w:val="26"/>
          <w:rtl/>
        </w:rPr>
      </w:pPr>
      <w:r>
        <w:rPr>
          <w:rFonts w:hint="cs"/>
          <w:sz w:val="26"/>
          <w:szCs w:val="26"/>
          <w:rtl/>
        </w:rPr>
        <w:t>20.</w:t>
      </w:r>
      <w:r>
        <w:rPr>
          <w:rFonts w:hint="cs"/>
          <w:sz w:val="26"/>
          <w:szCs w:val="26"/>
          <w:rtl/>
        </w:rPr>
        <w:tab/>
        <w:t xml:space="preserve">למעלה מן הנדרש אוסיף, כי אילו נעניתי להצעת ב"כ הנאשם לקבוע מתחם ענישה אחד לכל האירועים והעבירות שבאישום השני, הייתי קובע מתחם זה למאסר בפועל בין שלושים ושישה (36) חודשים לבין שמונים וארבעה (84) חודשים. זאת בשים לב למכלול השיקולים שהיו לפניי. </w:t>
      </w:r>
    </w:p>
    <w:p w14:paraId="3690C5B6" w14:textId="77777777" w:rsidR="001F6032" w:rsidRDefault="00975154">
      <w:pPr>
        <w:spacing w:line="360" w:lineRule="auto"/>
        <w:ind w:left="567" w:hanging="567"/>
        <w:jc w:val="both"/>
        <w:rPr>
          <w:sz w:val="26"/>
          <w:szCs w:val="26"/>
          <w:rtl/>
        </w:rPr>
      </w:pPr>
      <w:r>
        <w:rPr>
          <w:rFonts w:hint="cs"/>
          <w:sz w:val="26"/>
          <w:szCs w:val="26"/>
          <w:rtl/>
        </w:rPr>
        <w:t>21.</w:t>
      </w:r>
      <w:r>
        <w:rPr>
          <w:rFonts w:hint="cs"/>
          <w:sz w:val="26"/>
          <w:szCs w:val="26"/>
          <w:rtl/>
        </w:rPr>
        <w:tab/>
        <w:t xml:space="preserve">לעת גזירת העונש המתאים לנאשם, יש להתחשב </w:t>
      </w:r>
      <w:r>
        <w:rPr>
          <w:rFonts w:hint="cs"/>
          <w:sz w:val="26"/>
          <w:szCs w:val="26"/>
          <w:u w:val="single"/>
          <w:rtl/>
        </w:rPr>
        <w:t>בנסיבות שאינן קשורות בביצוע העבירה</w:t>
      </w:r>
      <w:r>
        <w:rPr>
          <w:rFonts w:hint="cs"/>
          <w:sz w:val="26"/>
          <w:szCs w:val="26"/>
          <w:rtl/>
        </w:rPr>
        <w:t xml:space="preserve"> כמפורט </w:t>
      </w:r>
      <w:hyperlink r:id="rId63" w:history="1">
        <w:r w:rsidR="00263A71" w:rsidRPr="00263A71">
          <w:rPr>
            <w:color w:val="0000FF"/>
            <w:sz w:val="26"/>
            <w:szCs w:val="26"/>
            <w:u w:val="single"/>
            <w:rtl/>
          </w:rPr>
          <w:t>בסעיף 40יא'</w:t>
        </w:r>
      </w:hyperlink>
      <w:r>
        <w:rPr>
          <w:rFonts w:hint="cs"/>
          <w:sz w:val="26"/>
          <w:szCs w:val="26"/>
          <w:rtl/>
        </w:rPr>
        <w:t xml:space="preserve"> לחוק. להלן יובאו השיקולים בענייננו: </w:t>
      </w:r>
    </w:p>
    <w:p w14:paraId="6AFDB4B3" w14:textId="77777777" w:rsidR="001F6032" w:rsidRDefault="001F6032">
      <w:pPr>
        <w:spacing w:line="360" w:lineRule="auto"/>
        <w:ind w:left="567" w:hanging="567"/>
        <w:jc w:val="both"/>
        <w:rPr>
          <w:sz w:val="26"/>
          <w:szCs w:val="26"/>
          <w:rtl/>
        </w:rPr>
      </w:pPr>
    </w:p>
    <w:p w14:paraId="220A3236" w14:textId="77777777" w:rsidR="001F6032" w:rsidRDefault="00975154">
      <w:pPr>
        <w:spacing w:line="360" w:lineRule="auto"/>
        <w:ind w:left="720" w:hanging="720"/>
        <w:jc w:val="both"/>
        <w:rPr>
          <w:rStyle w:val="default"/>
          <w:rtl/>
        </w:rPr>
      </w:pPr>
      <w:r>
        <w:rPr>
          <w:rFonts w:hint="cs"/>
          <w:sz w:val="26"/>
          <w:szCs w:val="26"/>
          <w:rtl/>
        </w:rPr>
        <w:tab/>
      </w:r>
      <w:r>
        <w:rPr>
          <w:rStyle w:val="default"/>
          <w:rFonts w:hint="cs"/>
          <w:rtl/>
        </w:rPr>
        <w:t>(1)</w:t>
      </w:r>
      <w:r>
        <w:rPr>
          <w:rStyle w:val="default"/>
          <w:rFonts w:hint="cs"/>
          <w:b/>
          <w:bCs/>
          <w:rtl/>
        </w:rPr>
        <w:t xml:space="preserve"> הפגיעה של העונש בנאשם, לרבות בשל גילו;</w:t>
      </w:r>
    </w:p>
    <w:p w14:paraId="7C350CC4" w14:textId="77777777" w:rsidR="001F6032" w:rsidRDefault="00975154">
      <w:pPr>
        <w:spacing w:line="360" w:lineRule="auto"/>
        <w:ind w:left="720" w:hanging="720"/>
        <w:jc w:val="both"/>
        <w:rPr>
          <w:rStyle w:val="default"/>
          <w:rtl/>
        </w:rPr>
      </w:pPr>
      <w:r>
        <w:rPr>
          <w:rStyle w:val="default"/>
          <w:rtl/>
        </w:rPr>
        <w:tab/>
      </w:r>
      <w:r>
        <w:rPr>
          <w:rStyle w:val="default"/>
          <w:rFonts w:hint="cs"/>
          <w:rtl/>
        </w:rPr>
        <w:t>אין חולק שעונש מאסר בפועל לתקופה ממושכת עלולה לפגוע בנאשם ובמיוחד נוכח גילו הצעיר כבן 20 כיום. עם זאת, לא ניתן להתעלם מחומרת העבירות שעבר הנאשם ובהן הודה. כמו כן, מקובלים עלי דברי באת כוח המאשימה כי ארגון הטרור מגייס לשורותיו צעירים ובאמצעותם מפעיל טרור עממי בדרך של התפרעויות רבות היקף, תוך כדי יידוי אבנים זיקוקים ובקבוקי תבערה לעבר כוחות הביטחון. על הנאשם היה לשקול את צעדיו ומעשיו בטרם הצטרף לארגון ואת הפגיעה שיכולה לנבוע מכך.</w:t>
      </w:r>
    </w:p>
    <w:p w14:paraId="1A37C287" w14:textId="77777777" w:rsidR="001F6032" w:rsidRDefault="001F6032">
      <w:pPr>
        <w:spacing w:line="360" w:lineRule="auto"/>
        <w:ind w:left="720" w:hanging="720"/>
        <w:jc w:val="both"/>
        <w:rPr>
          <w:rStyle w:val="default"/>
          <w:rtl/>
        </w:rPr>
      </w:pPr>
    </w:p>
    <w:p w14:paraId="682E6A51" w14:textId="77777777" w:rsidR="001F6032" w:rsidRDefault="00975154">
      <w:pPr>
        <w:pStyle w:val="P00"/>
        <w:tabs>
          <w:tab w:val="left" w:pos="8505"/>
        </w:tabs>
        <w:spacing w:before="72" w:line="360" w:lineRule="auto"/>
        <w:ind w:left="624"/>
        <w:rPr>
          <w:rStyle w:val="default"/>
          <w:rFonts w:cs="David"/>
          <w:b/>
          <w:bCs/>
          <w:noProof w:val="0"/>
          <w:rtl/>
        </w:rPr>
      </w:pPr>
      <w:r>
        <w:rPr>
          <w:rStyle w:val="default"/>
          <w:rFonts w:cs="David" w:hint="cs"/>
          <w:noProof w:val="0"/>
          <w:rtl/>
        </w:rPr>
        <w:t>(2)</w:t>
      </w:r>
      <w:r>
        <w:rPr>
          <w:rStyle w:val="default"/>
          <w:rFonts w:cs="David" w:hint="cs"/>
          <w:noProof w:val="0"/>
          <w:rtl/>
        </w:rPr>
        <w:tab/>
      </w:r>
      <w:r>
        <w:rPr>
          <w:rStyle w:val="default"/>
          <w:rFonts w:cs="David" w:hint="cs"/>
          <w:b/>
          <w:bCs/>
          <w:noProof w:val="0"/>
          <w:rtl/>
        </w:rPr>
        <w:t>הפגיעה של העונש במשפחתו של הנאשם;</w:t>
      </w:r>
    </w:p>
    <w:p w14:paraId="57B184E2" w14:textId="77777777" w:rsidR="001F6032" w:rsidRDefault="00975154">
      <w:pPr>
        <w:pStyle w:val="P00"/>
        <w:tabs>
          <w:tab w:val="left" w:pos="8505"/>
        </w:tabs>
        <w:spacing w:before="72" w:line="360" w:lineRule="auto"/>
        <w:ind w:left="624"/>
        <w:rPr>
          <w:rStyle w:val="default"/>
          <w:rFonts w:cs="David"/>
          <w:noProof w:val="0"/>
          <w:rtl/>
        </w:rPr>
      </w:pPr>
      <w:r>
        <w:rPr>
          <w:rStyle w:val="default"/>
          <w:rFonts w:cs="David" w:hint="cs"/>
          <w:noProof w:val="0"/>
          <w:rtl/>
        </w:rPr>
        <w:t xml:space="preserve">כעולה מתסקיר שירות המבחן, פרש הנאשם מלימודיו בבית הספר התיכון על מנת לסייע לפרנסת המשפחה וזאת נוכח אי יכולתו של האב לפרנס את המשפחה והיותה של האם עקרת בית. כמו כן, כמפורט לעיל, כשלושה חודשים טרם מעצרו נשא אישה והחל בעבודה נוספת לצורך מימון הוצאות החתונה. לפיכך, ברי כי עונש של מאסר עלול לפגוע במשפחתו של הנאשם. עם זאת, מן הראוי היה שהנאשם ישקול מראש את התנהגותו ופעולותיו ואת האפשרות כי פעולות אלו יובילו לתפיסתו ולשליחתו למאסר לפרק זמן לא קצר. </w:t>
      </w:r>
    </w:p>
    <w:p w14:paraId="5043BBAD" w14:textId="77777777" w:rsidR="001F6032" w:rsidRDefault="001F6032">
      <w:pPr>
        <w:pStyle w:val="P00"/>
        <w:tabs>
          <w:tab w:val="left" w:pos="8505"/>
        </w:tabs>
        <w:spacing w:before="72" w:line="360" w:lineRule="auto"/>
        <w:ind w:left="624"/>
        <w:rPr>
          <w:rStyle w:val="default"/>
          <w:rFonts w:cs="David"/>
          <w:noProof w:val="0"/>
          <w:rtl/>
        </w:rPr>
      </w:pPr>
    </w:p>
    <w:p w14:paraId="5183B310" w14:textId="77777777" w:rsidR="001F6032" w:rsidRDefault="00975154">
      <w:pPr>
        <w:pStyle w:val="P00"/>
        <w:tabs>
          <w:tab w:val="left" w:pos="8505"/>
        </w:tabs>
        <w:spacing w:before="72" w:line="360" w:lineRule="auto"/>
        <w:ind w:left="624"/>
        <w:rPr>
          <w:rStyle w:val="default"/>
          <w:rFonts w:cs="David"/>
          <w:noProof w:val="0"/>
          <w:rtl/>
        </w:rPr>
      </w:pPr>
      <w:r>
        <w:rPr>
          <w:rStyle w:val="default"/>
          <w:rFonts w:cs="David" w:hint="cs"/>
          <w:noProof w:val="0"/>
          <w:rtl/>
        </w:rPr>
        <w:t>(3)</w:t>
      </w:r>
      <w:r>
        <w:rPr>
          <w:rStyle w:val="default"/>
          <w:rFonts w:cs="David" w:hint="cs"/>
          <w:noProof w:val="0"/>
          <w:rtl/>
        </w:rPr>
        <w:tab/>
      </w:r>
      <w:r>
        <w:rPr>
          <w:rStyle w:val="default"/>
          <w:rFonts w:cs="David" w:hint="cs"/>
          <w:b/>
          <w:bCs/>
          <w:noProof w:val="0"/>
          <w:rtl/>
        </w:rPr>
        <w:t>הנזקים שנגרמו לנאשם מביצוע העבירה ומהרשעתו</w:t>
      </w:r>
      <w:r>
        <w:rPr>
          <w:rStyle w:val="default"/>
          <w:rFonts w:cs="David" w:hint="cs"/>
          <w:noProof w:val="0"/>
          <w:rtl/>
        </w:rPr>
        <w:t>;</w:t>
      </w:r>
    </w:p>
    <w:p w14:paraId="44795723" w14:textId="77777777" w:rsidR="001F6032" w:rsidRDefault="00975154">
      <w:pPr>
        <w:pStyle w:val="P00"/>
        <w:tabs>
          <w:tab w:val="left" w:pos="8505"/>
        </w:tabs>
        <w:spacing w:before="72" w:line="360" w:lineRule="auto"/>
        <w:ind w:left="624"/>
        <w:rPr>
          <w:rStyle w:val="default"/>
          <w:rFonts w:cs="David"/>
          <w:noProof w:val="0"/>
          <w:rtl/>
        </w:rPr>
      </w:pPr>
      <w:r>
        <w:rPr>
          <w:rStyle w:val="default"/>
          <w:rFonts w:cs="David" w:hint="cs"/>
          <w:noProof w:val="0"/>
          <w:rtl/>
        </w:rPr>
        <w:t xml:space="preserve">נזקים שנגרמו לנאשם הם בעיקר הפרדתו מאשתו ומהוריו לצורך ריצוי העונש שייגזר עליו וחוסר יכולתו לפרנס את משפחתו. </w:t>
      </w:r>
    </w:p>
    <w:p w14:paraId="7E10A9E2" w14:textId="77777777" w:rsidR="001F6032" w:rsidRDefault="001F6032">
      <w:pPr>
        <w:pStyle w:val="P00"/>
        <w:tabs>
          <w:tab w:val="left" w:pos="8505"/>
        </w:tabs>
        <w:spacing w:before="72" w:line="360" w:lineRule="auto"/>
        <w:ind w:left="624"/>
        <w:rPr>
          <w:rStyle w:val="default"/>
          <w:rFonts w:cs="David"/>
          <w:noProof w:val="0"/>
          <w:rtl/>
        </w:rPr>
      </w:pPr>
    </w:p>
    <w:p w14:paraId="605250F0" w14:textId="77777777" w:rsidR="001F6032" w:rsidRDefault="00975154">
      <w:pPr>
        <w:pStyle w:val="P00"/>
        <w:tabs>
          <w:tab w:val="left" w:pos="8505"/>
        </w:tabs>
        <w:spacing w:before="72" w:line="360" w:lineRule="auto"/>
        <w:ind w:left="624"/>
        <w:rPr>
          <w:rStyle w:val="default"/>
          <w:rFonts w:cs="David"/>
          <w:b/>
          <w:bCs/>
          <w:noProof w:val="0"/>
          <w:rtl/>
        </w:rPr>
      </w:pPr>
      <w:r>
        <w:rPr>
          <w:rStyle w:val="default"/>
          <w:rFonts w:cs="David" w:hint="cs"/>
          <w:noProof w:val="0"/>
          <w:rtl/>
        </w:rPr>
        <w:t>(4)</w:t>
      </w:r>
      <w:r>
        <w:rPr>
          <w:rStyle w:val="default"/>
          <w:rFonts w:cs="David" w:hint="cs"/>
          <w:noProof w:val="0"/>
          <w:rtl/>
        </w:rPr>
        <w:tab/>
      </w:r>
      <w:r>
        <w:rPr>
          <w:rStyle w:val="default"/>
          <w:rFonts w:cs="David" w:hint="cs"/>
          <w:b/>
          <w:bCs/>
          <w:noProof w:val="0"/>
          <w:rtl/>
        </w:rPr>
        <w:t>נטילת אחריות של הנאשם, וחזרתו למוטב, או מאמציו לחזור למוטב;</w:t>
      </w:r>
    </w:p>
    <w:p w14:paraId="50F8018B" w14:textId="77777777" w:rsidR="001F6032" w:rsidRDefault="00975154">
      <w:pPr>
        <w:pStyle w:val="P00"/>
        <w:tabs>
          <w:tab w:val="left" w:pos="8505"/>
        </w:tabs>
        <w:spacing w:before="72" w:line="360" w:lineRule="auto"/>
        <w:ind w:left="624"/>
        <w:rPr>
          <w:rStyle w:val="default"/>
          <w:rFonts w:cs="David"/>
          <w:noProof w:val="0"/>
          <w:rtl/>
        </w:rPr>
      </w:pPr>
      <w:r>
        <w:rPr>
          <w:rStyle w:val="default"/>
          <w:rFonts w:cs="David" w:hint="cs"/>
          <w:noProof w:val="0"/>
          <w:rtl/>
        </w:rPr>
        <w:t>הנאשם לא נטל אחריות על מעשיו גם לא לפני שירות המבחן. בתחילה טען לפני קצינת המבחן כי איננו חבר בארגון הטרור והכחיש כי השתתף במחאת ההזדהות, כמופיע באישום הראשון. כמו כן טען, כי זרק אבנים רק פעם אחת על רכב של כוחות הביטחון בשל תחושת מצוקה בה היה שרוי. הנאשם הכחיש כי לקח חלק בהתפרעויות והוסיף כי כוחות הביטחון נכנסים לשכונת מגוריו על מנת להתגרות בתושבים ולעורר מהומות. שירות המבחן התרשם, כי הנאשם מסר גרסה חלקית בלבד ומטשטשת של מעורבותו בהתפרעויות ומניעיו האידיאולוגיים, וכי חש בעמדה קורבנית. לתפיסתו ההתפרעויות הן מענה לגיטימי לפעולות כוחות הביטחון.</w:t>
      </w:r>
    </w:p>
    <w:p w14:paraId="55602316" w14:textId="77777777" w:rsidR="001F6032" w:rsidRDefault="00975154">
      <w:pPr>
        <w:pStyle w:val="P00"/>
        <w:tabs>
          <w:tab w:val="left" w:pos="8505"/>
        </w:tabs>
        <w:spacing w:before="72" w:line="360" w:lineRule="auto"/>
        <w:ind w:left="624"/>
        <w:rPr>
          <w:rStyle w:val="default"/>
          <w:rFonts w:cs="David"/>
          <w:noProof w:val="0"/>
          <w:rtl/>
        </w:rPr>
      </w:pPr>
      <w:r>
        <w:rPr>
          <w:rStyle w:val="default"/>
          <w:rFonts w:cs="David" w:hint="cs"/>
          <w:noProof w:val="0"/>
          <w:rtl/>
        </w:rPr>
        <w:t xml:space="preserve">  </w:t>
      </w:r>
    </w:p>
    <w:p w14:paraId="642EEAEA" w14:textId="77777777" w:rsidR="001F6032" w:rsidRDefault="00975154">
      <w:pPr>
        <w:pStyle w:val="P00"/>
        <w:tabs>
          <w:tab w:val="left" w:pos="8505"/>
        </w:tabs>
        <w:spacing w:before="72" w:line="360" w:lineRule="auto"/>
        <w:ind w:left="624"/>
        <w:rPr>
          <w:rStyle w:val="default"/>
          <w:rFonts w:cs="David"/>
          <w:noProof w:val="0"/>
          <w:rtl/>
        </w:rPr>
      </w:pPr>
      <w:r>
        <w:rPr>
          <w:rStyle w:val="default"/>
          <w:rFonts w:cs="David" w:hint="cs"/>
          <w:noProof w:val="0"/>
          <w:rtl/>
        </w:rPr>
        <w:t>(5)</w:t>
      </w:r>
      <w:r>
        <w:rPr>
          <w:rStyle w:val="default"/>
          <w:rFonts w:cs="David" w:hint="cs"/>
          <w:noProof w:val="0"/>
          <w:rtl/>
        </w:rPr>
        <w:tab/>
      </w:r>
      <w:r>
        <w:rPr>
          <w:rStyle w:val="default"/>
          <w:rFonts w:cs="David" w:hint="cs"/>
          <w:b/>
          <w:bCs/>
          <w:noProof w:val="0"/>
          <w:rtl/>
        </w:rPr>
        <w:t>מאמצי הנאשם לתיקון תוצאות העבירה ולפיצוי על הנזק שנגרם בשלה</w:t>
      </w:r>
      <w:r>
        <w:rPr>
          <w:rStyle w:val="default"/>
          <w:rFonts w:cs="David" w:hint="cs"/>
          <w:noProof w:val="0"/>
          <w:rtl/>
        </w:rPr>
        <w:t>;</w:t>
      </w:r>
    </w:p>
    <w:p w14:paraId="76F710BC" w14:textId="77777777" w:rsidR="001F6032" w:rsidRDefault="00975154">
      <w:pPr>
        <w:pStyle w:val="P00"/>
        <w:tabs>
          <w:tab w:val="left" w:pos="8505"/>
        </w:tabs>
        <w:spacing w:before="72" w:line="360" w:lineRule="auto"/>
        <w:ind w:left="624"/>
        <w:rPr>
          <w:rStyle w:val="default"/>
          <w:rFonts w:cs="David"/>
          <w:noProof w:val="0"/>
          <w:rtl/>
        </w:rPr>
      </w:pPr>
      <w:r>
        <w:rPr>
          <w:rStyle w:val="default"/>
          <w:rFonts w:cs="David" w:hint="cs"/>
          <w:noProof w:val="0"/>
          <w:rtl/>
        </w:rPr>
        <w:t xml:space="preserve">הנאשם לא תיקן את תוצאות העבירות ולא פיצה בגין הנזק שנגרם. </w:t>
      </w:r>
    </w:p>
    <w:p w14:paraId="7F49F48E" w14:textId="77777777" w:rsidR="001F6032" w:rsidRDefault="001F6032">
      <w:pPr>
        <w:pStyle w:val="P00"/>
        <w:tabs>
          <w:tab w:val="left" w:pos="8505"/>
        </w:tabs>
        <w:spacing w:before="72" w:line="360" w:lineRule="auto"/>
        <w:ind w:left="624"/>
        <w:rPr>
          <w:rStyle w:val="default"/>
          <w:rFonts w:cs="David"/>
          <w:noProof w:val="0"/>
          <w:rtl/>
        </w:rPr>
      </w:pPr>
    </w:p>
    <w:p w14:paraId="5337D9F4" w14:textId="77777777" w:rsidR="001F6032" w:rsidRDefault="00975154">
      <w:pPr>
        <w:pStyle w:val="P00"/>
        <w:tabs>
          <w:tab w:val="left" w:pos="8505"/>
        </w:tabs>
        <w:spacing w:before="72" w:line="360" w:lineRule="auto"/>
        <w:ind w:left="624"/>
        <w:rPr>
          <w:rStyle w:val="default"/>
          <w:rFonts w:cs="David"/>
          <w:noProof w:val="0"/>
          <w:rtl/>
        </w:rPr>
      </w:pPr>
      <w:r>
        <w:rPr>
          <w:rStyle w:val="default"/>
          <w:rFonts w:cs="David" w:hint="cs"/>
          <w:noProof w:val="0"/>
          <w:rtl/>
        </w:rPr>
        <w:t>(6)</w:t>
      </w:r>
      <w:r>
        <w:rPr>
          <w:rStyle w:val="default"/>
          <w:rFonts w:cs="David" w:hint="cs"/>
          <w:noProof w:val="0"/>
          <w:rtl/>
        </w:rPr>
        <w:tab/>
      </w:r>
      <w:r>
        <w:rPr>
          <w:rStyle w:val="default"/>
          <w:rFonts w:cs="David" w:hint="cs"/>
          <w:b/>
          <w:bCs/>
          <w:noProof w:val="0"/>
          <w:rtl/>
        </w:rPr>
        <w:t>שיתוף הפעולה של הנאשם עם רשויות אכיפת החוק.</w:t>
      </w:r>
      <w:r>
        <w:rPr>
          <w:rStyle w:val="default"/>
          <w:rFonts w:cs="David" w:hint="cs"/>
          <w:noProof w:val="0"/>
          <w:rtl/>
        </w:rPr>
        <w:t xml:space="preserve"> </w:t>
      </w:r>
    </w:p>
    <w:p w14:paraId="20B154E9" w14:textId="77777777" w:rsidR="001F6032" w:rsidRDefault="00975154">
      <w:pPr>
        <w:pStyle w:val="P00"/>
        <w:tabs>
          <w:tab w:val="left" w:pos="8505"/>
        </w:tabs>
        <w:spacing w:before="72" w:line="360" w:lineRule="auto"/>
        <w:ind w:left="624"/>
        <w:rPr>
          <w:rStyle w:val="default"/>
          <w:rFonts w:cs="David"/>
          <w:noProof w:val="0"/>
          <w:rtl/>
        </w:rPr>
      </w:pPr>
      <w:r>
        <w:rPr>
          <w:rStyle w:val="default"/>
          <w:rFonts w:cs="David" w:hint="cs"/>
          <w:noProof w:val="0"/>
          <w:rtl/>
        </w:rPr>
        <w:t xml:space="preserve">כפי שמסרה באת כוח המאשימה, הנאשם הודה מיד בסמוך לאחר מעצרו בביצוע העבירות וחלק מהמעשים שפורטו בכתב האישום נובעים מהודאתו זו. </w:t>
      </w:r>
    </w:p>
    <w:p w14:paraId="4E133E5E" w14:textId="77777777" w:rsidR="001F6032" w:rsidRDefault="001F6032">
      <w:pPr>
        <w:pStyle w:val="P00"/>
        <w:tabs>
          <w:tab w:val="left" w:pos="8505"/>
        </w:tabs>
        <w:spacing w:before="72" w:line="360" w:lineRule="auto"/>
        <w:ind w:left="624"/>
        <w:rPr>
          <w:rStyle w:val="default"/>
          <w:rFonts w:cs="David"/>
          <w:noProof w:val="0"/>
          <w:rtl/>
        </w:rPr>
      </w:pPr>
    </w:p>
    <w:p w14:paraId="534C802D" w14:textId="77777777" w:rsidR="001F6032" w:rsidRDefault="00975154">
      <w:pPr>
        <w:pStyle w:val="P00"/>
        <w:tabs>
          <w:tab w:val="left" w:pos="8505"/>
        </w:tabs>
        <w:spacing w:before="72" w:line="360" w:lineRule="auto"/>
        <w:ind w:left="624"/>
        <w:rPr>
          <w:rStyle w:val="default"/>
          <w:rFonts w:cs="David"/>
          <w:noProof w:val="0"/>
          <w:rtl/>
        </w:rPr>
      </w:pPr>
      <w:r>
        <w:rPr>
          <w:rStyle w:val="default"/>
          <w:rFonts w:cs="David" w:hint="cs"/>
          <w:noProof w:val="0"/>
          <w:rtl/>
        </w:rPr>
        <w:t xml:space="preserve"> (7)</w:t>
      </w:r>
      <w:r>
        <w:rPr>
          <w:rStyle w:val="default"/>
          <w:rFonts w:cs="David" w:hint="cs"/>
          <w:noProof w:val="0"/>
          <w:rtl/>
        </w:rPr>
        <w:tab/>
      </w:r>
      <w:r>
        <w:rPr>
          <w:rStyle w:val="default"/>
          <w:rFonts w:cs="David" w:hint="cs"/>
          <w:b/>
          <w:bCs/>
          <w:noProof w:val="0"/>
          <w:rtl/>
        </w:rPr>
        <w:t>נסיבות חיים קשות של הנאשם שהייתה להן השפעה על ביצוע מעשה העבירה</w:t>
      </w:r>
      <w:r>
        <w:rPr>
          <w:rStyle w:val="default"/>
          <w:rFonts w:cs="David" w:hint="cs"/>
          <w:noProof w:val="0"/>
          <w:rtl/>
        </w:rPr>
        <w:t>;</w:t>
      </w:r>
    </w:p>
    <w:p w14:paraId="38DE2AFF" w14:textId="77777777" w:rsidR="001F6032" w:rsidRDefault="00975154">
      <w:pPr>
        <w:pStyle w:val="P00"/>
        <w:tabs>
          <w:tab w:val="left" w:pos="8505"/>
        </w:tabs>
        <w:spacing w:before="72" w:line="360" w:lineRule="auto"/>
        <w:ind w:left="624"/>
        <w:rPr>
          <w:rStyle w:val="default"/>
          <w:rFonts w:cs="David"/>
          <w:noProof w:val="0"/>
          <w:rtl/>
        </w:rPr>
      </w:pPr>
      <w:r>
        <w:rPr>
          <w:rStyle w:val="default"/>
          <w:rFonts w:cs="David" w:hint="cs"/>
          <w:noProof w:val="0"/>
          <w:rtl/>
        </w:rPr>
        <w:t xml:space="preserve">כמוסבר בתסקיר, אביו של הנאשם נכה כתוצאה מפגיעה ברכב ואינו עובד לפרנסת המשפחה והמצב הכלכלי בבית קשה. עם זאת, איני סבור כי יש בנסיבות אלה משום השפעה או הצדקה לביצוע המעשים על ידי הנאשם. </w:t>
      </w:r>
    </w:p>
    <w:p w14:paraId="3E243AA6" w14:textId="77777777" w:rsidR="001F6032" w:rsidRDefault="001F6032">
      <w:pPr>
        <w:pStyle w:val="P00"/>
        <w:tabs>
          <w:tab w:val="left" w:pos="8505"/>
        </w:tabs>
        <w:spacing w:before="72" w:line="360" w:lineRule="auto"/>
        <w:ind w:left="624"/>
        <w:rPr>
          <w:rStyle w:val="default"/>
          <w:rFonts w:cs="David"/>
          <w:noProof w:val="0"/>
          <w:rtl/>
        </w:rPr>
      </w:pPr>
    </w:p>
    <w:p w14:paraId="0EEACD1F" w14:textId="77777777" w:rsidR="001F6032" w:rsidRDefault="00975154">
      <w:pPr>
        <w:pStyle w:val="P00"/>
        <w:tabs>
          <w:tab w:val="left" w:pos="8505"/>
        </w:tabs>
        <w:spacing w:before="72" w:line="360" w:lineRule="auto"/>
        <w:ind w:left="624"/>
        <w:rPr>
          <w:rStyle w:val="default"/>
          <w:rFonts w:cs="David"/>
          <w:noProof w:val="0"/>
          <w:rtl/>
        </w:rPr>
      </w:pPr>
      <w:r>
        <w:rPr>
          <w:rStyle w:val="default"/>
          <w:rFonts w:cs="David" w:hint="cs"/>
          <w:noProof w:val="0"/>
          <w:rtl/>
        </w:rPr>
        <w:t xml:space="preserve"> (8)</w:t>
      </w:r>
      <w:r>
        <w:rPr>
          <w:rStyle w:val="default"/>
          <w:rFonts w:cs="David" w:hint="cs"/>
          <w:noProof w:val="0"/>
          <w:rtl/>
        </w:rPr>
        <w:tab/>
      </w:r>
      <w:r>
        <w:rPr>
          <w:rStyle w:val="default"/>
          <w:rFonts w:cs="David" w:hint="cs"/>
          <w:b/>
          <w:bCs/>
          <w:noProof w:val="0"/>
          <w:rtl/>
        </w:rPr>
        <w:t>חלוף הזמן מעת ביצוע העבירה</w:t>
      </w:r>
      <w:r>
        <w:rPr>
          <w:rStyle w:val="default"/>
          <w:rFonts w:cs="David" w:hint="cs"/>
          <w:noProof w:val="0"/>
          <w:rtl/>
        </w:rPr>
        <w:t>;</w:t>
      </w:r>
    </w:p>
    <w:p w14:paraId="60CBD76E" w14:textId="77777777" w:rsidR="001F6032" w:rsidRDefault="00975154">
      <w:pPr>
        <w:pStyle w:val="P00"/>
        <w:tabs>
          <w:tab w:val="left" w:pos="8505"/>
        </w:tabs>
        <w:spacing w:before="72" w:line="360" w:lineRule="auto"/>
        <w:ind w:left="624"/>
        <w:rPr>
          <w:rStyle w:val="default"/>
          <w:rFonts w:cs="David"/>
          <w:noProof w:val="0"/>
          <w:rtl/>
        </w:rPr>
      </w:pPr>
      <w:r>
        <w:rPr>
          <w:rStyle w:val="default"/>
          <w:rFonts w:cs="David" w:hint="cs"/>
          <w:noProof w:val="0"/>
          <w:rtl/>
        </w:rPr>
        <w:t xml:space="preserve">הצטרפותו של הנאשם לארגון הטרור הייתה במהלך שנת 2010, ולאחר מכן השתתף בפגישות שונות עם פעולות נוספות בארגון. על פי כתב האישום נטל הנאשם חלק בחמישה אירועים של התפרעויות רבות משתתפים תוך יידוי אבנים, זיקוקים ובקבוק תבערה לעבר כוחות הביטחון, כאשר שני אירועים צויינו במפורש במהלך שנת 2013. בשנת 2014 השתתף במחאת הזדהות לציון יום יסודו של ארגון הטרור. </w:t>
      </w:r>
    </w:p>
    <w:p w14:paraId="07148782" w14:textId="77777777" w:rsidR="001F6032" w:rsidRDefault="001F6032">
      <w:pPr>
        <w:pStyle w:val="P00"/>
        <w:tabs>
          <w:tab w:val="left" w:pos="8505"/>
        </w:tabs>
        <w:spacing w:before="72" w:line="360" w:lineRule="auto"/>
        <w:ind w:left="624"/>
        <w:rPr>
          <w:rStyle w:val="default"/>
          <w:rFonts w:cs="David"/>
          <w:noProof w:val="0"/>
          <w:rtl/>
        </w:rPr>
      </w:pPr>
    </w:p>
    <w:p w14:paraId="399F32F6" w14:textId="77777777" w:rsidR="001F6032" w:rsidRDefault="00975154">
      <w:pPr>
        <w:pStyle w:val="P00"/>
        <w:tabs>
          <w:tab w:val="left" w:pos="8505"/>
        </w:tabs>
        <w:spacing w:before="72" w:line="360" w:lineRule="auto"/>
        <w:ind w:left="624"/>
        <w:rPr>
          <w:rStyle w:val="default"/>
          <w:rFonts w:cs="David"/>
          <w:noProof w:val="0"/>
          <w:rtl/>
        </w:rPr>
      </w:pPr>
      <w:r>
        <w:rPr>
          <w:rStyle w:val="default"/>
          <w:rFonts w:cs="David" w:hint="cs"/>
          <w:noProof w:val="0"/>
          <w:rtl/>
        </w:rPr>
        <w:t>(9)</w:t>
      </w:r>
      <w:r>
        <w:rPr>
          <w:rStyle w:val="default"/>
          <w:rFonts w:cs="David" w:hint="cs"/>
          <w:noProof w:val="0"/>
          <w:rtl/>
        </w:rPr>
        <w:tab/>
      </w:r>
      <w:r>
        <w:rPr>
          <w:rStyle w:val="default"/>
          <w:rFonts w:cs="David" w:hint="cs"/>
          <w:b/>
          <w:bCs/>
          <w:noProof w:val="0"/>
          <w:rtl/>
        </w:rPr>
        <w:t>עברו הפלילי של הנאשם או העדרו.</w:t>
      </w:r>
    </w:p>
    <w:p w14:paraId="2B72CBB4" w14:textId="77777777" w:rsidR="001F6032" w:rsidRDefault="00975154">
      <w:pPr>
        <w:pStyle w:val="P00"/>
        <w:tabs>
          <w:tab w:val="left" w:pos="8505"/>
        </w:tabs>
        <w:spacing w:before="72" w:line="360" w:lineRule="auto"/>
        <w:ind w:left="624"/>
        <w:rPr>
          <w:rStyle w:val="default"/>
          <w:rFonts w:cs="David"/>
          <w:noProof w:val="0"/>
          <w:rtl/>
        </w:rPr>
      </w:pPr>
      <w:r>
        <w:rPr>
          <w:rStyle w:val="default"/>
          <w:rFonts w:cs="David" w:hint="cs"/>
          <w:noProof w:val="0"/>
          <w:rtl/>
        </w:rPr>
        <w:t>לנאשם אין עבר פלילי. אולם צוין בתסקיר כי קיימים שני מב"דים, כאשר באחד מהם מתנהל הליך בעבירות דומות לאלו בהן הורשע כאן, והעבירות כאן בוצעו שעה שההליך תלוי ועומד נגד הנאשם.</w:t>
      </w:r>
    </w:p>
    <w:p w14:paraId="6DFD850A" w14:textId="77777777" w:rsidR="001F6032" w:rsidRDefault="001F6032">
      <w:pPr>
        <w:pStyle w:val="P00"/>
        <w:tabs>
          <w:tab w:val="left" w:pos="8505"/>
        </w:tabs>
        <w:spacing w:before="72" w:line="360" w:lineRule="auto"/>
        <w:ind w:left="624"/>
        <w:rPr>
          <w:rStyle w:val="default"/>
          <w:rFonts w:cs="David"/>
          <w:noProof w:val="0"/>
          <w:rtl/>
        </w:rPr>
      </w:pPr>
    </w:p>
    <w:p w14:paraId="31E5C9DE" w14:textId="77777777" w:rsidR="001F6032" w:rsidRDefault="00975154">
      <w:pPr>
        <w:spacing w:line="360" w:lineRule="auto"/>
        <w:ind w:left="624" w:hanging="624"/>
        <w:jc w:val="both"/>
        <w:rPr>
          <w:sz w:val="26"/>
          <w:szCs w:val="26"/>
          <w:rtl/>
        </w:rPr>
      </w:pPr>
      <w:r>
        <w:rPr>
          <w:rFonts w:hint="cs"/>
          <w:sz w:val="26"/>
          <w:szCs w:val="26"/>
          <w:rtl/>
        </w:rPr>
        <w:t>22.</w:t>
      </w:r>
      <w:r>
        <w:rPr>
          <w:rFonts w:hint="cs"/>
          <w:sz w:val="26"/>
          <w:szCs w:val="26"/>
          <w:rtl/>
        </w:rPr>
        <w:tab/>
        <w:t xml:space="preserve">על פי הוראת </w:t>
      </w:r>
      <w:hyperlink r:id="rId64" w:history="1">
        <w:r w:rsidR="00263A71" w:rsidRPr="00263A71">
          <w:rPr>
            <w:color w:val="0000FF"/>
            <w:sz w:val="26"/>
            <w:szCs w:val="26"/>
            <w:u w:val="single"/>
            <w:rtl/>
          </w:rPr>
          <w:t>סעיף 40ד(א)</w:t>
        </w:r>
      </w:hyperlink>
      <w:r>
        <w:rPr>
          <w:rFonts w:hint="cs"/>
          <w:sz w:val="26"/>
          <w:szCs w:val="26"/>
          <w:rtl/>
        </w:rPr>
        <w:t xml:space="preserve"> לחוק על בית המשפט לבחון האם ראוי לסטות לקולה ממתחם הענישה ההולם בשל שיקולי שיקום של הנאשם "</w:t>
      </w:r>
      <w:r>
        <w:rPr>
          <w:rFonts w:hint="cs"/>
          <w:b/>
          <w:bCs/>
          <w:sz w:val="26"/>
          <w:szCs w:val="26"/>
          <w:rtl/>
        </w:rPr>
        <w:t>אם מצא כי הנאשם השתקם או כי יש סיכוי של ממש שישתקם</w:t>
      </w:r>
      <w:r>
        <w:rPr>
          <w:rFonts w:hint="cs"/>
          <w:sz w:val="26"/>
          <w:szCs w:val="26"/>
          <w:rtl/>
        </w:rPr>
        <w:t xml:space="preserve">". סמכות זו היא בשיקול דעת בית המשפט ואין בית המשפט חייב לפעול על פי האמור </w:t>
      </w:r>
      <w:hyperlink r:id="rId65" w:history="1">
        <w:r w:rsidR="00263A71" w:rsidRPr="00263A71">
          <w:rPr>
            <w:color w:val="0000FF"/>
            <w:sz w:val="26"/>
            <w:szCs w:val="26"/>
            <w:u w:val="single"/>
            <w:rtl/>
          </w:rPr>
          <w:t>בסעיף 40ד(א)</w:t>
        </w:r>
      </w:hyperlink>
      <w:r>
        <w:rPr>
          <w:rFonts w:hint="cs"/>
          <w:sz w:val="26"/>
          <w:szCs w:val="26"/>
          <w:rtl/>
        </w:rPr>
        <w:t xml:space="preserve"> לחוק, גם אם מדובר בנאשם שהשתקם או קיים סיכוי של ממש שישתקם (</w:t>
      </w:r>
      <w:hyperlink r:id="rId66" w:history="1">
        <w:r w:rsidRPr="00975154">
          <w:rPr>
            <w:color w:val="0000FF"/>
            <w:sz w:val="26"/>
            <w:szCs w:val="26"/>
            <w:u w:val="single"/>
            <w:rtl/>
          </w:rPr>
          <w:t>ע"פ 3102/14</w:t>
        </w:r>
      </w:hyperlink>
      <w:r>
        <w:rPr>
          <w:rFonts w:hint="cs"/>
          <w:sz w:val="26"/>
          <w:szCs w:val="26"/>
          <w:rtl/>
        </w:rPr>
        <w:t xml:space="preserve"> </w:t>
      </w:r>
      <w:r>
        <w:rPr>
          <w:rFonts w:hint="cs"/>
          <w:b/>
          <w:bCs/>
          <w:sz w:val="26"/>
          <w:szCs w:val="26"/>
          <w:rtl/>
        </w:rPr>
        <w:t>אבו חאטר נ' מדינת ישראל</w:t>
      </w:r>
      <w:r>
        <w:rPr>
          <w:rFonts w:hint="cs"/>
          <w:sz w:val="26"/>
          <w:szCs w:val="26"/>
          <w:rtl/>
        </w:rPr>
        <w:t xml:space="preserve"> (17.11.2014), סעיף 21 שם). </w:t>
      </w:r>
    </w:p>
    <w:p w14:paraId="577E1F97" w14:textId="77777777" w:rsidR="001F6032" w:rsidRDefault="00975154">
      <w:pPr>
        <w:spacing w:line="360" w:lineRule="auto"/>
        <w:ind w:left="720" w:hanging="720"/>
        <w:jc w:val="both"/>
        <w:rPr>
          <w:sz w:val="26"/>
          <w:szCs w:val="26"/>
          <w:rtl/>
        </w:rPr>
      </w:pPr>
      <w:r>
        <w:rPr>
          <w:sz w:val="26"/>
          <w:szCs w:val="26"/>
          <w:rtl/>
        </w:rPr>
        <w:tab/>
      </w:r>
      <w:r>
        <w:rPr>
          <w:rFonts w:hint="cs"/>
          <w:sz w:val="26"/>
          <w:szCs w:val="26"/>
          <w:rtl/>
        </w:rPr>
        <w:t xml:space="preserve">כפי שהובהר בתסקיר, נמנע שירות המבחן מלבוא בהמלצה שיקומית בעניינו. לפיכך אין מקום לכלול שיקול זה במסגרת מכלול השיקולים לעת גזירת עונשו של הנאשם, ואין מקום לסטות לקולא ממתחמי הענישה. </w:t>
      </w:r>
    </w:p>
    <w:p w14:paraId="1C8ECACF" w14:textId="77777777" w:rsidR="001F6032" w:rsidRDefault="001F6032">
      <w:pPr>
        <w:spacing w:line="360" w:lineRule="auto"/>
        <w:ind w:left="720" w:hanging="720"/>
        <w:jc w:val="both"/>
        <w:rPr>
          <w:b/>
          <w:bCs/>
          <w:sz w:val="26"/>
          <w:szCs w:val="26"/>
          <w:u w:val="single"/>
          <w:rtl/>
        </w:rPr>
      </w:pPr>
    </w:p>
    <w:p w14:paraId="2D0730B5" w14:textId="77777777" w:rsidR="001F6032" w:rsidRDefault="00975154">
      <w:pPr>
        <w:spacing w:line="360" w:lineRule="auto"/>
        <w:ind w:left="720" w:hanging="720"/>
        <w:jc w:val="both"/>
        <w:rPr>
          <w:sz w:val="26"/>
          <w:szCs w:val="26"/>
          <w:rtl/>
        </w:rPr>
      </w:pPr>
      <w:r>
        <w:rPr>
          <w:rFonts w:hint="cs"/>
          <w:b/>
          <w:bCs/>
          <w:sz w:val="26"/>
          <w:szCs w:val="26"/>
          <w:u w:val="single"/>
          <w:rtl/>
        </w:rPr>
        <w:t>סיכום</w:t>
      </w:r>
    </w:p>
    <w:p w14:paraId="07E44A80" w14:textId="77777777" w:rsidR="001F6032" w:rsidRDefault="00975154">
      <w:pPr>
        <w:spacing w:line="360" w:lineRule="auto"/>
        <w:ind w:left="720" w:hanging="720"/>
        <w:jc w:val="both"/>
        <w:rPr>
          <w:sz w:val="26"/>
          <w:szCs w:val="26"/>
          <w:rtl/>
        </w:rPr>
      </w:pPr>
      <w:r>
        <w:rPr>
          <w:rFonts w:hint="cs"/>
          <w:sz w:val="26"/>
          <w:szCs w:val="26"/>
          <w:rtl/>
        </w:rPr>
        <w:t>23.</w:t>
      </w:r>
      <w:r>
        <w:rPr>
          <w:rFonts w:hint="cs"/>
          <w:sz w:val="26"/>
          <w:szCs w:val="26"/>
          <w:rtl/>
        </w:rPr>
        <w:tab/>
        <w:t xml:space="preserve">אחר כל זאת, בשים לב לחומרת העבירות וההגנה על האינטרס הציבורי, למצבור העבירות של חמישה מקרים המפורטים באישום השני בהפרשי זמן שאינם גדולים, לכך שהנאשם ביצע את העבירות שעה שמתנהל נגדו הליך פלילי במעשים דומים, דבר המצביע על כך שאין מורא החוק עליו ולאי הבעת חרטה על המעשים, מחד גיסא, ומאידך גיסא לשיקולים לקולא - הודאה, הגיל הצעיר, העדר עבר פלילי והנסיבות האישיות של הנאשם, ולכך שמלבד שלושת השוטרים שנזקקו לטיפול רפואי לא היו נפגעים נוספים בגוף וברכוש, ומבלי למצות את הדין עם הנאשם על מנת לעודדו לנטוש את דרך הפשע ולעלות על מסלול של שיקום </w:t>
      </w:r>
      <w:r>
        <w:rPr>
          <w:sz w:val="26"/>
          <w:szCs w:val="26"/>
          <w:rtl/>
        </w:rPr>
        <w:t>–</w:t>
      </w:r>
      <w:r>
        <w:rPr>
          <w:rFonts w:hint="cs"/>
          <w:sz w:val="26"/>
          <w:szCs w:val="26"/>
          <w:rtl/>
        </w:rPr>
        <w:t xml:space="preserve"> ובשים לב לעמדתה של המאשימה שעתרה לגזור על הנאשם את העונשים שבשליש התחתון של מתחם הענישה, אני גוזר על הנאשם את העונשים הבאים: </w:t>
      </w:r>
    </w:p>
    <w:p w14:paraId="5C0AD38F" w14:textId="77777777" w:rsidR="001F6032" w:rsidRDefault="001F6032">
      <w:pPr>
        <w:spacing w:line="360" w:lineRule="auto"/>
        <w:ind w:left="720" w:hanging="720"/>
        <w:jc w:val="both"/>
        <w:rPr>
          <w:sz w:val="26"/>
          <w:szCs w:val="26"/>
          <w:rtl/>
        </w:rPr>
      </w:pPr>
    </w:p>
    <w:p w14:paraId="26630498" w14:textId="77777777" w:rsidR="001F6032" w:rsidRDefault="001F6032">
      <w:pPr>
        <w:spacing w:line="360" w:lineRule="auto"/>
        <w:ind w:left="720" w:hanging="720"/>
        <w:jc w:val="both"/>
        <w:rPr>
          <w:sz w:val="26"/>
          <w:szCs w:val="26"/>
          <w:rtl/>
        </w:rPr>
      </w:pPr>
    </w:p>
    <w:p w14:paraId="3FB4076C" w14:textId="77777777" w:rsidR="001F6032" w:rsidRDefault="001F6032">
      <w:pPr>
        <w:spacing w:line="360" w:lineRule="auto"/>
        <w:ind w:left="720" w:hanging="720"/>
        <w:jc w:val="both"/>
        <w:rPr>
          <w:sz w:val="26"/>
          <w:szCs w:val="26"/>
          <w:rtl/>
        </w:rPr>
      </w:pPr>
    </w:p>
    <w:p w14:paraId="788D89A8" w14:textId="77777777" w:rsidR="001F6032" w:rsidRDefault="001F6032">
      <w:pPr>
        <w:spacing w:line="360" w:lineRule="auto"/>
        <w:ind w:left="720" w:hanging="720"/>
        <w:jc w:val="both"/>
        <w:rPr>
          <w:sz w:val="26"/>
          <w:szCs w:val="26"/>
          <w:rtl/>
        </w:rPr>
      </w:pPr>
    </w:p>
    <w:p w14:paraId="68E6E08C" w14:textId="77777777" w:rsidR="001F6032" w:rsidRDefault="00975154">
      <w:pPr>
        <w:spacing w:line="360" w:lineRule="auto"/>
        <w:ind w:left="1440" w:hanging="720"/>
        <w:jc w:val="both"/>
        <w:rPr>
          <w:b/>
          <w:bCs/>
          <w:sz w:val="26"/>
          <w:szCs w:val="26"/>
          <w:rtl/>
        </w:rPr>
      </w:pPr>
      <w:r>
        <w:rPr>
          <w:rFonts w:hint="cs"/>
          <w:b/>
          <w:bCs/>
          <w:sz w:val="26"/>
          <w:szCs w:val="26"/>
          <w:rtl/>
        </w:rPr>
        <w:t>א.</w:t>
      </w:r>
      <w:r>
        <w:rPr>
          <w:rFonts w:hint="cs"/>
          <w:b/>
          <w:bCs/>
          <w:sz w:val="26"/>
          <w:szCs w:val="26"/>
          <w:rtl/>
        </w:rPr>
        <w:tab/>
        <w:t xml:space="preserve">10 (עשרה) חודשים של מאסר בפועל, בגין החברות בארגון טרור, אשר באישום הראשון; </w:t>
      </w:r>
    </w:p>
    <w:p w14:paraId="7C415810" w14:textId="77777777" w:rsidR="001F6032" w:rsidRDefault="00975154">
      <w:pPr>
        <w:spacing w:line="360" w:lineRule="auto"/>
        <w:ind w:left="1440" w:hanging="720"/>
        <w:jc w:val="both"/>
        <w:rPr>
          <w:b/>
          <w:bCs/>
          <w:sz w:val="26"/>
          <w:szCs w:val="26"/>
          <w:rtl/>
        </w:rPr>
      </w:pPr>
      <w:r>
        <w:rPr>
          <w:rFonts w:hint="cs"/>
          <w:b/>
          <w:bCs/>
          <w:sz w:val="26"/>
          <w:szCs w:val="26"/>
          <w:rtl/>
        </w:rPr>
        <w:t>ב.</w:t>
      </w:r>
      <w:r>
        <w:rPr>
          <w:rFonts w:hint="cs"/>
          <w:b/>
          <w:bCs/>
          <w:sz w:val="26"/>
          <w:szCs w:val="26"/>
          <w:rtl/>
        </w:rPr>
        <w:tab/>
        <w:t xml:space="preserve">15 (חמישה עשר) חודשים של מאסר בפועל בגין שלוש האירועים של יידוי אבנים לעבר כוחות הביטחון, במועדים שאינם ידועים למאשימה (סעיף 2 לאישום השני); </w:t>
      </w:r>
    </w:p>
    <w:p w14:paraId="71DC4BA8" w14:textId="77777777" w:rsidR="001F6032" w:rsidRDefault="00975154">
      <w:pPr>
        <w:spacing w:line="360" w:lineRule="auto"/>
        <w:ind w:left="1440" w:hanging="720"/>
        <w:jc w:val="both"/>
        <w:rPr>
          <w:b/>
          <w:bCs/>
          <w:sz w:val="26"/>
          <w:szCs w:val="26"/>
          <w:rtl/>
        </w:rPr>
      </w:pPr>
      <w:r>
        <w:rPr>
          <w:rFonts w:hint="cs"/>
          <w:b/>
          <w:bCs/>
          <w:sz w:val="26"/>
          <w:szCs w:val="26"/>
          <w:rtl/>
        </w:rPr>
        <w:t>ג.</w:t>
      </w:r>
      <w:r>
        <w:rPr>
          <w:rFonts w:hint="cs"/>
          <w:b/>
          <w:bCs/>
          <w:sz w:val="26"/>
          <w:szCs w:val="26"/>
          <w:rtl/>
        </w:rPr>
        <w:tab/>
        <w:t xml:space="preserve">12 (שנים עשר) חודשים של מאסר בפועל בגין האירוע מיום 15.5.2013 של השתתפות בהתפרעות יחד עם אחרים רעולי פנים, במהלכה זרקו אבנים וזיקוקים לעבר כוחות הביטחון (סעיף 5 לאישום השני); </w:t>
      </w:r>
    </w:p>
    <w:p w14:paraId="2B4F50F6" w14:textId="77777777" w:rsidR="001F6032" w:rsidRDefault="00975154">
      <w:pPr>
        <w:spacing w:line="360" w:lineRule="auto"/>
        <w:ind w:left="1440" w:hanging="720"/>
        <w:jc w:val="both"/>
        <w:rPr>
          <w:b/>
          <w:bCs/>
          <w:sz w:val="26"/>
          <w:szCs w:val="26"/>
          <w:rtl/>
        </w:rPr>
      </w:pPr>
      <w:r>
        <w:rPr>
          <w:rFonts w:hint="cs"/>
          <w:b/>
          <w:bCs/>
          <w:sz w:val="26"/>
          <w:szCs w:val="26"/>
          <w:rtl/>
        </w:rPr>
        <w:t>ד.</w:t>
      </w:r>
      <w:r>
        <w:rPr>
          <w:rFonts w:hint="cs"/>
          <w:b/>
          <w:bCs/>
          <w:sz w:val="26"/>
          <w:szCs w:val="26"/>
          <w:rtl/>
        </w:rPr>
        <w:tab/>
        <w:t xml:space="preserve">20 (עשרים) חודשים של מאסר בפועל בגין האירוע מיום 19.11.13 של יידוי אבנים ובקבוק התבערה לעבר כוחות הביטחון. כתוצאה מיידוי האבנים נפגעו מספר שוטרים ושלושה נזקקו לטיפול רפואי (סעיפים 3 ו </w:t>
      </w:r>
      <w:r>
        <w:rPr>
          <w:b/>
          <w:bCs/>
          <w:sz w:val="26"/>
          <w:szCs w:val="26"/>
          <w:rtl/>
        </w:rPr>
        <w:t>–</w:t>
      </w:r>
      <w:r>
        <w:rPr>
          <w:rFonts w:hint="cs"/>
          <w:b/>
          <w:bCs/>
          <w:sz w:val="26"/>
          <w:szCs w:val="26"/>
          <w:rtl/>
        </w:rPr>
        <w:t xml:space="preserve"> 4 לאישום השני).</w:t>
      </w:r>
    </w:p>
    <w:p w14:paraId="1CE1BA9F" w14:textId="77777777" w:rsidR="001F6032" w:rsidRDefault="00975154">
      <w:pPr>
        <w:spacing w:line="360" w:lineRule="auto"/>
        <w:ind w:left="1440" w:hanging="720"/>
        <w:jc w:val="both"/>
        <w:rPr>
          <w:b/>
          <w:bCs/>
          <w:sz w:val="26"/>
          <w:szCs w:val="26"/>
          <w:u w:val="single"/>
          <w:rtl/>
        </w:rPr>
      </w:pPr>
      <w:r>
        <w:rPr>
          <w:rFonts w:hint="cs"/>
          <w:b/>
          <w:bCs/>
          <w:sz w:val="26"/>
          <w:szCs w:val="26"/>
          <w:rtl/>
        </w:rPr>
        <w:t>ה.</w:t>
      </w:r>
      <w:r>
        <w:rPr>
          <w:rFonts w:hint="cs"/>
          <w:b/>
          <w:bCs/>
          <w:sz w:val="26"/>
          <w:szCs w:val="26"/>
          <w:rtl/>
        </w:rPr>
        <w:tab/>
      </w:r>
      <w:r>
        <w:rPr>
          <w:rFonts w:hint="cs"/>
          <w:b/>
          <w:bCs/>
          <w:sz w:val="26"/>
          <w:szCs w:val="26"/>
          <w:u w:val="single"/>
          <w:rtl/>
        </w:rPr>
        <w:t>מכיוון שמדובר במספר אירועים שאירעו במועדים שונים ואשר נפרשו על פני תקופה לא קצרה, לא ראיתי לחפוף את העונשים או מקצתם.</w:t>
      </w:r>
    </w:p>
    <w:p w14:paraId="1AC123A8" w14:textId="77777777" w:rsidR="001F6032" w:rsidRDefault="00975154">
      <w:pPr>
        <w:spacing w:line="360" w:lineRule="auto"/>
        <w:ind w:left="1440"/>
        <w:jc w:val="both"/>
        <w:rPr>
          <w:b/>
          <w:bCs/>
          <w:sz w:val="26"/>
          <w:szCs w:val="26"/>
          <w:rtl/>
        </w:rPr>
      </w:pPr>
      <w:r>
        <w:rPr>
          <w:rFonts w:hint="cs"/>
          <w:b/>
          <w:bCs/>
          <w:sz w:val="26"/>
          <w:szCs w:val="26"/>
          <w:u w:val="single"/>
          <w:rtl/>
        </w:rPr>
        <w:t>לפיכך, העונשים יהיו במצטבר, כך שעל הנאשם לרצות סך הכול 57 (חמישים ושבעה) חודשים של מאסר בפועל אשר יחלו להימנות מיום מעצרו בפועל 30.3.2014.</w:t>
      </w:r>
      <w:r>
        <w:rPr>
          <w:rFonts w:hint="cs"/>
          <w:b/>
          <w:bCs/>
          <w:sz w:val="26"/>
          <w:szCs w:val="26"/>
          <w:rtl/>
        </w:rPr>
        <w:t xml:space="preserve">  </w:t>
      </w:r>
      <w:r>
        <w:rPr>
          <w:rFonts w:hint="cs"/>
          <w:b/>
          <w:bCs/>
          <w:sz w:val="26"/>
          <w:szCs w:val="26"/>
          <w:rtl/>
        </w:rPr>
        <w:tab/>
      </w:r>
    </w:p>
    <w:p w14:paraId="7E8198DA" w14:textId="77777777" w:rsidR="001F6032" w:rsidRDefault="00975154">
      <w:pPr>
        <w:spacing w:line="360" w:lineRule="auto"/>
        <w:ind w:left="1440" w:hanging="720"/>
        <w:jc w:val="both"/>
        <w:rPr>
          <w:b/>
          <w:bCs/>
          <w:sz w:val="26"/>
          <w:szCs w:val="26"/>
          <w:rtl/>
        </w:rPr>
      </w:pPr>
      <w:r>
        <w:rPr>
          <w:rFonts w:hint="cs"/>
          <w:b/>
          <w:bCs/>
          <w:sz w:val="26"/>
          <w:szCs w:val="26"/>
          <w:rtl/>
        </w:rPr>
        <w:t>ו.</w:t>
      </w:r>
      <w:r>
        <w:rPr>
          <w:rFonts w:hint="cs"/>
          <w:b/>
          <w:bCs/>
          <w:sz w:val="26"/>
          <w:szCs w:val="26"/>
          <w:rtl/>
        </w:rPr>
        <w:tab/>
        <w:t xml:space="preserve">כמו כן אני גוזר על הנאשם </w:t>
      </w:r>
      <w:r>
        <w:rPr>
          <w:rFonts w:hint="cs"/>
          <w:b/>
          <w:bCs/>
          <w:sz w:val="26"/>
          <w:szCs w:val="26"/>
          <w:u w:val="single"/>
          <w:rtl/>
        </w:rPr>
        <w:t>10 (עשרה) חודשים של מאסר על תנאי</w:t>
      </w:r>
      <w:r>
        <w:rPr>
          <w:rFonts w:hint="cs"/>
          <w:b/>
          <w:bCs/>
          <w:sz w:val="26"/>
          <w:szCs w:val="26"/>
          <w:rtl/>
        </w:rPr>
        <w:t>, והתנאי הוא שהנאשם לא יעבור במשך 3 שנים מעת שחרורו מהמאסר על  אחת מהעבירות בהן הורשע כאן.</w:t>
      </w:r>
    </w:p>
    <w:p w14:paraId="4CD1E592" w14:textId="77777777" w:rsidR="001F6032" w:rsidRDefault="00975154">
      <w:pPr>
        <w:spacing w:line="360" w:lineRule="auto"/>
        <w:ind w:left="1440" w:hanging="720"/>
        <w:jc w:val="both"/>
        <w:rPr>
          <w:b/>
          <w:bCs/>
          <w:sz w:val="26"/>
          <w:szCs w:val="26"/>
          <w:rtl/>
        </w:rPr>
      </w:pPr>
      <w:r>
        <w:rPr>
          <w:rFonts w:hint="cs"/>
          <w:b/>
          <w:bCs/>
          <w:sz w:val="26"/>
          <w:szCs w:val="26"/>
          <w:rtl/>
        </w:rPr>
        <w:tab/>
        <w:t xml:space="preserve"> </w:t>
      </w:r>
    </w:p>
    <w:p w14:paraId="2B60EDFA" w14:textId="77777777" w:rsidR="001F6032" w:rsidRDefault="00975154">
      <w:pPr>
        <w:spacing w:line="360" w:lineRule="auto"/>
        <w:jc w:val="both"/>
        <w:rPr>
          <w:rFonts w:ascii="Arial" w:hAnsi="Arial"/>
          <w:sz w:val="26"/>
          <w:szCs w:val="26"/>
          <w:u w:val="single"/>
          <w:rtl/>
        </w:rPr>
      </w:pPr>
      <w:r>
        <w:rPr>
          <w:rFonts w:ascii="Arial" w:hAnsi="Arial" w:hint="cs"/>
          <w:b/>
          <w:bCs/>
          <w:sz w:val="26"/>
          <w:szCs w:val="26"/>
          <w:rtl/>
        </w:rPr>
        <w:t xml:space="preserve">זכות ערעור לבית המשפט העליון בתוך 45 יום מהיום. </w:t>
      </w:r>
    </w:p>
    <w:p w14:paraId="409664CA" w14:textId="77777777" w:rsidR="001F6032" w:rsidRDefault="001F6032">
      <w:pPr>
        <w:spacing w:line="360" w:lineRule="auto"/>
        <w:jc w:val="both"/>
        <w:rPr>
          <w:rFonts w:ascii="Arial" w:hAnsi="Arial"/>
          <w:sz w:val="26"/>
          <w:szCs w:val="26"/>
          <w:u w:val="single"/>
          <w:rtl/>
        </w:rPr>
      </w:pPr>
    </w:p>
    <w:p w14:paraId="64A57278" w14:textId="77777777" w:rsidR="001F6032" w:rsidRDefault="00975154">
      <w:pPr>
        <w:spacing w:line="360" w:lineRule="auto"/>
        <w:jc w:val="both"/>
        <w:rPr>
          <w:sz w:val="26"/>
          <w:szCs w:val="26"/>
          <w:rtl/>
        </w:rPr>
      </w:pPr>
      <w:r>
        <w:rPr>
          <w:rFonts w:ascii="Arial" w:hAnsi="Arial" w:hint="cs"/>
          <w:sz w:val="26"/>
          <w:szCs w:val="26"/>
          <w:u w:val="single"/>
          <w:rtl/>
        </w:rPr>
        <w:t>המזכירות תשלח עותק מגזר הדין לשירות המבחן</w:t>
      </w:r>
      <w:r>
        <w:rPr>
          <w:rFonts w:ascii="Arial" w:hAnsi="Arial" w:hint="cs"/>
          <w:sz w:val="26"/>
          <w:szCs w:val="26"/>
          <w:rtl/>
        </w:rPr>
        <w:t xml:space="preserve">. </w:t>
      </w:r>
    </w:p>
    <w:p w14:paraId="3A2564AC" w14:textId="77777777" w:rsidR="001F6032" w:rsidRPr="00975154" w:rsidRDefault="00975154">
      <w:pPr>
        <w:jc w:val="both"/>
        <w:rPr>
          <w:color w:val="FFFFFF"/>
          <w:sz w:val="2"/>
          <w:szCs w:val="2"/>
          <w:rtl/>
        </w:rPr>
      </w:pPr>
      <w:r w:rsidRPr="00975154">
        <w:rPr>
          <w:color w:val="FFFFFF"/>
          <w:sz w:val="2"/>
          <w:szCs w:val="2"/>
          <w:rtl/>
        </w:rPr>
        <w:t>5129371</w:t>
      </w:r>
    </w:p>
    <w:tbl>
      <w:tblPr>
        <w:tblpPr w:leftFromText="180" w:rightFromText="180" w:vertAnchor="page" w:horzAnchor="margin" w:tblpY="13771"/>
        <w:bidiVisual/>
        <w:tblW w:w="0" w:type="auto"/>
        <w:tblLook w:val="01E0" w:firstRow="1" w:lastRow="1" w:firstColumn="1" w:lastColumn="1" w:noHBand="0" w:noVBand="0"/>
      </w:tblPr>
      <w:tblGrid>
        <w:gridCol w:w="2511"/>
      </w:tblGrid>
      <w:tr w:rsidR="001F6032" w14:paraId="126CE1B0" w14:textId="77777777">
        <w:tc>
          <w:tcPr>
            <w:tcW w:w="2511" w:type="dxa"/>
            <w:tcBorders>
              <w:top w:val="nil"/>
              <w:left w:val="nil"/>
              <w:bottom w:val="single" w:sz="4" w:space="0" w:color="auto"/>
              <w:right w:val="nil"/>
            </w:tcBorders>
            <w:shd w:val="clear" w:color="auto" w:fill="auto"/>
            <w:vAlign w:val="center"/>
          </w:tcPr>
          <w:p w14:paraId="4793F6B9" w14:textId="77777777" w:rsidR="001F6032" w:rsidRDefault="00975154">
            <w:pPr>
              <w:jc w:val="center"/>
              <w:rPr>
                <w:rFonts w:ascii="Courier New" w:hAnsi="Courier New"/>
                <w:b/>
                <w:bCs/>
              </w:rPr>
            </w:pPr>
            <w:r w:rsidRPr="00975154">
              <w:rPr>
                <w:rFonts w:ascii="Arial" w:hAnsi="Arial"/>
                <w:color w:val="FFFFFF"/>
                <w:sz w:val="2"/>
                <w:szCs w:val="2"/>
                <w:rtl/>
              </w:rPr>
              <w:t>54678313</w:t>
            </w:r>
            <w:r>
              <w:rPr>
                <w:rFonts w:ascii="Arial" w:hAnsi="Arial"/>
                <w:sz w:val="26"/>
                <w:szCs w:val="26"/>
                <w:rtl/>
              </w:rPr>
              <w:t xml:space="preserve">ניתן היום,  ט"ז סיוון תשע"ה, 03 יוני 2015, במעמד הנאשם וב"כ הצדדים. </w:t>
            </w:r>
          </w:p>
        </w:tc>
      </w:tr>
      <w:tr w:rsidR="001F6032" w14:paraId="00E4DFB7" w14:textId="77777777">
        <w:tc>
          <w:tcPr>
            <w:tcW w:w="2511" w:type="dxa"/>
            <w:tcBorders>
              <w:top w:val="single" w:sz="4" w:space="0" w:color="auto"/>
              <w:left w:val="nil"/>
              <w:bottom w:val="nil"/>
              <w:right w:val="nil"/>
            </w:tcBorders>
            <w:shd w:val="clear" w:color="auto" w:fill="auto"/>
            <w:vAlign w:val="center"/>
          </w:tcPr>
          <w:p w14:paraId="761AE58A" w14:textId="77777777" w:rsidR="001F6032" w:rsidRDefault="00975154">
            <w:pPr>
              <w:spacing w:line="360" w:lineRule="auto"/>
              <w:jc w:val="center"/>
              <w:rPr>
                <w:b/>
                <w:bCs/>
                <w:noProof/>
              </w:rPr>
            </w:pPr>
            <w:r>
              <w:rPr>
                <w:rFonts w:hint="cs"/>
                <w:b/>
                <w:bCs/>
                <w:rtl/>
              </w:rPr>
              <w:t>אהרון פרקש, שופט</w:t>
            </w:r>
          </w:p>
        </w:tc>
      </w:tr>
    </w:tbl>
    <w:p w14:paraId="67671744" w14:textId="77777777" w:rsidR="001F6032" w:rsidRDefault="00975154">
      <w:pPr>
        <w:spacing w:line="360" w:lineRule="auto"/>
        <w:jc w:val="both"/>
        <w:rPr>
          <w:sz w:val="26"/>
          <w:szCs w:val="26"/>
          <w:rtl/>
        </w:rPr>
      </w:pPr>
      <w:r>
        <w:rPr>
          <w:rFonts w:ascii="Arial" w:hAnsi="Arial"/>
          <w:sz w:val="26"/>
          <w:szCs w:val="26"/>
          <w:rtl/>
        </w:rPr>
        <w:tab/>
      </w:r>
      <w:r>
        <w:rPr>
          <w:rFonts w:ascii="Arial" w:hAnsi="Arial"/>
          <w:sz w:val="26"/>
          <w:szCs w:val="26"/>
          <w:rtl/>
        </w:rPr>
        <w:tab/>
      </w:r>
      <w:r>
        <w:rPr>
          <w:rFonts w:ascii="Arial" w:hAnsi="Arial"/>
          <w:sz w:val="26"/>
          <w:szCs w:val="26"/>
          <w:rtl/>
        </w:rPr>
        <w:tab/>
      </w:r>
    </w:p>
    <w:p w14:paraId="78F476D9" w14:textId="77777777" w:rsidR="00975154" w:rsidRPr="00975154" w:rsidRDefault="00975154" w:rsidP="00975154">
      <w:pPr>
        <w:keepNext/>
        <w:rPr>
          <w:rFonts w:ascii="David" w:hAnsi="David"/>
          <w:color w:val="000000"/>
          <w:sz w:val="22"/>
          <w:szCs w:val="22"/>
          <w:rtl/>
        </w:rPr>
      </w:pPr>
    </w:p>
    <w:p w14:paraId="558064C2" w14:textId="77777777" w:rsidR="00975154" w:rsidRPr="00975154" w:rsidRDefault="00975154" w:rsidP="00975154">
      <w:pPr>
        <w:keepNext/>
        <w:rPr>
          <w:rFonts w:ascii="David" w:hAnsi="David"/>
          <w:color w:val="000000"/>
          <w:sz w:val="22"/>
          <w:szCs w:val="22"/>
          <w:rtl/>
        </w:rPr>
      </w:pPr>
      <w:r w:rsidRPr="00975154">
        <w:rPr>
          <w:rFonts w:ascii="David" w:hAnsi="David"/>
          <w:color w:val="000000"/>
          <w:sz w:val="22"/>
          <w:szCs w:val="22"/>
          <w:rtl/>
        </w:rPr>
        <w:t>אהרן פרקש 54678313</w:t>
      </w:r>
    </w:p>
    <w:p w14:paraId="39A63F1E" w14:textId="77777777" w:rsidR="00975154" w:rsidRDefault="00975154" w:rsidP="00975154">
      <w:r w:rsidRPr="00975154">
        <w:rPr>
          <w:color w:val="000000"/>
          <w:rtl/>
        </w:rPr>
        <w:t>נוסח מסמך זה כפוף לשינויי ניסוח ועריכה</w:t>
      </w:r>
    </w:p>
    <w:p w14:paraId="39D0372B" w14:textId="77777777" w:rsidR="00975154" w:rsidRDefault="00975154" w:rsidP="00975154">
      <w:pPr>
        <w:rPr>
          <w:rtl/>
        </w:rPr>
      </w:pPr>
    </w:p>
    <w:p w14:paraId="03E13B3A" w14:textId="77777777" w:rsidR="00975154" w:rsidRDefault="00975154" w:rsidP="00975154">
      <w:pPr>
        <w:jc w:val="center"/>
        <w:rPr>
          <w:color w:val="0000FF"/>
          <w:u w:val="single"/>
        </w:rPr>
      </w:pPr>
      <w:hyperlink r:id="rId67" w:history="1">
        <w:r>
          <w:rPr>
            <w:color w:val="0000FF"/>
            <w:u w:val="single"/>
            <w:rtl/>
          </w:rPr>
          <w:t>בעניין עריכה ושינויים במסמכי פסיקה, חקיקה ועוד באתר נבו – הקש כאן</w:t>
        </w:r>
      </w:hyperlink>
    </w:p>
    <w:p w14:paraId="72A9C1EF" w14:textId="77777777" w:rsidR="001F6032" w:rsidRPr="00975154" w:rsidRDefault="00B54FFF" w:rsidP="00975154">
      <w:pPr>
        <w:jc w:val="center"/>
        <w:rPr>
          <w:color w:val="0000FF"/>
          <w:u w:val="single"/>
        </w:rPr>
      </w:pPr>
      <w:r>
        <w:rPr>
          <w:rFonts w:hint="cs"/>
          <w:color w:val="0000FF"/>
          <w:u w:val="single"/>
          <w:rtl/>
        </w:rPr>
        <w:t xml:space="preserve">  </w:t>
      </w:r>
    </w:p>
    <w:sectPr w:rsidR="001F6032" w:rsidRPr="00975154" w:rsidSect="00975154">
      <w:headerReference w:type="even" r:id="rId68"/>
      <w:headerReference w:type="default" r:id="rId69"/>
      <w:footerReference w:type="even" r:id="rId70"/>
      <w:footerReference w:type="default" r:id="rId71"/>
      <w:pgSz w:w="11907" w:h="16840" w:code="9"/>
      <w:pgMar w:top="1701" w:right="1701" w:bottom="2552"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E73431" w14:textId="77777777" w:rsidR="00E43BD6" w:rsidRDefault="00E43BD6">
      <w:r>
        <w:separator/>
      </w:r>
    </w:p>
  </w:endnote>
  <w:endnote w:type="continuationSeparator" w:id="0">
    <w:p w14:paraId="3B37000B" w14:textId="77777777" w:rsidR="00E43BD6" w:rsidRDefault="00E43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rowallia New">
    <w:charset w:val="DE"/>
    <w:family w:val="swiss"/>
    <w:pitch w:val="variable"/>
    <w:sig w:usb0="81000003" w:usb1="00000000" w:usb2="00000000" w:usb3="00000000" w:csb0="00010001"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7BBFB" w14:textId="77777777" w:rsidR="0083477F" w:rsidRDefault="0083477F" w:rsidP="0097515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2638A96" w14:textId="77777777" w:rsidR="0083477F" w:rsidRPr="00975154" w:rsidRDefault="0083477F" w:rsidP="00975154">
    <w:pPr>
      <w:pStyle w:val="a4"/>
      <w:pBdr>
        <w:top w:val="single" w:sz="4" w:space="1" w:color="auto"/>
        <w:between w:val="single" w:sz="4" w:space="0" w:color="auto"/>
      </w:pBdr>
      <w:spacing w:after="60"/>
      <w:jc w:val="center"/>
      <w:rPr>
        <w:rFonts w:ascii="FrankRuehl" w:hAnsi="FrankRuehl" w:cs="FrankRuehl"/>
        <w:color w:val="000000"/>
      </w:rPr>
    </w:pPr>
    <w:r w:rsidRPr="0097515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8D019" w14:textId="77777777" w:rsidR="0083477F" w:rsidRDefault="0083477F" w:rsidP="0097515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F599C">
      <w:rPr>
        <w:rFonts w:ascii="FrankRuehl" w:hAnsi="FrankRuehl" w:cs="FrankRuehl"/>
        <w:noProof/>
        <w:rtl/>
      </w:rPr>
      <w:t>1</w:t>
    </w:r>
    <w:r>
      <w:rPr>
        <w:rFonts w:ascii="FrankRuehl" w:hAnsi="FrankRuehl" w:cs="FrankRuehl"/>
        <w:rtl/>
      </w:rPr>
      <w:fldChar w:fldCharType="end"/>
    </w:r>
  </w:p>
  <w:p w14:paraId="00843690" w14:textId="77777777" w:rsidR="0083477F" w:rsidRPr="00975154" w:rsidRDefault="0083477F" w:rsidP="00975154">
    <w:pPr>
      <w:pStyle w:val="a4"/>
      <w:pBdr>
        <w:top w:val="single" w:sz="4" w:space="1" w:color="auto"/>
        <w:between w:val="single" w:sz="4" w:space="0" w:color="auto"/>
      </w:pBdr>
      <w:spacing w:after="60"/>
      <w:jc w:val="center"/>
      <w:rPr>
        <w:rFonts w:ascii="FrankRuehl" w:hAnsi="FrankRuehl" w:cs="FrankRuehl"/>
        <w:color w:val="000000"/>
      </w:rPr>
    </w:pPr>
    <w:r w:rsidRPr="00975154">
      <w:rPr>
        <w:rFonts w:ascii="FrankRuehl" w:hAnsi="FrankRuehl" w:cs="FrankRuehl"/>
        <w:color w:val="000000"/>
      </w:rPr>
      <w:pict w14:anchorId="29C5E2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2ACD91" w14:textId="77777777" w:rsidR="00E43BD6" w:rsidRDefault="00E43BD6">
      <w:r>
        <w:separator/>
      </w:r>
    </w:p>
  </w:footnote>
  <w:footnote w:type="continuationSeparator" w:id="0">
    <w:p w14:paraId="413AEE0B" w14:textId="77777777" w:rsidR="00E43BD6" w:rsidRDefault="00E43B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82D18A" w14:textId="77777777" w:rsidR="0083477F" w:rsidRPr="00975154" w:rsidRDefault="0083477F" w:rsidP="0097515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1847-05-14</w:t>
    </w:r>
    <w:r>
      <w:rPr>
        <w:rFonts w:ascii="David" w:hAnsi="David"/>
        <w:color w:val="000000"/>
        <w:sz w:val="22"/>
        <w:szCs w:val="22"/>
        <w:rtl/>
      </w:rPr>
      <w:tab/>
      <w:t xml:space="preserve"> מדינת ישראל נ' מופיד אעביד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AF957" w14:textId="77777777" w:rsidR="0083477F" w:rsidRPr="00975154" w:rsidRDefault="0083477F" w:rsidP="0097515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1847-05-14</w:t>
    </w:r>
    <w:r>
      <w:rPr>
        <w:rFonts w:ascii="David" w:hAnsi="David"/>
        <w:color w:val="000000"/>
        <w:sz w:val="22"/>
        <w:szCs w:val="22"/>
        <w:rtl/>
      </w:rPr>
      <w:tab/>
      <w:t xml:space="preserve"> מדינת ישראל נ' מופיד אעביד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F6032"/>
    <w:rsid w:val="001F6032"/>
    <w:rsid w:val="00263A71"/>
    <w:rsid w:val="003F599C"/>
    <w:rsid w:val="0083477F"/>
    <w:rsid w:val="008E68E7"/>
    <w:rsid w:val="00975154"/>
    <w:rsid w:val="00A606E9"/>
    <w:rsid w:val="00B54FFF"/>
    <w:rsid w:val="00E43BD6"/>
    <w:rsid w:val="00E82EBD"/>
    <w:rsid w:val="00F636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7DB42FD"/>
  <w15:chartTrackingRefBased/>
  <w15:docId w15:val="{F023F3BD-0138-4C23-9E00-817F104E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F6032"/>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F6032"/>
    <w:pPr>
      <w:tabs>
        <w:tab w:val="center" w:pos="4153"/>
        <w:tab w:val="right" w:pos="8306"/>
      </w:tabs>
    </w:pPr>
  </w:style>
  <w:style w:type="paragraph" w:styleId="a4">
    <w:name w:val="footer"/>
    <w:basedOn w:val="a"/>
    <w:rsid w:val="001F6032"/>
    <w:pPr>
      <w:tabs>
        <w:tab w:val="center" w:pos="4153"/>
        <w:tab w:val="right" w:pos="8306"/>
      </w:tabs>
    </w:pPr>
  </w:style>
  <w:style w:type="character" w:styleId="a5">
    <w:name w:val="page number"/>
    <w:basedOn w:val="a0"/>
    <w:rsid w:val="001F6032"/>
  </w:style>
  <w:style w:type="paragraph" w:customStyle="1" w:styleId="P00">
    <w:name w:val="P00"/>
    <w:rsid w:val="001F6032"/>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default">
    <w:name w:val="default"/>
    <w:rsid w:val="001F6032"/>
    <w:rPr>
      <w:rFonts w:ascii="Times New Roman" w:hAnsi="Times New Roman" w:cs="Times New Roman" w:hint="default"/>
      <w:sz w:val="26"/>
      <w:szCs w:val="26"/>
    </w:rPr>
  </w:style>
  <w:style w:type="character" w:customStyle="1" w:styleId="big-number">
    <w:name w:val="big-number"/>
    <w:rsid w:val="001F6032"/>
    <w:rPr>
      <w:rFonts w:ascii="Times New Roman" w:hAnsi="Times New Roman" w:cs="Times New Roman" w:hint="default"/>
      <w:sz w:val="32"/>
      <w:szCs w:val="32"/>
    </w:rPr>
  </w:style>
  <w:style w:type="paragraph" w:customStyle="1" w:styleId="Ruller4">
    <w:name w:val="Ruller4"/>
    <w:basedOn w:val="a"/>
    <w:rsid w:val="001F6032"/>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character" w:styleId="a6">
    <w:name w:val="line number"/>
    <w:basedOn w:val="a0"/>
    <w:rsid w:val="001F6032"/>
  </w:style>
  <w:style w:type="character" w:styleId="Hyperlink">
    <w:name w:val="Hyperlink"/>
    <w:rsid w:val="009751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2515/3" TargetMode="External"/><Relationship Id="rId21" Type="http://schemas.openxmlformats.org/officeDocument/2006/relationships/hyperlink" Target="http://www.nevo.co.il/law/70301/329.a.2" TargetMode="External"/><Relationship Id="rId42" Type="http://schemas.openxmlformats.org/officeDocument/2006/relationships/hyperlink" Target="http://www.nevo.co.il/case/5582859" TargetMode="External"/><Relationship Id="rId47" Type="http://schemas.openxmlformats.org/officeDocument/2006/relationships/hyperlink" Target="http://www.nevo.co.il/law/70301/40c.b" TargetMode="External"/><Relationship Id="rId63" Type="http://schemas.openxmlformats.org/officeDocument/2006/relationships/hyperlink" Target="http://www.nevo.co.il/law/70301/40ja" TargetMode="External"/><Relationship Id="rId68"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70301/40e" TargetMode="External"/><Relationship Id="rId29" Type="http://schemas.openxmlformats.org/officeDocument/2006/relationships/hyperlink" Target="http://www.nevo.co.il/law/70301/29" TargetMode="External"/><Relationship Id="rId11" Type="http://schemas.openxmlformats.org/officeDocument/2006/relationships/hyperlink" Target="http://www.nevo.co.il/law/70301/40b" TargetMode="External"/><Relationship Id="rId24" Type="http://schemas.openxmlformats.org/officeDocument/2006/relationships/hyperlink" Target="http://www.nevo.co.il/law/70301/40jc.a" TargetMode="External"/><Relationship Id="rId32" Type="http://schemas.openxmlformats.org/officeDocument/2006/relationships/hyperlink" Target="http://www.nevo.co.il/law/70301/29" TargetMode="External"/><Relationship Id="rId37" Type="http://schemas.openxmlformats.org/officeDocument/2006/relationships/hyperlink" Target="http://www.nevo.co.il/case/6953827" TargetMode="External"/><Relationship Id="rId40" Type="http://schemas.openxmlformats.org/officeDocument/2006/relationships/hyperlink" Target="http://www.nevo.co.il/case/6953827" TargetMode="External"/><Relationship Id="rId45" Type="http://schemas.openxmlformats.org/officeDocument/2006/relationships/hyperlink" Target="http://www.nevo.co.il/law/70301/40c.a" TargetMode="External"/><Relationship Id="rId53" Type="http://schemas.openxmlformats.org/officeDocument/2006/relationships/hyperlink" Target="http://www.nevo.co.il/case/17023776" TargetMode="External"/><Relationship Id="rId58" Type="http://schemas.openxmlformats.org/officeDocument/2006/relationships/hyperlink" Target="http://www.nevo.co.il/case/20009883" TargetMode="External"/><Relationship Id="rId66" Type="http://schemas.openxmlformats.org/officeDocument/2006/relationships/hyperlink" Target="http://www.nevo.co.il/case/17014777" TargetMode="External"/><Relationship Id="rId5" Type="http://schemas.openxmlformats.org/officeDocument/2006/relationships/endnotes" Target="endnotes.xml"/><Relationship Id="rId61" Type="http://schemas.openxmlformats.org/officeDocument/2006/relationships/hyperlink" Target="http://www.nevo.co.il/law/70301/40jc.a" TargetMode="External"/><Relationship Id="rId19" Type="http://schemas.openxmlformats.org/officeDocument/2006/relationships/hyperlink" Target="http://www.nevo.co.il/law/70301/274.2"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70301/40ja" TargetMode="External"/><Relationship Id="rId27" Type="http://schemas.openxmlformats.org/officeDocument/2006/relationships/hyperlink" Target="http://www.nevo.co.il/law/72515"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29" TargetMode="External"/><Relationship Id="rId43" Type="http://schemas.openxmlformats.org/officeDocument/2006/relationships/hyperlink" Target="http://www.nevo.co.il/law/70301/40b" TargetMode="External"/><Relationship Id="rId48" Type="http://schemas.openxmlformats.org/officeDocument/2006/relationships/hyperlink" Target="http://www.nevo.co.il/law/70301/40ja" TargetMode="External"/><Relationship Id="rId56" Type="http://schemas.openxmlformats.org/officeDocument/2006/relationships/hyperlink" Target="http://www.nevo.co.il/case/13101134" TargetMode="External"/><Relationship Id="rId64" Type="http://schemas.openxmlformats.org/officeDocument/2006/relationships/hyperlink" Target="http://www.nevo.co.il/law/70301/40d.a" TargetMode="External"/><Relationship Id="rId69" Type="http://schemas.openxmlformats.org/officeDocument/2006/relationships/header" Target="header2.xml"/><Relationship Id="rId8" Type="http://schemas.openxmlformats.org/officeDocument/2006/relationships/hyperlink" Target="http://www.nevo.co.il/law/72515/3" TargetMode="External"/><Relationship Id="rId51" Type="http://schemas.openxmlformats.org/officeDocument/2006/relationships/hyperlink" Target="http://www.nevo.co.il/law/70301/40jc" TargetMode="External"/><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nevo.co.il/law/70301/40c.a" TargetMode="External"/><Relationship Id="rId17" Type="http://schemas.openxmlformats.org/officeDocument/2006/relationships/hyperlink" Target="http://www.nevo.co.il/law/70301/40i" TargetMode="External"/><Relationship Id="rId25" Type="http://schemas.openxmlformats.org/officeDocument/2006/relationships/hyperlink" Target="http://www.nevo.co.il/law/70301/40jc.b" TargetMode="External"/><Relationship Id="rId33" Type="http://schemas.openxmlformats.org/officeDocument/2006/relationships/hyperlink" Target="http://www.nevo.co.il/law/70301/274.2" TargetMode="External"/><Relationship Id="rId38" Type="http://schemas.openxmlformats.org/officeDocument/2006/relationships/hyperlink" Target="http://www.nevo.co.il/case/6243792" TargetMode="External"/><Relationship Id="rId46" Type="http://schemas.openxmlformats.org/officeDocument/2006/relationships/hyperlink" Target="http://www.nevo.co.il/law/70301/40i" TargetMode="External"/><Relationship Id="rId59" Type="http://schemas.openxmlformats.org/officeDocument/2006/relationships/hyperlink" Target="http://www.nevo.co.il/law/70301/40jc" TargetMode="External"/><Relationship Id="rId67" Type="http://schemas.openxmlformats.org/officeDocument/2006/relationships/hyperlink" Target="http://www.nevo.co.il/advertisements/nevo-100.doc" TargetMode="External"/><Relationship Id="rId20" Type="http://schemas.openxmlformats.org/officeDocument/2006/relationships/hyperlink" Target="http://www.nevo.co.il/law/70301/274.3" TargetMode="External"/><Relationship Id="rId41" Type="http://schemas.openxmlformats.org/officeDocument/2006/relationships/hyperlink" Target="http://www.nevo.co.il/case/6188919" TargetMode="External"/><Relationship Id="rId54" Type="http://schemas.openxmlformats.org/officeDocument/2006/relationships/hyperlink" Target="http://www.nevo.co.il/law/70301/40jc" TargetMode="External"/><Relationship Id="rId62" Type="http://schemas.openxmlformats.org/officeDocument/2006/relationships/hyperlink" Target="http://www.nevo.co.il/law/70301/40i" TargetMode="External"/><Relationship Id="rId7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case/16902558" TargetMode="External"/><Relationship Id="rId15" Type="http://schemas.openxmlformats.org/officeDocument/2006/relationships/hyperlink" Target="http://www.nevo.co.il/law/70301/40d.a" TargetMode="External"/><Relationship Id="rId23" Type="http://schemas.openxmlformats.org/officeDocument/2006/relationships/hyperlink" Target="http://www.nevo.co.il/law/70301/40jc" TargetMode="External"/><Relationship Id="rId28" Type="http://schemas.openxmlformats.org/officeDocument/2006/relationships/hyperlink" Target="http://www.nevo.co.il/law/70301/144.b2" TargetMode="External"/><Relationship Id="rId36" Type="http://schemas.openxmlformats.org/officeDocument/2006/relationships/hyperlink" Target="http://www.nevo.co.il/case/5750760" TargetMode="External"/><Relationship Id="rId49" Type="http://schemas.openxmlformats.org/officeDocument/2006/relationships/hyperlink" Target="http://www.nevo.co.il/law/70301/40d" TargetMode="External"/><Relationship Id="rId57" Type="http://schemas.openxmlformats.org/officeDocument/2006/relationships/hyperlink" Target="http://www.nevo.co.il/case/17009738" TargetMode="External"/><Relationship Id="rId10" Type="http://schemas.openxmlformats.org/officeDocument/2006/relationships/hyperlink" Target="http://www.nevo.co.il/law/70301/29" TargetMode="External"/><Relationship Id="rId31" Type="http://schemas.openxmlformats.org/officeDocument/2006/relationships/hyperlink" Target="http://www.nevo.co.il/law/70301/329.a.2" TargetMode="External"/><Relationship Id="rId44" Type="http://schemas.openxmlformats.org/officeDocument/2006/relationships/hyperlink" Target="http://www.nevo.co.il/law/70301/144.b2" TargetMode="External"/><Relationship Id="rId52" Type="http://schemas.openxmlformats.org/officeDocument/2006/relationships/hyperlink" Target="http://www.nevo.co.il/case/13093721" TargetMode="External"/><Relationship Id="rId60" Type="http://schemas.openxmlformats.org/officeDocument/2006/relationships/hyperlink" Target="http://www.nevo.co.il/law/70301/40jc.b" TargetMode="External"/><Relationship Id="rId65" Type="http://schemas.openxmlformats.org/officeDocument/2006/relationships/hyperlink" Target="http://www.nevo.co.il/law/70301/40d.a" TargetMode="External"/><Relationship Id="rId73"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 TargetMode="External"/><Relationship Id="rId13" Type="http://schemas.openxmlformats.org/officeDocument/2006/relationships/hyperlink" Target="http://www.nevo.co.il/law/70301/40c.b" TargetMode="External"/><Relationship Id="rId18" Type="http://schemas.openxmlformats.org/officeDocument/2006/relationships/hyperlink" Target="http://www.nevo.co.il/law/70301/144.b2" TargetMode="External"/><Relationship Id="rId39" Type="http://schemas.openxmlformats.org/officeDocument/2006/relationships/hyperlink" Target="http://www.nevo.co.il/case/5571990" TargetMode="External"/><Relationship Id="rId34" Type="http://schemas.openxmlformats.org/officeDocument/2006/relationships/hyperlink" Target="http://www.nevo.co.il/law/70301/274.3" TargetMode="External"/><Relationship Id="rId50" Type="http://schemas.openxmlformats.org/officeDocument/2006/relationships/hyperlink" Target="http://www.nevo.co.il/law/70301/40e" TargetMode="External"/><Relationship Id="rId55" Type="http://schemas.openxmlformats.org/officeDocument/2006/relationships/hyperlink" Target="http://www.nevo.co.il/case/6708658" TargetMode="External"/><Relationship Id="rId7" Type="http://schemas.openxmlformats.org/officeDocument/2006/relationships/hyperlink" Target="http://www.nevo.co.il/law/72515" TargetMode="External"/><Relationship Id="rId7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5144</Words>
  <Characters>25720</Characters>
  <Application>Microsoft Office Word</Application>
  <DocSecurity>0</DocSecurity>
  <Lines>214</Lines>
  <Paragraphs>61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30803</CharactersWithSpaces>
  <SharedDoc>false</SharedDoc>
  <HLinks>
    <vt:vector size="372" baseType="variant">
      <vt:variant>
        <vt:i4>393283</vt:i4>
      </vt:variant>
      <vt:variant>
        <vt:i4>183</vt:i4>
      </vt:variant>
      <vt:variant>
        <vt:i4>0</vt:i4>
      </vt:variant>
      <vt:variant>
        <vt:i4>5</vt:i4>
      </vt:variant>
      <vt:variant>
        <vt:lpwstr>http://www.nevo.co.il/advertisements/nevo-100.doc</vt:lpwstr>
      </vt:variant>
      <vt:variant>
        <vt:lpwstr/>
      </vt:variant>
      <vt:variant>
        <vt:i4>3276917</vt:i4>
      </vt:variant>
      <vt:variant>
        <vt:i4>180</vt:i4>
      </vt:variant>
      <vt:variant>
        <vt:i4>0</vt:i4>
      </vt:variant>
      <vt:variant>
        <vt:i4>5</vt:i4>
      </vt:variant>
      <vt:variant>
        <vt:lpwstr>http://www.nevo.co.il/case/17014777</vt:lpwstr>
      </vt:variant>
      <vt:variant>
        <vt:lpwstr/>
      </vt:variant>
      <vt:variant>
        <vt:i4>4915205</vt:i4>
      </vt:variant>
      <vt:variant>
        <vt:i4>177</vt:i4>
      </vt:variant>
      <vt:variant>
        <vt:i4>0</vt:i4>
      </vt:variant>
      <vt:variant>
        <vt:i4>5</vt:i4>
      </vt:variant>
      <vt:variant>
        <vt:lpwstr>http://www.nevo.co.il/law/70301/40d.a</vt:lpwstr>
      </vt:variant>
      <vt:variant>
        <vt:lpwstr/>
      </vt:variant>
      <vt:variant>
        <vt:i4>4915205</vt:i4>
      </vt:variant>
      <vt:variant>
        <vt:i4>174</vt:i4>
      </vt:variant>
      <vt:variant>
        <vt:i4>0</vt:i4>
      </vt:variant>
      <vt:variant>
        <vt:i4>5</vt:i4>
      </vt:variant>
      <vt:variant>
        <vt:lpwstr>http://www.nevo.co.il/law/70301/40d.a</vt:lpwstr>
      </vt:variant>
      <vt:variant>
        <vt:lpwstr/>
      </vt:variant>
      <vt:variant>
        <vt:i4>262155</vt:i4>
      </vt:variant>
      <vt:variant>
        <vt:i4>171</vt:i4>
      </vt:variant>
      <vt:variant>
        <vt:i4>0</vt:i4>
      </vt:variant>
      <vt:variant>
        <vt:i4>5</vt:i4>
      </vt:variant>
      <vt:variant>
        <vt:lpwstr>http://www.nevo.co.il/law/70301/40ja</vt:lpwstr>
      </vt:variant>
      <vt:variant>
        <vt:lpwstr/>
      </vt:variant>
      <vt:variant>
        <vt:i4>6619233</vt:i4>
      </vt:variant>
      <vt:variant>
        <vt:i4>168</vt:i4>
      </vt:variant>
      <vt:variant>
        <vt:i4>0</vt:i4>
      </vt:variant>
      <vt:variant>
        <vt:i4>5</vt:i4>
      </vt:variant>
      <vt:variant>
        <vt:lpwstr>http://www.nevo.co.il/law/70301/40i</vt:lpwstr>
      </vt:variant>
      <vt:variant>
        <vt:lpwstr/>
      </vt:variant>
      <vt:variant>
        <vt:i4>6750245</vt:i4>
      </vt:variant>
      <vt:variant>
        <vt:i4>165</vt:i4>
      </vt:variant>
      <vt:variant>
        <vt:i4>0</vt:i4>
      </vt:variant>
      <vt:variant>
        <vt:i4>5</vt:i4>
      </vt:variant>
      <vt:variant>
        <vt:lpwstr>http://www.nevo.co.il/law/70301/40jc.a</vt:lpwstr>
      </vt:variant>
      <vt:variant>
        <vt:lpwstr/>
      </vt:variant>
      <vt:variant>
        <vt:i4>6553637</vt:i4>
      </vt:variant>
      <vt:variant>
        <vt:i4>162</vt:i4>
      </vt:variant>
      <vt:variant>
        <vt:i4>0</vt:i4>
      </vt:variant>
      <vt:variant>
        <vt:i4>5</vt:i4>
      </vt:variant>
      <vt:variant>
        <vt:lpwstr>http://www.nevo.co.il/law/70301/40jc.b</vt:lpwstr>
      </vt:variant>
      <vt:variant>
        <vt:lpwstr/>
      </vt:variant>
      <vt:variant>
        <vt:i4>393227</vt:i4>
      </vt:variant>
      <vt:variant>
        <vt:i4>159</vt:i4>
      </vt:variant>
      <vt:variant>
        <vt:i4>0</vt:i4>
      </vt:variant>
      <vt:variant>
        <vt:i4>5</vt:i4>
      </vt:variant>
      <vt:variant>
        <vt:lpwstr>http://www.nevo.co.il/law/70301/40jc</vt:lpwstr>
      </vt:variant>
      <vt:variant>
        <vt:lpwstr/>
      </vt:variant>
      <vt:variant>
        <vt:i4>3342460</vt:i4>
      </vt:variant>
      <vt:variant>
        <vt:i4>156</vt:i4>
      </vt:variant>
      <vt:variant>
        <vt:i4>0</vt:i4>
      </vt:variant>
      <vt:variant>
        <vt:i4>5</vt:i4>
      </vt:variant>
      <vt:variant>
        <vt:lpwstr>http://www.nevo.co.il/case/20009883</vt:lpwstr>
      </vt:variant>
      <vt:variant>
        <vt:lpwstr/>
      </vt:variant>
      <vt:variant>
        <vt:i4>3866740</vt:i4>
      </vt:variant>
      <vt:variant>
        <vt:i4>153</vt:i4>
      </vt:variant>
      <vt:variant>
        <vt:i4>0</vt:i4>
      </vt:variant>
      <vt:variant>
        <vt:i4>5</vt:i4>
      </vt:variant>
      <vt:variant>
        <vt:lpwstr>http://www.nevo.co.il/case/17009738</vt:lpwstr>
      </vt:variant>
      <vt:variant>
        <vt:lpwstr/>
      </vt:variant>
      <vt:variant>
        <vt:i4>3276918</vt:i4>
      </vt:variant>
      <vt:variant>
        <vt:i4>150</vt:i4>
      </vt:variant>
      <vt:variant>
        <vt:i4>0</vt:i4>
      </vt:variant>
      <vt:variant>
        <vt:i4>5</vt:i4>
      </vt:variant>
      <vt:variant>
        <vt:lpwstr>http://www.nevo.co.il/case/13101134</vt:lpwstr>
      </vt:variant>
      <vt:variant>
        <vt:lpwstr/>
      </vt:variant>
      <vt:variant>
        <vt:i4>3670142</vt:i4>
      </vt:variant>
      <vt:variant>
        <vt:i4>147</vt:i4>
      </vt:variant>
      <vt:variant>
        <vt:i4>0</vt:i4>
      </vt:variant>
      <vt:variant>
        <vt:i4>5</vt:i4>
      </vt:variant>
      <vt:variant>
        <vt:lpwstr>http://www.nevo.co.il/case/6708658</vt:lpwstr>
      </vt:variant>
      <vt:variant>
        <vt:lpwstr/>
      </vt:variant>
      <vt:variant>
        <vt:i4>393227</vt:i4>
      </vt:variant>
      <vt:variant>
        <vt:i4>144</vt:i4>
      </vt:variant>
      <vt:variant>
        <vt:i4>0</vt:i4>
      </vt:variant>
      <vt:variant>
        <vt:i4>5</vt:i4>
      </vt:variant>
      <vt:variant>
        <vt:lpwstr>http://www.nevo.co.il/law/70301/40jc</vt:lpwstr>
      </vt:variant>
      <vt:variant>
        <vt:lpwstr/>
      </vt:variant>
      <vt:variant>
        <vt:i4>3473526</vt:i4>
      </vt:variant>
      <vt:variant>
        <vt:i4>141</vt:i4>
      </vt:variant>
      <vt:variant>
        <vt:i4>0</vt:i4>
      </vt:variant>
      <vt:variant>
        <vt:i4>5</vt:i4>
      </vt:variant>
      <vt:variant>
        <vt:lpwstr>http://www.nevo.co.il/case/17023776</vt:lpwstr>
      </vt:variant>
      <vt:variant>
        <vt:lpwstr/>
      </vt:variant>
      <vt:variant>
        <vt:i4>3145849</vt:i4>
      </vt:variant>
      <vt:variant>
        <vt:i4>138</vt:i4>
      </vt:variant>
      <vt:variant>
        <vt:i4>0</vt:i4>
      </vt:variant>
      <vt:variant>
        <vt:i4>5</vt:i4>
      </vt:variant>
      <vt:variant>
        <vt:lpwstr>http://www.nevo.co.il/case/13093721</vt:lpwstr>
      </vt:variant>
      <vt:variant>
        <vt:lpwstr/>
      </vt:variant>
      <vt:variant>
        <vt:i4>393227</vt:i4>
      </vt:variant>
      <vt:variant>
        <vt:i4>135</vt:i4>
      </vt:variant>
      <vt:variant>
        <vt:i4>0</vt:i4>
      </vt:variant>
      <vt:variant>
        <vt:i4>5</vt:i4>
      </vt:variant>
      <vt:variant>
        <vt:lpwstr>http://www.nevo.co.il/law/70301/40jc</vt:lpwstr>
      </vt:variant>
      <vt:variant>
        <vt:lpwstr/>
      </vt:variant>
      <vt:variant>
        <vt:i4>6619233</vt:i4>
      </vt:variant>
      <vt:variant>
        <vt:i4>132</vt:i4>
      </vt:variant>
      <vt:variant>
        <vt:i4>0</vt:i4>
      </vt:variant>
      <vt:variant>
        <vt:i4>5</vt:i4>
      </vt:variant>
      <vt:variant>
        <vt:lpwstr>http://www.nevo.co.il/law/70301/40e</vt:lpwstr>
      </vt:variant>
      <vt:variant>
        <vt:lpwstr/>
      </vt:variant>
      <vt:variant>
        <vt:i4>6619233</vt:i4>
      </vt:variant>
      <vt:variant>
        <vt:i4>129</vt:i4>
      </vt:variant>
      <vt:variant>
        <vt:i4>0</vt:i4>
      </vt:variant>
      <vt:variant>
        <vt:i4>5</vt:i4>
      </vt:variant>
      <vt:variant>
        <vt:lpwstr>http://www.nevo.co.il/law/70301/40d</vt:lpwstr>
      </vt:variant>
      <vt:variant>
        <vt:lpwstr/>
      </vt:variant>
      <vt:variant>
        <vt:i4>262155</vt:i4>
      </vt:variant>
      <vt:variant>
        <vt:i4>126</vt:i4>
      </vt:variant>
      <vt:variant>
        <vt:i4>0</vt:i4>
      </vt:variant>
      <vt:variant>
        <vt:i4>5</vt:i4>
      </vt:variant>
      <vt:variant>
        <vt:lpwstr>http://www.nevo.co.il/law/70301/40ja</vt:lpwstr>
      </vt:variant>
      <vt:variant>
        <vt:lpwstr/>
      </vt:variant>
      <vt:variant>
        <vt:i4>4915202</vt:i4>
      </vt:variant>
      <vt:variant>
        <vt:i4>123</vt:i4>
      </vt:variant>
      <vt:variant>
        <vt:i4>0</vt:i4>
      </vt:variant>
      <vt:variant>
        <vt:i4>5</vt:i4>
      </vt:variant>
      <vt:variant>
        <vt:lpwstr>http://www.nevo.co.il/law/70301/40c.b</vt:lpwstr>
      </vt:variant>
      <vt:variant>
        <vt:lpwstr/>
      </vt:variant>
      <vt:variant>
        <vt:i4>6619233</vt:i4>
      </vt:variant>
      <vt:variant>
        <vt:i4>120</vt:i4>
      </vt:variant>
      <vt:variant>
        <vt:i4>0</vt:i4>
      </vt:variant>
      <vt:variant>
        <vt:i4>5</vt:i4>
      </vt:variant>
      <vt:variant>
        <vt:lpwstr>http://www.nevo.co.il/law/70301/40i</vt:lpwstr>
      </vt:variant>
      <vt:variant>
        <vt:lpwstr/>
      </vt:variant>
      <vt:variant>
        <vt:i4>4915202</vt:i4>
      </vt:variant>
      <vt:variant>
        <vt:i4>117</vt:i4>
      </vt:variant>
      <vt:variant>
        <vt:i4>0</vt:i4>
      </vt:variant>
      <vt:variant>
        <vt:i4>5</vt:i4>
      </vt:variant>
      <vt:variant>
        <vt:lpwstr>http://www.nevo.co.il/law/70301/40c.a</vt:lpwstr>
      </vt:variant>
      <vt:variant>
        <vt:lpwstr/>
      </vt:variant>
      <vt:variant>
        <vt:i4>8192050</vt:i4>
      </vt:variant>
      <vt:variant>
        <vt:i4>114</vt:i4>
      </vt:variant>
      <vt:variant>
        <vt:i4>0</vt:i4>
      </vt:variant>
      <vt:variant>
        <vt:i4>5</vt:i4>
      </vt:variant>
      <vt:variant>
        <vt:lpwstr>http://www.nevo.co.il/law/70301/144.b2</vt:lpwstr>
      </vt:variant>
      <vt:variant>
        <vt:lpwstr/>
      </vt:variant>
      <vt:variant>
        <vt:i4>6619233</vt:i4>
      </vt:variant>
      <vt:variant>
        <vt:i4>111</vt:i4>
      </vt:variant>
      <vt:variant>
        <vt:i4>0</vt:i4>
      </vt:variant>
      <vt:variant>
        <vt:i4>5</vt:i4>
      </vt:variant>
      <vt:variant>
        <vt:lpwstr>http://www.nevo.co.il/law/70301/40b</vt:lpwstr>
      </vt:variant>
      <vt:variant>
        <vt:lpwstr/>
      </vt:variant>
      <vt:variant>
        <vt:i4>3932278</vt:i4>
      </vt:variant>
      <vt:variant>
        <vt:i4>108</vt:i4>
      </vt:variant>
      <vt:variant>
        <vt:i4>0</vt:i4>
      </vt:variant>
      <vt:variant>
        <vt:i4>5</vt:i4>
      </vt:variant>
      <vt:variant>
        <vt:lpwstr>http://www.nevo.co.il/case/5582859</vt:lpwstr>
      </vt:variant>
      <vt:variant>
        <vt:lpwstr/>
      </vt:variant>
      <vt:variant>
        <vt:i4>4063356</vt:i4>
      </vt:variant>
      <vt:variant>
        <vt:i4>105</vt:i4>
      </vt:variant>
      <vt:variant>
        <vt:i4>0</vt:i4>
      </vt:variant>
      <vt:variant>
        <vt:i4>5</vt:i4>
      </vt:variant>
      <vt:variant>
        <vt:lpwstr>http://www.nevo.co.il/case/6188919</vt:lpwstr>
      </vt:variant>
      <vt:variant>
        <vt:lpwstr/>
      </vt:variant>
      <vt:variant>
        <vt:i4>3932284</vt:i4>
      </vt:variant>
      <vt:variant>
        <vt:i4>102</vt:i4>
      </vt:variant>
      <vt:variant>
        <vt:i4>0</vt:i4>
      </vt:variant>
      <vt:variant>
        <vt:i4>5</vt:i4>
      </vt:variant>
      <vt:variant>
        <vt:lpwstr>http://www.nevo.co.il/case/6953827</vt:lpwstr>
      </vt:variant>
      <vt:variant>
        <vt:lpwstr/>
      </vt:variant>
      <vt:variant>
        <vt:i4>3866745</vt:i4>
      </vt:variant>
      <vt:variant>
        <vt:i4>99</vt:i4>
      </vt:variant>
      <vt:variant>
        <vt:i4>0</vt:i4>
      </vt:variant>
      <vt:variant>
        <vt:i4>5</vt:i4>
      </vt:variant>
      <vt:variant>
        <vt:lpwstr>http://www.nevo.co.il/case/5571990</vt:lpwstr>
      </vt:variant>
      <vt:variant>
        <vt:lpwstr/>
      </vt:variant>
      <vt:variant>
        <vt:i4>3604604</vt:i4>
      </vt:variant>
      <vt:variant>
        <vt:i4>96</vt:i4>
      </vt:variant>
      <vt:variant>
        <vt:i4>0</vt:i4>
      </vt:variant>
      <vt:variant>
        <vt:i4>5</vt:i4>
      </vt:variant>
      <vt:variant>
        <vt:lpwstr>http://www.nevo.co.il/case/6243792</vt:lpwstr>
      </vt:variant>
      <vt:variant>
        <vt:lpwstr/>
      </vt:variant>
      <vt:variant>
        <vt:i4>3932284</vt:i4>
      </vt:variant>
      <vt:variant>
        <vt:i4>93</vt:i4>
      </vt:variant>
      <vt:variant>
        <vt:i4>0</vt:i4>
      </vt:variant>
      <vt:variant>
        <vt:i4>5</vt:i4>
      </vt:variant>
      <vt:variant>
        <vt:lpwstr>http://www.nevo.co.il/case/6953827</vt:lpwstr>
      </vt:variant>
      <vt:variant>
        <vt:lpwstr/>
      </vt:variant>
      <vt:variant>
        <vt:i4>3604597</vt:i4>
      </vt:variant>
      <vt:variant>
        <vt:i4>90</vt:i4>
      </vt:variant>
      <vt:variant>
        <vt:i4>0</vt:i4>
      </vt:variant>
      <vt:variant>
        <vt:i4>5</vt:i4>
      </vt:variant>
      <vt:variant>
        <vt:lpwstr>http://www.nevo.co.il/case/5750760</vt:lpwstr>
      </vt:variant>
      <vt:variant>
        <vt:lpwstr/>
      </vt:variant>
      <vt:variant>
        <vt:i4>7077991</vt:i4>
      </vt:variant>
      <vt:variant>
        <vt:i4>87</vt:i4>
      </vt:variant>
      <vt:variant>
        <vt:i4>0</vt:i4>
      </vt:variant>
      <vt:variant>
        <vt:i4>5</vt:i4>
      </vt:variant>
      <vt:variant>
        <vt:lpwstr>http://www.nevo.co.il/law/70301/29</vt:lpwstr>
      </vt:variant>
      <vt:variant>
        <vt:lpwstr/>
      </vt:variant>
      <vt:variant>
        <vt:i4>4980819</vt:i4>
      </vt:variant>
      <vt:variant>
        <vt:i4>84</vt:i4>
      </vt:variant>
      <vt:variant>
        <vt:i4>0</vt:i4>
      </vt:variant>
      <vt:variant>
        <vt:i4>5</vt:i4>
      </vt:variant>
      <vt:variant>
        <vt:lpwstr>http://www.nevo.co.il/law/70301/274.3</vt:lpwstr>
      </vt:variant>
      <vt:variant>
        <vt:lpwstr/>
      </vt:variant>
      <vt:variant>
        <vt:i4>4980819</vt:i4>
      </vt:variant>
      <vt:variant>
        <vt:i4>81</vt:i4>
      </vt:variant>
      <vt:variant>
        <vt:i4>0</vt:i4>
      </vt:variant>
      <vt:variant>
        <vt:i4>5</vt:i4>
      </vt:variant>
      <vt:variant>
        <vt:lpwstr>http://www.nevo.co.il/law/70301/274.2</vt:lpwstr>
      </vt:variant>
      <vt:variant>
        <vt:lpwstr/>
      </vt:variant>
      <vt:variant>
        <vt:i4>7077991</vt:i4>
      </vt:variant>
      <vt:variant>
        <vt:i4>78</vt:i4>
      </vt:variant>
      <vt:variant>
        <vt:i4>0</vt:i4>
      </vt:variant>
      <vt:variant>
        <vt:i4>5</vt:i4>
      </vt:variant>
      <vt:variant>
        <vt:lpwstr>http://www.nevo.co.il/law/70301/29</vt:lpwstr>
      </vt:variant>
      <vt:variant>
        <vt:lpwstr/>
      </vt:variant>
      <vt:variant>
        <vt:i4>6750270</vt:i4>
      </vt:variant>
      <vt:variant>
        <vt:i4>75</vt:i4>
      </vt:variant>
      <vt:variant>
        <vt:i4>0</vt:i4>
      </vt:variant>
      <vt:variant>
        <vt:i4>5</vt:i4>
      </vt:variant>
      <vt:variant>
        <vt:lpwstr>http://www.nevo.co.il/law/70301/329.a.2</vt:lpwstr>
      </vt:variant>
      <vt:variant>
        <vt:lpwstr/>
      </vt:variant>
      <vt:variant>
        <vt:i4>7995492</vt:i4>
      </vt:variant>
      <vt:variant>
        <vt:i4>72</vt:i4>
      </vt:variant>
      <vt:variant>
        <vt:i4>0</vt:i4>
      </vt:variant>
      <vt:variant>
        <vt:i4>5</vt:i4>
      </vt:variant>
      <vt:variant>
        <vt:lpwstr>http://www.nevo.co.il/law/70301</vt:lpwstr>
      </vt:variant>
      <vt:variant>
        <vt:lpwstr/>
      </vt:variant>
      <vt:variant>
        <vt:i4>7077991</vt:i4>
      </vt:variant>
      <vt:variant>
        <vt:i4>69</vt:i4>
      </vt:variant>
      <vt:variant>
        <vt:i4>0</vt:i4>
      </vt:variant>
      <vt:variant>
        <vt:i4>5</vt:i4>
      </vt:variant>
      <vt:variant>
        <vt:lpwstr>http://www.nevo.co.il/law/70301/29</vt:lpwstr>
      </vt:variant>
      <vt:variant>
        <vt:lpwstr/>
      </vt:variant>
      <vt:variant>
        <vt:i4>8192050</vt:i4>
      </vt:variant>
      <vt:variant>
        <vt:i4>66</vt:i4>
      </vt:variant>
      <vt:variant>
        <vt:i4>0</vt:i4>
      </vt:variant>
      <vt:variant>
        <vt:i4>5</vt:i4>
      </vt:variant>
      <vt:variant>
        <vt:lpwstr>http://www.nevo.co.il/law/70301/144.b2</vt:lpwstr>
      </vt:variant>
      <vt:variant>
        <vt:lpwstr/>
      </vt:variant>
      <vt:variant>
        <vt:i4>7929954</vt:i4>
      </vt:variant>
      <vt:variant>
        <vt:i4>63</vt:i4>
      </vt:variant>
      <vt:variant>
        <vt:i4>0</vt:i4>
      </vt:variant>
      <vt:variant>
        <vt:i4>5</vt:i4>
      </vt:variant>
      <vt:variant>
        <vt:lpwstr>http://www.nevo.co.il/law/72515</vt:lpwstr>
      </vt:variant>
      <vt:variant>
        <vt:lpwstr/>
      </vt:variant>
      <vt:variant>
        <vt:i4>5636183</vt:i4>
      </vt:variant>
      <vt:variant>
        <vt:i4>60</vt:i4>
      </vt:variant>
      <vt:variant>
        <vt:i4>0</vt:i4>
      </vt:variant>
      <vt:variant>
        <vt:i4>5</vt:i4>
      </vt:variant>
      <vt:variant>
        <vt:lpwstr>http://www.nevo.co.il/law/72515/3</vt:lpwstr>
      </vt:variant>
      <vt:variant>
        <vt:lpwstr/>
      </vt:variant>
      <vt:variant>
        <vt:i4>6553637</vt:i4>
      </vt:variant>
      <vt:variant>
        <vt:i4>57</vt:i4>
      </vt:variant>
      <vt:variant>
        <vt:i4>0</vt:i4>
      </vt:variant>
      <vt:variant>
        <vt:i4>5</vt:i4>
      </vt:variant>
      <vt:variant>
        <vt:lpwstr>http://www.nevo.co.il/law/70301/40jc.b</vt:lpwstr>
      </vt:variant>
      <vt:variant>
        <vt:lpwstr/>
      </vt:variant>
      <vt:variant>
        <vt:i4>6750245</vt:i4>
      </vt:variant>
      <vt:variant>
        <vt:i4>54</vt:i4>
      </vt:variant>
      <vt:variant>
        <vt:i4>0</vt:i4>
      </vt:variant>
      <vt:variant>
        <vt:i4>5</vt:i4>
      </vt:variant>
      <vt:variant>
        <vt:lpwstr>http://www.nevo.co.il/law/70301/40jc.a</vt:lpwstr>
      </vt:variant>
      <vt:variant>
        <vt:lpwstr/>
      </vt:variant>
      <vt:variant>
        <vt:i4>393227</vt:i4>
      </vt:variant>
      <vt:variant>
        <vt:i4>51</vt:i4>
      </vt:variant>
      <vt:variant>
        <vt:i4>0</vt:i4>
      </vt:variant>
      <vt:variant>
        <vt:i4>5</vt:i4>
      </vt:variant>
      <vt:variant>
        <vt:lpwstr>http://www.nevo.co.il/law/70301/40jc</vt:lpwstr>
      </vt:variant>
      <vt:variant>
        <vt:lpwstr/>
      </vt:variant>
      <vt:variant>
        <vt:i4>262155</vt:i4>
      </vt:variant>
      <vt:variant>
        <vt:i4>48</vt:i4>
      </vt:variant>
      <vt:variant>
        <vt:i4>0</vt:i4>
      </vt:variant>
      <vt:variant>
        <vt:i4>5</vt:i4>
      </vt:variant>
      <vt:variant>
        <vt:lpwstr>http://www.nevo.co.il/law/70301/40ja</vt:lpwstr>
      </vt:variant>
      <vt:variant>
        <vt:lpwstr/>
      </vt:variant>
      <vt:variant>
        <vt:i4>6750270</vt:i4>
      </vt:variant>
      <vt:variant>
        <vt:i4>45</vt:i4>
      </vt:variant>
      <vt:variant>
        <vt:i4>0</vt:i4>
      </vt:variant>
      <vt:variant>
        <vt:i4>5</vt:i4>
      </vt:variant>
      <vt:variant>
        <vt:lpwstr>http://www.nevo.co.il/law/70301/329.a.2</vt:lpwstr>
      </vt:variant>
      <vt:variant>
        <vt:lpwstr/>
      </vt:variant>
      <vt:variant>
        <vt:i4>4980819</vt:i4>
      </vt:variant>
      <vt:variant>
        <vt:i4>42</vt:i4>
      </vt:variant>
      <vt:variant>
        <vt:i4>0</vt:i4>
      </vt:variant>
      <vt:variant>
        <vt:i4>5</vt:i4>
      </vt:variant>
      <vt:variant>
        <vt:lpwstr>http://www.nevo.co.il/law/70301/274.3</vt:lpwstr>
      </vt:variant>
      <vt:variant>
        <vt:lpwstr/>
      </vt:variant>
      <vt:variant>
        <vt:i4>4980819</vt:i4>
      </vt:variant>
      <vt:variant>
        <vt:i4>39</vt:i4>
      </vt:variant>
      <vt:variant>
        <vt:i4>0</vt:i4>
      </vt:variant>
      <vt:variant>
        <vt:i4>5</vt:i4>
      </vt:variant>
      <vt:variant>
        <vt:lpwstr>http://www.nevo.co.il/law/70301/274.2</vt:lpwstr>
      </vt:variant>
      <vt:variant>
        <vt:lpwstr/>
      </vt:variant>
      <vt:variant>
        <vt:i4>8192050</vt:i4>
      </vt:variant>
      <vt:variant>
        <vt:i4>36</vt:i4>
      </vt:variant>
      <vt:variant>
        <vt:i4>0</vt:i4>
      </vt:variant>
      <vt:variant>
        <vt:i4>5</vt:i4>
      </vt:variant>
      <vt:variant>
        <vt:lpwstr>http://www.nevo.co.il/law/70301/144.b2</vt:lpwstr>
      </vt:variant>
      <vt:variant>
        <vt:lpwstr/>
      </vt:variant>
      <vt:variant>
        <vt:i4>6619233</vt:i4>
      </vt:variant>
      <vt:variant>
        <vt:i4>33</vt:i4>
      </vt:variant>
      <vt:variant>
        <vt:i4>0</vt:i4>
      </vt:variant>
      <vt:variant>
        <vt:i4>5</vt:i4>
      </vt:variant>
      <vt:variant>
        <vt:lpwstr>http://www.nevo.co.il/law/70301/40i</vt:lpwstr>
      </vt:variant>
      <vt:variant>
        <vt:lpwstr/>
      </vt:variant>
      <vt:variant>
        <vt:i4>6619233</vt:i4>
      </vt:variant>
      <vt:variant>
        <vt:i4>30</vt:i4>
      </vt:variant>
      <vt:variant>
        <vt:i4>0</vt:i4>
      </vt:variant>
      <vt:variant>
        <vt:i4>5</vt:i4>
      </vt:variant>
      <vt:variant>
        <vt:lpwstr>http://www.nevo.co.il/law/70301/40e</vt:lpwstr>
      </vt:variant>
      <vt:variant>
        <vt:lpwstr/>
      </vt:variant>
      <vt:variant>
        <vt:i4>4915205</vt:i4>
      </vt:variant>
      <vt:variant>
        <vt:i4>27</vt:i4>
      </vt:variant>
      <vt:variant>
        <vt:i4>0</vt:i4>
      </vt:variant>
      <vt:variant>
        <vt:i4>5</vt:i4>
      </vt:variant>
      <vt:variant>
        <vt:lpwstr>http://www.nevo.co.il/law/70301/40d.a</vt:lpwstr>
      </vt:variant>
      <vt:variant>
        <vt:lpwstr/>
      </vt:variant>
      <vt:variant>
        <vt:i4>6619233</vt:i4>
      </vt:variant>
      <vt:variant>
        <vt:i4>24</vt:i4>
      </vt:variant>
      <vt:variant>
        <vt:i4>0</vt:i4>
      </vt:variant>
      <vt:variant>
        <vt:i4>5</vt:i4>
      </vt:variant>
      <vt:variant>
        <vt:lpwstr>http://www.nevo.co.il/law/70301/40d</vt:lpwstr>
      </vt:variant>
      <vt:variant>
        <vt:lpwstr/>
      </vt:variant>
      <vt:variant>
        <vt:i4>4915202</vt:i4>
      </vt:variant>
      <vt:variant>
        <vt:i4>21</vt:i4>
      </vt:variant>
      <vt:variant>
        <vt:i4>0</vt:i4>
      </vt:variant>
      <vt:variant>
        <vt:i4>5</vt:i4>
      </vt:variant>
      <vt:variant>
        <vt:lpwstr>http://www.nevo.co.il/law/70301/40c.b</vt:lpwstr>
      </vt:variant>
      <vt:variant>
        <vt:lpwstr/>
      </vt:variant>
      <vt:variant>
        <vt:i4>4915202</vt:i4>
      </vt:variant>
      <vt:variant>
        <vt:i4>18</vt:i4>
      </vt:variant>
      <vt:variant>
        <vt:i4>0</vt:i4>
      </vt:variant>
      <vt:variant>
        <vt:i4>5</vt:i4>
      </vt:variant>
      <vt:variant>
        <vt:lpwstr>http://www.nevo.co.il/law/70301/40c.a</vt:lpwstr>
      </vt:variant>
      <vt:variant>
        <vt:lpwstr/>
      </vt:variant>
      <vt:variant>
        <vt:i4>6619233</vt:i4>
      </vt:variant>
      <vt:variant>
        <vt:i4>15</vt:i4>
      </vt:variant>
      <vt:variant>
        <vt:i4>0</vt:i4>
      </vt:variant>
      <vt:variant>
        <vt:i4>5</vt:i4>
      </vt:variant>
      <vt:variant>
        <vt:lpwstr>http://www.nevo.co.il/law/70301/40b</vt:lpwstr>
      </vt:variant>
      <vt:variant>
        <vt:lpwstr/>
      </vt:variant>
      <vt:variant>
        <vt:i4>7077991</vt:i4>
      </vt:variant>
      <vt:variant>
        <vt:i4>12</vt:i4>
      </vt:variant>
      <vt:variant>
        <vt:i4>0</vt:i4>
      </vt:variant>
      <vt:variant>
        <vt:i4>5</vt:i4>
      </vt:variant>
      <vt:variant>
        <vt:lpwstr>http://www.nevo.co.il/law/70301/29</vt:lpwstr>
      </vt:variant>
      <vt:variant>
        <vt:lpwstr/>
      </vt:variant>
      <vt:variant>
        <vt:i4>7995492</vt:i4>
      </vt:variant>
      <vt:variant>
        <vt:i4>9</vt:i4>
      </vt:variant>
      <vt:variant>
        <vt:i4>0</vt:i4>
      </vt:variant>
      <vt:variant>
        <vt:i4>5</vt:i4>
      </vt:variant>
      <vt:variant>
        <vt:lpwstr>http://www.nevo.co.il/law/70301</vt:lpwstr>
      </vt:variant>
      <vt:variant>
        <vt:lpwstr/>
      </vt:variant>
      <vt:variant>
        <vt:i4>5636183</vt:i4>
      </vt:variant>
      <vt:variant>
        <vt:i4>6</vt:i4>
      </vt:variant>
      <vt:variant>
        <vt:i4>0</vt:i4>
      </vt:variant>
      <vt:variant>
        <vt:i4>5</vt:i4>
      </vt:variant>
      <vt:variant>
        <vt:lpwstr>http://www.nevo.co.il/law/72515/3</vt:lpwstr>
      </vt:variant>
      <vt:variant>
        <vt:lpwstr/>
      </vt:variant>
      <vt:variant>
        <vt:i4>7929954</vt:i4>
      </vt:variant>
      <vt:variant>
        <vt:i4>3</vt:i4>
      </vt:variant>
      <vt:variant>
        <vt:i4>0</vt:i4>
      </vt:variant>
      <vt:variant>
        <vt:i4>5</vt:i4>
      </vt:variant>
      <vt:variant>
        <vt:lpwstr>http://www.nevo.co.il/law/72515</vt:lpwstr>
      </vt:variant>
      <vt:variant>
        <vt:lpwstr/>
      </vt:variant>
      <vt:variant>
        <vt:i4>4128887</vt:i4>
      </vt:variant>
      <vt:variant>
        <vt:i4>0</vt:i4>
      </vt:variant>
      <vt:variant>
        <vt:i4>0</vt:i4>
      </vt:variant>
      <vt:variant>
        <vt:i4>5</vt:i4>
      </vt:variant>
      <vt:variant>
        <vt:lpwstr>http://www.nevo.co.il/case/16902558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2025-01-19T15:53:00Z</dcterms:created>
  <dcterms:modified xsi:type="dcterms:W3CDTF">2025-01-19T15:53:00Z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1847</vt:lpwstr>
  </property>
  <property fmtid="{D5CDD505-2E9C-101B-9397-08002B2CF9AE}" pid="6" name="NEWPARTB">
    <vt:lpwstr>05</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מופיד אעביד</vt:lpwstr>
  </property>
  <property fmtid="{D5CDD505-2E9C-101B-9397-08002B2CF9AE}" pid="10" name="LAWYER">
    <vt:lpwstr>יפעת פנחסי;מוחמד מחמוד</vt:lpwstr>
  </property>
  <property fmtid="{D5CDD505-2E9C-101B-9397-08002B2CF9AE}" pid="11" name="JUDGE">
    <vt:lpwstr>אהרן פרקש</vt:lpwstr>
  </property>
  <property fmtid="{D5CDD505-2E9C-101B-9397-08002B2CF9AE}" pid="12" name="CITY">
    <vt:lpwstr>י-ם</vt:lpwstr>
  </property>
  <property fmtid="{D5CDD505-2E9C-101B-9397-08002B2CF9AE}" pid="13" name="DATE">
    <vt:lpwstr>20150603</vt:lpwstr>
  </property>
  <property fmtid="{D5CDD505-2E9C-101B-9397-08002B2CF9AE}" pid="14" name="TYPE_N_DATE">
    <vt:lpwstr>39020150603</vt:lpwstr>
  </property>
  <property fmtid="{D5CDD505-2E9C-101B-9397-08002B2CF9AE}" pid="15" name="CASESLISTTMP1">
    <vt:lpwstr>16902558;5750760;6953827:2;6243792;5571990;6188919;5582859;13093721;17023776;6708658;13101134;17009738;20009883;17014777</vt:lpwstr>
  </property>
  <property fmtid="{D5CDD505-2E9C-101B-9397-08002B2CF9AE}" pid="16" name="WORDNUMPAGES">
    <vt:lpwstr>18</vt:lpwstr>
  </property>
  <property fmtid="{D5CDD505-2E9C-101B-9397-08002B2CF9AE}" pid="17" name="TYPE_ABS_DATE">
    <vt:lpwstr>390020150603</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72515/003</vt:lpwstr>
  </property>
  <property fmtid="{D5CDD505-2E9C-101B-9397-08002B2CF9AE}" pid="36" name="LAWLISTTMP2">
    <vt:lpwstr>70301/144.b2:2;029:3;329.a.2;274.2;274.3;040b;040c.a;040i:2;040c.b;40ja:2;040d;040e;40jc:3;40jc.b;40jc.a;040d.a:2</vt:lpwstr>
  </property>
  <property fmtid="{D5CDD505-2E9C-101B-9397-08002B2CF9AE}" pid="37" name="ISABSTRACT">
    <vt:lpwstr>Y</vt:lpwstr>
  </property>
</Properties>
</file>